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0C7C0">
      <w:pPr>
        <w:rPr>
          <w:rFonts w:ascii="仿宋_GB2312" w:hAnsi="仿宋_GB2312" w:eastAsia="仿宋_GB2312" w:cs="仿宋_GB2312"/>
          <w:color w:val="000000"/>
          <w:sz w:val="36"/>
          <w:szCs w:val="36"/>
        </w:rPr>
      </w:pPr>
    </w:p>
    <w:p w14:paraId="4763430D">
      <w:pPr>
        <w:rPr>
          <w:rFonts w:ascii="仿宋_GB2312" w:hAnsi="仿宋_GB2312" w:eastAsia="仿宋_GB2312" w:cs="仿宋_GB2312"/>
          <w:color w:val="000000"/>
          <w:sz w:val="36"/>
          <w:szCs w:val="36"/>
        </w:rPr>
      </w:pPr>
    </w:p>
    <w:p w14:paraId="5D182B98">
      <w:pPr>
        <w:rPr>
          <w:rFonts w:ascii="仿宋_GB2312" w:hAnsi="仿宋_GB2312" w:eastAsia="仿宋_GB2312" w:cs="仿宋_GB2312"/>
          <w:color w:val="000000"/>
          <w:sz w:val="36"/>
          <w:szCs w:val="36"/>
        </w:rPr>
      </w:pPr>
    </w:p>
    <w:p w14:paraId="42532173">
      <w:pPr>
        <w:rPr>
          <w:rFonts w:ascii="仿宋_GB2312" w:hAnsi="仿宋_GB2312" w:eastAsia="仿宋_GB2312" w:cs="仿宋_GB2312"/>
          <w:color w:val="000000"/>
          <w:sz w:val="36"/>
          <w:szCs w:val="36"/>
        </w:rPr>
      </w:pPr>
    </w:p>
    <w:p w14:paraId="6EA474A2">
      <w:pPr>
        <w:adjustRightInd w:val="0"/>
        <w:snapToGrid w:val="0"/>
        <w:jc w:val="center"/>
        <w:outlineLvl w:val="0"/>
        <w:rPr>
          <w:rFonts w:eastAsia="方正小标宋_GBK"/>
          <w:bCs/>
          <w:color w:val="000000"/>
          <w:sz w:val="72"/>
          <w:szCs w:val="72"/>
        </w:rPr>
      </w:pPr>
      <w:bookmarkStart w:id="0" w:name="_Toc11340"/>
      <w:bookmarkStart w:id="1" w:name="_Toc16816"/>
      <w:r>
        <w:rPr>
          <w:rFonts w:hint="eastAsia" w:eastAsia="方正小标宋_GBK"/>
          <w:bCs/>
          <w:color w:val="000000"/>
          <w:sz w:val="72"/>
          <w:szCs w:val="72"/>
        </w:rPr>
        <w:t>建设项目环境影响报告表</w:t>
      </w:r>
      <w:bookmarkEnd w:id="0"/>
      <w:bookmarkEnd w:id="1"/>
    </w:p>
    <w:p w14:paraId="6046DF90">
      <w:pPr>
        <w:adjustRightInd w:val="0"/>
        <w:snapToGrid w:val="0"/>
        <w:spacing w:beforeLines="80"/>
        <w:jc w:val="center"/>
        <w:rPr>
          <w:rFonts w:eastAsia="楷体_GB2312"/>
          <w:bCs/>
          <w:color w:val="000000"/>
          <w:sz w:val="48"/>
          <w:szCs w:val="48"/>
        </w:rPr>
      </w:pPr>
      <w:r>
        <w:rPr>
          <w:rFonts w:hint="eastAsia" w:eastAsia="楷体_GB2312"/>
          <w:bCs/>
          <w:color w:val="000000"/>
          <w:sz w:val="48"/>
          <w:szCs w:val="48"/>
        </w:rPr>
        <w:t>（污染影响类）</w:t>
      </w:r>
    </w:p>
    <w:p w14:paraId="2F1A8AA4">
      <w:pPr>
        <w:adjustRightInd w:val="0"/>
        <w:snapToGrid w:val="0"/>
        <w:spacing w:line="288" w:lineRule="auto"/>
        <w:jc w:val="center"/>
        <w:rPr>
          <w:rFonts w:ascii="华文仿宋" w:hAnsi="华文仿宋" w:eastAsia="华文仿宋" w:cs="华文仿宋"/>
          <w:color w:val="000000"/>
          <w:kern w:val="44"/>
          <w:sz w:val="44"/>
          <w:szCs w:val="44"/>
        </w:rPr>
      </w:pPr>
    </w:p>
    <w:p w14:paraId="6AEF09E5">
      <w:pPr>
        <w:jc w:val="center"/>
        <w:rPr>
          <w:rFonts w:eastAsia="仿宋"/>
          <w:color w:val="000000"/>
          <w:sz w:val="52"/>
          <w:szCs w:val="52"/>
        </w:rPr>
      </w:pPr>
      <w:bookmarkStart w:id="76" w:name="_GoBack"/>
      <w:bookmarkEnd w:id="76"/>
    </w:p>
    <w:p w14:paraId="620CA72A">
      <w:pPr>
        <w:ind w:firstLine="1040"/>
        <w:rPr>
          <w:rFonts w:eastAsia="仿宋"/>
          <w:color w:val="000000"/>
          <w:sz w:val="44"/>
          <w:szCs w:val="44"/>
        </w:rPr>
      </w:pPr>
    </w:p>
    <w:p w14:paraId="7D778B8D">
      <w:pPr>
        <w:ind w:firstLine="1040"/>
        <w:rPr>
          <w:rFonts w:eastAsia="仿宋"/>
          <w:color w:val="000000"/>
          <w:sz w:val="44"/>
          <w:szCs w:val="44"/>
        </w:rPr>
      </w:pPr>
    </w:p>
    <w:p w14:paraId="4D1B2BA3">
      <w:pPr>
        <w:ind w:firstLine="1040"/>
        <w:rPr>
          <w:rFonts w:eastAsia="仿宋"/>
          <w:color w:val="000000"/>
          <w:sz w:val="44"/>
          <w:szCs w:val="44"/>
        </w:rPr>
      </w:pPr>
    </w:p>
    <w:p w14:paraId="13068A2D">
      <w:pPr>
        <w:ind w:firstLine="1040"/>
        <w:rPr>
          <w:rFonts w:eastAsia="仿宋"/>
          <w:color w:val="000000"/>
          <w:sz w:val="44"/>
          <w:szCs w:val="44"/>
        </w:rPr>
      </w:pPr>
    </w:p>
    <w:p w14:paraId="0964A00E">
      <w:pPr>
        <w:widowControl/>
        <w:ind w:left="2877" w:leftChars="513" w:hanging="1800" w:hangingChars="500"/>
        <w:jc w:val="left"/>
        <w:rPr>
          <w:rFonts w:hint="default" w:eastAsia="仿宋"/>
          <w:color w:val="000000"/>
          <w:sz w:val="36"/>
          <w:szCs w:val="36"/>
          <w:u w:val="single"/>
          <w:lang w:val="en-US" w:eastAsia="zh-CN"/>
        </w:rPr>
      </w:pPr>
      <w:r>
        <w:rPr>
          <w:rFonts w:hint="eastAsia" w:eastAsia="仿宋"/>
          <w:color w:val="000000"/>
          <w:sz w:val="36"/>
          <w:szCs w:val="36"/>
        </w:rPr>
        <w:t>项目名称：</w:t>
      </w:r>
      <w:r>
        <w:rPr>
          <w:rFonts w:hint="eastAsia" w:eastAsia="仿宋"/>
          <w:color w:val="000000"/>
          <w:sz w:val="36"/>
          <w:szCs w:val="36"/>
          <w:u w:val="single"/>
          <w:lang w:val="en-US" w:eastAsia="zh-CN"/>
        </w:rPr>
        <w:t xml:space="preserve">高档纺织面料生产线技术改造项目  </w:t>
      </w:r>
    </w:p>
    <w:p w14:paraId="06F3D47C">
      <w:pPr>
        <w:widowControl/>
        <w:ind w:firstLine="1080" w:firstLineChars="300"/>
        <w:rPr>
          <w:color w:val="000000"/>
        </w:rPr>
      </w:pPr>
      <w:r>
        <w:rPr>
          <w:rFonts w:hint="eastAsia" w:eastAsia="仿宋"/>
          <w:color w:val="000000"/>
          <w:sz w:val="36"/>
          <w:szCs w:val="36"/>
        </w:rPr>
        <w:t>建设单位：</w:t>
      </w:r>
      <w:r>
        <w:rPr>
          <w:rFonts w:eastAsia="仿宋"/>
          <w:color w:val="000000"/>
          <w:sz w:val="36"/>
          <w:szCs w:val="36"/>
          <w:u w:val="single"/>
        </w:rPr>
        <w:t xml:space="preserve">    </w:t>
      </w:r>
      <w:r>
        <w:rPr>
          <w:rFonts w:hint="eastAsia" w:eastAsia="仿宋"/>
          <w:color w:val="000000"/>
          <w:sz w:val="36"/>
          <w:szCs w:val="36"/>
          <w:u w:val="single"/>
          <w:lang w:val="en-US" w:eastAsia="zh-CN"/>
        </w:rPr>
        <w:t>吴江市国悦纺织品有限公司</w:t>
      </w:r>
      <w:r>
        <w:rPr>
          <w:rFonts w:eastAsia="仿宋"/>
          <w:color w:val="000000"/>
          <w:sz w:val="36"/>
          <w:szCs w:val="36"/>
          <w:u w:val="single"/>
        </w:rPr>
        <w:t xml:space="preserve">  </w:t>
      </w:r>
    </w:p>
    <w:p w14:paraId="5006BA2F">
      <w:pPr>
        <w:adjustRightInd w:val="0"/>
        <w:snapToGrid w:val="0"/>
        <w:spacing w:line="288" w:lineRule="auto"/>
        <w:ind w:firstLine="1080" w:firstLineChars="300"/>
        <w:rPr>
          <w:rFonts w:hint="default" w:eastAsia="仿宋"/>
          <w:color w:val="000000"/>
          <w:sz w:val="36"/>
          <w:szCs w:val="36"/>
          <w:u w:val="single"/>
          <w:lang w:val="en-US" w:eastAsia="zh-CN"/>
        </w:rPr>
      </w:pPr>
      <w:r>
        <w:rPr>
          <w:rFonts w:hint="eastAsia" w:eastAsia="仿宋"/>
          <w:color w:val="000000"/>
          <w:sz w:val="36"/>
          <w:szCs w:val="36"/>
        </w:rPr>
        <w:t>编制日期：</w:t>
      </w:r>
      <w:r>
        <w:rPr>
          <w:rFonts w:eastAsia="仿宋"/>
          <w:color w:val="000000"/>
          <w:sz w:val="36"/>
          <w:szCs w:val="36"/>
          <w:u w:val="single"/>
        </w:rPr>
        <w:t xml:space="preserve">        </w:t>
      </w:r>
      <w:r>
        <w:rPr>
          <w:rFonts w:hint="eastAsia" w:eastAsia="仿宋"/>
          <w:color w:val="000000"/>
          <w:sz w:val="36"/>
          <w:szCs w:val="36"/>
          <w:u w:val="single"/>
          <w:lang w:val="en-US" w:eastAsia="zh-CN"/>
        </w:rPr>
        <w:t xml:space="preserve">  </w:t>
      </w:r>
      <w:r>
        <w:rPr>
          <w:rFonts w:eastAsia="仿宋"/>
          <w:color w:val="000000"/>
          <w:sz w:val="36"/>
          <w:szCs w:val="36"/>
          <w:u w:val="single"/>
        </w:rPr>
        <w:t>202</w:t>
      </w:r>
      <w:r>
        <w:rPr>
          <w:rFonts w:hint="eastAsia" w:eastAsia="仿宋"/>
          <w:color w:val="000000"/>
          <w:sz w:val="36"/>
          <w:szCs w:val="36"/>
          <w:u w:val="single"/>
          <w:lang w:val="en-US" w:eastAsia="zh-CN"/>
        </w:rPr>
        <w:t>6</w:t>
      </w:r>
      <w:r>
        <w:rPr>
          <w:rFonts w:hint="eastAsia" w:eastAsia="仿宋"/>
          <w:color w:val="000000"/>
          <w:sz w:val="36"/>
          <w:szCs w:val="36"/>
          <w:u w:val="single"/>
        </w:rPr>
        <w:t>年</w:t>
      </w:r>
      <w:r>
        <w:rPr>
          <w:rFonts w:hint="eastAsia" w:eastAsia="仿宋"/>
          <w:color w:val="000000"/>
          <w:sz w:val="36"/>
          <w:szCs w:val="36"/>
          <w:u w:val="single"/>
          <w:lang w:val="en-US" w:eastAsia="zh-CN"/>
        </w:rPr>
        <w:t>8</w:t>
      </w:r>
      <w:r>
        <w:rPr>
          <w:rFonts w:hint="eastAsia" w:eastAsia="仿宋"/>
          <w:color w:val="000000"/>
          <w:sz w:val="36"/>
          <w:szCs w:val="36"/>
          <w:u w:val="single"/>
        </w:rPr>
        <w:t>月</w:t>
      </w:r>
      <w:r>
        <w:rPr>
          <w:rFonts w:eastAsia="仿宋"/>
          <w:color w:val="000000"/>
          <w:sz w:val="36"/>
          <w:szCs w:val="36"/>
          <w:u w:val="single"/>
        </w:rPr>
        <w:t xml:space="preserve">      </w:t>
      </w:r>
      <w:r>
        <w:rPr>
          <w:rFonts w:hint="eastAsia" w:eastAsia="仿宋"/>
          <w:color w:val="000000"/>
          <w:sz w:val="36"/>
          <w:szCs w:val="36"/>
          <w:u w:val="single"/>
          <w:lang w:val="en-US" w:eastAsia="zh-CN"/>
        </w:rPr>
        <w:t xml:space="preserve">   </w:t>
      </w:r>
    </w:p>
    <w:p w14:paraId="1B8B0BAC">
      <w:pPr>
        <w:adjustRightInd w:val="0"/>
        <w:snapToGrid w:val="0"/>
        <w:spacing w:line="288" w:lineRule="auto"/>
        <w:ind w:firstLine="1040"/>
        <w:jc w:val="center"/>
        <w:rPr>
          <w:rFonts w:ascii="仿宋_GB2312" w:eastAsia="仿宋_GB2312"/>
          <w:color w:val="000000"/>
          <w:sz w:val="36"/>
          <w:szCs w:val="36"/>
          <w:u w:val="single"/>
        </w:rPr>
      </w:pPr>
      <w:bookmarkStart w:id="2" w:name="_Hlk57884087"/>
    </w:p>
    <w:p w14:paraId="209C9EAD">
      <w:pPr>
        <w:adjustRightInd w:val="0"/>
        <w:snapToGrid w:val="0"/>
        <w:spacing w:line="288" w:lineRule="auto"/>
        <w:ind w:firstLine="1040"/>
        <w:rPr>
          <w:rFonts w:ascii="仿宋_GB2312" w:eastAsia="仿宋_GB2312"/>
          <w:color w:val="000000"/>
          <w:sz w:val="36"/>
          <w:szCs w:val="36"/>
        </w:rPr>
      </w:pPr>
    </w:p>
    <w:p w14:paraId="70ED0359">
      <w:pPr>
        <w:adjustRightInd w:val="0"/>
        <w:snapToGrid w:val="0"/>
        <w:spacing w:line="288" w:lineRule="auto"/>
        <w:rPr>
          <w:rFonts w:ascii="仿宋_GB2312" w:eastAsia="仿宋_GB2312"/>
          <w:color w:val="000000"/>
          <w:sz w:val="36"/>
          <w:szCs w:val="36"/>
        </w:rPr>
      </w:pPr>
    </w:p>
    <w:p w14:paraId="6EE46C17">
      <w:pPr>
        <w:adjustRightInd w:val="0"/>
        <w:snapToGrid w:val="0"/>
        <w:spacing w:line="288" w:lineRule="auto"/>
        <w:ind w:firstLine="1040"/>
        <w:rPr>
          <w:rFonts w:ascii="仿宋_GB2312" w:eastAsia="仿宋_GB2312"/>
          <w:color w:val="000000"/>
          <w:sz w:val="36"/>
          <w:szCs w:val="36"/>
        </w:rPr>
      </w:pPr>
    </w:p>
    <w:bookmarkEnd w:id="2"/>
    <w:p w14:paraId="328A4E22">
      <w:pPr>
        <w:adjustRightInd w:val="0"/>
        <w:snapToGrid w:val="0"/>
        <w:spacing w:line="288" w:lineRule="auto"/>
        <w:jc w:val="center"/>
        <w:rPr>
          <w:rFonts w:ascii="楷体_GB2312" w:eastAsia="楷体_GB2312"/>
          <w:color w:val="000000"/>
          <w:sz w:val="36"/>
          <w:szCs w:val="36"/>
        </w:rPr>
      </w:pPr>
      <w:bookmarkStart w:id="3" w:name="_Toc19332"/>
      <w:bookmarkStart w:id="4" w:name="_Toc15246"/>
      <w:r>
        <w:rPr>
          <w:rFonts w:hint="eastAsia" w:ascii="楷体_GB2312" w:eastAsia="楷体_GB2312"/>
          <w:color w:val="000000"/>
          <w:sz w:val="36"/>
          <w:szCs w:val="36"/>
        </w:rPr>
        <w:t>中华人民共和国生态环境部制</w:t>
      </w:r>
      <w:bookmarkEnd w:id="3"/>
      <w:bookmarkEnd w:id="4"/>
    </w:p>
    <w:p w14:paraId="4A425309">
      <w:pPr>
        <w:pStyle w:val="35"/>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733330AA">
      <w:pPr>
        <w:pStyle w:val="35"/>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694B11BF">
      <w:pPr>
        <w:spacing w:line="480" w:lineRule="auto"/>
        <w:jc w:val="center"/>
        <w:rPr>
          <w:b/>
          <w:bCs/>
          <w:sz w:val="30"/>
          <w:szCs w:val="30"/>
        </w:rPr>
      </w:pPr>
      <w:r>
        <w:rPr>
          <w:rFonts w:hint="eastAsia" w:ascii="宋体" w:hAnsi="宋体"/>
          <w:b/>
          <w:bCs/>
          <w:sz w:val="30"/>
          <w:szCs w:val="30"/>
        </w:rPr>
        <w:t>目</w:t>
      </w:r>
      <w:r>
        <w:rPr>
          <w:rFonts w:ascii="宋体" w:hAnsi="宋体"/>
          <w:b/>
          <w:bCs/>
          <w:sz w:val="30"/>
          <w:szCs w:val="30"/>
        </w:rPr>
        <w:t xml:space="preserve">    </w:t>
      </w:r>
      <w:r>
        <w:rPr>
          <w:rFonts w:hint="eastAsia" w:ascii="宋体" w:hAnsi="宋体"/>
          <w:b/>
          <w:bCs/>
          <w:sz w:val="30"/>
          <w:szCs w:val="30"/>
        </w:rPr>
        <w:t>录</w:t>
      </w:r>
    </w:p>
    <w:p w14:paraId="412AE441">
      <w:pPr>
        <w:pStyle w:val="19"/>
        <w:tabs>
          <w:tab w:val="right" w:leader="dot" w:pos="8844"/>
        </w:tabs>
        <w:spacing w:line="360" w:lineRule="auto"/>
        <w:rPr>
          <w:sz w:val="24"/>
        </w:rPr>
      </w:pPr>
      <w:r>
        <w:fldChar w:fldCharType="begin"/>
      </w:r>
      <w:r>
        <w:instrText xml:space="preserve">TOC \o "1-1" \h \u </w:instrText>
      </w:r>
      <w:r>
        <w:fldChar w:fldCharType="separate"/>
      </w:r>
      <w:r>
        <w:fldChar w:fldCharType="begin"/>
      </w:r>
      <w:r>
        <w:instrText xml:space="preserve"> HYPERLINK \l "_Toc28022" </w:instrText>
      </w:r>
      <w:r>
        <w:fldChar w:fldCharType="separate"/>
      </w:r>
      <w:r>
        <w:rPr>
          <w:rFonts w:hint="eastAsia"/>
          <w:snapToGrid w:val="0"/>
          <w:sz w:val="24"/>
        </w:rPr>
        <w:t>一、建设项目基本情况</w:t>
      </w:r>
      <w:r>
        <w:rPr>
          <w:sz w:val="24"/>
        </w:rPr>
        <w:tab/>
      </w:r>
      <w:r>
        <w:rPr>
          <w:sz w:val="24"/>
        </w:rPr>
        <w:fldChar w:fldCharType="begin"/>
      </w:r>
      <w:r>
        <w:rPr>
          <w:sz w:val="24"/>
        </w:rPr>
        <w:instrText xml:space="preserve"> PAGEREF _Toc28022 \h </w:instrText>
      </w:r>
      <w:r>
        <w:rPr>
          <w:sz w:val="24"/>
        </w:rPr>
        <w:fldChar w:fldCharType="separate"/>
      </w:r>
      <w:r>
        <w:rPr>
          <w:sz w:val="24"/>
        </w:rPr>
        <w:t>1</w:t>
      </w:r>
      <w:r>
        <w:rPr>
          <w:sz w:val="24"/>
        </w:rPr>
        <w:fldChar w:fldCharType="end"/>
      </w:r>
      <w:r>
        <w:rPr>
          <w:sz w:val="24"/>
        </w:rPr>
        <w:fldChar w:fldCharType="end"/>
      </w:r>
    </w:p>
    <w:p w14:paraId="2D343201">
      <w:pPr>
        <w:pStyle w:val="19"/>
        <w:tabs>
          <w:tab w:val="right" w:leader="dot" w:pos="8844"/>
        </w:tabs>
        <w:spacing w:line="360" w:lineRule="auto"/>
        <w:rPr>
          <w:sz w:val="24"/>
        </w:rPr>
      </w:pPr>
      <w:r>
        <w:fldChar w:fldCharType="begin"/>
      </w:r>
      <w:r>
        <w:instrText xml:space="preserve"> HYPERLINK \l "_Toc23973" </w:instrText>
      </w:r>
      <w:r>
        <w:fldChar w:fldCharType="separate"/>
      </w:r>
      <w:r>
        <w:rPr>
          <w:rFonts w:hint="eastAsia"/>
          <w:snapToGrid w:val="0"/>
          <w:sz w:val="24"/>
        </w:rPr>
        <w:t>二、建设项目工程分析</w:t>
      </w:r>
      <w:r>
        <w:rPr>
          <w:sz w:val="24"/>
        </w:rPr>
        <w:tab/>
      </w:r>
      <w:r>
        <w:rPr>
          <w:sz w:val="24"/>
        </w:rPr>
        <w:fldChar w:fldCharType="begin"/>
      </w:r>
      <w:r>
        <w:rPr>
          <w:sz w:val="24"/>
        </w:rPr>
        <w:instrText xml:space="preserve"> PAGEREF _Toc23973 \h </w:instrText>
      </w:r>
      <w:r>
        <w:rPr>
          <w:sz w:val="24"/>
        </w:rPr>
        <w:fldChar w:fldCharType="separate"/>
      </w:r>
      <w:r>
        <w:rPr>
          <w:sz w:val="24"/>
        </w:rPr>
        <w:t>23</w:t>
      </w:r>
      <w:r>
        <w:rPr>
          <w:sz w:val="24"/>
        </w:rPr>
        <w:fldChar w:fldCharType="end"/>
      </w:r>
      <w:r>
        <w:rPr>
          <w:sz w:val="24"/>
        </w:rPr>
        <w:fldChar w:fldCharType="end"/>
      </w:r>
    </w:p>
    <w:p w14:paraId="73F47CC9">
      <w:pPr>
        <w:pStyle w:val="19"/>
        <w:tabs>
          <w:tab w:val="right" w:leader="dot" w:pos="8844"/>
        </w:tabs>
        <w:spacing w:line="360" w:lineRule="auto"/>
        <w:rPr>
          <w:sz w:val="24"/>
        </w:rPr>
      </w:pPr>
      <w:r>
        <w:fldChar w:fldCharType="begin"/>
      </w:r>
      <w:r>
        <w:instrText xml:space="preserve"> HYPERLINK \l "_Toc29421" </w:instrText>
      </w:r>
      <w:r>
        <w:fldChar w:fldCharType="separate"/>
      </w:r>
      <w:r>
        <w:rPr>
          <w:rFonts w:hint="eastAsia"/>
          <w:snapToGrid w:val="0"/>
          <w:sz w:val="24"/>
        </w:rPr>
        <w:t>三、区域环境质量现状、环境保护目标及评价标准</w:t>
      </w:r>
      <w:r>
        <w:rPr>
          <w:sz w:val="24"/>
        </w:rPr>
        <w:tab/>
      </w:r>
      <w:r>
        <w:rPr>
          <w:sz w:val="24"/>
        </w:rPr>
        <w:fldChar w:fldCharType="begin"/>
      </w:r>
      <w:r>
        <w:rPr>
          <w:sz w:val="24"/>
        </w:rPr>
        <w:instrText xml:space="preserve"> PAGEREF _Toc29421 \h </w:instrText>
      </w:r>
      <w:r>
        <w:rPr>
          <w:sz w:val="24"/>
        </w:rPr>
        <w:fldChar w:fldCharType="separate"/>
      </w:r>
      <w:r>
        <w:rPr>
          <w:sz w:val="24"/>
        </w:rPr>
        <w:t>32</w:t>
      </w:r>
      <w:r>
        <w:rPr>
          <w:sz w:val="24"/>
        </w:rPr>
        <w:fldChar w:fldCharType="end"/>
      </w:r>
      <w:r>
        <w:rPr>
          <w:sz w:val="24"/>
        </w:rPr>
        <w:fldChar w:fldCharType="end"/>
      </w:r>
    </w:p>
    <w:p w14:paraId="2B3D80A3">
      <w:pPr>
        <w:pStyle w:val="19"/>
        <w:tabs>
          <w:tab w:val="right" w:leader="dot" w:pos="8844"/>
        </w:tabs>
        <w:spacing w:line="360" w:lineRule="auto"/>
        <w:rPr>
          <w:sz w:val="24"/>
        </w:rPr>
      </w:pPr>
      <w:r>
        <w:fldChar w:fldCharType="begin"/>
      </w:r>
      <w:r>
        <w:instrText xml:space="preserve"> HYPERLINK \l "_Toc8687" </w:instrText>
      </w:r>
      <w:r>
        <w:fldChar w:fldCharType="separate"/>
      </w:r>
      <w:r>
        <w:rPr>
          <w:rFonts w:hint="eastAsia"/>
          <w:snapToGrid w:val="0"/>
          <w:sz w:val="24"/>
        </w:rPr>
        <w:t>四、主要环境影响和保护措施</w:t>
      </w:r>
      <w:r>
        <w:rPr>
          <w:sz w:val="24"/>
        </w:rPr>
        <w:tab/>
      </w:r>
      <w:r>
        <w:rPr>
          <w:sz w:val="24"/>
        </w:rPr>
        <w:fldChar w:fldCharType="begin"/>
      </w:r>
      <w:r>
        <w:rPr>
          <w:sz w:val="24"/>
        </w:rPr>
        <w:instrText xml:space="preserve"> PAGEREF _Toc8687 \h </w:instrText>
      </w:r>
      <w:r>
        <w:rPr>
          <w:sz w:val="24"/>
        </w:rPr>
        <w:fldChar w:fldCharType="separate"/>
      </w:r>
      <w:r>
        <w:rPr>
          <w:sz w:val="24"/>
        </w:rPr>
        <w:t>39</w:t>
      </w:r>
      <w:r>
        <w:rPr>
          <w:sz w:val="24"/>
        </w:rPr>
        <w:fldChar w:fldCharType="end"/>
      </w:r>
      <w:r>
        <w:rPr>
          <w:sz w:val="24"/>
        </w:rPr>
        <w:fldChar w:fldCharType="end"/>
      </w:r>
    </w:p>
    <w:p w14:paraId="234D9EFA">
      <w:pPr>
        <w:pStyle w:val="19"/>
        <w:tabs>
          <w:tab w:val="right" w:leader="dot" w:pos="8844"/>
        </w:tabs>
        <w:spacing w:line="360" w:lineRule="auto"/>
        <w:rPr>
          <w:sz w:val="24"/>
        </w:rPr>
      </w:pPr>
      <w:r>
        <w:fldChar w:fldCharType="begin"/>
      </w:r>
      <w:r>
        <w:instrText xml:space="preserve"> HYPERLINK \l "_Toc13709" </w:instrText>
      </w:r>
      <w:r>
        <w:fldChar w:fldCharType="separate"/>
      </w:r>
      <w:r>
        <w:rPr>
          <w:rFonts w:hint="eastAsia"/>
          <w:snapToGrid w:val="0"/>
          <w:sz w:val="24"/>
        </w:rPr>
        <w:t>五、环境保护措施监督检查清单</w:t>
      </w:r>
      <w:r>
        <w:rPr>
          <w:sz w:val="24"/>
        </w:rPr>
        <w:tab/>
      </w:r>
      <w:r>
        <w:rPr>
          <w:sz w:val="24"/>
        </w:rPr>
        <w:fldChar w:fldCharType="begin"/>
      </w:r>
      <w:r>
        <w:rPr>
          <w:sz w:val="24"/>
        </w:rPr>
        <w:instrText xml:space="preserve"> PAGEREF _Toc13709 \h </w:instrText>
      </w:r>
      <w:r>
        <w:rPr>
          <w:sz w:val="24"/>
        </w:rPr>
        <w:fldChar w:fldCharType="separate"/>
      </w:r>
      <w:r>
        <w:rPr>
          <w:sz w:val="24"/>
        </w:rPr>
        <w:t>67</w:t>
      </w:r>
      <w:r>
        <w:rPr>
          <w:sz w:val="24"/>
        </w:rPr>
        <w:fldChar w:fldCharType="end"/>
      </w:r>
      <w:r>
        <w:rPr>
          <w:sz w:val="24"/>
        </w:rPr>
        <w:fldChar w:fldCharType="end"/>
      </w:r>
    </w:p>
    <w:p w14:paraId="2CCD740C">
      <w:pPr>
        <w:pStyle w:val="19"/>
        <w:tabs>
          <w:tab w:val="right" w:leader="dot" w:pos="8844"/>
        </w:tabs>
        <w:spacing w:line="360" w:lineRule="auto"/>
        <w:rPr>
          <w:sz w:val="24"/>
        </w:rPr>
      </w:pPr>
      <w:r>
        <w:fldChar w:fldCharType="begin"/>
      </w:r>
      <w:r>
        <w:instrText xml:space="preserve"> HYPERLINK \l "_Toc4408" </w:instrText>
      </w:r>
      <w:r>
        <w:fldChar w:fldCharType="separate"/>
      </w:r>
      <w:r>
        <w:rPr>
          <w:rFonts w:hint="eastAsia"/>
          <w:snapToGrid w:val="0"/>
          <w:sz w:val="24"/>
        </w:rPr>
        <w:t>六、结论</w:t>
      </w:r>
      <w:r>
        <w:rPr>
          <w:sz w:val="24"/>
        </w:rPr>
        <w:tab/>
      </w:r>
      <w:r>
        <w:rPr>
          <w:sz w:val="24"/>
        </w:rPr>
        <w:fldChar w:fldCharType="begin"/>
      </w:r>
      <w:r>
        <w:rPr>
          <w:sz w:val="24"/>
        </w:rPr>
        <w:instrText xml:space="preserve"> PAGEREF _Toc4408 \h </w:instrText>
      </w:r>
      <w:r>
        <w:rPr>
          <w:sz w:val="24"/>
        </w:rPr>
        <w:fldChar w:fldCharType="separate"/>
      </w:r>
      <w:r>
        <w:rPr>
          <w:sz w:val="24"/>
        </w:rPr>
        <w:t>69</w:t>
      </w:r>
      <w:r>
        <w:rPr>
          <w:sz w:val="24"/>
        </w:rPr>
        <w:fldChar w:fldCharType="end"/>
      </w:r>
      <w:r>
        <w:rPr>
          <w:sz w:val="24"/>
        </w:rPr>
        <w:fldChar w:fldCharType="end"/>
      </w:r>
    </w:p>
    <w:p w14:paraId="5883BD10">
      <w:pPr>
        <w:pStyle w:val="19"/>
        <w:tabs>
          <w:tab w:val="right" w:leader="dot" w:pos="8844"/>
        </w:tabs>
        <w:spacing w:line="360" w:lineRule="auto"/>
        <w:rPr>
          <w:sz w:val="24"/>
        </w:rPr>
      </w:pPr>
      <w:r>
        <w:fldChar w:fldCharType="begin"/>
      </w:r>
      <w:r>
        <w:instrText xml:space="preserve"> HYPERLINK \l "_Toc4436" </w:instrText>
      </w:r>
      <w:r>
        <w:fldChar w:fldCharType="separate"/>
      </w:r>
      <w:r>
        <w:rPr>
          <w:rFonts w:hint="eastAsia"/>
          <w:snapToGrid w:val="0"/>
          <w:sz w:val="24"/>
        </w:rPr>
        <w:t>附表</w:t>
      </w:r>
      <w:r>
        <w:rPr>
          <w:sz w:val="24"/>
        </w:rPr>
        <w:tab/>
      </w:r>
      <w:r>
        <w:rPr>
          <w:sz w:val="24"/>
        </w:rPr>
        <w:fldChar w:fldCharType="begin"/>
      </w:r>
      <w:r>
        <w:rPr>
          <w:sz w:val="24"/>
        </w:rPr>
        <w:instrText xml:space="preserve"> PAGEREF _Toc4436 \h </w:instrText>
      </w:r>
      <w:r>
        <w:rPr>
          <w:sz w:val="24"/>
        </w:rPr>
        <w:fldChar w:fldCharType="separate"/>
      </w:r>
      <w:r>
        <w:rPr>
          <w:sz w:val="24"/>
        </w:rPr>
        <w:t>70</w:t>
      </w:r>
      <w:r>
        <w:rPr>
          <w:sz w:val="24"/>
        </w:rPr>
        <w:fldChar w:fldCharType="end"/>
      </w:r>
      <w:r>
        <w:rPr>
          <w:sz w:val="24"/>
        </w:rPr>
        <w:fldChar w:fldCharType="end"/>
      </w:r>
    </w:p>
    <w:p w14:paraId="7E81715C">
      <w:pPr>
        <w:pStyle w:val="19"/>
        <w:tabs>
          <w:tab w:val="right" w:leader="dot" w:pos="8844"/>
        </w:tabs>
        <w:spacing w:line="360" w:lineRule="auto"/>
      </w:pPr>
      <w:r>
        <w:fldChar w:fldCharType="begin"/>
      </w:r>
      <w:r>
        <w:instrText xml:space="preserve"> HYPERLINK \l "_Toc4419" </w:instrText>
      </w:r>
      <w:r>
        <w:fldChar w:fldCharType="separate"/>
      </w:r>
      <w:r>
        <w:rPr>
          <w:rFonts w:hint="eastAsia"/>
          <w:snapToGrid w:val="0"/>
          <w:sz w:val="24"/>
        </w:rPr>
        <w:t>附图附件</w:t>
      </w:r>
      <w:r>
        <w:rPr>
          <w:sz w:val="24"/>
        </w:rPr>
        <w:tab/>
      </w:r>
      <w:r>
        <w:rPr>
          <w:sz w:val="24"/>
        </w:rPr>
        <w:fldChar w:fldCharType="begin"/>
      </w:r>
      <w:r>
        <w:rPr>
          <w:sz w:val="24"/>
        </w:rPr>
        <w:instrText xml:space="preserve"> PAGEREF _Toc4419 \h </w:instrText>
      </w:r>
      <w:r>
        <w:rPr>
          <w:sz w:val="24"/>
        </w:rPr>
        <w:fldChar w:fldCharType="separate"/>
      </w:r>
      <w:r>
        <w:rPr>
          <w:sz w:val="24"/>
        </w:rPr>
        <w:t>72</w:t>
      </w:r>
      <w:r>
        <w:rPr>
          <w:sz w:val="24"/>
        </w:rPr>
        <w:fldChar w:fldCharType="end"/>
      </w:r>
      <w:r>
        <w:rPr>
          <w:sz w:val="24"/>
        </w:rPr>
        <w:fldChar w:fldCharType="end"/>
      </w:r>
    </w:p>
    <w:p w14:paraId="2BAF56FB">
      <w:r>
        <w:fldChar w:fldCharType="end"/>
      </w:r>
    </w:p>
    <w:p w14:paraId="5FF069E5"/>
    <w:p w14:paraId="0ADF0714"/>
    <w:p w14:paraId="02D897A5"/>
    <w:p w14:paraId="753D556E"/>
    <w:p w14:paraId="0F2697DA"/>
    <w:p w14:paraId="62D01668"/>
    <w:p w14:paraId="4054596E"/>
    <w:p w14:paraId="291C295F"/>
    <w:p w14:paraId="11665C2A"/>
    <w:p w14:paraId="6AE7D943"/>
    <w:p w14:paraId="4F6D360E"/>
    <w:p w14:paraId="764D5825"/>
    <w:p w14:paraId="799205FC"/>
    <w:p w14:paraId="3161E696"/>
    <w:p w14:paraId="360D376A"/>
    <w:p w14:paraId="52F4E988"/>
    <w:p w14:paraId="5F40A733"/>
    <w:p w14:paraId="77531BA0"/>
    <w:p w14:paraId="30F6F357"/>
    <w:p w14:paraId="4DA29C62"/>
    <w:p w14:paraId="70602D35"/>
    <w:p w14:paraId="06E5657F"/>
    <w:p w14:paraId="12A96EF6"/>
    <w:p w14:paraId="1F430D50"/>
    <w:p w14:paraId="7B1E1DA2"/>
    <w:p w14:paraId="7C99F89D"/>
    <w:p w14:paraId="4526534C"/>
    <w:p w14:paraId="53AC76CE"/>
    <w:p w14:paraId="05BE1F2C"/>
    <w:p w14:paraId="20FAE8AE"/>
    <w:p w14:paraId="501C1F90"/>
    <w:p w14:paraId="7B2A246D"/>
    <w:p w14:paraId="77D5B523"/>
    <w:p w14:paraId="6BFBE3D4"/>
    <w:p w14:paraId="2B1E21FF"/>
    <w:p w14:paraId="4256DCCA"/>
    <w:p w14:paraId="6955C32F">
      <w:pPr>
        <w:pStyle w:val="35"/>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br w:type="page"/>
      </w:r>
    </w:p>
    <w:p w14:paraId="3DE75EC0">
      <w:pPr>
        <w:pStyle w:val="22"/>
        <w:jc w:val="center"/>
        <w:outlineLvl w:val="0"/>
        <w:rPr>
          <w:rFonts w:ascii="黑体" w:hAnsi="黑体" w:eastAsia="黑体"/>
          <w:snapToGrid w:val="0"/>
          <w:color w:val="000000"/>
          <w:sz w:val="30"/>
          <w:szCs w:val="30"/>
        </w:rPr>
      </w:pPr>
      <w:bookmarkStart w:id="5" w:name="_Toc28022"/>
      <w:r>
        <w:rPr>
          <w:rFonts w:hint="eastAsia" w:ascii="黑体" w:hAnsi="黑体" w:eastAsia="黑体"/>
          <w:snapToGrid w:val="0"/>
          <w:color w:val="000000"/>
          <w:sz w:val="30"/>
          <w:szCs w:val="30"/>
        </w:rPr>
        <w:t>一、建设项目基本情况</w:t>
      </w:r>
      <w:bookmarkEnd w:id="5"/>
    </w:p>
    <w:tbl>
      <w:tblPr>
        <w:tblStyle w:val="26"/>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442"/>
        <w:gridCol w:w="2577"/>
        <w:gridCol w:w="2212"/>
        <w:gridCol w:w="2639"/>
      </w:tblGrid>
      <w:tr w14:paraId="02B146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42" w:hRule="atLeast"/>
          <w:jc w:val="center"/>
        </w:trPr>
        <w:tc>
          <w:tcPr>
            <w:tcW w:w="1442" w:type="dxa"/>
            <w:tcBorders>
              <w:top w:val="single" w:color="auto" w:sz="8" w:space="0"/>
            </w:tcBorders>
            <w:tcMar>
              <w:top w:w="16" w:type="dxa"/>
              <w:left w:w="16" w:type="dxa"/>
              <w:right w:w="16" w:type="dxa"/>
            </w:tcMar>
            <w:vAlign w:val="center"/>
          </w:tcPr>
          <w:p w14:paraId="06B56348">
            <w:pPr>
              <w:adjustRightInd w:val="0"/>
              <w:snapToGrid w:val="0"/>
              <w:jc w:val="center"/>
              <w:rPr>
                <w:color w:val="auto"/>
                <w:szCs w:val="21"/>
                <w:highlight w:val="none"/>
              </w:rPr>
            </w:pPr>
            <w:r>
              <w:rPr>
                <w:rFonts w:hint="eastAsia"/>
                <w:color w:val="auto"/>
                <w:szCs w:val="21"/>
                <w:highlight w:val="none"/>
              </w:rPr>
              <w:t>建设项目名称</w:t>
            </w:r>
          </w:p>
        </w:tc>
        <w:tc>
          <w:tcPr>
            <w:tcW w:w="7428" w:type="dxa"/>
            <w:gridSpan w:val="3"/>
            <w:tcBorders>
              <w:top w:val="single" w:color="auto" w:sz="8" w:space="0"/>
            </w:tcBorders>
            <w:vAlign w:val="center"/>
          </w:tcPr>
          <w:p w14:paraId="46F07A1E">
            <w:pPr>
              <w:adjustRightInd w:val="0"/>
              <w:snapToGrid w:val="0"/>
              <w:jc w:val="center"/>
              <w:rPr>
                <w:rFonts w:hint="eastAsia" w:eastAsia="宋体"/>
                <w:color w:val="auto"/>
                <w:szCs w:val="21"/>
                <w:highlight w:val="none"/>
                <w:lang w:eastAsia="zh-CN"/>
              </w:rPr>
            </w:pPr>
            <w:r>
              <w:rPr>
                <w:rFonts w:hint="eastAsia"/>
                <w:color w:val="auto"/>
                <w:szCs w:val="21"/>
                <w:highlight w:val="none"/>
                <w:lang w:val="en-US" w:eastAsia="zh-CN"/>
              </w:rPr>
              <w:t>高档纺织面料生产线技术改造项目</w:t>
            </w:r>
          </w:p>
        </w:tc>
      </w:tr>
      <w:tr w14:paraId="306BEB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442" w:type="dxa"/>
            <w:tcMar>
              <w:top w:w="16" w:type="dxa"/>
              <w:left w:w="16" w:type="dxa"/>
              <w:right w:w="16" w:type="dxa"/>
            </w:tcMar>
            <w:vAlign w:val="center"/>
          </w:tcPr>
          <w:p w14:paraId="7C6D828E">
            <w:pPr>
              <w:adjustRightInd w:val="0"/>
              <w:snapToGrid w:val="0"/>
              <w:jc w:val="center"/>
              <w:rPr>
                <w:color w:val="auto"/>
                <w:szCs w:val="21"/>
                <w:highlight w:val="none"/>
              </w:rPr>
            </w:pPr>
            <w:r>
              <w:rPr>
                <w:rFonts w:hint="eastAsia"/>
                <w:color w:val="auto"/>
                <w:szCs w:val="21"/>
                <w:highlight w:val="none"/>
              </w:rPr>
              <w:t>项目</w:t>
            </w:r>
          </w:p>
          <w:p w14:paraId="726BE763">
            <w:pPr>
              <w:adjustRightInd w:val="0"/>
              <w:snapToGrid w:val="0"/>
              <w:jc w:val="center"/>
              <w:rPr>
                <w:color w:val="auto"/>
                <w:szCs w:val="21"/>
                <w:highlight w:val="none"/>
              </w:rPr>
            </w:pPr>
            <w:r>
              <w:rPr>
                <w:rFonts w:hint="eastAsia"/>
                <w:color w:val="auto"/>
                <w:szCs w:val="21"/>
                <w:highlight w:val="none"/>
              </w:rPr>
              <w:t>代码</w:t>
            </w:r>
          </w:p>
        </w:tc>
        <w:tc>
          <w:tcPr>
            <w:tcW w:w="7428" w:type="dxa"/>
            <w:gridSpan w:val="3"/>
            <w:vAlign w:val="center"/>
          </w:tcPr>
          <w:p w14:paraId="3BC2C54C">
            <w:pPr>
              <w:adjustRightInd w:val="0"/>
              <w:snapToGrid w:val="0"/>
              <w:jc w:val="center"/>
              <w:rPr>
                <w:rFonts w:hint="eastAsia" w:eastAsia="宋体"/>
                <w:color w:val="auto"/>
                <w:szCs w:val="21"/>
                <w:highlight w:val="none"/>
                <w:lang w:val="en-US" w:eastAsia="zh-CN"/>
              </w:rPr>
            </w:pPr>
            <w:r>
              <w:rPr>
                <w:rFonts w:hint="eastAsia"/>
                <w:color w:val="auto"/>
                <w:szCs w:val="21"/>
                <w:highlight w:val="none"/>
                <w:lang w:eastAsia="zh-CN"/>
              </w:rPr>
              <w:t>2501-320509-89-02-572078</w:t>
            </w:r>
          </w:p>
        </w:tc>
      </w:tr>
      <w:tr w14:paraId="4D719C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42" w:type="dxa"/>
            <w:tcMar>
              <w:top w:w="16" w:type="dxa"/>
              <w:left w:w="16" w:type="dxa"/>
              <w:right w:w="16" w:type="dxa"/>
            </w:tcMar>
            <w:vAlign w:val="center"/>
          </w:tcPr>
          <w:p w14:paraId="2177D4A6">
            <w:pPr>
              <w:adjustRightInd w:val="0"/>
              <w:snapToGrid w:val="0"/>
              <w:jc w:val="center"/>
              <w:rPr>
                <w:color w:val="auto"/>
                <w:szCs w:val="21"/>
                <w:highlight w:val="none"/>
              </w:rPr>
            </w:pPr>
            <w:r>
              <w:rPr>
                <w:rFonts w:hint="eastAsia"/>
                <w:color w:val="auto"/>
                <w:szCs w:val="21"/>
                <w:highlight w:val="none"/>
              </w:rPr>
              <w:t>建设单位联系人</w:t>
            </w:r>
          </w:p>
        </w:tc>
        <w:tc>
          <w:tcPr>
            <w:tcW w:w="2577" w:type="dxa"/>
            <w:vAlign w:val="center"/>
          </w:tcPr>
          <w:p w14:paraId="3C64EE78">
            <w:pPr>
              <w:widowControl/>
              <w:adjustRightInd w:val="0"/>
              <w:snapToGrid w:val="0"/>
              <w:jc w:val="center"/>
              <w:rPr>
                <w:rFonts w:hint="eastAsia" w:eastAsia="宋体"/>
                <w:color w:val="auto"/>
                <w:szCs w:val="21"/>
                <w:highlight w:val="none"/>
                <w:lang w:eastAsia="zh-CN"/>
              </w:rPr>
            </w:pPr>
            <w:r>
              <w:rPr>
                <w:rFonts w:hint="eastAsia"/>
                <w:color w:val="auto"/>
                <w:highlight w:val="none"/>
                <w:lang w:eastAsia="zh-CN"/>
              </w:rPr>
              <w:t>陈建国</w:t>
            </w:r>
          </w:p>
        </w:tc>
        <w:tc>
          <w:tcPr>
            <w:tcW w:w="2212" w:type="dxa"/>
            <w:vAlign w:val="center"/>
          </w:tcPr>
          <w:p w14:paraId="03DF62AE">
            <w:pPr>
              <w:widowControl/>
              <w:adjustRightInd w:val="0"/>
              <w:snapToGrid w:val="0"/>
              <w:jc w:val="center"/>
              <w:rPr>
                <w:color w:val="auto"/>
                <w:szCs w:val="21"/>
                <w:highlight w:val="none"/>
              </w:rPr>
            </w:pPr>
            <w:r>
              <w:rPr>
                <w:rFonts w:hint="eastAsia"/>
                <w:color w:val="auto"/>
                <w:szCs w:val="21"/>
                <w:highlight w:val="none"/>
              </w:rPr>
              <w:t>联系方式</w:t>
            </w:r>
          </w:p>
        </w:tc>
        <w:tc>
          <w:tcPr>
            <w:tcW w:w="2639" w:type="dxa"/>
            <w:vAlign w:val="center"/>
          </w:tcPr>
          <w:p w14:paraId="688074DD">
            <w:pPr>
              <w:widowControl/>
              <w:adjustRightInd w:val="0"/>
              <w:snapToGrid w:val="0"/>
              <w:jc w:val="center"/>
              <w:rPr>
                <w:rFonts w:hint="eastAsia" w:eastAsia="宋体"/>
                <w:color w:val="auto"/>
                <w:szCs w:val="21"/>
                <w:highlight w:val="none"/>
                <w:lang w:eastAsia="zh-CN"/>
              </w:rPr>
            </w:pPr>
            <w:r>
              <w:rPr>
                <w:rFonts w:hint="eastAsia"/>
                <w:color w:val="auto"/>
                <w:highlight w:val="none"/>
                <w:lang w:eastAsia="zh-CN"/>
              </w:rPr>
              <w:t>13906255132</w:t>
            </w:r>
          </w:p>
        </w:tc>
      </w:tr>
      <w:tr w14:paraId="379CB2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42" w:type="dxa"/>
            <w:tcMar>
              <w:top w:w="16" w:type="dxa"/>
              <w:left w:w="16" w:type="dxa"/>
              <w:right w:w="16" w:type="dxa"/>
            </w:tcMar>
            <w:vAlign w:val="center"/>
          </w:tcPr>
          <w:p w14:paraId="4AD0D8A0">
            <w:pPr>
              <w:adjustRightInd w:val="0"/>
              <w:snapToGrid w:val="0"/>
              <w:jc w:val="center"/>
              <w:rPr>
                <w:color w:val="auto"/>
                <w:szCs w:val="21"/>
                <w:highlight w:val="none"/>
              </w:rPr>
            </w:pPr>
            <w:r>
              <w:rPr>
                <w:rFonts w:hint="eastAsia"/>
                <w:color w:val="auto"/>
                <w:szCs w:val="21"/>
                <w:highlight w:val="none"/>
              </w:rPr>
              <w:t>建设</w:t>
            </w:r>
          </w:p>
          <w:p w14:paraId="4DAD656C">
            <w:pPr>
              <w:adjustRightInd w:val="0"/>
              <w:snapToGrid w:val="0"/>
              <w:jc w:val="center"/>
              <w:rPr>
                <w:color w:val="auto"/>
                <w:szCs w:val="21"/>
                <w:highlight w:val="none"/>
              </w:rPr>
            </w:pPr>
            <w:r>
              <w:rPr>
                <w:rFonts w:hint="eastAsia"/>
                <w:color w:val="auto"/>
                <w:szCs w:val="21"/>
                <w:highlight w:val="none"/>
              </w:rPr>
              <w:t>地点</w:t>
            </w:r>
          </w:p>
        </w:tc>
        <w:tc>
          <w:tcPr>
            <w:tcW w:w="7428" w:type="dxa"/>
            <w:gridSpan w:val="3"/>
            <w:vAlign w:val="center"/>
          </w:tcPr>
          <w:p w14:paraId="40720A91">
            <w:pPr>
              <w:adjustRightInd w:val="0"/>
              <w:snapToGrid w:val="0"/>
              <w:jc w:val="center"/>
              <w:rPr>
                <w:rFonts w:hint="eastAsia" w:eastAsia="宋体"/>
                <w:color w:val="auto"/>
                <w:szCs w:val="21"/>
                <w:highlight w:val="none"/>
                <w:lang w:eastAsia="zh-CN"/>
              </w:rPr>
            </w:pPr>
            <w:r>
              <w:rPr>
                <w:rFonts w:hint="eastAsia"/>
                <w:color w:val="auto"/>
                <w:szCs w:val="21"/>
                <w:highlight w:val="none"/>
                <w:lang w:eastAsia="zh-CN"/>
              </w:rPr>
              <w:t>江苏省苏州市吴江区桃源镇澄源村</w:t>
            </w:r>
          </w:p>
        </w:tc>
      </w:tr>
      <w:tr w14:paraId="75A11D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42" w:type="dxa"/>
            <w:tcMar>
              <w:top w:w="16" w:type="dxa"/>
              <w:left w:w="16" w:type="dxa"/>
              <w:right w:w="16" w:type="dxa"/>
            </w:tcMar>
            <w:vAlign w:val="center"/>
          </w:tcPr>
          <w:p w14:paraId="2DB759DF">
            <w:pPr>
              <w:adjustRightInd w:val="0"/>
              <w:snapToGrid w:val="0"/>
              <w:jc w:val="center"/>
              <w:rPr>
                <w:color w:val="auto"/>
                <w:szCs w:val="21"/>
                <w:highlight w:val="none"/>
              </w:rPr>
            </w:pPr>
            <w:r>
              <w:rPr>
                <w:rFonts w:hint="eastAsia"/>
                <w:color w:val="auto"/>
                <w:szCs w:val="21"/>
                <w:highlight w:val="none"/>
              </w:rPr>
              <w:t>地理</w:t>
            </w:r>
          </w:p>
          <w:p w14:paraId="0AB066EF">
            <w:pPr>
              <w:adjustRightInd w:val="0"/>
              <w:snapToGrid w:val="0"/>
              <w:jc w:val="center"/>
              <w:rPr>
                <w:color w:val="auto"/>
                <w:szCs w:val="21"/>
                <w:highlight w:val="none"/>
              </w:rPr>
            </w:pPr>
            <w:r>
              <w:rPr>
                <w:rFonts w:hint="eastAsia"/>
                <w:color w:val="auto"/>
                <w:szCs w:val="21"/>
                <w:highlight w:val="none"/>
              </w:rPr>
              <w:t>坐标</w:t>
            </w:r>
          </w:p>
        </w:tc>
        <w:tc>
          <w:tcPr>
            <w:tcW w:w="7428" w:type="dxa"/>
            <w:gridSpan w:val="3"/>
            <w:vAlign w:val="center"/>
          </w:tcPr>
          <w:p w14:paraId="55A6AB9E">
            <w:pPr>
              <w:jc w:val="center"/>
              <w:rPr>
                <w:color w:val="auto"/>
                <w:szCs w:val="21"/>
                <w:highlight w:val="none"/>
              </w:rPr>
            </w:pPr>
            <w:r>
              <w:rPr>
                <w:rFonts w:hint="eastAsia"/>
                <w:color w:val="auto"/>
                <w:szCs w:val="21"/>
                <w:highlight w:val="none"/>
              </w:rPr>
              <w:t>（</w:t>
            </w:r>
            <w:r>
              <w:rPr>
                <w:color w:val="auto"/>
                <w:szCs w:val="21"/>
                <w:highlight w:val="none"/>
                <w:u w:val="single"/>
              </w:rPr>
              <w:t>120</w:t>
            </w:r>
            <w:r>
              <w:rPr>
                <w:rFonts w:hint="eastAsia"/>
                <w:color w:val="auto"/>
                <w:szCs w:val="21"/>
                <w:highlight w:val="none"/>
              </w:rPr>
              <w:t>度</w:t>
            </w:r>
            <w:r>
              <w:rPr>
                <w:rFonts w:hint="eastAsia"/>
                <w:color w:val="auto"/>
                <w:szCs w:val="21"/>
                <w:highlight w:val="none"/>
                <w:u w:val="single"/>
                <w:lang w:val="en-US" w:eastAsia="zh-CN"/>
              </w:rPr>
              <w:t>33</w:t>
            </w:r>
            <w:r>
              <w:rPr>
                <w:rFonts w:hint="eastAsia"/>
                <w:color w:val="auto"/>
                <w:szCs w:val="21"/>
                <w:highlight w:val="none"/>
              </w:rPr>
              <w:t>分</w:t>
            </w:r>
            <w:r>
              <w:rPr>
                <w:rFonts w:hint="eastAsia"/>
                <w:color w:val="auto"/>
                <w:szCs w:val="21"/>
                <w:highlight w:val="none"/>
                <w:u w:val="single"/>
                <w:lang w:val="en-US" w:eastAsia="zh-CN"/>
              </w:rPr>
              <w:t>36.667</w:t>
            </w:r>
            <w:r>
              <w:rPr>
                <w:rFonts w:hint="eastAsia"/>
                <w:color w:val="auto"/>
                <w:szCs w:val="21"/>
                <w:highlight w:val="none"/>
              </w:rPr>
              <w:t>秒，</w:t>
            </w:r>
            <w:r>
              <w:rPr>
                <w:color w:val="auto"/>
                <w:szCs w:val="21"/>
                <w:highlight w:val="none"/>
                <w:u w:val="single"/>
              </w:rPr>
              <w:t>30</w:t>
            </w:r>
            <w:r>
              <w:rPr>
                <w:rFonts w:hint="eastAsia"/>
                <w:color w:val="auto"/>
                <w:szCs w:val="21"/>
                <w:highlight w:val="none"/>
              </w:rPr>
              <w:t>度</w:t>
            </w:r>
            <w:r>
              <w:rPr>
                <w:color w:val="auto"/>
                <w:szCs w:val="21"/>
                <w:highlight w:val="none"/>
                <w:u w:val="single"/>
              </w:rPr>
              <w:t>5</w:t>
            </w:r>
            <w:r>
              <w:rPr>
                <w:rFonts w:hint="eastAsia"/>
                <w:color w:val="auto"/>
                <w:szCs w:val="21"/>
                <w:highlight w:val="none"/>
                <w:u w:val="single"/>
                <w:lang w:val="en-US" w:eastAsia="zh-CN"/>
              </w:rPr>
              <w:t>0</w:t>
            </w:r>
            <w:r>
              <w:rPr>
                <w:rFonts w:hint="eastAsia"/>
                <w:color w:val="auto"/>
                <w:szCs w:val="21"/>
                <w:highlight w:val="none"/>
              </w:rPr>
              <w:t>分</w:t>
            </w:r>
            <w:r>
              <w:rPr>
                <w:rFonts w:hint="eastAsia"/>
                <w:color w:val="auto"/>
                <w:szCs w:val="21"/>
                <w:highlight w:val="none"/>
                <w:u w:val="single"/>
                <w:lang w:val="en-US" w:eastAsia="zh-CN"/>
              </w:rPr>
              <w:t>22.902</w:t>
            </w:r>
            <w:r>
              <w:rPr>
                <w:rFonts w:hint="eastAsia"/>
                <w:color w:val="auto"/>
                <w:szCs w:val="21"/>
                <w:highlight w:val="none"/>
              </w:rPr>
              <w:t>秒）</w:t>
            </w:r>
          </w:p>
        </w:tc>
      </w:tr>
      <w:tr w14:paraId="6F641B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442" w:type="dxa"/>
            <w:tcMar>
              <w:top w:w="16" w:type="dxa"/>
              <w:left w:w="16" w:type="dxa"/>
              <w:right w:w="16" w:type="dxa"/>
            </w:tcMar>
            <w:vAlign w:val="center"/>
          </w:tcPr>
          <w:p w14:paraId="0AE58CDA">
            <w:pPr>
              <w:adjustRightInd w:val="0"/>
              <w:snapToGrid w:val="0"/>
              <w:jc w:val="center"/>
              <w:rPr>
                <w:color w:val="auto"/>
                <w:szCs w:val="21"/>
                <w:highlight w:val="none"/>
              </w:rPr>
            </w:pPr>
            <w:r>
              <w:rPr>
                <w:rFonts w:hint="eastAsia"/>
                <w:color w:val="auto"/>
                <w:szCs w:val="21"/>
                <w:highlight w:val="none"/>
              </w:rPr>
              <w:t>国民经济行业类别</w:t>
            </w:r>
          </w:p>
        </w:tc>
        <w:tc>
          <w:tcPr>
            <w:tcW w:w="2577" w:type="dxa"/>
            <w:vAlign w:val="center"/>
          </w:tcPr>
          <w:p w14:paraId="0F19C1FD">
            <w:pPr>
              <w:adjustRightInd w:val="0"/>
              <w:snapToGrid w:val="0"/>
              <w:jc w:val="center"/>
              <w:rPr>
                <w:color w:val="auto"/>
                <w:highlight w:val="none"/>
              </w:rPr>
            </w:pPr>
            <w:r>
              <w:rPr>
                <w:color w:val="auto"/>
                <w:highlight w:val="none"/>
              </w:rPr>
              <w:t>C1751</w:t>
            </w:r>
            <w:r>
              <w:rPr>
                <w:rFonts w:hint="eastAsia"/>
                <w:color w:val="auto"/>
                <w:highlight w:val="none"/>
              </w:rPr>
              <w:t>化纤织造加工</w:t>
            </w:r>
          </w:p>
        </w:tc>
        <w:tc>
          <w:tcPr>
            <w:tcW w:w="2212" w:type="dxa"/>
            <w:vAlign w:val="center"/>
          </w:tcPr>
          <w:p w14:paraId="4F607CF9">
            <w:pPr>
              <w:adjustRightInd w:val="0"/>
              <w:snapToGrid w:val="0"/>
              <w:jc w:val="center"/>
              <w:rPr>
                <w:color w:val="auto"/>
                <w:szCs w:val="21"/>
                <w:highlight w:val="none"/>
              </w:rPr>
            </w:pPr>
            <w:bookmarkStart w:id="6" w:name="_Hlk49843745"/>
            <w:r>
              <w:rPr>
                <w:rFonts w:hint="eastAsia"/>
                <w:color w:val="auto"/>
                <w:szCs w:val="21"/>
                <w:highlight w:val="none"/>
              </w:rPr>
              <w:t>建设项目行业类别</w:t>
            </w:r>
            <w:bookmarkEnd w:id="6"/>
          </w:p>
        </w:tc>
        <w:tc>
          <w:tcPr>
            <w:tcW w:w="2639" w:type="dxa"/>
            <w:vAlign w:val="center"/>
          </w:tcPr>
          <w:p w14:paraId="6C9ADE39">
            <w:pPr>
              <w:widowControl/>
              <w:adjustRightInd w:val="0"/>
              <w:snapToGrid w:val="0"/>
              <w:jc w:val="left"/>
              <w:rPr>
                <w:color w:val="auto"/>
                <w:szCs w:val="21"/>
                <w:highlight w:val="none"/>
              </w:rPr>
            </w:pPr>
            <w:r>
              <w:rPr>
                <w:rFonts w:hint="eastAsia"/>
                <w:color w:val="auto"/>
                <w:szCs w:val="21"/>
                <w:highlight w:val="none"/>
              </w:rPr>
              <w:t>十四、纺织业</w:t>
            </w:r>
            <w:r>
              <w:rPr>
                <w:color w:val="auto"/>
                <w:szCs w:val="21"/>
                <w:highlight w:val="none"/>
              </w:rPr>
              <w:t xml:space="preserve">17 </w:t>
            </w:r>
            <w:r>
              <w:rPr>
                <w:rFonts w:hint="eastAsia"/>
                <w:color w:val="auto"/>
                <w:szCs w:val="21"/>
                <w:highlight w:val="none"/>
              </w:rPr>
              <w:t>化纤织造及印染精加工</w:t>
            </w:r>
            <w:r>
              <w:rPr>
                <w:color w:val="auto"/>
                <w:szCs w:val="21"/>
                <w:highlight w:val="none"/>
              </w:rPr>
              <w:t xml:space="preserve">175 </w:t>
            </w:r>
            <w:r>
              <w:rPr>
                <w:rFonts w:hint="eastAsia"/>
                <w:color w:val="auto"/>
                <w:szCs w:val="21"/>
                <w:highlight w:val="none"/>
              </w:rPr>
              <w:t>有喷水织造工艺的</w:t>
            </w:r>
          </w:p>
        </w:tc>
      </w:tr>
      <w:tr w14:paraId="1E987B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42" w:type="dxa"/>
            <w:tcMar>
              <w:top w:w="16" w:type="dxa"/>
              <w:left w:w="16" w:type="dxa"/>
              <w:right w:w="16" w:type="dxa"/>
            </w:tcMar>
            <w:vAlign w:val="center"/>
          </w:tcPr>
          <w:p w14:paraId="4240DD5F">
            <w:pPr>
              <w:adjustRightInd w:val="0"/>
              <w:snapToGrid w:val="0"/>
              <w:jc w:val="center"/>
              <w:rPr>
                <w:color w:val="auto"/>
                <w:szCs w:val="21"/>
                <w:highlight w:val="none"/>
              </w:rPr>
            </w:pPr>
            <w:r>
              <w:rPr>
                <w:rFonts w:hint="eastAsia"/>
                <w:color w:val="auto"/>
                <w:szCs w:val="21"/>
                <w:highlight w:val="none"/>
              </w:rPr>
              <w:t>建设</w:t>
            </w:r>
          </w:p>
          <w:p w14:paraId="66C7D6A5">
            <w:pPr>
              <w:adjustRightInd w:val="0"/>
              <w:snapToGrid w:val="0"/>
              <w:jc w:val="center"/>
              <w:rPr>
                <w:color w:val="auto"/>
                <w:szCs w:val="21"/>
                <w:highlight w:val="none"/>
              </w:rPr>
            </w:pPr>
            <w:r>
              <w:rPr>
                <w:rFonts w:hint="eastAsia"/>
                <w:color w:val="auto"/>
                <w:szCs w:val="21"/>
                <w:highlight w:val="none"/>
              </w:rPr>
              <w:t>性质</w:t>
            </w:r>
          </w:p>
        </w:tc>
        <w:tc>
          <w:tcPr>
            <w:tcW w:w="2577" w:type="dxa"/>
            <w:vAlign w:val="center"/>
          </w:tcPr>
          <w:p w14:paraId="414735F3">
            <w:pPr>
              <w:jc w:val="left"/>
              <w:rPr>
                <w:color w:val="auto"/>
                <w:szCs w:val="21"/>
                <w:highlight w:val="none"/>
              </w:rPr>
            </w:pPr>
            <w:r>
              <w:rPr>
                <w:color w:val="auto"/>
                <w:szCs w:val="20"/>
                <w:highlight w:val="none"/>
              </w:rPr>
              <w:sym w:font="Wingdings 2" w:char="F0A3"/>
            </w:r>
            <w:r>
              <w:rPr>
                <w:rFonts w:hint="eastAsia"/>
                <w:color w:val="auto"/>
                <w:szCs w:val="21"/>
                <w:highlight w:val="none"/>
              </w:rPr>
              <w:t>新建（迁建）</w:t>
            </w:r>
          </w:p>
          <w:p w14:paraId="02C3E3A2">
            <w:pPr>
              <w:jc w:val="left"/>
              <w:rPr>
                <w:color w:val="auto"/>
                <w:szCs w:val="21"/>
                <w:highlight w:val="none"/>
              </w:rPr>
            </w:pPr>
            <w:r>
              <w:rPr>
                <w:color w:val="auto"/>
                <w:szCs w:val="20"/>
                <w:highlight w:val="none"/>
              </w:rPr>
              <w:sym w:font="Wingdings 2" w:char="0052"/>
            </w:r>
            <w:r>
              <w:rPr>
                <w:rFonts w:hint="eastAsia"/>
                <w:color w:val="auto"/>
                <w:szCs w:val="21"/>
                <w:highlight w:val="none"/>
              </w:rPr>
              <w:t>改建</w:t>
            </w:r>
          </w:p>
          <w:p w14:paraId="2A380DCC">
            <w:pPr>
              <w:jc w:val="left"/>
              <w:rPr>
                <w:color w:val="auto"/>
                <w:szCs w:val="21"/>
                <w:highlight w:val="none"/>
              </w:rPr>
            </w:pPr>
            <w:r>
              <w:rPr>
                <w:color w:val="auto"/>
                <w:szCs w:val="20"/>
                <w:highlight w:val="none"/>
              </w:rPr>
              <w:sym w:font="Wingdings 2" w:char="F0A3"/>
            </w:r>
            <w:r>
              <w:rPr>
                <w:rFonts w:hint="eastAsia"/>
                <w:color w:val="auto"/>
                <w:szCs w:val="21"/>
                <w:highlight w:val="none"/>
              </w:rPr>
              <w:t>扩建</w:t>
            </w:r>
          </w:p>
          <w:p w14:paraId="54965BC2">
            <w:pPr>
              <w:jc w:val="left"/>
              <w:rPr>
                <w:color w:val="auto"/>
                <w:szCs w:val="21"/>
                <w:highlight w:val="none"/>
              </w:rPr>
            </w:pPr>
            <w:r>
              <w:rPr>
                <w:color w:val="auto"/>
                <w:szCs w:val="20"/>
                <w:highlight w:val="none"/>
              </w:rPr>
              <w:sym w:font="Wingdings 2" w:char="00A3"/>
            </w:r>
            <w:r>
              <w:rPr>
                <w:rFonts w:hint="eastAsia"/>
                <w:color w:val="auto"/>
                <w:szCs w:val="21"/>
                <w:highlight w:val="none"/>
              </w:rPr>
              <w:t>技术改造</w:t>
            </w:r>
          </w:p>
        </w:tc>
        <w:tc>
          <w:tcPr>
            <w:tcW w:w="2212" w:type="dxa"/>
            <w:vAlign w:val="center"/>
          </w:tcPr>
          <w:p w14:paraId="792D7BB2">
            <w:pPr>
              <w:adjustRightInd w:val="0"/>
              <w:snapToGrid w:val="0"/>
              <w:jc w:val="center"/>
              <w:rPr>
                <w:color w:val="auto"/>
                <w:szCs w:val="21"/>
                <w:highlight w:val="none"/>
              </w:rPr>
            </w:pPr>
            <w:r>
              <w:rPr>
                <w:rFonts w:hint="eastAsia"/>
                <w:color w:val="auto"/>
                <w:szCs w:val="21"/>
                <w:highlight w:val="none"/>
              </w:rPr>
              <w:t>建设项目</w:t>
            </w:r>
          </w:p>
          <w:p w14:paraId="1F28C7DA">
            <w:pPr>
              <w:adjustRightInd w:val="0"/>
              <w:snapToGrid w:val="0"/>
              <w:jc w:val="center"/>
              <w:rPr>
                <w:color w:val="auto"/>
                <w:szCs w:val="21"/>
                <w:highlight w:val="none"/>
              </w:rPr>
            </w:pPr>
            <w:r>
              <w:rPr>
                <w:rFonts w:hint="eastAsia"/>
                <w:color w:val="auto"/>
                <w:szCs w:val="21"/>
                <w:highlight w:val="none"/>
              </w:rPr>
              <w:t>申报情形</w:t>
            </w:r>
          </w:p>
        </w:tc>
        <w:tc>
          <w:tcPr>
            <w:tcW w:w="2639" w:type="dxa"/>
            <w:vAlign w:val="center"/>
          </w:tcPr>
          <w:p w14:paraId="6180410E">
            <w:pPr>
              <w:jc w:val="left"/>
              <w:rPr>
                <w:color w:val="auto"/>
                <w:szCs w:val="21"/>
                <w:highlight w:val="none"/>
              </w:rPr>
            </w:pPr>
            <w:r>
              <w:rPr>
                <w:color w:val="auto"/>
                <w:szCs w:val="20"/>
                <w:highlight w:val="none"/>
              </w:rPr>
              <w:sym w:font="Wingdings 2" w:char="F052"/>
            </w:r>
            <w:r>
              <w:rPr>
                <w:rFonts w:hint="eastAsia"/>
                <w:color w:val="auto"/>
                <w:szCs w:val="21"/>
                <w:highlight w:val="none"/>
              </w:rPr>
              <w:t>首次申报项目</w:t>
            </w:r>
            <w:r>
              <w:rPr>
                <w:color w:val="auto"/>
                <w:szCs w:val="21"/>
                <w:highlight w:val="none"/>
              </w:rPr>
              <w:t xml:space="preserve">             </w:t>
            </w:r>
          </w:p>
          <w:p w14:paraId="2E07CDE7">
            <w:pPr>
              <w:jc w:val="left"/>
              <w:rPr>
                <w:color w:val="auto"/>
                <w:szCs w:val="21"/>
                <w:highlight w:val="none"/>
              </w:rPr>
            </w:pPr>
            <w:r>
              <w:rPr>
                <w:color w:val="auto"/>
                <w:szCs w:val="20"/>
                <w:highlight w:val="none"/>
              </w:rPr>
              <w:sym w:font="Wingdings 2" w:char="F0A3"/>
            </w:r>
            <w:r>
              <w:rPr>
                <w:rFonts w:hint="eastAsia"/>
                <w:color w:val="auto"/>
                <w:szCs w:val="21"/>
                <w:highlight w:val="none"/>
              </w:rPr>
              <w:t>不予批准后再次申报项目</w:t>
            </w:r>
          </w:p>
          <w:p w14:paraId="2FEC5BEC">
            <w:pPr>
              <w:jc w:val="left"/>
              <w:rPr>
                <w:color w:val="auto"/>
                <w:szCs w:val="21"/>
                <w:highlight w:val="none"/>
              </w:rPr>
            </w:pPr>
            <w:r>
              <w:rPr>
                <w:color w:val="auto"/>
                <w:szCs w:val="20"/>
                <w:highlight w:val="none"/>
              </w:rPr>
              <w:sym w:font="Wingdings 2" w:char="F0A3"/>
            </w:r>
            <w:r>
              <w:rPr>
                <w:rFonts w:hint="eastAsia"/>
                <w:color w:val="auto"/>
                <w:szCs w:val="21"/>
                <w:highlight w:val="none"/>
              </w:rPr>
              <w:t>超五年重新审核项目</w:t>
            </w:r>
            <w:r>
              <w:rPr>
                <w:color w:val="auto"/>
                <w:szCs w:val="21"/>
                <w:highlight w:val="none"/>
              </w:rPr>
              <w:t xml:space="preserve">     </w:t>
            </w:r>
          </w:p>
          <w:p w14:paraId="6092DACE">
            <w:pPr>
              <w:jc w:val="left"/>
              <w:rPr>
                <w:color w:val="auto"/>
                <w:szCs w:val="21"/>
                <w:highlight w:val="none"/>
              </w:rPr>
            </w:pPr>
            <w:r>
              <w:rPr>
                <w:color w:val="auto"/>
                <w:szCs w:val="20"/>
                <w:highlight w:val="none"/>
              </w:rPr>
              <w:sym w:font="Wingdings 2" w:char="F0A3"/>
            </w:r>
            <w:r>
              <w:rPr>
                <w:rFonts w:hint="eastAsia"/>
                <w:color w:val="auto"/>
                <w:szCs w:val="21"/>
                <w:highlight w:val="none"/>
              </w:rPr>
              <w:t>重大变动重新报批项目</w:t>
            </w:r>
          </w:p>
        </w:tc>
      </w:tr>
      <w:tr w14:paraId="2A1D92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42" w:type="dxa"/>
            <w:tcMar>
              <w:top w:w="16" w:type="dxa"/>
              <w:left w:w="16" w:type="dxa"/>
              <w:right w:w="16" w:type="dxa"/>
            </w:tcMar>
            <w:vAlign w:val="center"/>
          </w:tcPr>
          <w:p w14:paraId="4BC3C7E9">
            <w:pPr>
              <w:adjustRightInd w:val="0"/>
              <w:snapToGrid w:val="0"/>
              <w:jc w:val="center"/>
              <w:rPr>
                <w:color w:val="auto"/>
                <w:szCs w:val="21"/>
                <w:highlight w:val="none"/>
              </w:rPr>
            </w:pPr>
            <w:r>
              <w:rPr>
                <w:rFonts w:hint="eastAsia"/>
                <w:color w:val="auto"/>
                <w:szCs w:val="21"/>
                <w:highlight w:val="none"/>
              </w:rPr>
              <w:t>项目审批（核准</w:t>
            </w:r>
            <w:r>
              <w:rPr>
                <w:color w:val="auto"/>
                <w:szCs w:val="21"/>
                <w:highlight w:val="none"/>
              </w:rPr>
              <w:t>/</w:t>
            </w:r>
          </w:p>
          <w:p w14:paraId="41554BB1">
            <w:pPr>
              <w:adjustRightInd w:val="0"/>
              <w:snapToGrid w:val="0"/>
              <w:jc w:val="center"/>
              <w:rPr>
                <w:color w:val="auto"/>
                <w:szCs w:val="21"/>
                <w:highlight w:val="none"/>
              </w:rPr>
            </w:pPr>
            <w:r>
              <w:rPr>
                <w:rFonts w:hint="eastAsia"/>
                <w:color w:val="auto"/>
                <w:szCs w:val="21"/>
                <w:highlight w:val="none"/>
              </w:rPr>
              <w:t>备案）部门（选填）</w:t>
            </w:r>
          </w:p>
        </w:tc>
        <w:tc>
          <w:tcPr>
            <w:tcW w:w="2577" w:type="dxa"/>
            <w:vAlign w:val="center"/>
          </w:tcPr>
          <w:p w14:paraId="5509E19E">
            <w:pPr>
              <w:adjustRightInd w:val="0"/>
              <w:snapToGrid w:val="0"/>
              <w:jc w:val="center"/>
              <w:rPr>
                <w:rFonts w:hint="eastAsia" w:eastAsia="宋体"/>
                <w:color w:val="auto"/>
                <w:szCs w:val="21"/>
                <w:highlight w:val="none"/>
                <w:lang w:eastAsia="zh-CN"/>
              </w:rPr>
            </w:pPr>
            <w:r>
              <w:rPr>
                <w:rFonts w:hint="eastAsia"/>
                <w:color w:val="auto"/>
                <w:szCs w:val="21"/>
                <w:highlight w:val="none"/>
                <w:lang w:eastAsia="zh-CN"/>
              </w:rPr>
              <w:t>苏州市吴江区数据局</w:t>
            </w:r>
          </w:p>
        </w:tc>
        <w:tc>
          <w:tcPr>
            <w:tcW w:w="2212" w:type="dxa"/>
            <w:vAlign w:val="center"/>
          </w:tcPr>
          <w:p w14:paraId="7A419C22">
            <w:pPr>
              <w:adjustRightInd w:val="0"/>
              <w:snapToGrid w:val="0"/>
              <w:jc w:val="center"/>
              <w:rPr>
                <w:color w:val="auto"/>
                <w:szCs w:val="21"/>
                <w:highlight w:val="none"/>
              </w:rPr>
            </w:pPr>
            <w:r>
              <w:rPr>
                <w:rFonts w:hint="eastAsia"/>
                <w:color w:val="auto"/>
                <w:szCs w:val="21"/>
                <w:highlight w:val="none"/>
              </w:rPr>
              <w:t>项目审批（核准</w:t>
            </w:r>
            <w:r>
              <w:rPr>
                <w:color w:val="auto"/>
                <w:szCs w:val="21"/>
                <w:highlight w:val="none"/>
              </w:rPr>
              <w:t>/</w:t>
            </w:r>
          </w:p>
          <w:p w14:paraId="63ECA9C8">
            <w:pPr>
              <w:adjustRightInd w:val="0"/>
              <w:snapToGrid w:val="0"/>
              <w:jc w:val="center"/>
              <w:rPr>
                <w:color w:val="auto"/>
                <w:szCs w:val="21"/>
                <w:highlight w:val="none"/>
              </w:rPr>
            </w:pPr>
            <w:r>
              <w:rPr>
                <w:rFonts w:hint="eastAsia"/>
                <w:color w:val="auto"/>
                <w:szCs w:val="21"/>
                <w:highlight w:val="none"/>
              </w:rPr>
              <w:t>备案）文号（选填）</w:t>
            </w:r>
          </w:p>
        </w:tc>
        <w:tc>
          <w:tcPr>
            <w:tcW w:w="2639" w:type="dxa"/>
            <w:vAlign w:val="center"/>
          </w:tcPr>
          <w:p w14:paraId="1D14EF8E">
            <w:pPr>
              <w:adjustRightInd w:val="0"/>
              <w:snapToGrid w:val="0"/>
              <w:jc w:val="center"/>
              <w:rPr>
                <w:rFonts w:hint="eastAsia" w:eastAsia="宋体"/>
                <w:color w:val="auto"/>
                <w:szCs w:val="21"/>
                <w:highlight w:val="none"/>
                <w:lang w:eastAsia="zh-CN"/>
              </w:rPr>
            </w:pPr>
            <w:r>
              <w:rPr>
                <w:rFonts w:hint="eastAsia"/>
                <w:color w:val="auto"/>
                <w:szCs w:val="21"/>
                <w:highlight w:val="none"/>
                <w:lang w:eastAsia="zh-CN"/>
              </w:rPr>
              <w:t>吴数据备〔2025〕440号</w:t>
            </w:r>
          </w:p>
        </w:tc>
      </w:tr>
      <w:tr w14:paraId="412FFD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42" w:type="dxa"/>
            <w:tcMar>
              <w:top w:w="16" w:type="dxa"/>
              <w:left w:w="16" w:type="dxa"/>
              <w:right w:w="16" w:type="dxa"/>
            </w:tcMar>
            <w:vAlign w:val="center"/>
          </w:tcPr>
          <w:p w14:paraId="38F7D56D">
            <w:pPr>
              <w:adjustRightInd w:val="0"/>
              <w:snapToGrid w:val="0"/>
              <w:jc w:val="center"/>
              <w:rPr>
                <w:color w:val="auto"/>
                <w:szCs w:val="21"/>
                <w:highlight w:val="none"/>
              </w:rPr>
            </w:pPr>
            <w:r>
              <w:rPr>
                <w:rFonts w:hint="eastAsia"/>
                <w:color w:val="auto"/>
                <w:szCs w:val="21"/>
                <w:highlight w:val="none"/>
              </w:rPr>
              <w:t>总投资（万元）</w:t>
            </w:r>
          </w:p>
        </w:tc>
        <w:tc>
          <w:tcPr>
            <w:tcW w:w="2577" w:type="dxa"/>
            <w:vAlign w:val="center"/>
          </w:tcPr>
          <w:p w14:paraId="3589518B">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11000</w:t>
            </w:r>
          </w:p>
        </w:tc>
        <w:tc>
          <w:tcPr>
            <w:tcW w:w="2212" w:type="dxa"/>
            <w:tcMar>
              <w:top w:w="16" w:type="dxa"/>
              <w:left w:w="16" w:type="dxa"/>
              <w:right w:w="16" w:type="dxa"/>
            </w:tcMar>
            <w:vAlign w:val="center"/>
          </w:tcPr>
          <w:p w14:paraId="52B44B57">
            <w:pPr>
              <w:adjustRightInd w:val="0"/>
              <w:snapToGrid w:val="0"/>
              <w:jc w:val="center"/>
              <w:rPr>
                <w:color w:val="auto"/>
                <w:szCs w:val="21"/>
                <w:highlight w:val="none"/>
              </w:rPr>
            </w:pPr>
            <w:r>
              <w:rPr>
                <w:rFonts w:hint="eastAsia"/>
                <w:color w:val="auto"/>
                <w:szCs w:val="21"/>
                <w:highlight w:val="none"/>
              </w:rPr>
              <w:t>环保投资（万元）</w:t>
            </w:r>
          </w:p>
        </w:tc>
        <w:tc>
          <w:tcPr>
            <w:tcW w:w="2639" w:type="dxa"/>
            <w:vAlign w:val="center"/>
          </w:tcPr>
          <w:p w14:paraId="4C202E41">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300</w:t>
            </w:r>
          </w:p>
        </w:tc>
      </w:tr>
      <w:tr w14:paraId="312AC2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42" w:type="dxa"/>
            <w:tcMar>
              <w:top w:w="16" w:type="dxa"/>
              <w:left w:w="16" w:type="dxa"/>
              <w:right w:w="16" w:type="dxa"/>
            </w:tcMar>
            <w:vAlign w:val="center"/>
          </w:tcPr>
          <w:p w14:paraId="276C3E6A">
            <w:pPr>
              <w:adjustRightInd w:val="0"/>
              <w:snapToGrid w:val="0"/>
              <w:jc w:val="center"/>
              <w:rPr>
                <w:color w:val="auto"/>
                <w:szCs w:val="21"/>
                <w:highlight w:val="none"/>
              </w:rPr>
            </w:pPr>
            <w:r>
              <w:rPr>
                <w:rFonts w:hint="eastAsia"/>
                <w:color w:val="auto"/>
                <w:szCs w:val="21"/>
                <w:highlight w:val="none"/>
              </w:rPr>
              <w:t>环保投资占比（</w:t>
            </w:r>
            <w:r>
              <w:rPr>
                <w:color w:val="auto"/>
                <w:szCs w:val="21"/>
                <w:highlight w:val="none"/>
              </w:rPr>
              <w:t>%</w:t>
            </w:r>
            <w:r>
              <w:rPr>
                <w:rFonts w:hint="eastAsia"/>
                <w:color w:val="auto"/>
                <w:szCs w:val="21"/>
                <w:highlight w:val="none"/>
              </w:rPr>
              <w:t>）</w:t>
            </w:r>
          </w:p>
        </w:tc>
        <w:tc>
          <w:tcPr>
            <w:tcW w:w="2577" w:type="dxa"/>
            <w:vAlign w:val="center"/>
          </w:tcPr>
          <w:p w14:paraId="01ADEEB6">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2.7</w:t>
            </w:r>
          </w:p>
        </w:tc>
        <w:tc>
          <w:tcPr>
            <w:tcW w:w="2212" w:type="dxa"/>
            <w:tcMar>
              <w:top w:w="16" w:type="dxa"/>
              <w:left w:w="16" w:type="dxa"/>
              <w:right w:w="16" w:type="dxa"/>
            </w:tcMar>
            <w:vAlign w:val="center"/>
          </w:tcPr>
          <w:p w14:paraId="106C312A">
            <w:pPr>
              <w:adjustRightInd w:val="0"/>
              <w:snapToGrid w:val="0"/>
              <w:jc w:val="center"/>
              <w:rPr>
                <w:color w:val="auto"/>
                <w:szCs w:val="21"/>
                <w:highlight w:val="none"/>
              </w:rPr>
            </w:pPr>
            <w:r>
              <w:rPr>
                <w:rFonts w:hint="eastAsia"/>
                <w:color w:val="auto"/>
                <w:szCs w:val="21"/>
                <w:highlight w:val="none"/>
              </w:rPr>
              <w:t>施工工期</w:t>
            </w:r>
          </w:p>
        </w:tc>
        <w:tc>
          <w:tcPr>
            <w:tcW w:w="2639" w:type="dxa"/>
            <w:vAlign w:val="center"/>
          </w:tcPr>
          <w:p w14:paraId="14B03BDA">
            <w:pPr>
              <w:adjustRightInd w:val="0"/>
              <w:snapToGrid w:val="0"/>
              <w:jc w:val="center"/>
              <w:rPr>
                <w:color w:val="auto"/>
                <w:szCs w:val="21"/>
                <w:highlight w:val="none"/>
              </w:rPr>
            </w:pPr>
            <w:r>
              <w:rPr>
                <w:rFonts w:hint="eastAsia"/>
                <w:color w:val="auto"/>
                <w:szCs w:val="21"/>
                <w:highlight w:val="none"/>
                <w:lang w:val="en-US" w:eastAsia="zh-CN"/>
              </w:rPr>
              <w:t>12</w:t>
            </w:r>
            <w:r>
              <w:rPr>
                <w:rFonts w:hint="eastAsia"/>
                <w:color w:val="auto"/>
                <w:szCs w:val="21"/>
                <w:highlight w:val="none"/>
              </w:rPr>
              <w:t>个月</w:t>
            </w:r>
          </w:p>
        </w:tc>
      </w:tr>
      <w:tr w14:paraId="749DD1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42" w:type="dxa"/>
            <w:tcMar>
              <w:top w:w="16" w:type="dxa"/>
              <w:left w:w="16" w:type="dxa"/>
              <w:right w:w="16" w:type="dxa"/>
            </w:tcMar>
            <w:vAlign w:val="center"/>
          </w:tcPr>
          <w:p w14:paraId="4506BFA1">
            <w:pPr>
              <w:adjustRightInd w:val="0"/>
              <w:snapToGrid w:val="0"/>
              <w:jc w:val="center"/>
              <w:rPr>
                <w:color w:val="auto"/>
                <w:szCs w:val="21"/>
                <w:highlight w:val="none"/>
              </w:rPr>
            </w:pPr>
            <w:r>
              <w:rPr>
                <w:rFonts w:hint="eastAsia"/>
                <w:color w:val="auto"/>
                <w:szCs w:val="21"/>
                <w:highlight w:val="none"/>
              </w:rPr>
              <w:t>是否开工建设</w:t>
            </w:r>
          </w:p>
        </w:tc>
        <w:tc>
          <w:tcPr>
            <w:tcW w:w="2577" w:type="dxa"/>
            <w:vAlign w:val="center"/>
          </w:tcPr>
          <w:p w14:paraId="3A9EC19F">
            <w:pPr>
              <w:adjustRightInd w:val="0"/>
              <w:snapToGrid w:val="0"/>
              <w:rPr>
                <w:color w:val="auto"/>
                <w:szCs w:val="21"/>
                <w:highlight w:val="none"/>
              </w:rPr>
            </w:pPr>
            <w:r>
              <w:rPr>
                <w:color w:val="auto"/>
                <w:szCs w:val="20"/>
                <w:highlight w:val="none"/>
              </w:rPr>
              <w:sym w:font="Wingdings 2" w:char="0052"/>
            </w:r>
            <w:r>
              <w:rPr>
                <w:rFonts w:hint="eastAsia"/>
                <w:color w:val="auto"/>
                <w:szCs w:val="21"/>
                <w:highlight w:val="none"/>
              </w:rPr>
              <w:t>否</w:t>
            </w:r>
          </w:p>
          <w:p w14:paraId="433899B1">
            <w:pPr>
              <w:adjustRightInd w:val="0"/>
              <w:snapToGrid w:val="0"/>
              <w:rPr>
                <w:color w:val="auto"/>
                <w:szCs w:val="21"/>
                <w:highlight w:val="none"/>
              </w:rPr>
            </w:pPr>
            <w:r>
              <w:rPr>
                <w:color w:val="auto"/>
                <w:szCs w:val="20"/>
                <w:highlight w:val="none"/>
              </w:rPr>
              <w:sym w:font="Wingdings 2" w:char="00A3"/>
            </w:r>
            <w:r>
              <w:rPr>
                <w:rFonts w:hint="eastAsia"/>
                <w:color w:val="auto"/>
                <w:szCs w:val="21"/>
                <w:highlight w:val="none"/>
              </w:rPr>
              <w:t>是：</w:t>
            </w:r>
            <w:r>
              <w:rPr>
                <w:color w:val="auto"/>
                <w:szCs w:val="21"/>
                <w:highlight w:val="none"/>
                <w:u w:val="single"/>
              </w:rPr>
              <w:t xml:space="preserve">     </w:t>
            </w:r>
          </w:p>
        </w:tc>
        <w:tc>
          <w:tcPr>
            <w:tcW w:w="2212" w:type="dxa"/>
            <w:tcMar>
              <w:top w:w="16" w:type="dxa"/>
              <w:left w:w="16" w:type="dxa"/>
              <w:right w:w="16" w:type="dxa"/>
            </w:tcMar>
            <w:vAlign w:val="center"/>
          </w:tcPr>
          <w:p w14:paraId="7EBAA0D6">
            <w:pPr>
              <w:adjustRightInd w:val="0"/>
              <w:snapToGrid w:val="0"/>
              <w:jc w:val="center"/>
              <w:rPr>
                <w:color w:val="auto"/>
                <w:szCs w:val="21"/>
                <w:highlight w:val="none"/>
              </w:rPr>
            </w:pPr>
            <w:r>
              <w:rPr>
                <w:rFonts w:hint="eastAsia"/>
                <w:color w:val="auto"/>
                <w:spacing w:val="-6"/>
                <w:szCs w:val="21"/>
                <w:highlight w:val="none"/>
              </w:rPr>
              <w:t>用地面积（</w:t>
            </w:r>
            <w:r>
              <w:rPr>
                <w:color w:val="auto"/>
                <w:spacing w:val="-6"/>
                <w:szCs w:val="21"/>
                <w:highlight w:val="none"/>
              </w:rPr>
              <w:t>m</w:t>
            </w:r>
            <w:r>
              <w:rPr>
                <w:color w:val="auto"/>
                <w:spacing w:val="-6"/>
                <w:szCs w:val="21"/>
                <w:highlight w:val="none"/>
                <w:vertAlign w:val="superscript"/>
              </w:rPr>
              <w:t>2</w:t>
            </w:r>
            <w:r>
              <w:rPr>
                <w:rFonts w:hint="eastAsia"/>
                <w:color w:val="auto"/>
                <w:spacing w:val="-6"/>
                <w:szCs w:val="21"/>
                <w:highlight w:val="none"/>
              </w:rPr>
              <w:t>）</w:t>
            </w:r>
          </w:p>
        </w:tc>
        <w:tc>
          <w:tcPr>
            <w:tcW w:w="2639" w:type="dxa"/>
            <w:vAlign w:val="center"/>
          </w:tcPr>
          <w:p w14:paraId="41C4306C">
            <w:pPr>
              <w:adjustRightInd w:val="0"/>
              <w:snapToGrid w:val="0"/>
              <w:jc w:val="center"/>
              <w:rPr>
                <w:rFonts w:hint="default" w:eastAsia="宋体"/>
                <w:color w:val="auto"/>
                <w:szCs w:val="21"/>
                <w:highlight w:val="none"/>
                <w:lang w:val="en-US" w:eastAsia="zh-CN"/>
              </w:rPr>
            </w:pPr>
            <w:r>
              <w:rPr>
                <w:rFonts w:hint="eastAsia"/>
                <w:bCs/>
                <w:color w:val="auto"/>
                <w:szCs w:val="21"/>
                <w:highlight w:val="none"/>
                <w:lang w:val="en-US" w:eastAsia="zh-CN"/>
              </w:rPr>
              <w:t>11209.87m</w:t>
            </w:r>
            <w:r>
              <w:rPr>
                <w:rFonts w:hint="eastAsia"/>
                <w:bCs/>
                <w:color w:val="auto"/>
                <w:szCs w:val="21"/>
                <w:highlight w:val="none"/>
                <w:vertAlign w:val="superscript"/>
                <w:lang w:val="en-US" w:eastAsia="zh-CN"/>
              </w:rPr>
              <w:t>2</w:t>
            </w:r>
          </w:p>
        </w:tc>
      </w:tr>
      <w:tr w14:paraId="769F30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442" w:type="dxa"/>
            <w:vAlign w:val="center"/>
          </w:tcPr>
          <w:p w14:paraId="1ABFD480">
            <w:pPr>
              <w:autoSpaceDE w:val="0"/>
              <w:autoSpaceDN w:val="0"/>
              <w:adjustRightInd w:val="0"/>
              <w:snapToGrid w:val="0"/>
              <w:jc w:val="center"/>
              <w:rPr>
                <w:color w:val="auto"/>
                <w:kern w:val="0"/>
                <w:szCs w:val="21"/>
                <w:highlight w:val="none"/>
              </w:rPr>
            </w:pPr>
            <w:r>
              <w:rPr>
                <w:rFonts w:hint="eastAsia"/>
                <w:color w:val="auto"/>
                <w:kern w:val="0"/>
                <w:szCs w:val="21"/>
                <w:highlight w:val="none"/>
              </w:rPr>
              <w:t>专项评价设置情况</w:t>
            </w:r>
          </w:p>
        </w:tc>
        <w:tc>
          <w:tcPr>
            <w:tcW w:w="7428" w:type="dxa"/>
            <w:gridSpan w:val="3"/>
            <w:vAlign w:val="center"/>
          </w:tcPr>
          <w:p w14:paraId="3B0E5EEA">
            <w:pPr>
              <w:pStyle w:val="70"/>
              <w:rPr>
                <w:color w:val="auto"/>
                <w:highlight w:val="none"/>
              </w:rPr>
            </w:pPr>
            <w:r>
              <w:rPr>
                <w:rFonts w:hint="eastAsia"/>
                <w:color w:val="auto"/>
                <w:sz w:val="21"/>
                <w:highlight w:val="none"/>
              </w:rPr>
              <w:t>无</w:t>
            </w:r>
          </w:p>
        </w:tc>
      </w:tr>
      <w:tr w14:paraId="72EDDF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442" w:type="dxa"/>
            <w:vAlign w:val="center"/>
          </w:tcPr>
          <w:p w14:paraId="56ECC397">
            <w:pPr>
              <w:autoSpaceDE w:val="0"/>
              <w:autoSpaceDN w:val="0"/>
              <w:adjustRightInd w:val="0"/>
              <w:snapToGrid w:val="0"/>
              <w:jc w:val="center"/>
              <w:rPr>
                <w:color w:val="auto"/>
                <w:kern w:val="0"/>
                <w:szCs w:val="21"/>
                <w:highlight w:val="none"/>
              </w:rPr>
            </w:pPr>
            <w:r>
              <w:rPr>
                <w:rFonts w:hint="eastAsia"/>
                <w:color w:val="auto"/>
                <w:szCs w:val="21"/>
                <w:highlight w:val="none"/>
              </w:rPr>
              <w:t>规划情况</w:t>
            </w:r>
          </w:p>
        </w:tc>
        <w:tc>
          <w:tcPr>
            <w:tcW w:w="7428" w:type="dxa"/>
            <w:gridSpan w:val="3"/>
            <w:vAlign w:val="center"/>
          </w:tcPr>
          <w:p w14:paraId="2E668BE1">
            <w:pPr>
              <w:autoSpaceDE w:val="0"/>
              <w:autoSpaceDN w:val="0"/>
              <w:adjustRightInd w:val="0"/>
              <w:snapToGrid w:val="0"/>
              <w:jc w:val="left"/>
              <w:rPr>
                <w:rFonts w:hint="eastAsia"/>
                <w:color w:val="auto"/>
                <w:highlight w:val="none"/>
                <w:lang w:eastAsia="zh-CN"/>
              </w:rPr>
            </w:pPr>
            <w:r>
              <w:rPr>
                <w:rFonts w:hint="eastAsia"/>
                <w:color w:val="auto"/>
                <w:highlight w:val="none"/>
                <w:lang w:val="en-US" w:eastAsia="zh-CN"/>
              </w:rPr>
              <w:t>1、</w:t>
            </w:r>
            <w:r>
              <w:rPr>
                <w:rFonts w:hint="eastAsia"/>
                <w:color w:val="auto"/>
                <w:highlight w:val="none"/>
                <w:lang w:eastAsia="zh-CN"/>
              </w:rPr>
              <w:t>规划名称：《长三角生态绿色一体化发展示范区国土空间总体规划（</w:t>
            </w:r>
            <w:r>
              <w:rPr>
                <w:rFonts w:hint="eastAsia"/>
                <w:color w:val="auto"/>
                <w:highlight w:val="none"/>
                <w:lang w:val="en-US" w:eastAsia="zh-CN"/>
              </w:rPr>
              <w:t>2021-2035年</w:t>
            </w:r>
            <w:r>
              <w:rPr>
                <w:rFonts w:hint="eastAsia"/>
                <w:color w:val="auto"/>
                <w:highlight w:val="none"/>
                <w:lang w:eastAsia="zh-CN"/>
              </w:rPr>
              <w:t>）》</w:t>
            </w:r>
          </w:p>
          <w:p w14:paraId="7BE9FCFE">
            <w:pPr>
              <w:autoSpaceDE w:val="0"/>
              <w:autoSpaceDN w:val="0"/>
              <w:adjustRightInd w:val="0"/>
              <w:snapToGrid w:val="0"/>
              <w:jc w:val="left"/>
              <w:rPr>
                <w:rFonts w:hint="eastAsia"/>
                <w:color w:val="auto"/>
                <w:highlight w:val="none"/>
                <w:lang w:eastAsia="zh-CN"/>
              </w:rPr>
            </w:pPr>
            <w:r>
              <w:rPr>
                <w:rFonts w:hint="eastAsia"/>
                <w:color w:val="auto"/>
                <w:highlight w:val="none"/>
              </w:rPr>
              <w:t>审批机关：</w:t>
            </w:r>
            <w:r>
              <w:rPr>
                <w:rFonts w:hint="eastAsia"/>
                <w:color w:val="auto"/>
                <w:highlight w:val="none"/>
                <w:lang w:eastAsia="zh-CN"/>
              </w:rPr>
              <w:t>国务院</w:t>
            </w:r>
          </w:p>
          <w:p w14:paraId="48C31524">
            <w:pPr>
              <w:autoSpaceDE w:val="0"/>
              <w:autoSpaceDN w:val="0"/>
              <w:adjustRightInd w:val="0"/>
              <w:snapToGrid w:val="0"/>
              <w:jc w:val="left"/>
              <w:rPr>
                <w:rFonts w:hint="eastAsia"/>
                <w:color w:val="auto"/>
                <w:highlight w:val="none"/>
                <w:lang w:val="en-US" w:eastAsia="zh-CN"/>
              </w:rPr>
            </w:pPr>
            <w:r>
              <w:rPr>
                <w:rFonts w:hint="eastAsia"/>
                <w:color w:val="auto"/>
                <w:highlight w:val="none"/>
              </w:rPr>
              <w:t>审批文号：</w:t>
            </w:r>
            <w:r>
              <w:rPr>
                <w:rFonts w:hint="eastAsia"/>
                <w:color w:val="auto"/>
                <w:highlight w:val="none"/>
                <w:lang w:eastAsia="zh-CN"/>
              </w:rPr>
              <w:t>国函</w:t>
            </w:r>
            <w:r>
              <w:rPr>
                <w:rFonts w:hint="eastAsia"/>
                <w:color w:val="auto"/>
                <w:highlight w:val="none"/>
                <w:lang w:val="en-US" w:eastAsia="zh-CN"/>
              </w:rPr>
              <w:t>〔2023〕12号</w:t>
            </w:r>
          </w:p>
          <w:p w14:paraId="4CCC4102">
            <w:pPr>
              <w:autoSpaceDE w:val="0"/>
              <w:autoSpaceDN w:val="0"/>
              <w:adjustRightInd w:val="0"/>
              <w:snapToGrid w:val="0"/>
              <w:jc w:val="left"/>
              <w:rPr>
                <w:rFonts w:hint="eastAsia"/>
                <w:color w:val="auto"/>
                <w:highlight w:val="none"/>
                <w:lang w:val="en-US" w:eastAsia="zh-CN"/>
              </w:rPr>
            </w:pPr>
            <w:r>
              <w:rPr>
                <w:rFonts w:hint="eastAsia"/>
                <w:color w:val="auto"/>
                <w:highlight w:val="none"/>
                <w:lang w:val="en-US" w:eastAsia="zh-CN"/>
              </w:rPr>
              <w:t>2、规划名称：《苏州市国土空间总体规划（2021一2035年）》</w:t>
            </w:r>
          </w:p>
          <w:p w14:paraId="24615062">
            <w:pPr>
              <w:autoSpaceDE w:val="0"/>
              <w:autoSpaceDN w:val="0"/>
              <w:adjustRightInd w:val="0"/>
              <w:snapToGrid w:val="0"/>
              <w:jc w:val="left"/>
              <w:rPr>
                <w:rFonts w:hint="eastAsia"/>
                <w:color w:val="auto"/>
                <w:highlight w:val="none"/>
                <w:lang w:val="en-US" w:eastAsia="zh-CN"/>
              </w:rPr>
            </w:pPr>
            <w:r>
              <w:rPr>
                <w:rFonts w:hint="eastAsia"/>
                <w:color w:val="auto"/>
                <w:highlight w:val="none"/>
                <w:lang w:val="en-US" w:eastAsia="zh-CN"/>
              </w:rPr>
              <w:t>审批机关：国务院</w:t>
            </w:r>
          </w:p>
          <w:p w14:paraId="3FED9902">
            <w:pPr>
              <w:autoSpaceDE w:val="0"/>
              <w:autoSpaceDN w:val="0"/>
              <w:adjustRightInd w:val="0"/>
              <w:snapToGrid w:val="0"/>
              <w:jc w:val="left"/>
              <w:rPr>
                <w:rFonts w:hint="eastAsia"/>
                <w:color w:val="auto"/>
                <w:highlight w:val="none"/>
                <w:lang w:val="en-US" w:eastAsia="zh-CN"/>
              </w:rPr>
            </w:pPr>
            <w:r>
              <w:rPr>
                <w:rFonts w:hint="eastAsia"/>
                <w:color w:val="auto"/>
                <w:highlight w:val="none"/>
                <w:lang w:val="en-US" w:eastAsia="zh-CN"/>
              </w:rPr>
              <w:t>审批文号：国函</w:t>
            </w:r>
            <w:r>
              <w:rPr>
                <w:rFonts w:hint="eastAsia"/>
                <w:color w:val="auto"/>
                <w:highlight w:val="none"/>
                <w:lang w:eastAsia="zh-CN"/>
              </w:rPr>
              <w:t>〔</w:t>
            </w:r>
            <w:r>
              <w:rPr>
                <w:rFonts w:hint="eastAsia"/>
                <w:color w:val="auto"/>
                <w:highlight w:val="none"/>
                <w:lang w:val="en-US" w:eastAsia="zh-CN"/>
              </w:rPr>
              <w:t>2025</w:t>
            </w:r>
            <w:r>
              <w:rPr>
                <w:rFonts w:hint="eastAsia"/>
                <w:color w:val="auto"/>
                <w:highlight w:val="none"/>
                <w:lang w:eastAsia="zh-CN"/>
              </w:rPr>
              <w:t>〕</w:t>
            </w:r>
            <w:r>
              <w:rPr>
                <w:rFonts w:hint="eastAsia"/>
                <w:color w:val="auto"/>
                <w:highlight w:val="none"/>
                <w:lang w:val="en-US" w:eastAsia="zh-CN"/>
              </w:rPr>
              <w:t>8号</w:t>
            </w:r>
          </w:p>
          <w:p w14:paraId="4A0C3076">
            <w:pPr>
              <w:autoSpaceDE w:val="0"/>
              <w:autoSpaceDN w:val="0"/>
              <w:adjustRightInd w:val="0"/>
              <w:snapToGrid w:val="0"/>
              <w:jc w:val="left"/>
              <w:rPr>
                <w:rFonts w:hint="eastAsia"/>
                <w:color w:val="auto"/>
                <w:highlight w:val="none"/>
                <w:lang w:val="en-US" w:eastAsia="zh-CN"/>
              </w:rPr>
            </w:pPr>
            <w:r>
              <w:rPr>
                <w:rFonts w:hint="eastAsia"/>
                <w:color w:val="auto"/>
                <w:highlight w:val="none"/>
                <w:lang w:val="en-US" w:eastAsia="zh-CN"/>
              </w:rPr>
              <w:t>规划名称：《苏州市国土空间总体规划吴江分区规划（2021-2035年）》</w:t>
            </w:r>
          </w:p>
          <w:p w14:paraId="45F43D20">
            <w:pPr>
              <w:autoSpaceDE w:val="0"/>
              <w:autoSpaceDN w:val="0"/>
              <w:adjustRightInd w:val="0"/>
              <w:snapToGrid w:val="0"/>
              <w:jc w:val="left"/>
              <w:rPr>
                <w:rFonts w:hint="eastAsia"/>
                <w:color w:val="auto"/>
                <w:highlight w:val="none"/>
                <w:lang w:val="en-US" w:eastAsia="zh-CN"/>
              </w:rPr>
            </w:pPr>
            <w:r>
              <w:rPr>
                <w:rFonts w:hint="eastAsia"/>
                <w:color w:val="auto"/>
                <w:highlight w:val="none"/>
                <w:lang w:val="en-US" w:eastAsia="zh-CN"/>
              </w:rPr>
              <w:t>审批机关：江苏省人民政府</w:t>
            </w:r>
          </w:p>
          <w:p w14:paraId="04E973F2">
            <w:pPr>
              <w:autoSpaceDE w:val="0"/>
              <w:autoSpaceDN w:val="0"/>
              <w:adjustRightInd w:val="0"/>
              <w:snapToGrid w:val="0"/>
              <w:jc w:val="left"/>
              <w:rPr>
                <w:rFonts w:hint="eastAsia"/>
                <w:color w:val="auto"/>
                <w:highlight w:val="none"/>
                <w:lang w:val="en-US" w:eastAsia="zh-CN"/>
              </w:rPr>
            </w:pPr>
            <w:r>
              <w:rPr>
                <w:rFonts w:hint="eastAsia"/>
                <w:color w:val="auto"/>
                <w:highlight w:val="none"/>
                <w:lang w:val="en-US" w:eastAsia="zh-CN"/>
              </w:rPr>
              <w:t>审批文号：苏政复</w:t>
            </w:r>
            <w:r>
              <w:rPr>
                <w:rFonts w:hint="eastAsia"/>
                <w:color w:val="auto"/>
                <w:highlight w:val="none"/>
                <w:lang w:eastAsia="zh-CN"/>
              </w:rPr>
              <w:t>〔</w:t>
            </w:r>
            <w:r>
              <w:rPr>
                <w:rFonts w:hint="eastAsia"/>
                <w:color w:val="auto"/>
                <w:highlight w:val="none"/>
                <w:lang w:val="en-US" w:eastAsia="zh-CN"/>
              </w:rPr>
              <w:t>2025</w:t>
            </w:r>
            <w:r>
              <w:rPr>
                <w:rFonts w:hint="eastAsia"/>
                <w:color w:val="auto"/>
                <w:highlight w:val="none"/>
                <w:lang w:eastAsia="zh-CN"/>
              </w:rPr>
              <w:t>〕</w:t>
            </w:r>
            <w:r>
              <w:rPr>
                <w:rFonts w:hint="eastAsia"/>
                <w:color w:val="auto"/>
                <w:highlight w:val="none"/>
                <w:lang w:val="en-US" w:eastAsia="zh-CN"/>
              </w:rPr>
              <w:t>5号</w:t>
            </w:r>
          </w:p>
          <w:p w14:paraId="71840BFD">
            <w:pPr>
              <w:autoSpaceDE w:val="0"/>
              <w:autoSpaceDN w:val="0"/>
              <w:adjustRightInd w:val="0"/>
              <w:snapToGrid w:val="0"/>
              <w:jc w:val="left"/>
              <w:rPr>
                <w:rFonts w:hint="eastAsia"/>
                <w:color w:val="auto"/>
                <w:highlight w:val="none"/>
              </w:rPr>
            </w:pPr>
            <w:r>
              <w:rPr>
                <w:rFonts w:hint="eastAsia"/>
                <w:color w:val="auto"/>
                <w:highlight w:val="none"/>
                <w:lang w:val="en-US" w:eastAsia="zh-CN"/>
              </w:rPr>
              <w:t>4、</w:t>
            </w:r>
            <w:r>
              <w:rPr>
                <w:rFonts w:hint="eastAsia"/>
                <w:color w:val="auto"/>
                <w:highlight w:val="none"/>
              </w:rPr>
              <w:t>规划名称：《苏州市吴江区桃源镇总体规划修编（2017-2030）》</w:t>
            </w:r>
          </w:p>
          <w:p w14:paraId="4545424B">
            <w:pPr>
              <w:autoSpaceDE w:val="0"/>
              <w:autoSpaceDN w:val="0"/>
              <w:adjustRightInd w:val="0"/>
              <w:snapToGrid w:val="0"/>
              <w:jc w:val="left"/>
              <w:rPr>
                <w:rFonts w:hint="eastAsia"/>
                <w:color w:val="auto"/>
                <w:highlight w:val="none"/>
              </w:rPr>
            </w:pPr>
            <w:r>
              <w:rPr>
                <w:rFonts w:hint="eastAsia"/>
                <w:color w:val="auto"/>
                <w:highlight w:val="none"/>
              </w:rPr>
              <w:t>审批机关：苏州市吴江区人民政府</w:t>
            </w:r>
          </w:p>
          <w:p w14:paraId="3A8EB1F8">
            <w:pPr>
              <w:autoSpaceDE w:val="0"/>
              <w:autoSpaceDN w:val="0"/>
              <w:adjustRightInd w:val="0"/>
              <w:snapToGrid w:val="0"/>
              <w:jc w:val="left"/>
              <w:rPr>
                <w:color w:val="auto"/>
                <w:highlight w:val="none"/>
              </w:rPr>
            </w:pPr>
            <w:r>
              <w:rPr>
                <w:rFonts w:hint="eastAsia"/>
                <w:color w:val="auto"/>
                <w:highlight w:val="none"/>
              </w:rPr>
              <w:t>审批文号：吴政发</w:t>
            </w:r>
            <w:r>
              <w:rPr>
                <w:rFonts w:hint="eastAsia"/>
                <w:color w:val="auto"/>
                <w:highlight w:val="none"/>
                <w:lang w:eastAsia="zh-CN"/>
              </w:rPr>
              <w:t>〔</w:t>
            </w:r>
            <w:r>
              <w:rPr>
                <w:rFonts w:hint="eastAsia"/>
                <w:color w:val="auto"/>
                <w:highlight w:val="none"/>
              </w:rPr>
              <w:t>2017</w:t>
            </w:r>
            <w:r>
              <w:rPr>
                <w:rFonts w:hint="eastAsia"/>
                <w:color w:val="auto"/>
                <w:highlight w:val="none"/>
                <w:lang w:eastAsia="zh-CN"/>
              </w:rPr>
              <w:t>〕</w:t>
            </w:r>
            <w:r>
              <w:rPr>
                <w:rFonts w:hint="eastAsia"/>
                <w:color w:val="auto"/>
                <w:highlight w:val="none"/>
              </w:rPr>
              <w:t>5号</w:t>
            </w:r>
          </w:p>
        </w:tc>
      </w:tr>
      <w:tr w14:paraId="735385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1442" w:type="dxa"/>
            <w:vAlign w:val="center"/>
          </w:tcPr>
          <w:p w14:paraId="681012BA">
            <w:pPr>
              <w:autoSpaceDE w:val="0"/>
              <w:autoSpaceDN w:val="0"/>
              <w:adjustRightInd w:val="0"/>
              <w:snapToGrid w:val="0"/>
              <w:jc w:val="center"/>
              <w:rPr>
                <w:color w:val="auto"/>
                <w:kern w:val="0"/>
                <w:szCs w:val="21"/>
                <w:highlight w:val="none"/>
              </w:rPr>
            </w:pPr>
            <w:r>
              <w:rPr>
                <w:rFonts w:hint="eastAsia"/>
                <w:color w:val="auto"/>
                <w:szCs w:val="21"/>
                <w:highlight w:val="none"/>
              </w:rPr>
              <w:t>规划环境影响评价情况</w:t>
            </w:r>
          </w:p>
        </w:tc>
        <w:tc>
          <w:tcPr>
            <w:tcW w:w="7428" w:type="dxa"/>
            <w:gridSpan w:val="3"/>
            <w:vAlign w:val="center"/>
          </w:tcPr>
          <w:p w14:paraId="0430E378">
            <w:pPr>
              <w:autoSpaceDE w:val="0"/>
              <w:autoSpaceDN w:val="0"/>
              <w:adjustRightInd w:val="0"/>
              <w:snapToGrid w:val="0"/>
              <w:jc w:val="center"/>
              <w:rPr>
                <w:color w:val="auto"/>
                <w:kern w:val="0"/>
                <w:szCs w:val="21"/>
                <w:highlight w:val="none"/>
              </w:rPr>
            </w:pPr>
            <w:r>
              <w:rPr>
                <w:rFonts w:hint="eastAsia"/>
                <w:color w:val="auto"/>
                <w:kern w:val="0"/>
                <w:szCs w:val="21"/>
                <w:highlight w:val="none"/>
              </w:rPr>
              <w:t>无</w:t>
            </w:r>
          </w:p>
        </w:tc>
      </w:tr>
      <w:tr w14:paraId="1FFF75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50" w:hRule="atLeast"/>
          <w:jc w:val="center"/>
        </w:trPr>
        <w:tc>
          <w:tcPr>
            <w:tcW w:w="1442" w:type="dxa"/>
            <w:vAlign w:val="center"/>
          </w:tcPr>
          <w:p w14:paraId="0A5CC8D7">
            <w:pPr>
              <w:autoSpaceDE w:val="0"/>
              <w:autoSpaceDN w:val="0"/>
              <w:adjustRightInd w:val="0"/>
              <w:snapToGrid w:val="0"/>
              <w:jc w:val="center"/>
              <w:rPr>
                <w:color w:val="auto"/>
                <w:kern w:val="0"/>
                <w:szCs w:val="21"/>
                <w:highlight w:val="none"/>
              </w:rPr>
            </w:pPr>
            <w:r>
              <w:rPr>
                <w:rFonts w:hint="eastAsia"/>
                <w:color w:val="auto"/>
                <w:kern w:val="0"/>
                <w:szCs w:val="21"/>
                <w:highlight w:val="none"/>
              </w:rPr>
              <w:t>规划及规划环境</w:t>
            </w:r>
          </w:p>
          <w:p w14:paraId="5C020983">
            <w:pPr>
              <w:autoSpaceDE w:val="0"/>
              <w:autoSpaceDN w:val="0"/>
              <w:adjustRightInd w:val="0"/>
              <w:snapToGrid w:val="0"/>
              <w:jc w:val="center"/>
              <w:rPr>
                <w:color w:val="auto"/>
                <w:kern w:val="0"/>
                <w:szCs w:val="21"/>
                <w:highlight w:val="none"/>
              </w:rPr>
            </w:pPr>
            <w:r>
              <w:rPr>
                <w:rFonts w:hint="eastAsia"/>
                <w:color w:val="auto"/>
                <w:kern w:val="0"/>
                <w:szCs w:val="21"/>
                <w:highlight w:val="none"/>
              </w:rPr>
              <w:t>影响评价符合性分析</w:t>
            </w:r>
          </w:p>
        </w:tc>
        <w:tc>
          <w:tcPr>
            <w:tcW w:w="7428" w:type="dxa"/>
            <w:gridSpan w:val="3"/>
            <w:vAlign w:val="top"/>
          </w:tcPr>
          <w:p w14:paraId="07C6F90A">
            <w:pPr>
              <w:topLinePunct/>
              <w:adjustRightInd w:val="0"/>
              <w:snapToGrid w:val="0"/>
              <w:spacing w:line="360" w:lineRule="auto"/>
              <w:rPr>
                <w:rFonts w:hint="default"/>
                <w:b/>
                <w:bCs/>
                <w:color w:val="auto"/>
                <w:kern w:val="0"/>
                <w:szCs w:val="21"/>
                <w:highlight w:val="none"/>
                <w:lang w:val="en-US" w:eastAsia="zh-CN"/>
              </w:rPr>
            </w:pPr>
            <w:r>
              <w:rPr>
                <w:rFonts w:hint="eastAsia"/>
                <w:b/>
                <w:bCs/>
                <w:color w:val="auto"/>
                <w:kern w:val="0"/>
                <w:szCs w:val="21"/>
                <w:highlight w:val="none"/>
                <w:lang w:val="en-US" w:eastAsia="zh-CN"/>
              </w:rPr>
              <w:t>1、与</w:t>
            </w:r>
            <w:r>
              <w:rPr>
                <w:rFonts w:hint="eastAsia"/>
                <w:b/>
                <w:bCs/>
                <w:color w:val="auto"/>
                <w:highlight w:val="none"/>
                <w:lang w:eastAsia="zh-CN"/>
              </w:rPr>
              <w:t>《</w:t>
            </w:r>
            <w:r>
              <w:rPr>
                <w:rFonts w:hint="eastAsia"/>
                <w:b/>
                <w:bCs/>
                <w:color w:val="auto"/>
                <w:highlight w:val="none"/>
              </w:rPr>
              <w:t>长三角生态绿色一体化发展示范区国土空间总体规划</w:t>
            </w:r>
            <w:r>
              <w:rPr>
                <w:rFonts w:hint="eastAsia"/>
                <w:b/>
                <w:bCs/>
                <w:color w:val="auto"/>
                <w:highlight w:val="none"/>
                <w:lang w:eastAsia="zh-CN"/>
              </w:rPr>
              <w:t>（</w:t>
            </w:r>
            <w:r>
              <w:rPr>
                <w:rFonts w:hint="eastAsia"/>
                <w:b/>
                <w:bCs/>
                <w:color w:val="auto"/>
                <w:highlight w:val="none"/>
                <w:lang w:val="en-US" w:eastAsia="zh-CN"/>
              </w:rPr>
              <w:t>2021-2035年</w:t>
            </w:r>
            <w:r>
              <w:rPr>
                <w:rFonts w:hint="eastAsia"/>
                <w:b/>
                <w:bCs/>
                <w:color w:val="auto"/>
                <w:highlight w:val="none"/>
                <w:lang w:eastAsia="zh-CN"/>
              </w:rPr>
              <w:t>）》</w:t>
            </w:r>
            <w:r>
              <w:rPr>
                <w:rFonts w:hint="eastAsia"/>
                <w:b/>
                <w:bCs/>
                <w:color w:val="auto"/>
                <w:highlight w:val="none"/>
                <w:lang w:val="en-US" w:eastAsia="zh-CN"/>
              </w:rPr>
              <w:t>相符性分析</w:t>
            </w:r>
          </w:p>
          <w:p w14:paraId="16F40ABF">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（一）规划作用</w:t>
            </w:r>
          </w:p>
          <w:p w14:paraId="46CB1722">
            <w:pPr>
              <w:widowControl/>
              <w:spacing w:line="360" w:lineRule="auto"/>
              <w:ind w:firstLine="420" w:firstLineChars="200"/>
              <w:jc w:val="left"/>
              <w:rPr>
                <w:color w:val="auto"/>
                <w:highlight w:val="none"/>
              </w:rPr>
            </w:pPr>
            <w:r>
              <w:rPr>
                <w:rFonts w:hint="eastAsia"/>
                <w:color w:val="auto"/>
                <w:kern w:val="0"/>
                <w:szCs w:val="21"/>
                <w:highlight w:val="none"/>
                <w:lang w:val="en-US" w:eastAsia="zh-CN"/>
              </w:rPr>
              <w:t>本规划是示范区空间发展的指南、可持续发展的蓝图，是各类开发保护建设活动的基本依据，指导下层次国土空间规划编制实施，重点明确耕地保护、生态环境、城乡格局、历史人文与特色风貌、公共服务与基础设施等方面的发展策略、管控底线及区域协同事项。</w:t>
            </w:r>
          </w:p>
          <w:p w14:paraId="4DA4EDC1">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（二）规划范围与期限</w:t>
            </w:r>
          </w:p>
          <w:p w14:paraId="27A0D3E6">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示范区规划范围包括上海市青浦区、江苏省苏州市吴江区、浙江省嘉兴市嘉善县（以下简称两区一县）全域，约2413平方公里。先行启动区规划范围包括金泽、朱家角、黎里、西塘、姚庄五个镇全域，约660平方公里。</w:t>
            </w:r>
          </w:p>
          <w:p w14:paraId="4E7C7F13">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规划协调区范围包括虹桥主城片区除青浦区以外的区域，嘉兴市秀洲区的王江泾镇和油车港镇，昆山市的淀山湖镇、锦溪镇和周庄镇，约486平方公里。</w:t>
            </w:r>
          </w:p>
          <w:p w14:paraId="0B8BCC3A">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规划近期至2025年，远期至2035年，远景展望至2050年。</w:t>
            </w:r>
          </w:p>
          <w:p w14:paraId="1A12966B">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（三）空间战略</w:t>
            </w:r>
          </w:p>
          <w:p w14:paraId="1D2AF73C">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 xml:space="preserve">1.生态优先、绿色低碳发展 </w:t>
            </w:r>
          </w:p>
          <w:p w14:paraId="58707168">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尊重自然、顺应自然、保护自然，坚持节约优先、保护优先、自然恢复为主的方针，强化生态基底硬约束，像保护眼睛一样保护自然和生态环境。采取“长牙齿”的硬措施，落实最严格的耕地保护制度，确保长期稳定利用耕地不减少。转变以投资和要素投入为主导、土地增量规模扩张的传统发展模式，落实建设用地“负增长”，通过资源利用方式转变倒逼发展方式转型，加强土地节约集约利用。强化安全底线要求，保障区域防洪排涝安全，提升气候变化、公共卫生、地面沉降等风险的应对能力。推动形成绿色低碳的生产方式和生活方式，营造更高质量的绿色人居环境。</w:t>
            </w:r>
          </w:p>
          <w:p w14:paraId="7D11F097">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 xml:space="preserve">2.创新驱动、高质量发展 </w:t>
            </w:r>
          </w:p>
          <w:p w14:paraId="26E34BA9">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 xml:space="preserve">以好风景促进新经济，将生态优势转化为发展优势，促进创新链产业链资金链人才链深度融合，推动战略性新兴产业集群发展。加强历史文化遗产保护和活化利用，塑造江南文化品牌，完善文化产业体系和市场体系，坚持以文塑旅、以旅彰文，推进文化和旅游深度融合发展，加快实施重大文化创意产业项目。深化体制机制改革，对标最高标准、最好水平，按照“就高不就低”的原则，充分借鉴吸纳两省一市及国内外先行地区的先进理念、标准、策略和政策，推动全面深化改革举措的集中落实、系统集成、率先突破，形成可复制、可推广的引领性范例。 </w:t>
            </w:r>
          </w:p>
          <w:p w14:paraId="58647707">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 xml:space="preserve">3.多中心、网络化、融合式空间发展 </w:t>
            </w:r>
          </w:p>
          <w:p w14:paraId="5AB1CEE7">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 xml:space="preserve">健全主体功能区制度，优化国土空间发展格局，不搞集中成片、大规模、高强度开发建设，发挥中小城镇的“粘合剂”作用，推动大中小城镇和乡村的集群式协同发展。强化交通立体网络和复合枢纽支撑，提高交通网络的链接效率。在总体延续江南水乡空间肌理的基础上融入现代元素，形成“河湖田镇村”融合共生的水乡单元，打造宜居宜业宜游宜学宜养的社区生活圈，促进生产、生活、创新、服务功能的融合。 </w:t>
            </w:r>
          </w:p>
          <w:p w14:paraId="0D4D6251">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 xml:space="preserve">4.跨界协同、一体化发展 </w:t>
            </w:r>
          </w:p>
          <w:p w14:paraId="7E9D253D">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打破行政壁垒和制度藩篱，完善跨行政区域、多层级共商的空间治理框架，明确共同的规划管控底线与标准，强化区域生态环境共保共治，推动基础设施互联互通，促进毗邻区域公共服务设施资源共享，建立标准理念统一、资源信息共享、管理执法一体、协商保障有力的区域一体化发展新机制。</w:t>
            </w:r>
          </w:p>
          <w:p w14:paraId="56F28301">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（四）筑牢生态和安全基础</w:t>
            </w:r>
          </w:p>
          <w:p w14:paraId="4AC850F9">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基于示范区资源环境承载能力和国土空间开发适宜性评价结果，综合考虑防洪等自然灾害风险、历史文化保护要求，按照耕地和永久基本农田保护红线、生态保护红线、城镇开发边界的优先次序，统筹划定“三区三线”，作为调整经济结构、规划产业发展、推进城乡建设不可逾越的红线。</w:t>
            </w:r>
          </w:p>
          <w:p w14:paraId="3EE7B9AE">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 xml:space="preserve">明确耕地保护目标。立足保障国家粮食安全和重要农产品供给，示范区将耕地保护目标带位置确定为76.60万亩（约510.66平方公里），其中，青浦区17.73万亩，吴江区30.78万亩，嘉善县28.09万亩。 </w:t>
            </w:r>
          </w:p>
          <w:p w14:paraId="27DB470E">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 xml:space="preserve">划定永久基本农田。将布局集中、用途稳定、具有良好水利和水土保持设施的高产、稳产、优质耕地纳入永久基本农田保护，示范区落实永久基本农田保护任务66.54万亩（约443.6平方公里），其中，青浦区划定落实15.24万亩，嘉善区划定落实24.54万亩；吴江区永久基本农田保护任务26.76万亩。 </w:t>
            </w:r>
          </w:p>
          <w:p w14:paraId="57881D0D">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 xml:space="preserve">划定生态保护红线。将示范区内具有重要水源涵养、生物多样性维护功能的生态功能极重要区域划入生态保护红线，生态保护红线总面积143.32平方公里（21.4969万亩），其中，青浦21.97平方公里（3.2944万亩），吴江115.09平方公里（17.2635万亩），嘉善6.26平方公里（0.9390万亩）。将区域生态网络中其他较重要的生态空间作为结构性生态空间，禁止对主导生态功能产生影响的开发建设活动，包括生态绿心、清水绿廊、蓝色珠链等区域生态结构性空间，城镇开发边界外的湖泊、河道、林地以及其他重要生态片区，以及城镇开发边界内的结构性生态空间。 </w:t>
            </w:r>
          </w:p>
          <w:p w14:paraId="4F42773B">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划定城镇开发边界。以城镇开发建设2020年现状、资源承载能力为基础，落实多中心、网络化、融合式的空间结构，示范区划定城镇开发边界647.6平方公里（97.14万亩），其中，青浦185.5平方公里（27.83万亩，城镇开发边界扩展系数1.16），吴江319.8平方公里（47.97万亩，城镇开发边界扩展系数1.22），嘉善142.3平方公里（21.34万亩，城镇开发边界扩展系数1.30）。城镇开发边界内建设用地规模605.0平方公里，占示范区规划建设用地总规模的75.8%。</w:t>
            </w:r>
          </w:p>
          <w:p w14:paraId="5D7253F0">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（五）生态环境共治</w:t>
            </w:r>
          </w:p>
          <w:p w14:paraId="69268F6D">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1.实施水岸联治与修复</w:t>
            </w:r>
          </w:p>
          <w:p w14:paraId="34256F9D">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建设多层级清水绿廊。以太浦河、京杭运河两条一级清水绿廊为先行示范，带动吴淞江-苏州河、屯浦塘-急水港-拦路港-泖河-斜塘、頔塘、红旗塘-大蒸塘-园泄泾等二级清水绿廊建设，实施水岸联动综合整治，推进滨水污染源清退、岸坡植被修复、亲水设施建设等工作，适度延展自然河漫滩，打造“绿色水源通道、绿色行洪通道、绿色生态廊道”。</w:t>
            </w:r>
          </w:p>
          <w:p w14:paraId="4E4397DC">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一级清水绿廊城镇段管理范围自规划河口线原则上外扩不小于30米，保护范围不小于60米；农村段管理范围自规划河口线原则上外扩不小于80米，保护范围不小于200米；郊野段管理范围自规划河口线原则上外扩不小于300米，保护范围不小于1000米，核心监控范围不小于2000米。管理范围内禁止陆域污染排放，可适当布局慢行交通系统、湿地公园、带状滨河公园、观光码头、亲水平台等复合功能；保护范围内限制陆域污染排放，实施滨河生态空间优化，积极引导功能转换；核心监控范围内新建项目须与自然生态环境和传统历史风貌相协调。二级清水绿廊的管理范围可参照一级清水绿廊划定。</w:t>
            </w:r>
          </w:p>
          <w:p w14:paraId="112B896F">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加强滨水湿地生境修复。整合重要水体周边和跨界地区的小微水体，采取保育为主、修复为辅的生态保护策略，通过缓坡岸线营造、水下地形改造和水生植被群落优化等措施，构建净化湿地、圩田湿地、滨水林带等多样生境空间，修复独具特色的“林-塘-田-湖-岛”复合的江南圩田湿地景观肌理，进一步提升水质净化功能，保障江南水乡生态系统的稳定性和可持续性。</w:t>
            </w:r>
          </w:p>
          <w:p w14:paraId="5C5381DD">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 xml:space="preserve">加强排污许可管理。重点推进工业污染排放源整治。有序开展太浦河及其主要支流沿线的重污染企业腾退工作，鼓励一般企业进行技术改造和生产线升级。引导工业企业集中入园，加强园区废污水的集中处理和再生利用，重点支持化工、电镀、印染、制革等行业企业建设污水零直排园区。 </w:t>
            </w:r>
          </w:p>
          <w:p w14:paraId="15FCE7A0">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 xml:space="preserve">实施船舶与码头同治，防控航运污染。提高船舶污废物处理率，加强载运危险货物船舶的动态监控，重点发展标准化船舶和内河集装箱专用船等，推广新能源船舶应用。全面取缔“散乱污”无证码头，推进太浦河、京杭运河沿线码头安全、有序、绿色化发展。 </w:t>
            </w:r>
          </w:p>
          <w:p w14:paraId="58E24999">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提升城乡生活污水处理水平。城镇地区以控源截污、雨污分流为抓手，降低径流污染对河道水环境的影响。农村地区采用集中与分散相结合的处理模式，全面普及生态化治理设施，消除生活污水直排。至2035年，城镇污水处理率和农村生活污水处理率均达到100%。</w:t>
            </w:r>
          </w:p>
          <w:p w14:paraId="2E4C08A5">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引领太湖流域共治。统一流域水环境治理目标和标准，推动示范区重要江河湖库生态保护治理。至2035年，水体水功能区水质达标率达到100%，国控断面优III类比例100%，太浦河水质达到Ⅱ-Ⅲ类，其他水体水环境不低于IV类。以太湖为流域生态保护核心，统筹谋划和实施入湖河流综合整治、岸线生态保护与修复等水源保护工程，实现“优蓝扩绿”。完善省、市、县三级考核体系，协同确立产业准入、水资源管理、水域纳污总量控制、污染源监管等法规标准，共保“太湖一盆清水”。</w:t>
            </w:r>
          </w:p>
          <w:p w14:paraId="276DA186">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2.联合开展大气污染综合防治</w:t>
            </w:r>
          </w:p>
          <w:p w14:paraId="0616B44C">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加快实施传统产业升级和整治。重点针对精细化工、纺织印染、包装印刷、家具建材、橡胶和塑料制品、砖瓦、机械喷漆加工等行业，加大整治力度。全面淘汰小型燃煤（重油）和生物质锅炉，实施燃油燃气锅炉低氮燃烧改造，对区域内每小时65蒸吨及以上燃煤（重油）锅炉和生物质锅炉进行超低排放改造。建立区域工业污染源动态监管机制，杜绝污染回潮现象。</w:t>
            </w:r>
          </w:p>
          <w:p w14:paraId="5CEF85BF">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加强污染物协同控制。区域内禁止高VOCs（挥发性有机物）含量有机溶剂涂料、油墨、胶黏剂生产的新建、改扩建项目，逐步推进交通装备、集装箱、机械设备制造等行业实施源头替代。重点针对含</w:t>
            </w:r>
            <w:r>
              <w:rPr>
                <w:rFonts w:hint="default"/>
                <w:color w:val="auto"/>
                <w:kern w:val="0"/>
                <w:szCs w:val="21"/>
                <w:highlight w:val="none"/>
                <w:lang w:val="en-US" w:eastAsia="zh-CN"/>
              </w:rPr>
              <w:t>VOCs</w:t>
            </w:r>
            <w:r>
              <w:rPr>
                <w:rFonts w:hint="eastAsia"/>
                <w:color w:val="auto"/>
                <w:kern w:val="0"/>
                <w:szCs w:val="21"/>
                <w:highlight w:val="none"/>
                <w:lang w:val="en-US" w:eastAsia="zh-CN"/>
              </w:rPr>
              <w:t>物料储存、转移和输送、设备与管线组件泄漏、敞开液面逸散及工艺过程等五类</w:t>
            </w:r>
            <w:r>
              <w:rPr>
                <w:rFonts w:hint="default"/>
                <w:color w:val="auto"/>
                <w:kern w:val="0"/>
                <w:szCs w:val="21"/>
                <w:highlight w:val="none"/>
                <w:lang w:val="en-US" w:eastAsia="zh-CN"/>
              </w:rPr>
              <w:t>VOCs</w:t>
            </w:r>
            <w:r>
              <w:rPr>
                <w:rFonts w:hint="eastAsia"/>
                <w:color w:val="auto"/>
                <w:kern w:val="0"/>
                <w:szCs w:val="21"/>
                <w:highlight w:val="none"/>
                <w:lang w:val="en-US" w:eastAsia="zh-CN"/>
              </w:rPr>
              <w:t>排放源，采取全链条、精细化防控。</w:t>
            </w:r>
          </w:p>
          <w:p w14:paraId="7AA5FB89">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3.加强土壤污染防治与修复</w:t>
            </w:r>
          </w:p>
          <w:p w14:paraId="0F4062B4">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加强农业污染源头防控与农田土壤环境保护。开展河湖围网养殖污染治理，推广生态养殖，推进农村固体废弃物资源化利用和畜禽养殖场综合治理。推动示范区农用地土壤污染状况详查成果共享，统筹开展耕地土壤环境质量类别划定，协同制定受污染耕地安全利用和严格管控工作方案，建立耕地土壤和农产品协同监测预警融合网络。至2035年，实现受污染耕地安全利用率达到100%。</w:t>
            </w:r>
          </w:p>
          <w:p w14:paraId="4E91E307">
            <w:pPr>
              <w:widowControl/>
              <w:spacing w:line="360"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有序开展污染场地治理修复。结合示范区低效工业用地减量化和城市更新开展土壤污染治理修复。科学编制污染场地修复方案，采取针对性措施，防止污染土壤挖掘、堆存以及治理修复过程中产生的二次污染，对具有挥发性有机污染物的场地鼓励采取原位治理修复技术和封闭式治理措施。</w:t>
            </w:r>
          </w:p>
          <w:p w14:paraId="5BCED66E">
            <w:pPr>
              <w:topLinePunct/>
              <w:adjustRightInd w:val="0"/>
              <w:snapToGrid w:val="0"/>
              <w:spacing w:line="360" w:lineRule="auto"/>
              <w:ind w:firstLine="420" w:firstLineChars="200"/>
              <w:rPr>
                <w:rFonts w:hint="eastAsia"/>
                <w:color w:val="auto"/>
                <w:kern w:val="0"/>
                <w:szCs w:val="21"/>
                <w:highlight w:val="none"/>
                <w:lang w:val="en-US" w:eastAsia="zh-CN"/>
              </w:rPr>
            </w:pPr>
            <w:r>
              <w:rPr>
                <w:rFonts w:hint="eastAsia"/>
                <w:color w:val="auto"/>
                <w:kern w:val="0"/>
                <w:szCs w:val="21"/>
                <w:highlight w:val="none"/>
                <w:lang w:val="en-US" w:eastAsia="zh-CN"/>
              </w:rPr>
              <w:t>强化污染地块信息披露与联合治理。统一建立场地环境风险防控体系，整合集成示范区土壤污染重点源头企业用地调查信息，逐步形成优先管控名录和污染地块清单，研究完善建设用地土壤污染状况调查和风险管控相关制度体系，推动实现疑似污染地块、污染地块空间信息纳入国土空间规划“一张图”管理。</w:t>
            </w:r>
          </w:p>
          <w:p w14:paraId="182507EF">
            <w:pPr>
              <w:topLinePunct/>
              <w:adjustRightInd w:val="0"/>
              <w:snapToGrid w:val="0"/>
              <w:spacing w:line="360" w:lineRule="auto"/>
              <w:ind w:firstLine="422" w:firstLineChars="200"/>
              <w:rPr>
                <w:rFonts w:hint="eastAsia"/>
                <w:color w:val="auto"/>
                <w:kern w:val="0"/>
                <w:szCs w:val="21"/>
                <w:highlight w:val="none"/>
              </w:rPr>
            </w:pPr>
            <w:r>
              <w:rPr>
                <w:rFonts w:hint="eastAsia"/>
                <w:b/>
                <w:bCs/>
                <w:color w:val="auto"/>
                <w:kern w:val="0"/>
                <w:szCs w:val="21"/>
                <w:highlight w:val="none"/>
              </w:rPr>
              <w:t>相符性分析：</w:t>
            </w:r>
            <w:r>
              <w:rPr>
                <w:rFonts w:hint="eastAsia"/>
                <w:color w:val="auto"/>
                <w:kern w:val="0"/>
                <w:szCs w:val="21"/>
                <w:highlight w:val="none"/>
              </w:rPr>
              <w:t>本项目位于</w:t>
            </w:r>
            <w:r>
              <w:rPr>
                <w:rFonts w:hint="eastAsia"/>
                <w:color w:val="auto"/>
                <w:kern w:val="0"/>
                <w:szCs w:val="21"/>
                <w:highlight w:val="none"/>
                <w:lang w:eastAsia="zh-CN"/>
              </w:rPr>
              <w:t>江苏省苏州市吴江区桃源镇澄源村，</w:t>
            </w:r>
            <w:r>
              <w:rPr>
                <w:rFonts w:hint="eastAsia"/>
                <w:color w:val="auto"/>
                <w:kern w:val="0"/>
                <w:szCs w:val="21"/>
                <w:highlight w:val="none"/>
                <w:lang w:val="en-US" w:eastAsia="zh-CN"/>
              </w:rPr>
              <w:t>不涉及</w:t>
            </w:r>
            <w:r>
              <w:rPr>
                <w:rFonts w:hint="eastAsia"/>
                <w:color w:val="auto"/>
                <w:kern w:val="0"/>
                <w:szCs w:val="21"/>
                <w:highlight w:val="none"/>
              </w:rPr>
              <w:t>耕地和永久基本农田保护线、生态保护红线</w:t>
            </w:r>
            <w:r>
              <w:rPr>
                <w:rFonts w:hint="eastAsia"/>
                <w:color w:val="auto"/>
                <w:kern w:val="0"/>
                <w:szCs w:val="21"/>
                <w:highlight w:val="none"/>
                <w:lang w:eastAsia="zh-CN"/>
              </w:rPr>
              <w:t>；</w:t>
            </w:r>
            <w:r>
              <w:rPr>
                <w:rFonts w:hint="eastAsia"/>
                <w:color w:val="auto"/>
                <w:kern w:val="0"/>
                <w:szCs w:val="21"/>
                <w:highlight w:val="none"/>
                <w:lang w:val="en-US" w:eastAsia="zh-CN"/>
              </w:rPr>
              <w:t>本项目距大运河30m，不在一级清水绿廊城镇段管理范围内；本项目为高档纺织面料生产线技术改造项目，属于传统产业升级和整治，符合大气污染综合防治要求</w:t>
            </w:r>
            <w:r>
              <w:rPr>
                <w:rFonts w:hint="eastAsia"/>
                <w:color w:val="auto"/>
                <w:kern w:val="0"/>
                <w:szCs w:val="21"/>
                <w:highlight w:val="none"/>
              </w:rPr>
              <w:t>。因此本项目</w:t>
            </w:r>
            <w:r>
              <w:rPr>
                <w:rFonts w:hint="eastAsia"/>
                <w:color w:val="auto"/>
                <w:kern w:val="0"/>
                <w:szCs w:val="21"/>
                <w:highlight w:val="none"/>
                <w:lang w:val="en-US" w:eastAsia="zh-CN"/>
              </w:rPr>
              <w:t>符合</w:t>
            </w:r>
            <w:r>
              <w:rPr>
                <w:rFonts w:hint="eastAsia"/>
                <w:color w:val="auto"/>
                <w:kern w:val="0"/>
                <w:szCs w:val="21"/>
                <w:highlight w:val="none"/>
              </w:rPr>
              <w:t>《长三角生态绿色一体化发展示范区国土空间总体规划（2021-2035年）》</w:t>
            </w:r>
            <w:r>
              <w:rPr>
                <w:rFonts w:hint="eastAsia"/>
                <w:color w:val="auto"/>
                <w:kern w:val="0"/>
                <w:szCs w:val="21"/>
                <w:highlight w:val="none"/>
                <w:lang w:val="en-US" w:eastAsia="zh-CN"/>
              </w:rPr>
              <w:t>相关要求</w:t>
            </w:r>
            <w:r>
              <w:rPr>
                <w:rFonts w:hint="eastAsia"/>
                <w:color w:val="auto"/>
                <w:kern w:val="0"/>
                <w:szCs w:val="21"/>
                <w:highlight w:val="none"/>
              </w:rPr>
              <w:t>。</w:t>
            </w:r>
          </w:p>
          <w:p w14:paraId="70AA1899">
            <w:pPr>
              <w:topLinePunct/>
              <w:adjustRightInd w:val="0"/>
              <w:snapToGrid w:val="0"/>
              <w:spacing w:line="360" w:lineRule="auto"/>
              <w:rPr>
                <w:rFonts w:hint="eastAsia" w:ascii="Times New Roman" w:hAnsi="Times New Roman" w:eastAsia="宋?" w:cs="Times New Roman"/>
                <w:b/>
                <w:bCs/>
                <w:color w:val="000000"/>
                <w:kern w:val="0"/>
                <w:szCs w:val="21"/>
                <w:highlight w:val="none"/>
                <w:lang w:val="en-US" w:eastAsia="zh-CN"/>
              </w:rPr>
            </w:pPr>
            <w:r>
              <w:rPr>
                <w:rFonts w:hint="eastAsia" w:ascii="Times New Roman" w:hAnsi="Times New Roman" w:eastAsia="宋?" w:cs="Times New Roman"/>
                <w:b/>
                <w:bCs/>
                <w:color w:val="000000"/>
                <w:kern w:val="0"/>
                <w:szCs w:val="21"/>
                <w:highlight w:val="none"/>
                <w:lang w:val="en-US" w:eastAsia="zh-CN"/>
              </w:rPr>
              <w:t>2、与《苏州市国土空间总体规划（2021-2035）》的相符性分析</w:t>
            </w:r>
          </w:p>
          <w:p w14:paraId="7E88FA2A">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《苏州市国土空间总体规划（2021-2035年）》，于2025年1月12日获国务院批复。</w:t>
            </w:r>
          </w:p>
          <w:p w14:paraId="6ED69AFC">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规划范围：市域规划范围为苏州市行政辖区，包括吴江区、吴中区、相城区、姑苏区、苏州工业园区、虎丘区6个市辖区和张家港市、常熟市、太仓市、昆山市4个县级市。中心城区规划范围包括姑苏区行政辖区和吴江区、吴中区、相城区、苏州工业园区、虎丘区的部分地区，面积849.49平方千米。</w:t>
            </w:r>
          </w:p>
          <w:p w14:paraId="7C4EB7D6">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城市性质：东部地区重要的中心城市、国家历史文化名城、全国性综合交通枢纽城市。</w:t>
            </w:r>
          </w:p>
          <w:p w14:paraId="2F260963">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发展定位：全国先进制造业和高新技术产业基地、区域性科技创新高地、综合型现代物流中心、具有江南水乡特色的国际旅游目的地。</w:t>
            </w:r>
          </w:p>
          <w:p w14:paraId="1770DF16">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发展目标：到2025年</w:t>
            </w:r>
          </w:p>
          <w:p w14:paraId="117D80E9">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建成具有区域影响力的重要城市。生态环境质量持续改善，耕地保护、绿色发展水平不断提高；城市空间、产业布局、资源配置更加科学合理创新策源、产业引领、门户枢纽等功能全面增强；公共服务和城市韧性水平显著提升。</w:t>
            </w:r>
          </w:p>
          <w:p w14:paraId="086F5B09">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到2035年</w:t>
            </w:r>
          </w:p>
          <w:p w14:paraId="73F3D6CC">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建成经济强、百姓富、环境美、社会文明程度高的现代化城市。生态环境根本好转，全面建立绿色发展模式；构建创新引领的现代化经济体系，务实全国先进制造业和高新技术产业基地，建成区域性科技创新高地；完善链接国际国内的枢纽体系，成为服务构建新发展格局的综合型现代物流中心；建成宜居、韧性、智慧城市，国际旅游影响力全面增强。</w:t>
            </w:r>
          </w:p>
          <w:p w14:paraId="55858CB3">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展望至2050年</w:t>
            </w:r>
          </w:p>
          <w:p w14:paraId="1914E38F">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全面建成社会主义现代化城市，独具魅力的现代化国际大都市、美丽幸福新天堂。成为展示中国式现代化新道路、人类文明新形态的城市范例。</w:t>
            </w:r>
          </w:p>
          <w:p w14:paraId="1E8D2484">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统筹划定“三区三线”：</w:t>
            </w:r>
          </w:p>
          <w:p w14:paraId="03F35826">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①耕地和永久基本农田保护红线：苏州市耕地保有量不低于193.77万亩，其中永久基本农田保护面积不低于172.81万亩。</w:t>
            </w:r>
          </w:p>
          <w:p w14:paraId="73039E51">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②生态保护红线：生态保护红线面积不低于1950.71平方千米。</w:t>
            </w:r>
          </w:p>
          <w:p w14:paraId="177808F0">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③城镇开发边界：城镇开发边界面积控制在2651.83平方千米以内。</w:t>
            </w:r>
          </w:p>
          <w:p w14:paraId="1AE21159">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国土空间开发保护总体格局：</w:t>
            </w:r>
          </w:p>
          <w:p w14:paraId="707D2C3E">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对接国家“两横三纵”城镇化战略格局、国家农产品主产区和国家粮食安全产业带、“三区四带”生态屏障等国土空间开发保护要求，推动市域一体化发展，形成“一主四副双轴、一湖两带两区”的多中心、组团式、网络化的国土空间开发保护总体格局。</w:t>
            </w:r>
          </w:p>
          <w:p w14:paraId="5164877F">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本项目位于</w:t>
            </w:r>
            <w:r>
              <w:rPr>
                <w:rFonts w:hint="eastAsia" w:eastAsia="宋?" w:cs="Times New Roman"/>
                <w:b w:val="0"/>
                <w:bCs w:val="0"/>
                <w:color w:val="000000"/>
                <w:kern w:val="0"/>
                <w:szCs w:val="21"/>
                <w:highlight w:val="none"/>
                <w:lang w:val="en-US" w:eastAsia="zh-CN"/>
              </w:rPr>
              <w:t>江苏省苏州市吴江区桃源镇澄源村</w:t>
            </w:r>
            <w:r>
              <w:rPr>
                <w:rFonts w:hint="eastAsia" w:ascii="Times New Roman" w:hAnsi="Times New Roman" w:eastAsia="宋?" w:cs="Times New Roman"/>
                <w:b w:val="0"/>
                <w:bCs w:val="0"/>
                <w:color w:val="000000"/>
                <w:kern w:val="0"/>
                <w:szCs w:val="21"/>
                <w:highlight w:val="none"/>
                <w:lang w:val="en-US" w:eastAsia="zh-CN"/>
              </w:rPr>
              <w:t>，本项目不占用永久基本农田，不在生态保护红线内，位于城镇开发边界内，因此符合《苏州市国土空间总体规划（2021-2035年）》要求。</w:t>
            </w:r>
          </w:p>
          <w:p w14:paraId="2A6ADEC6">
            <w:pPr>
              <w:keepNext w:val="0"/>
              <w:keepLines w:val="0"/>
              <w:pageBreakBefore w:val="0"/>
              <w:widowControl w:val="0"/>
              <w:kinsoku/>
              <w:wordWrap/>
              <w:overflowPunct/>
              <w:topLinePunct/>
              <w:autoSpaceDE w:val="0"/>
              <w:autoSpaceDN/>
              <w:bidi w:val="0"/>
              <w:adjustRightInd w:val="0"/>
              <w:snapToGrid w:val="0"/>
              <w:spacing w:line="360" w:lineRule="auto"/>
              <w:textAlignment w:val="auto"/>
              <w:rPr>
                <w:rFonts w:hint="eastAsia" w:ascii="Times New Roman" w:hAnsi="Times New Roman" w:eastAsia="宋?" w:cs="Times New Roman"/>
                <w:b/>
                <w:bCs/>
                <w:color w:val="000000"/>
                <w:kern w:val="0"/>
                <w:szCs w:val="21"/>
                <w:highlight w:val="none"/>
                <w:lang w:val="en-US" w:eastAsia="zh-CN"/>
              </w:rPr>
            </w:pPr>
            <w:r>
              <w:rPr>
                <w:rFonts w:hint="eastAsia" w:ascii="Times New Roman" w:hAnsi="Times New Roman" w:eastAsia="宋?" w:cs="Times New Roman"/>
                <w:b/>
                <w:bCs/>
                <w:color w:val="000000"/>
                <w:kern w:val="0"/>
                <w:szCs w:val="21"/>
                <w:highlight w:val="none"/>
                <w:lang w:val="en-US" w:eastAsia="zh-CN"/>
              </w:rPr>
              <w:t>3、与《苏州市国土空间总体规划吴江分区规划（2021-2035）》的相符性分析</w:t>
            </w:r>
          </w:p>
          <w:p w14:paraId="713D50D0">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《苏州市国土空间总体规划吴江分区规划（2021-2035年）》，于2025年2月24日获江苏省人民政府批复。</w:t>
            </w:r>
          </w:p>
          <w:p w14:paraId="6ED5FDFD">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规划范围：本次规划范围为吴江行政辖区，总面积1237.44km（含吴江太湖水域）。</w:t>
            </w:r>
          </w:p>
          <w:p w14:paraId="08B50317">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发展定位：长三角生态绿色一体化发展示范区重要组成部分、创新湖区，乐居之城。</w:t>
            </w:r>
          </w:p>
          <w:p w14:paraId="63F1CD5E">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发展目标：到2025年</w:t>
            </w:r>
          </w:p>
          <w:p w14:paraId="7C72FA50">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城市功能进一步完善，一体化制度创新形成一批可复制可推广经验，示范引领长三角更高质量一体化发展的作用初步发挥。</w:t>
            </w:r>
          </w:p>
          <w:p w14:paraId="6C033194">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到2035年</w:t>
            </w:r>
          </w:p>
          <w:p w14:paraId="5535A0B7">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形成更加成熟、更加有效的绿色一体化发展制度体系，全面建设成为示范引领长三角更高质量一体化发展的标杆。构建“三核、两轴、两带、多点”的国土空间总体格局。</w:t>
            </w:r>
          </w:p>
          <w:p w14:paraId="34823EF6">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“三区三线”包含以下内容：</w:t>
            </w:r>
          </w:p>
          <w:p w14:paraId="0AEA5C2F">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①耕地和永久基本农田保护红线：吴江区耕地保有量不低于30.7757万亩（永久基本农田保护面积不低于26.7602万亩，含委托易地代保任务0.9000万亩）。</w:t>
            </w:r>
          </w:p>
          <w:p w14:paraId="105D580A">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②生态保护红线：生态保护红线面积不低于115.0801平方千米。</w:t>
            </w:r>
          </w:p>
          <w:p w14:paraId="4EEA6058">
            <w:pPr>
              <w:keepNext w:val="0"/>
              <w:keepLines w:val="0"/>
              <w:pageBreakBefore w:val="0"/>
              <w:widowControl w:val="0"/>
              <w:kinsoku/>
              <w:wordWrap/>
              <w:overflowPunct/>
              <w:topLinePunct/>
              <w:autoSpaceDE w:val="0"/>
              <w:autoSpaceDN/>
              <w:bidi w:val="0"/>
              <w:adjustRightInd w:val="0"/>
              <w:snapToGrid w:val="0"/>
              <w:spacing w:line="360" w:lineRule="auto"/>
              <w:ind w:firstLine="420" w:firstLineChars="200"/>
              <w:textAlignment w:val="auto"/>
              <w:rPr>
                <w:rFonts w:hint="eastAsia" w:ascii="Times New Roman" w:hAnsi="Times New Roman" w:eastAsia="宋?" w:cs="Times New Roman"/>
                <w:b w:val="0"/>
                <w:bCs w:val="0"/>
                <w:color w:val="000000"/>
                <w:kern w:val="0"/>
                <w:szCs w:val="21"/>
                <w:highlight w:val="none"/>
                <w:lang w:val="en-US" w:eastAsia="zh-CN"/>
              </w:rPr>
            </w:pPr>
            <w:r>
              <w:rPr>
                <w:rFonts w:hint="eastAsia" w:ascii="Times New Roman" w:hAnsi="Times New Roman" w:eastAsia="宋?" w:cs="Times New Roman"/>
                <w:b w:val="0"/>
                <w:bCs w:val="0"/>
                <w:color w:val="000000"/>
                <w:kern w:val="0"/>
                <w:szCs w:val="21"/>
                <w:highlight w:val="none"/>
                <w:lang w:val="en-US" w:eastAsia="zh-CN"/>
              </w:rPr>
              <w:t>③城镇开发边界：城镇开发边界扩展倍数控制在基于2020年城镇建设用地规模的1.2191倍。</w:t>
            </w:r>
          </w:p>
          <w:p w14:paraId="0A466B0C">
            <w:pPr>
              <w:widowControl/>
              <w:spacing w:line="360" w:lineRule="auto"/>
              <w:ind w:firstLine="420" w:firstLineChars="200"/>
              <w:jc w:val="left"/>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lang w:val="en-US" w:eastAsia="zh-CN"/>
              </w:rPr>
              <w:t>本项目位于</w:t>
            </w:r>
            <w:r>
              <w:rPr>
                <w:rFonts w:hint="eastAsia" w:cs="Times New Roman"/>
                <w:color w:val="auto"/>
                <w:kern w:val="0"/>
                <w:szCs w:val="21"/>
                <w:highlight w:val="none"/>
                <w:lang w:val="en-US" w:eastAsia="zh-CN"/>
              </w:rPr>
              <w:t>江苏省苏州市吴江区桃源镇澄源村</w:t>
            </w:r>
            <w:r>
              <w:rPr>
                <w:rFonts w:hint="eastAsia" w:ascii="Times New Roman" w:hAnsi="Times New Roman" w:eastAsia="宋体" w:cs="Times New Roman"/>
                <w:color w:val="auto"/>
                <w:kern w:val="0"/>
                <w:szCs w:val="21"/>
                <w:highlight w:val="none"/>
                <w:lang w:val="en-US" w:eastAsia="zh-CN"/>
              </w:rPr>
              <w:t>，本项目不占用永久基本农田，不在生态保护红线内，位于城镇开发边界内，因此符合《苏州市国土空间总体规划吴江分区规划（2021-2035）》要求。</w:t>
            </w:r>
          </w:p>
          <w:p w14:paraId="10DE40E7">
            <w:pPr>
              <w:topLinePunct/>
              <w:adjustRightInd w:val="0"/>
              <w:snapToGrid w:val="0"/>
              <w:spacing w:line="360" w:lineRule="auto"/>
              <w:rPr>
                <w:b/>
                <w:bCs/>
                <w:color w:val="auto"/>
                <w:kern w:val="0"/>
                <w:szCs w:val="21"/>
                <w:highlight w:val="none"/>
              </w:rPr>
            </w:pPr>
            <w:r>
              <w:rPr>
                <w:rFonts w:hint="eastAsia"/>
                <w:b/>
                <w:bCs/>
                <w:color w:val="auto"/>
                <w:kern w:val="0"/>
                <w:szCs w:val="21"/>
                <w:highlight w:val="none"/>
                <w:lang w:val="en-US" w:eastAsia="zh-CN"/>
              </w:rPr>
              <w:t>4</w:t>
            </w:r>
            <w:r>
              <w:rPr>
                <w:rFonts w:hint="eastAsia"/>
                <w:b/>
                <w:bCs/>
                <w:color w:val="auto"/>
                <w:kern w:val="0"/>
                <w:szCs w:val="21"/>
                <w:highlight w:val="none"/>
              </w:rPr>
              <w:t>、与《苏州市吴江区桃源镇总体规划修编（</w:t>
            </w:r>
            <w:r>
              <w:rPr>
                <w:b/>
                <w:bCs/>
                <w:color w:val="auto"/>
                <w:kern w:val="0"/>
                <w:szCs w:val="21"/>
                <w:highlight w:val="none"/>
              </w:rPr>
              <w:t>2017-2030</w:t>
            </w:r>
            <w:r>
              <w:rPr>
                <w:rFonts w:hint="eastAsia"/>
                <w:b/>
                <w:bCs/>
                <w:color w:val="auto"/>
                <w:kern w:val="0"/>
                <w:szCs w:val="21"/>
                <w:highlight w:val="none"/>
              </w:rPr>
              <w:t>）》相符性分析</w:t>
            </w:r>
          </w:p>
          <w:p w14:paraId="4895277C">
            <w:pPr>
              <w:widowControl/>
              <w:spacing w:line="360" w:lineRule="auto"/>
              <w:ind w:firstLine="420" w:firstLineChars="200"/>
              <w:jc w:val="left"/>
              <w:rPr>
                <w:color w:val="auto"/>
                <w:szCs w:val="21"/>
                <w:highlight w:val="none"/>
              </w:rPr>
            </w:pPr>
            <w:r>
              <w:rPr>
                <w:rFonts w:hint="eastAsia"/>
                <w:color w:val="auto"/>
                <w:kern w:val="0"/>
                <w:szCs w:val="21"/>
                <w:highlight w:val="none"/>
              </w:rPr>
              <w:t>（一）总战略目标</w:t>
            </w:r>
          </w:p>
          <w:p w14:paraId="342DA90B">
            <w:pPr>
              <w:widowControl/>
              <w:spacing w:line="360" w:lineRule="auto"/>
              <w:ind w:firstLine="420" w:firstLineChars="200"/>
              <w:jc w:val="left"/>
              <w:rPr>
                <w:color w:val="auto"/>
                <w:szCs w:val="21"/>
                <w:highlight w:val="none"/>
              </w:rPr>
            </w:pPr>
            <w:r>
              <w:rPr>
                <w:rFonts w:hint="eastAsia"/>
                <w:color w:val="auto"/>
                <w:kern w:val="0"/>
                <w:szCs w:val="21"/>
                <w:highlight w:val="none"/>
              </w:rPr>
              <w:t>以桃源镇新一轮经济建设及土地开发为契机，以第三产业及房地产开发为动力，以交通干道为纽带，优化城市用地空间结构，完善城市功能配置，指导中心区的开发建设，加快桃源城市化的进程。</w:t>
            </w:r>
          </w:p>
          <w:p w14:paraId="11317205">
            <w:pPr>
              <w:widowControl/>
              <w:spacing w:line="360" w:lineRule="auto"/>
              <w:ind w:firstLine="420" w:firstLineChars="200"/>
              <w:jc w:val="left"/>
              <w:rPr>
                <w:color w:val="auto"/>
                <w:szCs w:val="21"/>
                <w:highlight w:val="none"/>
              </w:rPr>
            </w:pPr>
            <w:r>
              <w:rPr>
                <w:rFonts w:hint="eastAsia"/>
                <w:color w:val="auto"/>
                <w:kern w:val="0"/>
                <w:szCs w:val="21"/>
                <w:highlight w:val="none"/>
              </w:rPr>
              <w:t>（二）区域规划目标</w:t>
            </w:r>
          </w:p>
          <w:p w14:paraId="7B5E446F">
            <w:pPr>
              <w:widowControl/>
              <w:spacing w:line="360" w:lineRule="auto"/>
              <w:ind w:firstLine="420" w:firstLineChars="200"/>
              <w:jc w:val="left"/>
              <w:rPr>
                <w:color w:val="auto"/>
                <w:szCs w:val="21"/>
                <w:highlight w:val="none"/>
              </w:rPr>
            </w:pPr>
            <w:r>
              <w:rPr>
                <w:color w:val="auto"/>
                <w:kern w:val="0"/>
                <w:szCs w:val="21"/>
                <w:highlight w:val="none"/>
              </w:rPr>
              <w:t>1</w:t>
            </w:r>
            <w:r>
              <w:rPr>
                <w:rFonts w:hint="eastAsia"/>
                <w:color w:val="auto"/>
                <w:kern w:val="0"/>
                <w:szCs w:val="21"/>
                <w:highlight w:val="none"/>
              </w:rPr>
              <w:t>、强化城市综合功能：中心区是全镇公共活动的集聚中心，通过规划强化市民公共生活活动功能，促使多元功能之间的互动，增强城市文化活动。</w:t>
            </w:r>
            <w:r>
              <w:rPr>
                <w:color w:val="auto"/>
                <w:kern w:val="0"/>
                <w:szCs w:val="21"/>
                <w:highlight w:val="none"/>
              </w:rPr>
              <w:t xml:space="preserve"> </w:t>
            </w:r>
          </w:p>
          <w:p w14:paraId="053F3DBD">
            <w:pPr>
              <w:widowControl/>
              <w:spacing w:line="360" w:lineRule="auto"/>
              <w:ind w:firstLine="420" w:firstLineChars="200"/>
              <w:jc w:val="left"/>
              <w:rPr>
                <w:color w:val="auto"/>
                <w:szCs w:val="21"/>
                <w:highlight w:val="none"/>
              </w:rPr>
            </w:pPr>
            <w:r>
              <w:rPr>
                <w:color w:val="auto"/>
                <w:kern w:val="0"/>
                <w:szCs w:val="21"/>
                <w:highlight w:val="none"/>
              </w:rPr>
              <w:t>2</w:t>
            </w:r>
            <w:r>
              <w:rPr>
                <w:rFonts w:hint="eastAsia"/>
                <w:color w:val="auto"/>
                <w:kern w:val="0"/>
                <w:szCs w:val="21"/>
                <w:highlight w:val="none"/>
              </w:rPr>
              <w:t>、提高城市环境品质：以人为本，以塑造高品质的城市环境为目标，突出城市轴线（道路、滨水）规划，塑造人与自然和谐共生的城市建筑群体和开放空间，配置完善的服务设施，构筑舒适、优美的绿化滨水环境。</w:t>
            </w:r>
            <w:r>
              <w:rPr>
                <w:color w:val="auto"/>
                <w:kern w:val="0"/>
                <w:szCs w:val="21"/>
                <w:highlight w:val="none"/>
              </w:rPr>
              <w:t xml:space="preserve"> </w:t>
            </w:r>
          </w:p>
          <w:p w14:paraId="27E145C0">
            <w:pPr>
              <w:widowControl/>
              <w:spacing w:line="360" w:lineRule="auto"/>
              <w:ind w:firstLine="420" w:firstLineChars="200"/>
              <w:jc w:val="left"/>
              <w:rPr>
                <w:color w:val="auto"/>
                <w:szCs w:val="21"/>
                <w:highlight w:val="none"/>
              </w:rPr>
            </w:pPr>
            <w:r>
              <w:rPr>
                <w:color w:val="auto"/>
                <w:kern w:val="0"/>
                <w:szCs w:val="21"/>
                <w:highlight w:val="none"/>
              </w:rPr>
              <w:t>3</w:t>
            </w:r>
            <w:r>
              <w:rPr>
                <w:rFonts w:hint="eastAsia"/>
                <w:color w:val="auto"/>
                <w:kern w:val="0"/>
                <w:szCs w:val="21"/>
                <w:highlight w:val="none"/>
              </w:rPr>
              <w:t>、高效的交通系统：建立合理的城区道路系统与交通系统组织，保障中心区的交通便捷与安全，特别是中心区各功能区段的可达性和相互之间的交通组织。</w:t>
            </w:r>
          </w:p>
          <w:p w14:paraId="10EB2053">
            <w:pPr>
              <w:widowControl/>
              <w:spacing w:line="360" w:lineRule="auto"/>
              <w:ind w:firstLine="420" w:firstLineChars="200"/>
              <w:jc w:val="left"/>
              <w:rPr>
                <w:color w:val="auto"/>
                <w:kern w:val="0"/>
                <w:szCs w:val="21"/>
                <w:highlight w:val="none"/>
              </w:rPr>
            </w:pPr>
            <w:r>
              <w:rPr>
                <w:color w:val="auto"/>
                <w:kern w:val="0"/>
                <w:szCs w:val="21"/>
                <w:highlight w:val="none"/>
              </w:rPr>
              <w:t>4</w:t>
            </w:r>
            <w:r>
              <w:rPr>
                <w:rFonts w:hint="eastAsia"/>
                <w:color w:val="auto"/>
                <w:kern w:val="0"/>
                <w:szCs w:val="21"/>
                <w:highlight w:val="none"/>
              </w:rPr>
              <w:t>、独具特色的城市形象：根据中心区域环境特征和独特的功能定位，结合现状景观环境，对水体</w:t>
            </w:r>
            <w:r>
              <w:rPr>
                <w:color w:val="auto"/>
                <w:kern w:val="0"/>
                <w:szCs w:val="21"/>
                <w:highlight w:val="none"/>
              </w:rPr>
              <w:t>—</w:t>
            </w:r>
            <w:r>
              <w:rPr>
                <w:rFonts w:hint="eastAsia"/>
                <w:color w:val="auto"/>
                <w:kern w:val="0"/>
                <w:szCs w:val="21"/>
                <w:highlight w:val="none"/>
              </w:rPr>
              <w:t>道路“双网”体系进行严格的规划，将河道设计成景观构成的一部分；沿华盛大道建设全新的商务办公及商贸建筑与商住区，强化城市的文化氛围，创建独具特色的城市形象。</w:t>
            </w:r>
            <w:r>
              <w:rPr>
                <w:color w:val="auto"/>
                <w:kern w:val="0"/>
                <w:szCs w:val="21"/>
                <w:highlight w:val="none"/>
              </w:rPr>
              <w:t xml:space="preserve"> </w:t>
            </w:r>
          </w:p>
          <w:p w14:paraId="7D76CF39">
            <w:pPr>
              <w:widowControl/>
              <w:spacing w:line="360" w:lineRule="auto"/>
              <w:ind w:firstLine="420" w:firstLineChars="200"/>
              <w:jc w:val="left"/>
              <w:rPr>
                <w:color w:val="auto"/>
                <w:kern w:val="0"/>
                <w:szCs w:val="21"/>
                <w:highlight w:val="none"/>
              </w:rPr>
            </w:pPr>
            <w:r>
              <w:rPr>
                <w:rFonts w:hint="eastAsia"/>
                <w:color w:val="auto"/>
                <w:kern w:val="0"/>
                <w:szCs w:val="21"/>
                <w:highlight w:val="none"/>
              </w:rPr>
              <w:t>（三）功能定位</w:t>
            </w:r>
          </w:p>
          <w:p w14:paraId="3DA84828">
            <w:pPr>
              <w:widowControl/>
              <w:spacing w:line="360" w:lineRule="auto"/>
              <w:ind w:firstLine="420" w:firstLineChars="200"/>
              <w:jc w:val="left"/>
              <w:rPr>
                <w:color w:val="auto"/>
                <w:kern w:val="0"/>
                <w:szCs w:val="21"/>
                <w:highlight w:val="none"/>
              </w:rPr>
            </w:pPr>
            <w:r>
              <w:rPr>
                <w:rFonts w:hint="eastAsia"/>
                <w:color w:val="auto"/>
                <w:kern w:val="0"/>
                <w:szCs w:val="21"/>
                <w:highlight w:val="none"/>
              </w:rPr>
              <w:t>为了营造桃源中心区的优势，除了土地的价格优势之外，将其定位为独具特色的亲水生态型的公共服务区域。以生态景观为核心营造独有的自然及人工环境，极大地增强了其吸引力，其市场前景也就相当乐观。在其产业定位上，桃源中心区将大力发展以商贸、金融、休闲娱乐为代表的现代服务业和以环境为先导的生态居住。</w:t>
            </w:r>
          </w:p>
          <w:p w14:paraId="42EA623E">
            <w:pPr>
              <w:widowControl/>
              <w:spacing w:line="360" w:lineRule="auto"/>
              <w:ind w:firstLine="420" w:firstLineChars="200"/>
              <w:jc w:val="left"/>
              <w:rPr>
                <w:color w:val="auto"/>
                <w:kern w:val="0"/>
                <w:szCs w:val="21"/>
                <w:highlight w:val="none"/>
              </w:rPr>
            </w:pPr>
            <w:r>
              <w:rPr>
                <w:rFonts w:hint="eastAsia"/>
                <w:color w:val="auto"/>
                <w:kern w:val="0"/>
                <w:szCs w:val="21"/>
                <w:highlight w:val="none"/>
              </w:rPr>
              <w:t>（四）总体布局结构</w:t>
            </w:r>
            <w:r>
              <w:rPr>
                <w:color w:val="auto"/>
                <w:kern w:val="0"/>
                <w:szCs w:val="21"/>
                <w:highlight w:val="none"/>
              </w:rPr>
              <w:t xml:space="preserve"> </w:t>
            </w:r>
          </w:p>
          <w:p w14:paraId="01CBC5EB">
            <w:pPr>
              <w:widowControl/>
              <w:spacing w:line="360" w:lineRule="auto"/>
              <w:ind w:firstLine="420" w:firstLineChars="200"/>
              <w:jc w:val="left"/>
              <w:rPr>
                <w:color w:val="auto"/>
                <w:kern w:val="0"/>
                <w:szCs w:val="21"/>
                <w:highlight w:val="none"/>
              </w:rPr>
            </w:pPr>
            <w:r>
              <w:rPr>
                <w:rFonts w:hint="eastAsia"/>
                <w:color w:val="auto"/>
                <w:kern w:val="0"/>
                <w:szCs w:val="21"/>
                <w:highlight w:val="none"/>
              </w:rPr>
              <w:t>规划用地布局的总体结构可概括为“一核、一心、两轴、三片区”的总体发展模式。</w:t>
            </w:r>
          </w:p>
          <w:p w14:paraId="529F0B87">
            <w:pPr>
              <w:widowControl/>
              <w:spacing w:line="360" w:lineRule="auto"/>
              <w:ind w:firstLine="420" w:firstLineChars="200"/>
              <w:jc w:val="left"/>
              <w:rPr>
                <w:color w:val="auto"/>
                <w:kern w:val="0"/>
                <w:szCs w:val="21"/>
                <w:highlight w:val="none"/>
              </w:rPr>
            </w:pPr>
            <w:r>
              <w:rPr>
                <w:rFonts w:hint="eastAsia"/>
                <w:color w:val="auto"/>
                <w:kern w:val="0"/>
                <w:szCs w:val="21"/>
                <w:highlight w:val="none"/>
              </w:rPr>
              <w:t>“一核”：是指文桥港北侧、苏震桃一级公路西侧的以中央公园及商业为核心的镇级公共服务核心区，它集中了整个区域的核心商业商务、休闲娱乐和文体教育设施，是整个区域的核心发展区。</w:t>
            </w:r>
          </w:p>
          <w:p w14:paraId="370768ED">
            <w:pPr>
              <w:widowControl/>
              <w:spacing w:line="360" w:lineRule="auto"/>
              <w:ind w:firstLine="420" w:firstLineChars="200"/>
              <w:jc w:val="left"/>
              <w:rPr>
                <w:color w:val="auto"/>
                <w:kern w:val="0"/>
                <w:szCs w:val="21"/>
                <w:highlight w:val="none"/>
              </w:rPr>
            </w:pPr>
            <w:r>
              <w:rPr>
                <w:rFonts w:hint="eastAsia"/>
                <w:color w:val="auto"/>
                <w:kern w:val="0"/>
                <w:szCs w:val="21"/>
                <w:highlight w:val="none"/>
              </w:rPr>
              <w:t>“一心”：是指文桥港南部以政府为核心的行政、商业、商务公共设施中心，它既是中心区近期发展的重要带动因素，同时也是远期整个中心区南部不可或缺的公共服务副中心。</w:t>
            </w:r>
          </w:p>
          <w:p w14:paraId="3AF592AA">
            <w:pPr>
              <w:widowControl/>
              <w:spacing w:line="360" w:lineRule="auto"/>
              <w:ind w:firstLine="420" w:firstLineChars="200"/>
              <w:jc w:val="left"/>
              <w:rPr>
                <w:color w:val="auto"/>
                <w:kern w:val="0"/>
                <w:szCs w:val="21"/>
                <w:highlight w:val="none"/>
              </w:rPr>
            </w:pPr>
            <w:r>
              <w:rPr>
                <w:rFonts w:hint="eastAsia"/>
                <w:color w:val="auto"/>
                <w:kern w:val="0"/>
                <w:szCs w:val="21"/>
                <w:highlight w:val="none"/>
              </w:rPr>
              <w:t>“两轴”：分别指南北向的华盛大道大型公建发展轴和居住区公建发展轴。</w:t>
            </w:r>
            <w:r>
              <w:rPr>
                <w:color w:val="auto"/>
                <w:kern w:val="0"/>
                <w:szCs w:val="21"/>
                <w:highlight w:val="none"/>
              </w:rPr>
              <w:t xml:space="preserve"> </w:t>
            </w:r>
          </w:p>
          <w:p w14:paraId="33C5738D">
            <w:pPr>
              <w:widowControl/>
              <w:spacing w:line="360" w:lineRule="auto"/>
              <w:ind w:firstLine="420" w:firstLineChars="200"/>
              <w:jc w:val="left"/>
              <w:rPr>
                <w:color w:val="auto"/>
                <w:kern w:val="0"/>
                <w:szCs w:val="21"/>
                <w:highlight w:val="none"/>
              </w:rPr>
            </w:pPr>
            <w:r>
              <w:rPr>
                <w:rFonts w:hint="eastAsia"/>
                <w:color w:val="auto"/>
                <w:kern w:val="0"/>
                <w:szCs w:val="21"/>
                <w:highlight w:val="none"/>
              </w:rPr>
              <w:t>华盛大道大型公建发展轴：既是整个区域的交通枢纽，同时更是整个区域的核心公建的聚集区，是整个区域的核心发展带。</w:t>
            </w:r>
            <w:r>
              <w:rPr>
                <w:color w:val="auto"/>
                <w:kern w:val="0"/>
                <w:szCs w:val="21"/>
                <w:highlight w:val="none"/>
              </w:rPr>
              <w:t xml:space="preserve"> </w:t>
            </w:r>
          </w:p>
          <w:p w14:paraId="48293668">
            <w:pPr>
              <w:widowControl/>
              <w:spacing w:line="360" w:lineRule="auto"/>
              <w:ind w:firstLine="420" w:firstLineChars="200"/>
              <w:jc w:val="left"/>
              <w:rPr>
                <w:color w:val="auto"/>
                <w:kern w:val="0"/>
                <w:szCs w:val="21"/>
                <w:highlight w:val="none"/>
              </w:rPr>
            </w:pPr>
            <w:r>
              <w:rPr>
                <w:rFonts w:hint="eastAsia"/>
                <w:color w:val="auto"/>
                <w:kern w:val="0"/>
                <w:szCs w:val="21"/>
                <w:highlight w:val="none"/>
              </w:rPr>
              <w:t>居住区公建发展轴：以与华盛大道平行的南北向次干道为依托，设置主要服务于居住区的商业娱乐服务带，起着联系三大居住片区的重要作用。规划区由这两条主要发展轴分割形成三条南北向的功能廊道，由东向西分别为大型公共服务设施廊道、商业娱乐廊道和居住生活廊道。</w:t>
            </w:r>
          </w:p>
          <w:p w14:paraId="6DD5ABC2">
            <w:pPr>
              <w:widowControl/>
              <w:spacing w:line="360" w:lineRule="auto"/>
              <w:ind w:firstLine="420" w:firstLineChars="200"/>
              <w:jc w:val="left"/>
              <w:rPr>
                <w:color w:val="auto"/>
                <w:kern w:val="0"/>
                <w:szCs w:val="21"/>
                <w:highlight w:val="none"/>
              </w:rPr>
            </w:pPr>
            <w:r>
              <w:rPr>
                <w:rFonts w:hint="eastAsia"/>
                <w:color w:val="auto"/>
                <w:kern w:val="0"/>
                <w:szCs w:val="21"/>
                <w:highlight w:val="none"/>
              </w:rPr>
              <w:t>“三片区”：是以文桥港及北部的青铜路（规划）为界分割形成的三片住宅区，分别设置北部居住组团、核心居住组团和府南居住组团。</w:t>
            </w:r>
            <w:r>
              <w:rPr>
                <w:color w:val="auto"/>
                <w:kern w:val="0"/>
                <w:szCs w:val="21"/>
                <w:highlight w:val="none"/>
              </w:rPr>
              <w:t xml:space="preserve"> </w:t>
            </w:r>
          </w:p>
          <w:p w14:paraId="5DEBBE45">
            <w:pPr>
              <w:widowControl/>
              <w:spacing w:line="360" w:lineRule="auto"/>
              <w:ind w:firstLine="420" w:firstLineChars="200"/>
              <w:jc w:val="left"/>
              <w:rPr>
                <w:color w:val="auto"/>
                <w:kern w:val="0"/>
                <w:szCs w:val="21"/>
                <w:highlight w:val="none"/>
              </w:rPr>
            </w:pPr>
            <w:r>
              <w:rPr>
                <w:rFonts w:hint="eastAsia"/>
                <w:color w:val="auto"/>
                <w:kern w:val="0"/>
                <w:szCs w:val="21"/>
                <w:highlight w:val="none"/>
              </w:rPr>
              <w:t>（五）工业仓储用地规划</w:t>
            </w:r>
          </w:p>
          <w:p w14:paraId="3F4FEAF9">
            <w:pPr>
              <w:widowControl/>
              <w:spacing w:line="360" w:lineRule="auto"/>
              <w:ind w:firstLine="420" w:firstLineChars="200"/>
              <w:jc w:val="left"/>
              <w:rPr>
                <w:color w:val="auto"/>
                <w:kern w:val="0"/>
                <w:szCs w:val="21"/>
                <w:highlight w:val="none"/>
              </w:rPr>
            </w:pPr>
            <w:r>
              <w:rPr>
                <w:color w:val="auto"/>
                <w:kern w:val="0"/>
                <w:szCs w:val="21"/>
                <w:highlight w:val="none"/>
              </w:rPr>
              <w:t>1</w:t>
            </w:r>
            <w:r>
              <w:rPr>
                <w:rFonts w:hint="eastAsia"/>
                <w:color w:val="auto"/>
                <w:kern w:val="0"/>
                <w:szCs w:val="21"/>
                <w:highlight w:val="none"/>
              </w:rPr>
              <w:t>、工业用地规划</w:t>
            </w:r>
          </w:p>
          <w:p w14:paraId="2CF1AE24">
            <w:pPr>
              <w:widowControl/>
              <w:spacing w:line="360" w:lineRule="auto"/>
              <w:ind w:firstLine="420" w:firstLineChars="200"/>
              <w:jc w:val="left"/>
              <w:rPr>
                <w:color w:val="auto"/>
                <w:kern w:val="0"/>
                <w:szCs w:val="21"/>
                <w:highlight w:val="none"/>
              </w:rPr>
            </w:pPr>
            <w:r>
              <w:rPr>
                <w:rFonts w:hint="eastAsia"/>
                <w:color w:val="auto"/>
                <w:kern w:val="0"/>
                <w:szCs w:val="21"/>
                <w:highlight w:val="none"/>
              </w:rPr>
              <w:t>规划采用了集中式的布局模式，彻底改变现状工业用地分布零散、功能混杂的状况，将分布零散且规模较小的工业用地置换，保留现状规模较大且集中布置的部分工业用地，规划工业用地面积为</w:t>
            </w:r>
            <w:r>
              <w:rPr>
                <w:color w:val="auto"/>
                <w:kern w:val="0"/>
                <w:szCs w:val="21"/>
                <w:highlight w:val="none"/>
              </w:rPr>
              <w:t>19.51</w:t>
            </w:r>
            <w:r>
              <w:rPr>
                <w:rFonts w:hint="eastAsia"/>
                <w:color w:val="auto"/>
                <w:kern w:val="0"/>
                <w:szCs w:val="21"/>
                <w:highlight w:val="none"/>
              </w:rPr>
              <w:t>公顷，占建设用地比例</w:t>
            </w:r>
            <w:r>
              <w:rPr>
                <w:color w:val="auto"/>
                <w:kern w:val="0"/>
                <w:szCs w:val="21"/>
                <w:highlight w:val="none"/>
              </w:rPr>
              <w:t>4.29%</w:t>
            </w:r>
            <w:r>
              <w:rPr>
                <w:rFonts w:hint="eastAsia"/>
                <w:color w:val="auto"/>
                <w:kern w:val="0"/>
                <w:szCs w:val="21"/>
                <w:highlight w:val="none"/>
              </w:rPr>
              <w:t>。</w:t>
            </w:r>
          </w:p>
          <w:p w14:paraId="0DD67572">
            <w:pPr>
              <w:widowControl/>
              <w:spacing w:line="360" w:lineRule="auto"/>
              <w:ind w:firstLine="420" w:firstLineChars="200"/>
              <w:jc w:val="left"/>
              <w:rPr>
                <w:color w:val="auto"/>
                <w:kern w:val="0"/>
                <w:szCs w:val="21"/>
                <w:highlight w:val="none"/>
              </w:rPr>
            </w:pPr>
            <w:r>
              <w:rPr>
                <w:color w:val="auto"/>
                <w:kern w:val="0"/>
                <w:szCs w:val="21"/>
                <w:highlight w:val="none"/>
              </w:rPr>
              <w:t>2</w:t>
            </w:r>
            <w:r>
              <w:rPr>
                <w:rFonts w:hint="eastAsia"/>
                <w:color w:val="auto"/>
                <w:kern w:val="0"/>
                <w:szCs w:val="21"/>
                <w:highlight w:val="none"/>
              </w:rPr>
              <w:t>、仓储用地规划</w:t>
            </w:r>
            <w:r>
              <w:rPr>
                <w:color w:val="auto"/>
                <w:kern w:val="0"/>
                <w:szCs w:val="21"/>
                <w:highlight w:val="none"/>
              </w:rPr>
              <w:t xml:space="preserve"> </w:t>
            </w:r>
          </w:p>
          <w:p w14:paraId="6B09F1C6">
            <w:pPr>
              <w:widowControl/>
              <w:spacing w:line="360" w:lineRule="auto"/>
              <w:ind w:firstLine="420" w:firstLineChars="200"/>
              <w:jc w:val="left"/>
              <w:rPr>
                <w:color w:val="auto"/>
                <w:kern w:val="0"/>
                <w:szCs w:val="21"/>
                <w:highlight w:val="none"/>
              </w:rPr>
            </w:pPr>
            <w:r>
              <w:rPr>
                <w:rFonts w:hint="eastAsia"/>
                <w:color w:val="auto"/>
                <w:kern w:val="0"/>
                <w:szCs w:val="21"/>
                <w:highlight w:val="none"/>
              </w:rPr>
              <w:t>由于规划区内的工业用地以保留为主，因而规划不设置单独的仓储用地，企业可根据需要在内部自行设置辅助性的仓储用地，大型的仓储用地将在规划区外镇域南部的工业集中区内统一集中设置。</w:t>
            </w:r>
          </w:p>
          <w:p w14:paraId="01BC608E">
            <w:pPr>
              <w:widowControl/>
              <w:spacing w:line="360" w:lineRule="auto"/>
              <w:ind w:firstLine="420" w:firstLineChars="200"/>
              <w:jc w:val="left"/>
              <w:rPr>
                <w:color w:val="auto"/>
                <w:kern w:val="0"/>
                <w:szCs w:val="21"/>
                <w:highlight w:val="none"/>
              </w:rPr>
            </w:pPr>
            <w:r>
              <w:rPr>
                <w:rFonts w:hint="eastAsia"/>
                <w:color w:val="auto"/>
                <w:kern w:val="0"/>
                <w:szCs w:val="21"/>
                <w:highlight w:val="none"/>
              </w:rPr>
              <w:t>（六）基础设施规划</w:t>
            </w:r>
          </w:p>
          <w:p w14:paraId="69B18268">
            <w:pPr>
              <w:widowControl/>
              <w:spacing w:line="360" w:lineRule="auto"/>
              <w:ind w:firstLine="420" w:firstLineChars="200"/>
              <w:jc w:val="left"/>
              <w:rPr>
                <w:color w:val="auto"/>
                <w:kern w:val="0"/>
                <w:szCs w:val="21"/>
                <w:highlight w:val="none"/>
              </w:rPr>
            </w:pPr>
            <w:r>
              <w:rPr>
                <w:color w:val="auto"/>
                <w:kern w:val="0"/>
                <w:szCs w:val="21"/>
                <w:highlight w:val="none"/>
              </w:rPr>
              <w:t>1</w:t>
            </w:r>
            <w:r>
              <w:rPr>
                <w:rFonts w:hint="eastAsia"/>
                <w:color w:val="auto"/>
                <w:kern w:val="0"/>
                <w:szCs w:val="21"/>
                <w:highlight w:val="none"/>
              </w:rPr>
              <w:t>、给水</w:t>
            </w:r>
          </w:p>
          <w:p w14:paraId="4123CE1A">
            <w:pPr>
              <w:widowControl/>
              <w:spacing w:line="360" w:lineRule="auto"/>
              <w:ind w:firstLine="420" w:firstLineChars="200"/>
              <w:jc w:val="left"/>
              <w:rPr>
                <w:color w:val="auto"/>
                <w:kern w:val="0"/>
                <w:szCs w:val="21"/>
                <w:highlight w:val="none"/>
              </w:rPr>
            </w:pPr>
            <w:r>
              <w:rPr>
                <w:rFonts w:hint="eastAsia"/>
                <w:color w:val="auto"/>
                <w:kern w:val="0"/>
                <w:szCs w:val="21"/>
                <w:highlight w:val="none"/>
              </w:rPr>
              <w:t>规划期末规划区内最高日用水量为</w:t>
            </w:r>
            <w:r>
              <w:rPr>
                <w:color w:val="auto"/>
                <w:kern w:val="0"/>
                <w:szCs w:val="21"/>
                <w:highlight w:val="none"/>
              </w:rPr>
              <w:t>4.63</w:t>
            </w:r>
            <w:r>
              <w:rPr>
                <w:rFonts w:hint="eastAsia"/>
                <w:color w:val="auto"/>
                <w:kern w:val="0"/>
                <w:szCs w:val="21"/>
                <w:highlight w:val="none"/>
              </w:rPr>
              <w:t>万</w:t>
            </w:r>
            <w:r>
              <w:rPr>
                <w:color w:val="auto"/>
                <w:kern w:val="0"/>
                <w:szCs w:val="21"/>
                <w:highlight w:val="none"/>
              </w:rPr>
              <w:t>m</w:t>
            </w:r>
            <w:r>
              <w:rPr>
                <w:color w:val="auto"/>
                <w:kern w:val="0"/>
                <w:szCs w:val="21"/>
                <w:highlight w:val="none"/>
                <w:vertAlign w:val="superscript"/>
              </w:rPr>
              <w:t>3</w:t>
            </w:r>
            <w:r>
              <w:rPr>
                <w:color w:val="auto"/>
                <w:kern w:val="0"/>
                <w:szCs w:val="21"/>
                <w:highlight w:val="none"/>
              </w:rPr>
              <w:t>/d</w:t>
            </w:r>
            <w:r>
              <w:rPr>
                <w:rFonts w:hint="eastAsia"/>
                <w:color w:val="auto"/>
                <w:kern w:val="0"/>
                <w:szCs w:val="21"/>
                <w:highlight w:val="none"/>
              </w:rPr>
              <w:t>。给水由市区域水厂统一供给，区域输水干管沿苏震桃一级公路敷设，主要通过沿震桃公路敷设的</w:t>
            </w:r>
            <w:r>
              <w:rPr>
                <w:color w:val="auto"/>
                <w:kern w:val="0"/>
                <w:szCs w:val="21"/>
                <w:highlight w:val="none"/>
              </w:rPr>
              <w:t>DN600</w:t>
            </w:r>
            <w:r>
              <w:rPr>
                <w:rFonts w:hint="eastAsia"/>
                <w:color w:val="auto"/>
                <w:kern w:val="0"/>
                <w:szCs w:val="21"/>
                <w:highlight w:val="none"/>
              </w:rPr>
              <w:t>给水主干管接入规划区给水管网。</w:t>
            </w:r>
          </w:p>
          <w:p w14:paraId="3FB421C7">
            <w:pPr>
              <w:widowControl/>
              <w:spacing w:line="360" w:lineRule="auto"/>
              <w:ind w:firstLine="420" w:firstLineChars="200"/>
              <w:jc w:val="left"/>
              <w:rPr>
                <w:color w:val="auto"/>
                <w:kern w:val="0"/>
                <w:szCs w:val="21"/>
                <w:highlight w:val="none"/>
              </w:rPr>
            </w:pPr>
            <w:r>
              <w:rPr>
                <w:color w:val="auto"/>
                <w:kern w:val="0"/>
                <w:szCs w:val="21"/>
                <w:highlight w:val="none"/>
              </w:rPr>
              <w:t>2</w:t>
            </w:r>
            <w:r>
              <w:rPr>
                <w:rFonts w:hint="eastAsia"/>
                <w:color w:val="auto"/>
                <w:kern w:val="0"/>
                <w:szCs w:val="21"/>
                <w:highlight w:val="none"/>
              </w:rPr>
              <w:t>、排水</w:t>
            </w:r>
          </w:p>
          <w:p w14:paraId="555E2194">
            <w:pPr>
              <w:widowControl/>
              <w:spacing w:line="360" w:lineRule="auto"/>
              <w:ind w:firstLine="420" w:firstLineChars="200"/>
              <w:jc w:val="left"/>
              <w:rPr>
                <w:color w:val="auto"/>
                <w:kern w:val="0"/>
                <w:szCs w:val="21"/>
                <w:highlight w:val="none"/>
              </w:rPr>
            </w:pPr>
            <w:r>
              <w:rPr>
                <w:rFonts w:hint="eastAsia"/>
                <w:color w:val="auto"/>
                <w:kern w:val="0"/>
                <w:szCs w:val="21"/>
                <w:highlight w:val="none"/>
              </w:rPr>
              <w:t>规划区采取雨污分流制排水系统，新区一律采取雨污分流制；旧城区结合旧城改造逐步实现雨污分流制。规划期末规划区内平均日污水排放量为</w:t>
            </w:r>
            <w:r>
              <w:rPr>
                <w:color w:val="auto"/>
                <w:kern w:val="0"/>
                <w:szCs w:val="21"/>
                <w:highlight w:val="none"/>
              </w:rPr>
              <w:t>2.47</w:t>
            </w:r>
            <w:r>
              <w:rPr>
                <w:rFonts w:hint="eastAsia"/>
                <w:color w:val="auto"/>
                <w:kern w:val="0"/>
                <w:szCs w:val="21"/>
                <w:highlight w:val="none"/>
              </w:rPr>
              <w:t>万</w:t>
            </w:r>
            <w:r>
              <w:rPr>
                <w:color w:val="auto"/>
                <w:kern w:val="0"/>
                <w:szCs w:val="21"/>
                <w:highlight w:val="none"/>
              </w:rPr>
              <w:t>m</w:t>
            </w:r>
            <w:r>
              <w:rPr>
                <w:color w:val="auto"/>
                <w:kern w:val="0"/>
                <w:szCs w:val="21"/>
                <w:highlight w:val="none"/>
                <w:vertAlign w:val="superscript"/>
              </w:rPr>
              <w:t>3</w:t>
            </w:r>
            <w:r>
              <w:rPr>
                <w:color w:val="auto"/>
                <w:kern w:val="0"/>
                <w:szCs w:val="21"/>
                <w:highlight w:val="none"/>
              </w:rPr>
              <w:t>/d</w:t>
            </w:r>
            <w:r>
              <w:rPr>
                <w:rFonts w:hint="eastAsia"/>
                <w:color w:val="auto"/>
                <w:kern w:val="0"/>
                <w:szCs w:val="21"/>
                <w:highlight w:val="none"/>
              </w:rPr>
              <w:t>。目前项目所在区域污水管网</w:t>
            </w:r>
            <w:r>
              <w:rPr>
                <w:rFonts w:hint="eastAsia"/>
                <w:color w:val="auto"/>
                <w:kern w:val="0"/>
                <w:szCs w:val="21"/>
                <w:highlight w:val="none"/>
                <w:lang w:val="en-US" w:eastAsia="zh-CN"/>
              </w:rPr>
              <w:t>已经</w:t>
            </w:r>
            <w:r>
              <w:rPr>
                <w:rFonts w:hint="eastAsia"/>
                <w:color w:val="auto"/>
                <w:kern w:val="0"/>
                <w:szCs w:val="21"/>
                <w:highlight w:val="none"/>
              </w:rPr>
              <w:t>建成，生活污水直接经市政污水管网排入区域污水处理厂集中处理。</w:t>
            </w:r>
          </w:p>
          <w:p w14:paraId="7A0994ED">
            <w:pPr>
              <w:widowControl/>
              <w:spacing w:line="360" w:lineRule="auto"/>
              <w:ind w:firstLine="420" w:firstLineChars="200"/>
              <w:jc w:val="left"/>
              <w:rPr>
                <w:color w:val="auto"/>
                <w:kern w:val="0"/>
                <w:szCs w:val="21"/>
                <w:highlight w:val="none"/>
              </w:rPr>
            </w:pPr>
            <w:r>
              <w:rPr>
                <w:color w:val="auto"/>
                <w:kern w:val="0"/>
                <w:szCs w:val="21"/>
                <w:highlight w:val="none"/>
              </w:rPr>
              <w:t>3</w:t>
            </w:r>
            <w:r>
              <w:rPr>
                <w:rFonts w:hint="eastAsia"/>
                <w:color w:val="auto"/>
                <w:kern w:val="0"/>
                <w:szCs w:val="21"/>
                <w:highlight w:val="none"/>
              </w:rPr>
              <w:t>、供电</w:t>
            </w:r>
          </w:p>
          <w:p w14:paraId="210B9D14">
            <w:pPr>
              <w:widowControl/>
              <w:spacing w:line="360" w:lineRule="auto"/>
              <w:ind w:firstLine="420" w:firstLineChars="200"/>
              <w:jc w:val="left"/>
              <w:rPr>
                <w:color w:val="auto"/>
                <w:highlight w:val="none"/>
              </w:rPr>
            </w:pPr>
            <w:r>
              <w:rPr>
                <w:rFonts w:hint="eastAsia"/>
                <w:color w:val="auto"/>
                <w:kern w:val="0"/>
                <w:szCs w:val="21"/>
                <w:highlight w:val="none"/>
              </w:rPr>
              <w:t>规划区内</w:t>
            </w:r>
            <w:r>
              <w:rPr>
                <w:color w:val="auto"/>
                <w:kern w:val="0"/>
                <w:szCs w:val="21"/>
                <w:highlight w:val="none"/>
              </w:rPr>
              <w:t>10kV</w:t>
            </w:r>
            <w:r>
              <w:rPr>
                <w:rFonts w:hint="eastAsia"/>
                <w:color w:val="auto"/>
                <w:highlight w:val="none"/>
              </w:rPr>
              <w:t>高压线路</w:t>
            </w:r>
            <w:r>
              <w:rPr>
                <w:rFonts w:hint="eastAsia"/>
                <w:color w:val="auto"/>
                <w:kern w:val="0"/>
                <w:szCs w:val="21"/>
                <w:highlight w:val="none"/>
              </w:rPr>
              <w:t>总负荷总计</w:t>
            </w:r>
            <w:r>
              <w:rPr>
                <w:color w:val="auto"/>
                <w:kern w:val="0"/>
                <w:szCs w:val="21"/>
                <w:highlight w:val="none"/>
              </w:rPr>
              <w:t>26.8</w:t>
            </w:r>
            <w:r>
              <w:rPr>
                <w:rFonts w:hint="eastAsia"/>
                <w:color w:val="auto"/>
                <w:kern w:val="0"/>
                <w:szCs w:val="21"/>
                <w:highlight w:val="none"/>
              </w:rPr>
              <w:t>万</w:t>
            </w:r>
            <w:r>
              <w:rPr>
                <w:color w:val="auto"/>
                <w:kern w:val="0"/>
                <w:szCs w:val="21"/>
                <w:highlight w:val="none"/>
              </w:rPr>
              <w:t>kV</w:t>
            </w:r>
            <w:r>
              <w:rPr>
                <w:rFonts w:hint="eastAsia"/>
                <w:color w:val="auto"/>
                <w:kern w:val="0"/>
                <w:szCs w:val="21"/>
                <w:highlight w:val="none"/>
              </w:rPr>
              <w:t>，</w:t>
            </w:r>
            <w:r>
              <w:rPr>
                <w:color w:val="auto"/>
                <w:kern w:val="0"/>
                <w:szCs w:val="21"/>
                <w:highlight w:val="none"/>
              </w:rPr>
              <w:t>10kV</w:t>
            </w:r>
            <w:r>
              <w:rPr>
                <w:rFonts w:hint="eastAsia"/>
                <w:color w:val="auto"/>
                <w:highlight w:val="none"/>
              </w:rPr>
              <w:t>高压线路</w:t>
            </w:r>
            <w:r>
              <w:rPr>
                <w:rFonts w:hint="eastAsia"/>
                <w:color w:val="auto"/>
                <w:kern w:val="0"/>
                <w:szCs w:val="21"/>
                <w:highlight w:val="none"/>
              </w:rPr>
              <w:t>按最大利用小时</w:t>
            </w:r>
            <w:r>
              <w:rPr>
                <w:color w:val="auto"/>
                <w:kern w:val="0"/>
                <w:szCs w:val="21"/>
                <w:highlight w:val="none"/>
              </w:rPr>
              <w:t>4000</w:t>
            </w:r>
            <w:r>
              <w:rPr>
                <w:rFonts w:hint="eastAsia"/>
                <w:color w:val="auto"/>
                <w:kern w:val="0"/>
                <w:szCs w:val="21"/>
                <w:highlight w:val="none"/>
              </w:rPr>
              <w:t>小时算规划期末</w:t>
            </w:r>
            <w:r>
              <w:rPr>
                <w:color w:val="auto"/>
                <w:kern w:val="0"/>
                <w:szCs w:val="21"/>
                <w:highlight w:val="none"/>
              </w:rPr>
              <w:t>10kV</w:t>
            </w:r>
            <w:r>
              <w:rPr>
                <w:rFonts w:hint="eastAsia"/>
                <w:color w:val="auto"/>
                <w:highlight w:val="none"/>
              </w:rPr>
              <w:t>高压线路</w:t>
            </w:r>
            <w:r>
              <w:rPr>
                <w:rFonts w:hint="eastAsia"/>
                <w:color w:val="auto"/>
                <w:kern w:val="0"/>
                <w:szCs w:val="21"/>
                <w:highlight w:val="none"/>
              </w:rPr>
              <w:t>电量为</w:t>
            </w:r>
            <w:r>
              <w:rPr>
                <w:color w:val="auto"/>
                <w:kern w:val="0"/>
                <w:szCs w:val="21"/>
                <w:highlight w:val="none"/>
              </w:rPr>
              <w:t>107082</w:t>
            </w:r>
            <w:r>
              <w:rPr>
                <w:rFonts w:hint="eastAsia"/>
                <w:color w:val="auto"/>
                <w:kern w:val="0"/>
                <w:szCs w:val="21"/>
                <w:highlight w:val="none"/>
              </w:rPr>
              <w:t>万</w:t>
            </w:r>
            <w:r>
              <w:rPr>
                <w:color w:val="auto"/>
                <w:kern w:val="0"/>
                <w:szCs w:val="21"/>
                <w:highlight w:val="none"/>
              </w:rPr>
              <w:t>kWh</w:t>
            </w:r>
            <w:r>
              <w:rPr>
                <w:rFonts w:hint="eastAsia"/>
                <w:color w:val="auto"/>
                <w:kern w:val="0"/>
                <w:szCs w:val="21"/>
                <w:highlight w:val="none"/>
              </w:rPr>
              <w:t>。</w:t>
            </w:r>
          </w:p>
          <w:p w14:paraId="248B805B">
            <w:pPr>
              <w:widowControl/>
              <w:spacing w:line="360" w:lineRule="auto"/>
              <w:ind w:firstLine="420" w:firstLineChars="200"/>
              <w:jc w:val="left"/>
              <w:rPr>
                <w:color w:val="auto"/>
                <w:kern w:val="0"/>
                <w:szCs w:val="21"/>
                <w:highlight w:val="none"/>
              </w:rPr>
            </w:pPr>
            <w:r>
              <w:rPr>
                <w:color w:val="auto"/>
                <w:kern w:val="0"/>
                <w:szCs w:val="21"/>
                <w:highlight w:val="none"/>
              </w:rPr>
              <w:t>4</w:t>
            </w:r>
            <w:r>
              <w:rPr>
                <w:rFonts w:hint="eastAsia"/>
                <w:color w:val="auto"/>
                <w:kern w:val="0"/>
                <w:szCs w:val="21"/>
                <w:highlight w:val="none"/>
              </w:rPr>
              <w:t>、供热</w:t>
            </w:r>
          </w:p>
          <w:p w14:paraId="7D8CBAB7">
            <w:pPr>
              <w:widowControl/>
              <w:spacing w:line="360" w:lineRule="auto"/>
              <w:ind w:firstLine="420" w:firstLineChars="200"/>
              <w:jc w:val="left"/>
              <w:rPr>
                <w:color w:val="auto"/>
                <w:kern w:val="0"/>
                <w:szCs w:val="21"/>
                <w:highlight w:val="none"/>
              </w:rPr>
            </w:pPr>
            <w:r>
              <w:rPr>
                <w:rFonts w:hint="eastAsia"/>
                <w:color w:val="auto"/>
                <w:kern w:val="0"/>
                <w:szCs w:val="21"/>
                <w:highlight w:val="none"/>
              </w:rPr>
              <w:t>项目所在区域目前尚无相关供热规划。</w:t>
            </w:r>
          </w:p>
          <w:p w14:paraId="65409BF8">
            <w:pPr>
              <w:widowControl/>
              <w:spacing w:line="360" w:lineRule="auto"/>
              <w:ind w:firstLine="420" w:firstLineChars="200"/>
              <w:jc w:val="left"/>
              <w:rPr>
                <w:color w:val="auto"/>
                <w:kern w:val="0"/>
                <w:szCs w:val="21"/>
                <w:highlight w:val="none"/>
              </w:rPr>
            </w:pPr>
            <w:r>
              <w:rPr>
                <w:color w:val="auto"/>
                <w:kern w:val="0"/>
                <w:szCs w:val="21"/>
                <w:highlight w:val="none"/>
              </w:rPr>
              <w:t>5</w:t>
            </w:r>
            <w:r>
              <w:rPr>
                <w:rFonts w:hint="eastAsia"/>
                <w:color w:val="auto"/>
                <w:kern w:val="0"/>
                <w:szCs w:val="21"/>
                <w:highlight w:val="none"/>
              </w:rPr>
              <w:t>、供气</w:t>
            </w:r>
          </w:p>
          <w:p w14:paraId="3DFC890F">
            <w:pPr>
              <w:widowControl/>
              <w:spacing w:line="360" w:lineRule="auto"/>
              <w:ind w:firstLine="420" w:firstLineChars="200"/>
              <w:jc w:val="left"/>
              <w:rPr>
                <w:color w:val="auto"/>
                <w:kern w:val="0"/>
                <w:szCs w:val="21"/>
                <w:highlight w:val="none"/>
              </w:rPr>
            </w:pPr>
            <w:r>
              <w:rPr>
                <w:rFonts w:hint="eastAsia"/>
                <w:color w:val="auto"/>
                <w:kern w:val="0"/>
                <w:szCs w:val="21"/>
                <w:highlight w:val="none"/>
              </w:rPr>
              <w:t>项目所在区规划尚无天然气管线。</w:t>
            </w:r>
          </w:p>
          <w:p w14:paraId="0AEE992F">
            <w:pPr>
              <w:widowControl/>
              <w:spacing w:line="360" w:lineRule="auto"/>
              <w:ind w:firstLine="420" w:firstLineChars="200"/>
              <w:jc w:val="left"/>
              <w:rPr>
                <w:color w:val="auto"/>
                <w:kern w:val="0"/>
                <w:szCs w:val="21"/>
                <w:highlight w:val="none"/>
              </w:rPr>
            </w:pPr>
            <w:r>
              <w:rPr>
                <w:color w:val="auto"/>
                <w:kern w:val="0"/>
                <w:szCs w:val="21"/>
                <w:highlight w:val="none"/>
              </w:rPr>
              <w:t>6</w:t>
            </w:r>
            <w:r>
              <w:rPr>
                <w:rFonts w:hint="eastAsia"/>
                <w:color w:val="auto"/>
                <w:kern w:val="0"/>
                <w:szCs w:val="21"/>
                <w:highlight w:val="none"/>
              </w:rPr>
              <w:t>、电讯</w:t>
            </w:r>
          </w:p>
          <w:p w14:paraId="35C65380">
            <w:pPr>
              <w:widowControl/>
              <w:spacing w:line="360" w:lineRule="auto"/>
              <w:ind w:firstLine="420" w:firstLineChars="200"/>
              <w:jc w:val="left"/>
              <w:rPr>
                <w:color w:val="auto"/>
                <w:kern w:val="0"/>
                <w:szCs w:val="21"/>
                <w:highlight w:val="none"/>
              </w:rPr>
            </w:pPr>
            <w:r>
              <w:rPr>
                <w:rFonts w:hint="eastAsia"/>
                <w:color w:val="auto"/>
                <w:kern w:val="0"/>
                <w:szCs w:val="21"/>
                <w:highlight w:val="none"/>
              </w:rPr>
              <w:t>邮政：规划于青铜路（规划中）与华盛大道交汇处的西南部布置一处邮政支局，占地面积约</w:t>
            </w:r>
            <w:r>
              <w:rPr>
                <w:color w:val="auto"/>
                <w:kern w:val="0"/>
                <w:szCs w:val="21"/>
                <w:highlight w:val="none"/>
              </w:rPr>
              <w:t>3000</w:t>
            </w:r>
            <w:r>
              <w:rPr>
                <w:rFonts w:hint="eastAsia"/>
                <w:color w:val="auto"/>
                <w:kern w:val="0"/>
                <w:szCs w:val="21"/>
                <w:highlight w:val="none"/>
              </w:rPr>
              <w:t>平方米左右。</w:t>
            </w:r>
          </w:p>
          <w:p w14:paraId="2A3FD432">
            <w:pPr>
              <w:widowControl/>
              <w:spacing w:line="360" w:lineRule="auto"/>
              <w:ind w:firstLine="420" w:firstLineChars="200"/>
              <w:jc w:val="left"/>
              <w:rPr>
                <w:color w:val="auto"/>
                <w:kern w:val="0"/>
                <w:szCs w:val="21"/>
                <w:highlight w:val="none"/>
              </w:rPr>
            </w:pPr>
            <w:r>
              <w:rPr>
                <w:rFonts w:hint="eastAsia"/>
                <w:color w:val="auto"/>
                <w:kern w:val="0"/>
                <w:szCs w:val="21"/>
                <w:highlight w:val="none"/>
              </w:rPr>
              <w:t>电信：至规划期末规划区的电话装机容量</w:t>
            </w:r>
            <w:r>
              <w:rPr>
                <w:color w:val="auto"/>
                <w:kern w:val="0"/>
                <w:szCs w:val="21"/>
                <w:highlight w:val="none"/>
              </w:rPr>
              <w:t>6.74</w:t>
            </w:r>
            <w:r>
              <w:rPr>
                <w:rFonts w:hint="eastAsia"/>
                <w:color w:val="auto"/>
                <w:kern w:val="0"/>
                <w:szCs w:val="21"/>
                <w:highlight w:val="none"/>
              </w:rPr>
              <w:t>万部。规划区内设电信局一个，并根据地块和用户分布，规划区共设若干个电话户外交界箱。电信光缆从电信局所引出，引入各地块。规划区内增设电信服务网点一个。</w:t>
            </w:r>
          </w:p>
          <w:p w14:paraId="5C737E67">
            <w:pPr>
              <w:topLinePunct/>
              <w:adjustRightInd w:val="0"/>
              <w:snapToGrid w:val="0"/>
              <w:spacing w:line="360" w:lineRule="auto"/>
              <w:ind w:firstLine="422" w:firstLineChars="200"/>
              <w:rPr>
                <w:color w:val="auto"/>
                <w:kern w:val="0"/>
                <w:szCs w:val="21"/>
                <w:highlight w:val="none"/>
              </w:rPr>
            </w:pPr>
            <w:r>
              <w:rPr>
                <w:rFonts w:hint="eastAsia"/>
                <w:b/>
                <w:bCs/>
                <w:color w:val="auto"/>
                <w:kern w:val="0"/>
                <w:szCs w:val="21"/>
                <w:highlight w:val="none"/>
              </w:rPr>
              <w:t>相符性分析：</w:t>
            </w:r>
            <w:r>
              <w:rPr>
                <w:rFonts w:hint="eastAsia"/>
                <w:color w:val="auto"/>
                <w:kern w:val="0"/>
                <w:szCs w:val="21"/>
                <w:highlight w:val="none"/>
              </w:rPr>
              <w:t>本项目位于</w:t>
            </w:r>
            <w:r>
              <w:rPr>
                <w:rFonts w:hint="eastAsia"/>
                <w:color w:val="auto"/>
                <w:kern w:val="0"/>
                <w:szCs w:val="21"/>
                <w:highlight w:val="none"/>
                <w:lang w:eastAsia="zh-CN"/>
              </w:rPr>
              <w:t>江苏省苏州市吴江区桃源镇澄源村</w:t>
            </w:r>
            <w:r>
              <w:rPr>
                <w:rFonts w:hint="eastAsia"/>
                <w:color w:val="auto"/>
                <w:kern w:val="0"/>
                <w:szCs w:val="21"/>
                <w:highlight w:val="none"/>
              </w:rPr>
              <w:t>。根据最新详细规划，属于</w:t>
            </w:r>
            <w:r>
              <w:rPr>
                <w:rFonts w:hint="eastAsia"/>
                <w:color w:val="auto"/>
                <w:kern w:val="0"/>
                <w:szCs w:val="21"/>
                <w:highlight w:val="none"/>
                <w:lang w:val="en-US" w:eastAsia="zh-CN"/>
              </w:rPr>
              <w:t>一</w:t>
            </w:r>
            <w:r>
              <w:rPr>
                <w:rFonts w:hint="eastAsia"/>
                <w:color w:val="auto"/>
                <w:kern w:val="0"/>
                <w:szCs w:val="21"/>
                <w:highlight w:val="none"/>
              </w:rPr>
              <w:t>类工业用地。本项目厂区周边设施配套齐全，交通运输便利，自来水由自来水厂供给，电力由当地供电所提供，项目地生活污水管网</w:t>
            </w:r>
            <w:r>
              <w:rPr>
                <w:rFonts w:hint="eastAsia"/>
                <w:color w:val="auto"/>
                <w:kern w:val="0"/>
                <w:szCs w:val="21"/>
                <w:highlight w:val="none"/>
                <w:lang w:val="en-US" w:eastAsia="zh-CN"/>
              </w:rPr>
              <w:t>尚未</w:t>
            </w:r>
            <w:r>
              <w:rPr>
                <w:rFonts w:hint="eastAsia"/>
                <w:color w:val="auto"/>
                <w:kern w:val="0"/>
                <w:szCs w:val="21"/>
                <w:highlight w:val="none"/>
              </w:rPr>
              <w:t>接通，生活污水</w:t>
            </w:r>
            <w:r>
              <w:rPr>
                <w:rFonts w:hint="eastAsia"/>
                <w:color w:val="auto"/>
                <w:kern w:val="0"/>
                <w:szCs w:val="21"/>
                <w:highlight w:val="none"/>
                <w:lang w:val="en-US" w:eastAsia="zh-CN"/>
              </w:rPr>
              <w:t>近期抽运至苏州市吴江桃源生活污水处理有限公司，远期待有条件之后接管</w:t>
            </w:r>
            <w:r>
              <w:rPr>
                <w:rFonts w:hint="eastAsia"/>
                <w:color w:val="auto"/>
                <w:kern w:val="0"/>
                <w:szCs w:val="21"/>
                <w:highlight w:val="none"/>
              </w:rPr>
              <w:t>至</w:t>
            </w:r>
            <w:r>
              <w:rPr>
                <w:rFonts w:hint="eastAsia"/>
                <w:color w:val="auto"/>
                <w:kern w:val="0"/>
                <w:szCs w:val="21"/>
                <w:highlight w:val="none"/>
                <w:lang w:eastAsia="zh-CN"/>
              </w:rPr>
              <w:t>苏州市吴江桃源生活污水处理有限公司</w:t>
            </w:r>
            <w:r>
              <w:rPr>
                <w:rFonts w:hint="eastAsia"/>
                <w:color w:val="auto"/>
                <w:kern w:val="0"/>
                <w:szCs w:val="21"/>
                <w:highlight w:val="none"/>
              </w:rPr>
              <w:t>处理，</w:t>
            </w:r>
            <w:r>
              <w:rPr>
                <w:rFonts w:hint="eastAsia"/>
                <w:color w:val="auto"/>
                <w:kern w:val="0"/>
                <w:szCs w:val="21"/>
                <w:highlight w:val="none"/>
                <w:lang w:eastAsia="zh-CN"/>
              </w:rPr>
              <w:t>生产废水</w:t>
            </w:r>
            <w:r>
              <w:rPr>
                <w:rFonts w:hint="eastAsia"/>
                <w:color w:val="auto"/>
                <w:kern w:val="0"/>
                <w:szCs w:val="21"/>
                <w:highlight w:val="none"/>
              </w:rPr>
              <w:t>管网已接通，接管至苏州市桃源富乡污水处理有限公司处理后</w:t>
            </w:r>
            <w:r>
              <w:rPr>
                <w:rFonts w:hint="eastAsia"/>
                <w:color w:val="auto"/>
                <w:kern w:val="0"/>
                <w:szCs w:val="21"/>
                <w:highlight w:val="none"/>
                <w:lang w:val="en-US" w:eastAsia="zh-CN"/>
              </w:rPr>
              <w:t>76%</w:t>
            </w:r>
            <w:r>
              <w:rPr>
                <w:rFonts w:hint="eastAsia"/>
                <w:color w:val="auto"/>
                <w:kern w:val="0"/>
                <w:szCs w:val="21"/>
                <w:highlight w:val="none"/>
              </w:rPr>
              <w:t>回用，雨水经雨水管网收集后进入市政雨水管网。因此本项目选址合理。</w:t>
            </w:r>
          </w:p>
        </w:tc>
      </w:tr>
      <w:tr w14:paraId="3E4CCD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42" w:type="dxa"/>
            <w:tcBorders>
              <w:bottom w:val="single" w:color="auto" w:sz="8" w:space="0"/>
            </w:tcBorders>
            <w:vAlign w:val="center"/>
          </w:tcPr>
          <w:p w14:paraId="073CD153">
            <w:pPr>
              <w:autoSpaceDE w:val="0"/>
              <w:autoSpaceDN w:val="0"/>
              <w:adjustRightInd w:val="0"/>
              <w:snapToGrid w:val="0"/>
              <w:jc w:val="center"/>
              <w:rPr>
                <w:color w:val="auto"/>
                <w:kern w:val="0"/>
                <w:szCs w:val="21"/>
                <w:highlight w:val="none"/>
              </w:rPr>
            </w:pPr>
            <w:r>
              <w:rPr>
                <w:rFonts w:hint="eastAsia"/>
                <w:color w:val="auto"/>
                <w:kern w:val="0"/>
                <w:szCs w:val="21"/>
                <w:highlight w:val="none"/>
              </w:rPr>
              <w:t>其他符合性分析</w:t>
            </w:r>
          </w:p>
        </w:tc>
        <w:tc>
          <w:tcPr>
            <w:tcW w:w="7428" w:type="dxa"/>
            <w:gridSpan w:val="3"/>
            <w:tcBorders>
              <w:bottom w:val="single" w:color="auto" w:sz="8" w:space="0"/>
            </w:tcBorders>
            <w:vAlign w:val="top"/>
          </w:tcPr>
          <w:p w14:paraId="2501F6F5">
            <w:pPr>
              <w:tabs>
                <w:tab w:val="center" w:pos="4156"/>
                <w:tab w:val="left" w:pos="5964"/>
              </w:tabs>
              <w:adjustRightInd w:val="0"/>
              <w:snapToGrid w:val="0"/>
              <w:spacing w:line="360" w:lineRule="auto"/>
              <w:jc w:val="left"/>
              <w:rPr>
                <w:b/>
                <w:snapToGrid w:val="0"/>
                <w:color w:val="auto"/>
                <w:szCs w:val="21"/>
                <w:highlight w:val="none"/>
              </w:rPr>
            </w:pPr>
            <w:r>
              <w:rPr>
                <w:b/>
                <w:snapToGrid w:val="0"/>
                <w:color w:val="auto"/>
                <w:szCs w:val="21"/>
                <w:highlight w:val="none"/>
              </w:rPr>
              <w:t>1</w:t>
            </w:r>
            <w:r>
              <w:rPr>
                <w:rFonts w:hint="eastAsia"/>
                <w:b/>
                <w:snapToGrid w:val="0"/>
                <w:color w:val="auto"/>
                <w:szCs w:val="21"/>
                <w:highlight w:val="none"/>
              </w:rPr>
              <w:t>、产业政策相符性分析</w:t>
            </w:r>
          </w:p>
          <w:p w14:paraId="270E0264">
            <w:pPr>
              <w:tabs>
                <w:tab w:val="center" w:pos="4156"/>
                <w:tab w:val="left" w:pos="5964"/>
              </w:tabs>
              <w:adjustRightInd w:val="0"/>
              <w:snapToGrid w:val="0"/>
              <w:jc w:val="center"/>
              <w:rPr>
                <w:b/>
                <w:snapToGrid w:val="0"/>
                <w:color w:val="auto"/>
                <w:szCs w:val="21"/>
                <w:highlight w:val="none"/>
              </w:rPr>
            </w:pPr>
            <w:r>
              <w:rPr>
                <w:rFonts w:hint="eastAsia"/>
                <w:b/>
                <w:snapToGrid w:val="0"/>
                <w:color w:val="auto"/>
                <w:szCs w:val="21"/>
                <w:highlight w:val="none"/>
              </w:rPr>
              <w:t>表</w:t>
            </w:r>
            <w:r>
              <w:rPr>
                <w:b/>
                <w:snapToGrid w:val="0"/>
                <w:color w:val="auto"/>
                <w:szCs w:val="21"/>
                <w:highlight w:val="none"/>
              </w:rPr>
              <w:t xml:space="preserve">1-1  </w:t>
            </w:r>
            <w:r>
              <w:rPr>
                <w:rFonts w:hint="eastAsia"/>
                <w:b/>
                <w:snapToGrid w:val="0"/>
                <w:color w:val="auto"/>
                <w:szCs w:val="21"/>
                <w:highlight w:val="none"/>
              </w:rPr>
              <w:t>产业政策相符性分析</w:t>
            </w:r>
          </w:p>
          <w:tbl>
            <w:tblPr>
              <w:tblStyle w:val="2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55"/>
              <w:gridCol w:w="5450"/>
              <w:gridCol w:w="1007"/>
            </w:tblGrid>
            <w:tr w14:paraId="494EAB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820" w:type="dxa"/>
                  <w:tcBorders>
                    <w:tl2br w:val="nil"/>
                    <w:tr2bl w:val="nil"/>
                  </w:tcBorders>
                  <w:vAlign w:val="center"/>
                </w:tcPr>
                <w:p w14:paraId="45CAD3D6">
                  <w:pPr>
                    <w:autoSpaceDE w:val="0"/>
                    <w:autoSpaceDN w:val="0"/>
                    <w:adjustRightInd w:val="0"/>
                    <w:snapToGrid w:val="0"/>
                    <w:jc w:val="center"/>
                    <w:rPr>
                      <w:color w:val="auto"/>
                      <w:sz w:val="18"/>
                      <w:szCs w:val="18"/>
                      <w:highlight w:val="none"/>
                    </w:rPr>
                  </w:pPr>
                  <w:r>
                    <w:rPr>
                      <w:rFonts w:hint="eastAsia"/>
                      <w:color w:val="auto"/>
                      <w:sz w:val="18"/>
                      <w:szCs w:val="18"/>
                      <w:highlight w:val="none"/>
                    </w:rPr>
                    <w:t>类别</w:t>
                  </w:r>
                </w:p>
              </w:tc>
              <w:tc>
                <w:tcPr>
                  <w:tcW w:w="5923" w:type="dxa"/>
                  <w:tcBorders>
                    <w:tl2br w:val="nil"/>
                    <w:tr2bl w:val="nil"/>
                  </w:tcBorders>
                  <w:vAlign w:val="center"/>
                </w:tcPr>
                <w:p w14:paraId="1824CFCD">
                  <w:pPr>
                    <w:autoSpaceDE w:val="0"/>
                    <w:autoSpaceDN w:val="0"/>
                    <w:adjustRightInd w:val="0"/>
                    <w:snapToGrid w:val="0"/>
                    <w:jc w:val="center"/>
                    <w:rPr>
                      <w:color w:val="auto"/>
                      <w:sz w:val="18"/>
                      <w:szCs w:val="18"/>
                      <w:highlight w:val="none"/>
                    </w:rPr>
                  </w:pPr>
                  <w:r>
                    <w:rPr>
                      <w:rFonts w:hint="eastAsia"/>
                      <w:color w:val="auto"/>
                      <w:sz w:val="18"/>
                      <w:szCs w:val="18"/>
                      <w:highlight w:val="none"/>
                    </w:rPr>
                    <w:t>法律法规、政策文件</w:t>
                  </w:r>
                </w:p>
              </w:tc>
              <w:tc>
                <w:tcPr>
                  <w:tcW w:w="1094" w:type="dxa"/>
                  <w:tcBorders>
                    <w:tl2br w:val="nil"/>
                    <w:tr2bl w:val="nil"/>
                  </w:tcBorders>
                  <w:vAlign w:val="center"/>
                </w:tcPr>
                <w:p w14:paraId="51794799">
                  <w:pPr>
                    <w:autoSpaceDE w:val="0"/>
                    <w:autoSpaceDN w:val="0"/>
                    <w:adjustRightInd w:val="0"/>
                    <w:snapToGrid w:val="0"/>
                    <w:jc w:val="center"/>
                    <w:rPr>
                      <w:color w:val="auto"/>
                      <w:sz w:val="18"/>
                      <w:szCs w:val="18"/>
                      <w:highlight w:val="none"/>
                    </w:rPr>
                  </w:pPr>
                  <w:r>
                    <w:rPr>
                      <w:rFonts w:hint="eastAsia"/>
                      <w:color w:val="auto"/>
                      <w:sz w:val="18"/>
                      <w:szCs w:val="18"/>
                      <w:highlight w:val="none"/>
                    </w:rPr>
                    <w:t>是否属于</w:t>
                  </w:r>
                </w:p>
              </w:tc>
            </w:tr>
            <w:tr w14:paraId="133510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820" w:type="dxa"/>
                  <w:vMerge w:val="restart"/>
                  <w:tcBorders>
                    <w:tl2br w:val="nil"/>
                    <w:tr2bl w:val="nil"/>
                  </w:tcBorders>
                  <w:vAlign w:val="center"/>
                </w:tcPr>
                <w:p w14:paraId="2657A3CE">
                  <w:pPr>
                    <w:autoSpaceDE w:val="0"/>
                    <w:autoSpaceDN w:val="0"/>
                    <w:adjustRightInd w:val="0"/>
                    <w:snapToGrid w:val="0"/>
                    <w:jc w:val="center"/>
                    <w:rPr>
                      <w:color w:val="auto"/>
                      <w:sz w:val="18"/>
                      <w:szCs w:val="18"/>
                      <w:highlight w:val="none"/>
                    </w:rPr>
                  </w:pPr>
                  <w:r>
                    <w:rPr>
                      <w:rFonts w:hint="eastAsia"/>
                      <w:color w:val="auto"/>
                      <w:sz w:val="18"/>
                      <w:szCs w:val="18"/>
                      <w:highlight w:val="none"/>
                    </w:rPr>
                    <w:t>国家产业政策</w:t>
                  </w:r>
                </w:p>
              </w:tc>
              <w:tc>
                <w:tcPr>
                  <w:tcW w:w="5923" w:type="dxa"/>
                  <w:tcBorders>
                    <w:tl2br w:val="nil"/>
                    <w:tr2bl w:val="nil"/>
                  </w:tcBorders>
                  <w:vAlign w:val="center"/>
                </w:tcPr>
                <w:p w14:paraId="0C8EFAD4">
                  <w:pPr>
                    <w:jc w:val="left"/>
                    <w:rPr>
                      <w:color w:val="auto"/>
                      <w:sz w:val="18"/>
                      <w:szCs w:val="18"/>
                      <w:highlight w:val="none"/>
                    </w:rPr>
                  </w:pPr>
                  <w:r>
                    <w:rPr>
                      <w:rFonts w:hint="eastAsia"/>
                      <w:color w:val="auto"/>
                      <w:sz w:val="18"/>
                      <w:highlight w:val="none"/>
                    </w:rPr>
                    <w:t>《市场准入负面清单（</w:t>
                  </w:r>
                  <w:r>
                    <w:rPr>
                      <w:rFonts w:eastAsia="Times New Roman"/>
                      <w:color w:val="auto"/>
                      <w:sz w:val="18"/>
                      <w:highlight w:val="none"/>
                    </w:rPr>
                    <w:t>202</w:t>
                  </w:r>
                  <w:r>
                    <w:rPr>
                      <w:rFonts w:hint="eastAsia" w:eastAsia="宋体"/>
                      <w:color w:val="auto"/>
                      <w:sz w:val="18"/>
                      <w:highlight w:val="none"/>
                      <w:lang w:val="en-US" w:eastAsia="zh-CN"/>
                    </w:rPr>
                    <w:t>5</w:t>
                  </w:r>
                  <w:r>
                    <w:rPr>
                      <w:rFonts w:hint="eastAsia"/>
                      <w:color w:val="auto"/>
                      <w:sz w:val="18"/>
                      <w:highlight w:val="none"/>
                    </w:rPr>
                    <w:t>年版）》（发改体改规</w:t>
                  </w:r>
                  <w:r>
                    <w:rPr>
                      <w:rFonts w:hint="eastAsia" w:eastAsia="宋体"/>
                      <w:color w:val="auto"/>
                      <w:sz w:val="18"/>
                      <w:highlight w:val="none"/>
                      <w:lang w:eastAsia="zh-CN"/>
                    </w:rPr>
                    <w:t>〔</w:t>
                  </w:r>
                  <w:r>
                    <w:rPr>
                      <w:rFonts w:eastAsia="Times New Roman"/>
                      <w:color w:val="auto"/>
                      <w:sz w:val="18"/>
                      <w:highlight w:val="none"/>
                    </w:rPr>
                    <w:t>202</w:t>
                  </w:r>
                  <w:r>
                    <w:rPr>
                      <w:rFonts w:hint="eastAsia" w:eastAsia="宋体"/>
                      <w:color w:val="auto"/>
                      <w:sz w:val="18"/>
                      <w:highlight w:val="none"/>
                      <w:lang w:val="en-US" w:eastAsia="zh-CN"/>
                    </w:rPr>
                    <w:t>5</w:t>
                  </w:r>
                  <w:r>
                    <w:rPr>
                      <w:rFonts w:hint="eastAsia" w:eastAsia="宋体"/>
                      <w:color w:val="auto"/>
                      <w:sz w:val="18"/>
                      <w:highlight w:val="none"/>
                      <w:lang w:eastAsia="zh-CN"/>
                    </w:rPr>
                    <w:t>〕</w:t>
                  </w:r>
                  <w:r>
                    <w:rPr>
                      <w:rFonts w:hint="eastAsia" w:eastAsia="宋体"/>
                      <w:color w:val="auto"/>
                      <w:sz w:val="18"/>
                      <w:highlight w:val="none"/>
                      <w:lang w:val="en-US" w:eastAsia="zh-CN"/>
                    </w:rPr>
                    <w:t>466</w:t>
                  </w:r>
                  <w:r>
                    <w:rPr>
                      <w:rFonts w:hint="eastAsia"/>
                      <w:color w:val="auto"/>
                      <w:sz w:val="18"/>
                      <w:highlight w:val="none"/>
                    </w:rPr>
                    <w:t>号）中的禁止准入类项目。</w:t>
                  </w:r>
                </w:p>
              </w:tc>
              <w:tc>
                <w:tcPr>
                  <w:tcW w:w="1094" w:type="dxa"/>
                  <w:tcBorders>
                    <w:tl2br w:val="nil"/>
                    <w:tr2bl w:val="nil"/>
                  </w:tcBorders>
                  <w:vAlign w:val="center"/>
                </w:tcPr>
                <w:p w14:paraId="5D6376D5">
                  <w:pPr>
                    <w:autoSpaceDE w:val="0"/>
                    <w:autoSpaceDN w:val="0"/>
                    <w:adjustRightInd w:val="0"/>
                    <w:snapToGrid w:val="0"/>
                    <w:jc w:val="center"/>
                    <w:rPr>
                      <w:color w:val="auto"/>
                      <w:sz w:val="18"/>
                      <w:szCs w:val="18"/>
                      <w:highlight w:val="none"/>
                    </w:rPr>
                  </w:pPr>
                  <w:r>
                    <w:rPr>
                      <w:rFonts w:hint="eastAsia"/>
                      <w:color w:val="auto"/>
                      <w:sz w:val="18"/>
                      <w:szCs w:val="18"/>
                      <w:highlight w:val="none"/>
                    </w:rPr>
                    <w:t>不属于</w:t>
                  </w:r>
                </w:p>
              </w:tc>
            </w:tr>
            <w:tr w14:paraId="409391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20" w:type="dxa"/>
                  <w:vMerge w:val="continue"/>
                  <w:tcBorders>
                    <w:tl2br w:val="nil"/>
                    <w:tr2bl w:val="nil"/>
                  </w:tcBorders>
                  <w:vAlign w:val="center"/>
                </w:tcPr>
                <w:p w14:paraId="003CA083">
                  <w:pPr>
                    <w:autoSpaceDE w:val="0"/>
                    <w:autoSpaceDN w:val="0"/>
                    <w:adjustRightInd w:val="0"/>
                    <w:snapToGrid w:val="0"/>
                    <w:jc w:val="center"/>
                    <w:rPr>
                      <w:color w:val="auto"/>
                      <w:sz w:val="18"/>
                      <w:szCs w:val="18"/>
                      <w:highlight w:val="none"/>
                    </w:rPr>
                  </w:pPr>
                </w:p>
              </w:tc>
              <w:tc>
                <w:tcPr>
                  <w:tcW w:w="5923" w:type="dxa"/>
                  <w:tcBorders>
                    <w:tl2br w:val="nil"/>
                    <w:tr2bl w:val="nil"/>
                  </w:tcBorders>
                  <w:vAlign w:val="center"/>
                </w:tcPr>
                <w:p w14:paraId="49AD34FE">
                  <w:pPr>
                    <w:jc w:val="left"/>
                    <w:rPr>
                      <w:color w:val="auto"/>
                      <w:sz w:val="18"/>
                      <w:szCs w:val="18"/>
                      <w:highlight w:val="none"/>
                    </w:rPr>
                  </w:pPr>
                  <w:r>
                    <w:rPr>
                      <w:rFonts w:hint="eastAsia"/>
                      <w:color w:val="auto"/>
                      <w:sz w:val="18"/>
                      <w:highlight w:val="none"/>
                    </w:rPr>
                    <w:t>《产业结构调整指导目录</w:t>
                  </w:r>
                  <w:r>
                    <w:rPr>
                      <w:rFonts w:eastAsia="Times New Roman"/>
                      <w:color w:val="auto"/>
                      <w:sz w:val="18"/>
                      <w:highlight w:val="none"/>
                    </w:rPr>
                    <w:t>(20</w:t>
                  </w:r>
                  <w:r>
                    <w:rPr>
                      <w:color w:val="auto"/>
                      <w:sz w:val="18"/>
                      <w:highlight w:val="none"/>
                    </w:rPr>
                    <w:t>24</w:t>
                  </w:r>
                  <w:r>
                    <w:rPr>
                      <w:rFonts w:hint="eastAsia"/>
                      <w:color w:val="auto"/>
                      <w:sz w:val="18"/>
                      <w:highlight w:val="none"/>
                    </w:rPr>
                    <w:t>年本</w:t>
                  </w:r>
                  <w:r>
                    <w:rPr>
                      <w:rFonts w:eastAsia="Times New Roman"/>
                      <w:color w:val="auto"/>
                      <w:sz w:val="18"/>
                      <w:highlight w:val="none"/>
                    </w:rPr>
                    <w:t>)</w:t>
                  </w:r>
                  <w:r>
                    <w:rPr>
                      <w:rFonts w:hint="eastAsia"/>
                      <w:color w:val="auto"/>
                      <w:sz w:val="18"/>
                      <w:highlight w:val="none"/>
                    </w:rPr>
                    <w:t>》中的限制类、淘汰类项目。</w:t>
                  </w:r>
                </w:p>
              </w:tc>
              <w:tc>
                <w:tcPr>
                  <w:tcW w:w="1094" w:type="dxa"/>
                  <w:tcBorders>
                    <w:tl2br w:val="nil"/>
                    <w:tr2bl w:val="nil"/>
                  </w:tcBorders>
                  <w:vAlign w:val="center"/>
                </w:tcPr>
                <w:p w14:paraId="34BA4B93">
                  <w:pPr>
                    <w:autoSpaceDE w:val="0"/>
                    <w:autoSpaceDN w:val="0"/>
                    <w:adjustRightInd w:val="0"/>
                    <w:snapToGrid w:val="0"/>
                    <w:jc w:val="center"/>
                    <w:rPr>
                      <w:color w:val="auto"/>
                      <w:sz w:val="18"/>
                      <w:szCs w:val="18"/>
                      <w:highlight w:val="none"/>
                    </w:rPr>
                  </w:pPr>
                  <w:r>
                    <w:rPr>
                      <w:rFonts w:hint="eastAsia"/>
                      <w:color w:val="auto"/>
                      <w:sz w:val="18"/>
                      <w:szCs w:val="18"/>
                      <w:highlight w:val="none"/>
                    </w:rPr>
                    <w:t>不属于</w:t>
                  </w:r>
                </w:p>
              </w:tc>
            </w:tr>
            <w:tr w14:paraId="5A37A9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20" w:type="dxa"/>
                  <w:vMerge w:val="continue"/>
                  <w:tcBorders>
                    <w:tl2br w:val="nil"/>
                    <w:tr2bl w:val="nil"/>
                  </w:tcBorders>
                  <w:vAlign w:val="center"/>
                </w:tcPr>
                <w:p w14:paraId="423B68B9">
                  <w:pPr>
                    <w:autoSpaceDE w:val="0"/>
                    <w:autoSpaceDN w:val="0"/>
                    <w:adjustRightInd w:val="0"/>
                    <w:snapToGrid w:val="0"/>
                    <w:jc w:val="center"/>
                    <w:rPr>
                      <w:color w:val="auto"/>
                      <w:sz w:val="18"/>
                      <w:szCs w:val="18"/>
                      <w:highlight w:val="none"/>
                    </w:rPr>
                  </w:pPr>
                </w:p>
              </w:tc>
              <w:tc>
                <w:tcPr>
                  <w:tcW w:w="5923" w:type="dxa"/>
                  <w:tcBorders>
                    <w:tl2br w:val="nil"/>
                    <w:tr2bl w:val="nil"/>
                  </w:tcBorders>
                  <w:vAlign w:val="center"/>
                </w:tcPr>
                <w:p w14:paraId="71E14545">
                  <w:pPr>
                    <w:jc w:val="left"/>
                    <w:rPr>
                      <w:rFonts w:hint="default" w:eastAsia="宋体"/>
                      <w:color w:val="auto"/>
                      <w:sz w:val="18"/>
                      <w:highlight w:val="none"/>
                      <w:lang w:val="en-US" w:eastAsia="zh-CN"/>
                    </w:rPr>
                  </w:pPr>
                  <w:r>
                    <w:rPr>
                      <w:rFonts w:hint="eastAsia"/>
                      <w:color w:val="auto"/>
                      <w:sz w:val="18"/>
                      <w:highlight w:val="none"/>
                    </w:rPr>
                    <w:t>《鼓励外商投资产业目录（2022年版）》</w:t>
                  </w:r>
                  <w:r>
                    <w:rPr>
                      <w:rFonts w:hint="eastAsia"/>
                      <w:color w:val="auto"/>
                      <w:sz w:val="18"/>
                      <w:highlight w:val="none"/>
                      <w:lang w:val="en-US" w:eastAsia="zh-CN"/>
                    </w:rPr>
                    <w:t>中鼓励类项目，</w:t>
                  </w:r>
                  <w:r>
                    <w:rPr>
                      <w:rFonts w:hint="eastAsia"/>
                      <w:color w:val="auto"/>
                      <w:sz w:val="18"/>
                      <w:highlight w:val="none"/>
                    </w:rPr>
                    <w:t>《外商投资准入特别管理措施（负面清单）（2021年版）》</w:t>
                  </w:r>
                  <w:r>
                    <w:rPr>
                      <w:rFonts w:hint="eastAsia"/>
                      <w:color w:val="auto"/>
                      <w:sz w:val="18"/>
                      <w:highlight w:val="none"/>
                      <w:lang w:val="en-US" w:eastAsia="zh-CN"/>
                    </w:rPr>
                    <w:t>中禁止准入类项目</w:t>
                  </w:r>
                </w:p>
              </w:tc>
              <w:tc>
                <w:tcPr>
                  <w:tcW w:w="1094" w:type="dxa"/>
                  <w:tcBorders>
                    <w:tl2br w:val="nil"/>
                    <w:tr2bl w:val="nil"/>
                  </w:tcBorders>
                  <w:vAlign w:val="center"/>
                </w:tcPr>
                <w:p w14:paraId="5497FE00">
                  <w:pPr>
                    <w:autoSpaceDE w:val="0"/>
                    <w:autoSpaceDN w:val="0"/>
                    <w:adjustRightInd w:val="0"/>
                    <w:snapToGrid w:val="0"/>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不属于</w:t>
                  </w:r>
                </w:p>
              </w:tc>
            </w:tr>
            <w:tr w14:paraId="478266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820" w:type="dxa"/>
                  <w:vMerge w:val="restart"/>
                  <w:tcBorders>
                    <w:tl2br w:val="nil"/>
                    <w:tr2bl w:val="nil"/>
                  </w:tcBorders>
                  <w:vAlign w:val="center"/>
                </w:tcPr>
                <w:p w14:paraId="73018C24">
                  <w:pPr>
                    <w:autoSpaceDE w:val="0"/>
                    <w:autoSpaceDN w:val="0"/>
                    <w:adjustRightInd w:val="0"/>
                    <w:snapToGrid w:val="0"/>
                    <w:jc w:val="center"/>
                    <w:rPr>
                      <w:color w:val="auto"/>
                      <w:sz w:val="18"/>
                      <w:szCs w:val="18"/>
                      <w:highlight w:val="none"/>
                    </w:rPr>
                  </w:pPr>
                  <w:r>
                    <w:rPr>
                      <w:rFonts w:hint="eastAsia"/>
                      <w:color w:val="auto"/>
                      <w:sz w:val="18"/>
                      <w:szCs w:val="18"/>
                      <w:highlight w:val="none"/>
                    </w:rPr>
                    <w:t>地方产业政策</w:t>
                  </w:r>
                </w:p>
              </w:tc>
              <w:tc>
                <w:tcPr>
                  <w:tcW w:w="5923" w:type="dxa"/>
                  <w:tcBorders>
                    <w:tl2br w:val="nil"/>
                    <w:tr2bl w:val="nil"/>
                  </w:tcBorders>
                  <w:vAlign w:val="center"/>
                </w:tcPr>
                <w:p w14:paraId="462A8B99">
                  <w:pPr>
                    <w:jc w:val="left"/>
                    <w:rPr>
                      <w:color w:val="auto"/>
                      <w:sz w:val="18"/>
                      <w:szCs w:val="18"/>
                      <w:highlight w:val="none"/>
                    </w:rPr>
                  </w:pPr>
                  <w:r>
                    <w:rPr>
                      <w:rFonts w:hint="eastAsia"/>
                      <w:color w:val="auto"/>
                      <w:sz w:val="18"/>
                      <w:highlight w:val="none"/>
                    </w:rPr>
                    <w:t>《苏州市产业发展导向目录（</w:t>
                  </w:r>
                  <w:r>
                    <w:rPr>
                      <w:rFonts w:eastAsia="Times New Roman"/>
                      <w:color w:val="auto"/>
                      <w:sz w:val="18"/>
                      <w:highlight w:val="none"/>
                    </w:rPr>
                    <w:t>2007</w:t>
                  </w:r>
                  <w:r>
                    <w:rPr>
                      <w:rFonts w:hint="eastAsia"/>
                      <w:color w:val="auto"/>
                      <w:sz w:val="18"/>
                      <w:highlight w:val="none"/>
                    </w:rPr>
                    <w:t>年本）》中的限制类、禁止类、淘汰类项目。</w:t>
                  </w:r>
                </w:p>
              </w:tc>
              <w:tc>
                <w:tcPr>
                  <w:tcW w:w="1094" w:type="dxa"/>
                  <w:tcBorders>
                    <w:tl2br w:val="nil"/>
                    <w:tr2bl w:val="nil"/>
                  </w:tcBorders>
                  <w:vAlign w:val="center"/>
                </w:tcPr>
                <w:p w14:paraId="53910599">
                  <w:pPr>
                    <w:autoSpaceDE w:val="0"/>
                    <w:autoSpaceDN w:val="0"/>
                    <w:adjustRightInd w:val="0"/>
                    <w:snapToGrid w:val="0"/>
                    <w:jc w:val="center"/>
                    <w:rPr>
                      <w:color w:val="auto"/>
                      <w:sz w:val="18"/>
                      <w:szCs w:val="18"/>
                      <w:highlight w:val="none"/>
                    </w:rPr>
                  </w:pPr>
                  <w:r>
                    <w:rPr>
                      <w:rFonts w:hint="eastAsia"/>
                      <w:color w:val="auto"/>
                      <w:sz w:val="18"/>
                      <w:szCs w:val="18"/>
                      <w:highlight w:val="none"/>
                    </w:rPr>
                    <w:t>不属于</w:t>
                  </w:r>
                </w:p>
              </w:tc>
            </w:tr>
            <w:tr w14:paraId="2621AE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820" w:type="dxa"/>
                  <w:vMerge w:val="continue"/>
                  <w:tcBorders>
                    <w:tl2br w:val="nil"/>
                    <w:tr2bl w:val="nil"/>
                  </w:tcBorders>
                  <w:vAlign w:val="center"/>
                </w:tcPr>
                <w:p w14:paraId="72D47269">
                  <w:pPr>
                    <w:autoSpaceDE w:val="0"/>
                    <w:autoSpaceDN w:val="0"/>
                    <w:adjustRightInd w:val="0"/>
                    <w:snapToGrid w:val="0"/>
                    <w:jc w:val="center"/>
                    <w:rPr>
                      <w:color w:val="auto"/>
                      <w:sz w:val="18"/>
                      <w:szCs w:val="18"/>
                      <w:highlight w:val="none"/>
                    </w:rPr>
                  </w:pPr>
                </w:p>
              </w:tc>
              <w:tc>
                <w:tcPr>
                  <w:tcW w:w="5923" w:type="dxa"/>
                  <w:tcBorders>
                    <w:tl2br w:val="nil"/>
                    <w:tr2bl w:val="nil"/>
                  </w:tcBorders>
                  <w:vAlign w:val="center"/>
                </w:tcPr>
                <w:p w14:paraId="7A102158">
                  <w:pPr>
                    <w:jc w:val="left"/>
                    <w:rPr>
                      <w:color w:val="auto"/>
                      <w:sz w:val="18"/>
                      <w:szCs w:val="18"/>
                      <w:highlight w:val="none"/>
                    </w:rPr>
                  </w:pPr>
                  <w:r>
                    <w:rPr>
                      <w:rFonts w:hint="eastAsia"/>
                      <w:color w:val="auto"/>
                      <w:sz w:val="18"/>
                      <w:highlight w:val="none"/>
                    </w:rPr>
                    <w:t>《浙江省生态环境厅上海市生态环境局江苏省生态环境厅长三角生态绿色一体化发展示范区执委会关于印发长三角生态绿色一体化发展示范区生态环境准入清单的通知》（浙环函</w:t>
                  </w:r>
                  <w:r>
                    <w:rPr>
                      <w:rFonts w:hint="eastAsia"/>
                      <w:color w:val="auto"/>
                      <w:sz w:val="18"/>
                      <w:highlight w:val="none"/>
                      <w:lang w:eastAsia="zh-CN"/>
                    </w:rPr>
                    <w:t>〔</w:t>
                  </w:r>
                  <w:r>
                    <w:rPr>
                      <w:color w:val="auto"/>
                      <w:sz w:val="18"/>
                      <w:highlight w:val="none"/>
                    </w:rPr>
                    <w:t>2022</w:t>
                  </w:r>
                  <w:r>
                    <w:rPr>
                      <w:rFonts w:hint="eastAsia"/>
                      <w:color w:val="auto"/>
                      <w:sz w:val="18"/>
                      <w:highlight w:val="none"/>
                      <w:lang w:eastAsia="zh-CN"/>
                    </w:rPr>
                    <w:t>〕</w:t>
                  </w:r>
                  <w:r>
                    <w:rPr>
                      <w:color w:val="auto"/>
                      <w:sz w:val="18"/>
                      <w:highlight w:val="none"/>
                    </w:rPr>
                    <w:t>260</w:t>
                  </w:r>
                  <w:r>
                    <w:rPr>
                      <w:rFonts w:hint="eastAsia"/>
                      <w:color w:val="auto"/>
                      <w:sz w:val="18"/>
                      <w:highlight w:val="none"/>
                    </w:rPr>
                    <w:t>号）禁止事项。</w:t>
                  </w:r>
                </w:p>
              </w:tc>
              <w:tc>
                <w:tcPr>
                  <w:tcW w:w="1094" w:type="dxa"/>
                  <w:tcBorders>
                    <w:tl2br w:val="nil"/>
                    <w:tr2bl w:val="nil"/>
                  </w:tcBorders>
                  <w:vAlign w:val="center"/>
                </w:tcPr>
                <w:p w14:paraId="5D6875AB">
                  <w:pPr>
                    <w:autoSpaceDE w:val="0"/>
                    <w:autoSpaceDN w:val="0"/>
                    <w:adjustRightInd w:val="0"/>
                    <w:snapToGrid w:val="0"/>
                    <w:jc w:val="center"/>
                    <w:rPr>
                      <w:color w:val="auto"/>
                      <w:sz w:val="18"/>
                      <w:szCs w:val="18"/>
                      <w:highlight w:val="none"/>
                    </w:rPr>
                  </w:pPr>
                  <w:r>
                    <w:rPr>
                      <w:rFonts w:hint="eastAsia"/>
                      <w:color w:val="auto"/>
                      <w:sz w:val="18"/>
                      <w:szCs w:val="18"/>
                      <w:highlight w:val="none"/>
                    </w:rPr>
                    <w:t>不属于</w:t>
                  </w:r>
                </w:p>
              </w:tc>
            </w:tr>
            <w:tr w14:paraId="0672FB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820" w:type="dxa"/>
                  <w:vMerge w:val="continue"/>
                  <w:tcBorders>
                    <w:tl2br w:val="nil"/>
                    <w:tr2bl w:val="nil"/>
                  </w:tcBorders>
                  <w:vAlign w:val="center"/>
                </w:tcPr>
                <w:p w14:paraId="42D96997">
                  <w:pPr>
                    <w:autoSpaceDE w:val="0"/>
                    <w:autoSpaceDN w:val="0"/>
                    <w:adjustRightInd w:val="0"/>
                    <w:snapToGrid w:val="0"/>
                    <w:jc w:val="center"/>
                    <w:rPr>
                      <w:color w:val="auto"/>
                      <w:sz w:val="18"/>
                      <w:szCs w:val="18"/>
                      <w:highlight w:val="none"/>
                    </w:rPr>
                  </w:pPr>
                </w:p>
              </w:tc>
              <w:tc>
                <w:tcPr>
                  <w:tcW w:w="5923" w:type="dxa"/>
                  <w:tcBorders>
                    <w:tl2br w:val="nil"/>
                    <w:tr2bl w:val="nil"/>
                  </w:tcBorders>
                  <w:vAlign w:val="center"/>
                </w:tcPr>
                <w:p w14:paraId="014F219F">
                  <w:pPr>
                    <w:jc w:val="left"/>
                    <w:rPr>
                      <w:color w:val="auto"/>
                      <w:sz w:val="18"/>
                      <w:highlight w:val="none"/>
                    </w:rPr>
                  </w:pPr>
                  <w:r>
                    <w:rPr>
                      <w:rFonts w:hint="eastAsia"/>
                      <w:color w:val="auto"/>
                      <w:sz w:val="18"/>
                      <w:highlight w:val="none"/>
                    </w:rPr>
                    <w:t>《浙江省生态环境厅上海市生态环境局江苏省生态环境厅长三角生态绿色一体化示范区执委会关于进一步深化长三角生态绿色一体化发展示范区环评制度改革的指导意见》（浙环发</w:t>
                  </w:r>
                  <w:r>
                    <w:rPr>
                      <w:rFonts w:hint="eastAsia"/>
                      <w:color w:val="auto"/>
                      <w:sz w:val="18"/>
                      <w:highlight w:val="none"/>
                      <w:lang w:eastAsia="zh-CN"/>
                    </w:rPr>
                    <w:t>〔</w:t>
                  </w:r>
                  <w:r>
                    <w:rPr>
                      <w:color w:val="auto"/>
                      <w:sz w:val="18"/>
                      <w:highlight w:val="none"/>
                    </w:rPr>
                    <w:t>2023</w:t>
                  </w:r>
                  <w:r>
                    <w:rPr>
                      <w:rFonts w:hint="eastAsia"/>
                      <w:color w:val="auto"/>
                      <w:sz w:val="18"/>
                      <w:highlight w:val="none"/>
                      <w:lang w:eastAsia="zh-CN"/>
                    </w:rPr>
                    <w:t>〕</w:t>
                  </w:r>
                  <w:r>
                    <w:rPr>
                      <w:color w:val="auto"/>
                      <w:sz w:val="18"/>
                      <w:highlight w:val="none"/>
                    </w:rPr>
                    <w:t>44</w:t>
                  </w:r>
                  <w:r>
                    <w:rPr>
                      <w:rFonts w:hint="eastAsia"/>
                      <w:color w:val="auto"/>
                      <w:sz w:val="18"/>
                      <w:highlight w:val="none"/>
                    </w:rPr>
                    <w:t>号）豁免环评管理的项目类别清单和告知承诺审批的项目类别清单。</w:t>
                  </w:r>
                </w:p>
              </w:tc>
              <w:tc>
                <w:tcPr>
                  <w:tcW w:w="1094" w:type="dxa"/>
                  <w:tcBorders>
                    <w:tl2br w:val="nil"/>
                    <w:tr2bl w:val="nil"/>
                  </w:tcBorders>
                  <w:vAlign w:val="center"/>
                </w:tcPr>
                <w:p w14:paraId="72B04601">
                  <w:pPr>
                    <w:autoSpaceDE w:val="0"/>
                    <w:autoSpaceDN w:val="0"/>
                    <w:adjustRightInd w:val="0"/>
                    <w:snapToGrid w:val="0"/>
                    <w:jc w:val="center"/>
                    <w:rPr>
                      <w:color w:val="auto"/>
                      <w:sz w:val="18"/>
                      <w:szCs w:val="18"/>
                      <w:highlight w:val="none"/>
                    </w:rPr>
                  </w:pPr>
                  <w:r>
                    <w:rPr>
                      <w:rFonts w:hint="eastAsia"/>
                      <w:color w:val="auto"/>
                      <w:sz w:val="18"/>
                      <w:szCs w:val="18"/>
                      <w:highlight w:val="none"/>
                    </w:rPr>
                    <w:t>不属于</w:t>
                  </w:r>
                </w:p>
              </w:tc>
            </w:tr>
            <w:tr w14:paraId="2ADB5D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820" w:type="dxa"/>
                  <w:vMerge w:val="continue"/>
                  <w:tcBorders>
                    <w:tl2br w:val="nil"/>
                    <w:tr2bl w:val="nil"/>
                  </w:tcBorders>
                  <w:vAlign w:val="center"/>
                </w:tcPr>
                <w:p w14:paraId="2548BD3F">
                  <w:pPr>
                    <w:autoSpaceDE w:val="0"/>
                    <w:autoSpaceDN w:val="0"/>
                    <w:adjustRightInd w:val="0"/>
                    <w:snapToGrid w:val="0"/>
                    <w:jc w:val="center"/>
                    <w:rPr>
                      <w:color w:val="auto"/>
                      <w:sz w:val="18"/>
                      <w:szCs w:val="18"/>
                      <w:highlight w:val="none"/>
                    </w:rPr>
                  </w:pPr>
                </w:p>
              </w:tc>
              <w:tc>
                <w:tcPr>
                  <w:tcW w:w="5923" w:type="dxa"/>
                  <w:tcBorders>
                    <w:tl2br w:val="nil"/>
                    <w:tr2bl w:val="nil"/>
                  </w:tcBorders>
                  <w:vAlign w:val="center"/>
                </w:tcPr>
                <w:p w14:paraId="334CF649">
                  <w:pPr>
                    <w:jc w:val="left"/>
                    <w:rPr>
                      <w:color w:val="auto"/>
                      <w:sz w:val="18"/>
                      <w:highlight w:val="none"/>
                    </w:rPr>
                  </w:pPr>
                  <w:r>
                    <w:rPr>
                      <w:rFonts w:hint="eastAsia"/>
                      <w:color w:val="auto"/>
                      <w:sz w:val="18"/>
                      <w:highlight w:val="none"/>
                    </w:rPr>
                    <w:t>《江苏省产业结构调整限制、淘汰和禁止目录》（苏办发</w:t>
                  </w:r>
                  <w:r>
                    <w:rPr>
                      <w:rFonts w:hint="eastAsia"/>
                      <w:color w:val="auto"/>
                      <w:sz w:val="18"/>
                      <w:highlight w:val="none"/>
                      <w:lang w:eastAsia="zh-CN"/>
                    </w:rPr>
                    <w:t>〔</w:t>
                  </w:r>
                  <w:r>
                    <w:rPr>
                      <w:color w:val="auto"/>
                      <w:sz w:val="18"/>
                      <w:highlight w:val="none"/>
                    </w:rPr>
                    <w:t>2018</w:t>
                  </w:r>
                  <w:r>
                    <w:rPr>
                      <w:rFonts w:hint="eastAsia"/>
                      <w:color w:val="auto"/>
                      <w:sz w:val="18"/>
                      <w:highlight w:val="none"/>
                      <w:lang w:eastAsia="zh-CN"/>
                    </w:rPr>
                    <w:t>〕</w:t>
                  </w:r>
                  <w:r>
                    <w:rPr>
                      <w:color w:val="auto"/>
                      <w:sz w:val="18"/>
                      <w:highlight w:val="none"/>
                    </w:rPr>
                    <w:t>32</w:t>
                  </w:r>
                  <w:r>
                    <w:rPr>
                      <w:rFonts w:hint="eastAsia"/>
                      <w:color w:val="auto"/>
                      <w:sz w:val="18"/>
                      <w:highlight w:val="none"/>
                    </w:rPr>
                    <w:t>号附件</w:t>
                  </w:r>
                  <w:r>
                    <w:rPr>
                      <w:color w:val="auto"/>
                      <w:sz w:val="18"/>
                      <w:highlight w:val="none"/>
                    </w:rPr>
                    <w:t>3</w:t>
                  </w:r>
                  <w:r>
                    <w:rPr>
                      <w:rFonts w:hint="eastAsia"/>
                      <w:color w:val="auto"/>
                      <w:sz w:val="18"/>
                      <w:highlight w:val="none"/>
                    </w:rPr>
                    <w:t>）</w:t>
                  </w:r>
                </w:p>
              </w:tc>
              <w:tc>
                <w:tcPr>
                  <w:tcW w:w="1094" w:type="dxa"/>
                  <w:tcBorders>
                    <w:tl2br w:val="nil"/>
                    <w:tr2bl w:val="nil"/>
                  </w:tcBorders>
                  <w:vAlign w:val="center"/>
                </w:tcPr>
                <w:p w14:paraId="66856537">
                  <w:pPr>
                    <w:autoSpaceDE w:val="0"/>
                    <w:autoSpaceDN w:val="0"/>
                    <w:adjustRightInd w:val="0"/>
                    <w:snapToGrid w:val="0"/>
                    <w:jc w:val="center"/>
                    <w:rPr>
                      <w:color w:val="auto"/>
                      <w:sz w:val="18"/>
                      <w:szCs w:val="18"/>
                      <w:highlight w:val="none"/>
                    </w:rPr>
                  </w:pPr>
                  <w:r>
                    <w:rPr>
                      <w:rFonts w:hint="eastAsia"/>
                      <w:color w:val="auto"/>
                      <w:sz w:val="18"/>
                      <w:szCs w:val="18"/>
                      <w:highlight w:val="none"/>
                    </w:rPr>
                    <w:t>不属于</w:t>
                  </w:r>
                </w:p>
              </w:tc>
            </w:tr>
            <w:tr w14:paraId="2ED1E8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820" w:type="dxa"/>
                  <w:vMerge w:val="continue"/>
                  <w:tcBorders>
                    <w:tl2br w:val="nil"/>
                    <w:tr2bl w:val="nil"/>
                  </w:tcBorders>
                  <w:vAlign w:val="center"/>
                </w:tcPr>
                <w:p w14:paraId="013736CB">
                  <w:pPr>
                    <w:autoSpaceDE w:val="0"/>
                    <w:autoSpaceDN w:val="0"/>
                    <w:adjustRightInd w:val="0"/>
                    <w:snapToGrid w:val="0"/>
                    <w:jc w:val="center"/>
                    <w:rPr>
                      <w:color w:val="auto"/>
                      <w:sz w:val="18"/>
                      <w:szCs w:val="18"/>
                      <w:highlight w:val="none"/>
                    </w:rPr>
                  </w:pPr>
                </w:p>
              </w:tc>
              <w:tc>
                <w:tcPr>
                  <w:tcW w:w="5923" w:type="dxa"/>
                  <w:tcBorders>
                    <w:tl2br w:val="nil"/>
                    <w:tr2bl w:val="nil"/>
                  </w:tcBorders>
                  <w:vAlign w:val="center"/>
                </w:tcPr>
                <w:p w14:paraId="2FD37AE8">
                  <w:pPr>
                    <w:jc w:val="left"/>
                    <w:rPr>
                      <w:rFonts w:hint="default" w:eastAsia="宋体"/>
                      <w:color w:val="auto"/>
                      <w:sz w:val="18"/>
                      <w:highlight w:val="none"/>
                      <w:lang w:val="en-US" w:eastAsia="zh-CN"/>
                    </w:rPr>
                  </w:pPr>
                  <w:r>
                    <w:rPr>
                      <w:rFonts w:hint="eastAsia"/>
                      <w:color w:val="auto"/>
                      <w:sz w:val="18"/>
                      <w:highlight w:val="none"/>
                    </w:rPr>
                    <w:t>《江苏省太湖流域禁止和限制的产业产品目录2024年本》</w:t>
                  </w:r>
                  <w:r>
                    <w:rPr>
                      <w:rFonts w:hint="eastAsia"/>
                      <w:color w:val="auto"/>
                      <w:sz w:val="18"/>
                      <w:highlight w:val="none"/>
                      <w:lang w:val="en-US" w:eastAsia="zh-CN"/>
                    </w:rPr>
                    <w:t>中限制类、淘汰类、禁止类项目</w:t>
                  </w:r>
                </w:p>
              </w:tc>
              <w:tc>
                <w:tcPr>
                  <w:tcW w:w="1094" w:type="dxa"/>
                  <w:tcBorders>
                    <w:tl2br w:val="nil"/>
                    <w:tr2bl w:val="nil"/>
                  </w:tcBorders>
                  <w:vAlign w:val="center"/>
                </w:tcPr>
                <w:p w14:paraId="4114A0EF">
                  <w:pPr>
                    <w:autoSpaceDE w:val="0"/>
                    <w:autoSpaceDN w:val="0"/>
                    <w:adjustRightInd w:val="0"/>
                    <w:snapToGrid w:val="0"/>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不属于</w:t>
                  </w:r>
                </w:p>
              </w:tc>
            </w:tr>
            <w:tr w14:paraId="39865A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820" w:type="dxa"/>
                  <w:vMerge w:val="continue"/>
                  <w:tcBorders>
                    <w:tl2br w:val="nil"/>
                    <w:tr2bl w:val="nil"/>
                  </w:tcBorders>
                  <w:vAlign w:val="center"/>
                </w:tcPr>
                <w:p w14:paraId="46E4F2BD">
                  <w:pPr>
                    <w:autoSpaceDE w:val="0"/>
                    <w:autoSpaceDN w:val="0"/>
                    <w:adjustRightInd w:val="0"/>
                    <w:snapToGrid w:val="0"/>
                    <w:jc w:val="center"/>
                    <w:rPr>
                      <w:color w:val="auto"/>
                      <w:sz w:val="18"/>
                      <w:szCs w:val="18"/>
                      <w:highlight w:val="none"/>
                    </w:rPr>
                  </w:pPr>
                </w:p>
              </w:tc>
              <w:tc>
                <w:tcPr>
                  <w:tcW w:w="5923" w:type="dxa"/>
                  <w:tcBorders>
                    <w:tl2br w:val="nil"/>
                    <w:tr2bl w:val="nil"/>
                  </w:tcBorders>
                  <w:vAlign w:val="center"/>
                </w:tcPr>
                <w:p w14:paraId="788D1668">
                  <w:pPr>
                    <w:jc w:val="left"/>
                    <w:rPr>
                      <w:rFonts w:hint="default" w:eastAsia="宋体"/>
                      <w:color w:val="auto"/>
                      <w:sz w:val="18"/>
                      <w:highlight w:val="none"/>
                      <w:lang w:val="en-US" w:eastAsia="zh-CN"/>
                    </w:rPr>
                  </w:pPr>
                  <w:r>
                    <w:rPr>
                      <w:rFonts w:hint="eastAsia"/>
                      <w:color w:val="auto"/>
                      <w:sz w:val="18"/>
                      <w:highlight w:val="none"/>
                      <w:lang w:eastAsia="zh-CN"/>
                    </w:rPr>
                    <w:t>《</w:t>
                  </w:r>
                  <w:r>
                    <w:rPr>
                      <w:rFonts w:hint="eastAsia"/>
                      <w:color w:val="auto"/>
                      <w:sz w:val="18"/>
                      <w:highlight w:val="none"/>
                      <w:lang w:val="en-US" w:eastAsia="zh-CN"/>
                    </w:rPr>
                    <w:t>江苏省“两高”项目管理目录</w:t>
                  </w:r>
                  <w:r>
                    <w:rPr>
                      <w:rFonts w:hint="eastAsia"/>
                      <w:color w:val="auto"/>
                      <w:sz w:val="18"/>
                      <w:highlight w:val="none"/>
                      <w:lang w:eastAsia="zh-CN"/>
                    </w:rPr>
                    <w:t>》（</w:t>
                  </w:r>
                  <w:r>
                    <w:rPr>
                      <w:rFonts w:hint="eastAsia"/>
                      <w:color w:val="auto"/>
                      <w:sz w:val="18"/>
                      <w:highlight w:val="none"/>
                      <w:lang w:val="en-US" w:eastAsia="zh-CN"/>
                    </w:rPr>
                    <w:t>2024年版</w:t>
                  </w:r>
                  <w:r>
                    <w:rPr>
                      <w:rFonts w:hint="eastAsia"/>
                      <w:color w:val="auto"/>
                      <w:sz w:val="18"/>
                      <w:highlight w:val="none"/>
                      <w:lang w:eastAsia="zh-CN"/>
                    </w:rPr>
                    <w:t>）</w:t>
                  </w:r>
                  <w:r>
                    <w:rPr>
                      <w:rFonts w:hint="eastAsia"/>
                      <w:color w:val="auto"/>
                      <w:sz w:val="18"/>
                      <w:highlight w:val="none"/>
                      <w:lang w:val="en-US" w:eastAsia="zh-CN"/>
                    </w:rPr>
                    <w:t>中“两高”项目</w:t>
                  </w:r>
                </w:p>
              </w:tc>
              <w:tc>
                <w:tcPr>
                  <w:tcW w:w="1094" w:type="dxa"/>
                  <w:tcBorders>
                    <w:tl2br w:val="nil"/>
                    <w:tr2bl w:val="nil"/>
                  </w:tcBorders>
                  <w:vAlign w:val="center"/>
                </w:tcPr>
                <w:p w14:paraId="5E467685">
                  <w:pPr>
                    <w:autoSpaceDE w:val="0"/>
                    <w:autoSpaceDN w:val="0"/>
                    <w:adjustRightInd w:val="0"/>
                    <w:snapToGrid w:val="0"/>
                    <w:jc w:val="center"/>
                    <w:rPr>
                      <w:rFonts w:hint="default"/>
                      <w:color w:val="auto"/>
                      <w:sz w:val="18"/>
                      <w:szCs w:val="18"/>
                      <w:highlight w:val="none"/>
                      <w:lang w:val="en-US" w:eastAsia="zh-CN"/>
                    </w:rPr>
                  </w:pPr>
                  <w:r>
                    <w:rPr>
                      <w:rFonts w:hint="eastAsia"/>
                      <w:color w:val="auto"/>
                      <w:sz w:val="18"/>
                      <w:szCs w:val="18"/>
                      <w:highlight w:val="none"/>
                      <w:lang w:val="en-US" w:eastAsia="zh-CN"/>
                    </w:rPr>
                    <w:t>不属于</w:t>
                  </w:r>
                </w:p>
              </w:tc>
            </w:tr>
          </w:tbl>
          <w:p w14:paraId="704C3E92">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本项目符合国家和地方的相关产业政策。</w:t>
            </w:r>
          </w:p>
          <w:p w14:paraId="293FFEDC">
            <w:pPr>
              <w:pStyle w:val="37"/>
              <w:widowControl/>
              <w:tabs>
                <w:tab w:val="left" w:pos="1200"/>
              </w:tabs>
              <w:wordWrap/>
              <w:adjustRightInd/>
              <w:snapToGrid w:val="0"/>
              <w:spacing w:before="0" w:line="360" w:lineRule="auto"/>
              <w:ind w:right="0"/>
              <w:jc w:val="left"/>
              <w:textAlignment w:val="auto"/>
              <w:rPr>
                <w:rFonts w:hint="eastAsia" w:ascii="Times New Roman" w:hAnsi="Times New Roman" w:eastAsia="宋体"/>
                <w:b/>
                <w:bCs/>
                <w:color w:val="auto"/>
                <w:kern w:val="0"/>
                <w:sz w:val="21"/>
                <w:szCs w:val="21"/>
                <w:highlight w:val="none"/>
              </w:rPr>
            </w:pPr>
            <w:r>
              <w:rPr>
                <w:rFonts w:hint="eastAsia" w:ascii="Times New Roman" w:hAnsi="Times New Roman" w:eastAsia="宋体" w:cs="Times New Roman"/>
                <w:b/>
                <w:snapToGrid w:val="0"/>
                <w:color w:val="auto"/>
                <w:kern w:val="2"/>
                <w:sz w:val="21"/>
                <w:szCs w:val="21"/>
                <w:highlight w:val="none"/>
                <w:lang w:val="en-US" w:eastAsia="zh-CN" w:bidi="ar-SA"/>
              </w:rPr>
              <w:t>2、吴江区喷水织造行业整治提升行动相符性分析</w:t>
            </w:r>
          </w:p>
          <w:p w14:paraId="5436CB4A">
            <w:pPr>
              <w:pStyle w:val="37"/>
              <w:tabs>
                <w:tab w:val="left" w:pos="1200"/>
              </w:tabs>
              <w:spacing w:before="0" w:line="240" w:lineRule="auto"/>
              <w:ind w:right="0"/>
              <w:rPr>
                <w:rFonts w:ascii="Times New Roman" w:hAnsi="Times New Roman" w:eastAsia="宋体"/>
                <w:b/>
                <w:bCs/>
                <w:color w:val="auto"/>
                <w:kern w:val="0"/>
                <w:sz w:val="21"/>
                <w:szCs w:val="21"/>
                <w:highlight w:val="none"/>
              </w:rPr>
            </w:pPr>
            <w:r>
              <w:rPr>
                <w:rFonts w:hint="eastAsia" w:ascii="Times New Roman" w:hAnsi="Times New Roman" w:eastAsia="宋体"/>
                <w:b/>
                <w:bCs/>
                <w:color w:val="auto"/>
                <w:kern w:val="0"/>
                <w:sz w:val="21"/>
                <w:szCs w:val="21"/>
                <w:highlight w:val="none"/>
              </w:rPr>
              <w:t>表</w:t>
            </w:r>
            <w:r>
              <w:rPr>
                <w:rFonts w:ascii="Times New Roman" w:hAnsi="Times New Roman" w:eastAsia="宋体"/>
                <w:b/>
                <w:bCs/>
                <w:color w:val="auto"/>
                <w:kern w:val="0"/>
                <w:sz w:val="21"/>
                <w:szCs w:val="21"/>
                <w:highlight w:val="none"/>
              </w:rPr>
              <w:t>1-</w:t>
            </w:r>
            <w:r>
              <w:rPr>
                <w:rFonts w:hint="eastAsia" w:ascii="Times New Roman" w:hAnsi="Times New Roman" w:eastAsia="宋体"/>
                <w:b/>
                <w:bCs/>
                <w:color w:val="auto"/>
                <w:kern w:val="0"/>
                <w:sz w:val="21"/>
                <w:szCs w:val="21"/>
                <w:highlight w:val="none"/>
                <w:lang w:val="en-US" w:eastAsia="zh-CN"/>
              </w:rPr>
              <w:t>2</w:t>
            </w:r>
            <w:r>
              <w:rPr>
                <w:rFonts w:ascii="Times New Roman" w:hAnsi="Times New Roman" w:eastAsia="宋体"/>
                <w:b/>
                <w:bCs/>
                <w:color w:val="auto"/>
                <w:kern w:val="0"/>
                <w:sz w:val="21"/>
                <w:szCs w:val="21"/>
                <w:highlight w:val="none"/>
              </w:rPr>
              <w:t xml:space="preserve"> </w:t>
            </w:r>
            <w:r>
              <w:rPr>
                <w:rFonts w:hint="eastAsia" w:ascii="Times New Roman" w:hAnsi="Times New Roman" w:eastAsia="宋体"/>
                <w:b/>
                <w:bCs/>
                <w:color w:val="auto"/>
                <w:kern w:val="0"/>
                <w:sz w:val="21"/>
                <w:szCs w:val="21"/>
                <w:highlight w:val="none"/>
              </w:rPr>
              <w:t>《吴江区喷水织造行业(含污水处理厂、站)整治提升行动工作指引》（喷组</w:t>
            </w:r>
            <w:r>
              <w:rPr>
                <w:rFonts w:hint="eastAsia" w:ascii="Times New Roman" w:hAnsi="Times New Roman" w:eastAsia="宋体"/>
                <w:b/>
                <w:bCs/>
                <w:color w:val="auto"/>
                <w:kern w:val="0"/>
                <w:sz w:val="21"/>
                <w:szCs w:val="21"/>
                <w:highlight w:val="none"/>
                <w:lang w:eastAsia="zh-CN"/>
              </w:rPr>
              <w:t>〔</w:t>
            </w:r>
            <w:r>
              <w:rPr>
                <w:rFonts w:hint="eastAsia" w:ascii="Times New Roman" w:hAnsi="Times New Roman" w:eastAsia="宋体"/>
                <w:b/>
                <w:bCs/>
                <w:color w:val="auto"/>
                <w:kern w:val="0"/>
                <w:sz w:val="21"/>
                <w:szCs w:val="21"/>
                <w:highlight w:val="none"/>
              </w:rPr>
              <w:t>2023</w:t>
            </w:r>
            <w:r>
              <w:rPr>
                <w:rFonts w:hint="eastAsia" w:ascii="Times New Roman" w:hAnsi="Times New Roman" w:eastAsia="宋体"/>
                <w:b/>
                <w:bCs/>
                <w:color w:val="auto"/>
                <w:kern w:val="0"/>
                <w:sz w:val="21"/>
                <w:szCs w:val="21"/>
                <w:highlight w:val="none"/>
                <w:lang w:eastAsia="zh-CN"/>
              </w:rPr>
              <w:t>〕</w:t>
            </w:r>
            <w:r>
              <w:rPr>
                <w:rFonts w:hint="eastAsia" w:ascii="Times New Roman" w:hAnsi="Times New Roman" w:eastAsia="宋体"/>
                <w:b/>
                <w:bCs/>
                <w:color w:val="auto"/>
                <w:kern w:val="0"/>
                <w:sz w:val="21"/>
                <w:szCs w:val="21"/>
                <w:highlight w:val="none"/>
              </w:rPr>
              <w:t>2号）相符性分析</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92"/>
              <w:gridCol w:w="1812"/>
              <w:gridCol w:w="608"/>
            </w:tblGrid>
            <w:tr w14:paraId="2433B8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30" w:type="dxa"/>
                  <w:tcBorders>
                    <w:tl2br w:val="nil"/>
                    <w:tr2bl w:val="nil"/>
                  </w:tcBorders>
                  <w:vAlign w:val="center"/>
                </w:tcPr>
                <w:p w14:paraId="228E7149">
                  <w:pPr>
                    <w:spacing w:line="240" w:lineRule="exact"/>
                    <w:jc w:val="center"/>
                    <w:rPr>
                      <w:color w:val="auto"/>
                      <w:sz w:val="18"/>
                      <w:szCs w:val="18"/>
                      <w:highlight w:val="none"/>
                    </w:rPr>
                  </w:pPr>
                  <w:r>
                    <w:rPr>
                      <w:rFonts w:hint="eastAsia"/>
                      <w:color w:val="auto"/>
                      <w:sz w:val="18"/>
                      <w:szCs w:val="18"/>
                      <w:highlight w:val="none"/>
                      <w:lang w:val="en-US" w:eastAsia="zh-CN"/>
                    </w:rPr>
                    <w:t>工作</w:t>
                  </w:r>
                  <w:r>
                    <w:rPr>
                      <w:rFonts w:hint="eastAsia"/>
                      <w:color w:val="auto"/>
                      <w:sz w:val="18"/>
                      <w:szCs w:val="18"/>
                      <w:highlight w:val="none"/>
                    </w:rPr>
                    <w:t>要求</w:t>
                  </w:r>
                </w:p>
              </w:tc>
              <w:tc>
                <w:tcPr>
                  <w:tcW w:w="1965" w:type="dxa"/>
                  <w:tcBorders>
                    <w:tl2br w:val="nil"/>
                    <w:tr2bl w:val="nil"/>
                  </w:tcBorders>
                  <w:vAlign w:val="center"/>
                </w:tcPr>
                <w:p w14:paraId="70592B48">
                  <w:pPr>
                    <w:spacing w:line="240" w:lineRule="exact"/>
                    <w:jc w:val="center"/>
                    <w:rPr>
                      <w:color w:val="auto"/>
                      <w:sz w:val="18"/>
                      <w:szCs w:val="18"/>
                      <w:highlight w:val="none"/>
                    </w:rPr>
                  </w:pPr>
                  <w:r>
                    <w:rPr>
                      <w:rFonts w:hint="eastAsia"/>
                      <w:color w:val="auto"/>
                      <w:sz w:val="18"/>
                      <w:szCs w:val="18"/>
                      <w:highlight w:val="none"/>
                    </w:rPr>
                    <w:t>本项目情况</w:t>
                  </w:r>
                </w:p>
              </w:tc>
              <w:tc>
                <w:tcPr>
                  <w:tcW w:w="645" w:type="dxa"/>
                  <w:tcBorders>
                    <w:tl2br w:val="nil"/>
                    <w:tr2bl w:val="nil"/>
                  </w:tcBorders>
                  <w:vAlign w:val="center"/>
                </w:tcPr>
                <w:p w14:paraId="065EF327">
                  <w:pPr>
                    <w:spacing w:line="240" w:lineRule="exact"/>
                    <w:jc w:val="center"/>
                    <w:rPr>
                      <w:color w:val="auto"/>
                      <w:sz w:val="18"/>
                      <w:szCs w:val="18"/>
                      <w:highlight w:val="none"/>
                    </w:rPr>
                  </w:pPr>
                  <w:r>
                    <w:rPr>
                      <w:rFonts w:hint="eastAsia"/>
                      <w:color w:val="auto"/>
                      <w:sz w:val="18"/>
                      <w:szCs w:val="18"/>
                      <w:highlight w:val="none"/>
                    </w:rPr>
                    <w:t>相符性</w:t>
                  </w:r>
                </w:p>
              </w:tc>
            </w:tr>
            <w:tr w14:paraId="73012E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30" w:type="dxa"/>
                  <w:tcBorders>
                    <w:tl2br w:val="nil"/>
                    <w:tr2bl w:val="nil"/>
                  </w:tcBorders>
                  <w:vAlign w:val="center"/>
                </w:tcPr>
                <w:p w14:paraId="05FBB549">
                  <w:pPr>
                    <w:spacing w:line="240" w:lineRule="exact"/>
                    <w:jc w:val="left"/>
                    <w:rPr>
                      <w:color w:val="auto"/>
                      <w:sz w:val="18"/>
                      <w:szCs w:val="18"/>
                      <w:highlight w:val="none"/>
                    </w:rPr>
                  </w:pPr>
                  <w:r>
                    <w:rPr>
                      <w:rFonts w:hint="eastAsia"/>
                      <w:color w:val="auto"/>
                      <w:sz w:val="18"/>
                      <w:szCs w:val="18"/>
                      <w:highlight w:val="none"/>
                      <w:lang w:eastAsia="zh-CN"/>
                    </w:rPr>
                    <w:t>（</w:t>
                  </w:r>
                  <w:r>
                    <w:rPr>
                      <w:rFonts w:hint="eastAsia"/>
                      <w:color w:val="auto"/>
                      <w:sz w:val="18"/>
                      <w:szCs w:val="18"/>
                      <w:highlight w:val="none"/>
                      <w:lang w:val="en-US" w:eastAsia="zh-CN"/>
                    </w:rPr>
                    <w:t>一</w:t>
                  </w:r>
                  <w:r>
                    <w:rPr>
                      <w:rFonts w:hint="eastAsia"/>
                      <w:color w:val="auto"/>
                      <w:sz w:val="18"/>
                      <w:szCs w:val="18"/>
                      <w:highlight w:val="none"/>
                      <w:lang w:eastAsia="zh-CN"/>
                    </w:rPr>
                    <w:t>）</w:t>
                  </w:r>
                  <w:r>
                    <w:rPr>
                      <w:rFonts w:hint="eastAsia"/>
                      <w:color w:val="auto"/>
                      <w:sz w:val="18"/>
                      <w:szCs w:val="18"/>
                      <w:highlight w:val="none"/>
                      <w:lang w:val="en-US" w:eastAsia="zh-CN"/>
                    </w:rPr>
                    <w:t>重点区域全面清零。</w:t>
                  </w:r>
                  <w:r>
                    <w:rPr>
                      <w:rFonts w:hint="eastAsia"/>
                      <w:color w:val="auto"/>
                      <w:sz w:val="18"/>
                      <w:szCs w:val="18"/>
                      <w:highlight w:val="none"/>
                    </w:rPr>
                    <w:t>重点区域包括吴江开发区、太湖新城、七都镇、震泽镇，至2024年底实现喷水织机全面清零。</w:t>
                  </w:r>
                </w:p>
              </w:tc>
              <w:tc>
                <w:tcPr>
                  <w:tcW w:w="1965" w:type="dxa"/>
                  <w:tcBorders>
                    <w:tl2br w:val="nil"/>
                    <w:tr2bl w:val="nil"/>
                  </w:tcBorders>
                  <w:vAlign w:val="center"/>
                </w:tcPr>
                <w:p w14:paraId="014707E6">
                  <w:pPr>
                    <w:spacing w:line="240" w:lineRule="exact"/>
                    <w:jc w:val="left"/>
                    <w:rPr>
                      <w:rFonts w:hint="default" w:eastAsia="宋体"/>
                      <w:b w:val="0"/>
                      <w:bCs w:val="0"/>
                      <w:color w:val="auto"/>
                      <w:sz w:val="18"/>
                      <w:szCs w:val="18"/>
                      <w:highlight w:val="none"/>
                      <w:lang w:val="en-US" w:eastAsia="zh-CN"/>
                    </w:rPr>
                  </w:pPr>
                  <w:r>
                    <w:rPr>
                      <w:rFonts w:hint="eastAsia"/>
                      <w:b w:val="0"/>
                      <w:bCs w:val="0"/>
                      <w:color w:val="auto"/>
                      <w:sz w:val="18"/>
                      <w:szCs w:val="18"/>
                      <w:highlight w:val="none"/>
                      <w:lang w:val="en-US" w:eastAsia="zh-CN"/>
                    </w:rPr>
                    <w:t>本项目位于桃源镇，不属于重点区域。</w:t>
                  </w:r>
                </w:p>
              </w:tc>
              <w:tc>
                <w:tcPr>
                  <w:tcW w:w="645" w:type="dxa"/>
                  <w:tcBorders>
                    <w:tl2br w:val="nil"/>
                    <w:tr2bl w:val="nil"/>
                  </w:tcBorders>
                  <w:vAlign w:val="center"/>
                </w:tcPr>
                <w:p w14:paraId="1B99D3BC">
                  <w:pPr>
                    <w:spacing w:line="240" w:lineRule="exact"/>
                    <w:jc w:val="center"/>
                    <w:rPr>
                      <w:color w:val="auto"/>
                      <w:sz w:val="18"/>
                      <w:szCs w:val="18"/>
                      <w:highlight w:val="none"/>
                    </w:rPr>
                  </w:pPr>
                  <w:r>
                    <w:rPr>
                      <w:rFonts w:hint="eastAsia"/>
                      <w:color w:val="auto"/>
                      <w:sz w:val="18"/>
                      <w:szCs w:val="18"/>
                      <w:highlight w:val="none"/>
                    </w:rPr>
                    <w:t>符合</w:t>
                  </w:r>
                </w:p>
              </w:tc>
            </w:tr>
            <w:tr w14:paraId="43BD05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30" w:type="dxa"/>
                  <w:tcBorders>
                    <w:tl2br w:val="nil"/>
                    <w:tr2bl w:val="nil"/>
                  </w:tcBorders>
                  <w:vAlign w:val="center"/>
                </w:tcPr>
                <w:p w14:paraId="44E5C9CF">
                  <w:pPr>
                    <w:spacing w:line="240" w:lineRule="exact"/>
                    <w:jc w:val="left"/>
                    <w:rPr>
                      <w:color w:val="auto"/>
                      <w:sz w:val="18"/>
                      <w:szCs w:val="18"/>
                      <w:highlight w:val="none"/>
                    </w:rPr>
                  </w:pPr>
                  <w:r>
                    <w:rPr>
                      <w:rFonts w:hint="eastAsia"/>
                      <w:color w:val="auto"/>
                      <w:sz w:val="18"/>
                      <w:szCs w:val="18"/>
                      <w:highlight w:val="none"/>
                      <w:lang w:eastAsia="zh-CN"/>
                    </w:rPr>
                    <w:t>（</w:t>
                  </w:r>
                  <w:r>
                    <w:rPr>
                      <w:rFonts w:hint="eastAsia"/>
                      <w:color w:val="auto"/>
                      <w:sz w:val="18"/>
                      <w:szCs w:val="18"/>
                      <w:highlight w:val="none"/>
                      <w:lang w:val="en-US" w:eastAsia="zh-CN"/>
                    </w:rPr>
                    <w:t>二</w:t>
                  </w:r>
                  <w:r>
                    <w:rPr>
                      <w:rFonts w:hint="eastAsia"/>
                      <w:color w:val="auto"/>
                      <w:sz w:val="18"/>
                      <w:szCs w:val="18"/>
                      <w:highlight w:val="none"/>
                      <w:lang w:eastAsia="zh-CN"/>
                    </w:rPr>
                    <w:t>）</w:t>
                  </w:r>
                  <w:r>
                    <w:rPr>
                      <w:rFonts w:hint="eastAsia"/>
                      <w:color w:val="auto"/>
                      <w:sz w:val="18"/>
                      <w:szCs w:val="18"/>
                      <w:highlight w:val="none"/>
                    </w:rPr>
                    <w:t>保留区域规范提升</w:t>
                  </w:r>
                  <w:r>
                    <w:rPr>
                      <w:rFonts w:hint="eastAsia"/>
                      <w:color w:val="auto"/>
                      <w:sz w:val="18"/>
                      <w:szCs w:val="18"/>
                      <w:highlight w:val="none"/>
                      <w:lang w:eastAsia="zh-CN"/>
                    </w:rPr>
                    <w:t>。</w:t>
                  </w:r>
                  <w:r>
                    <w:rPr>
                      <w:rFonts w:hint="eastAsia"/>
                      <w:color w:val="auto"/>
                      <w:sz w:val="18"/>
                      <w:szCs w:val="18"/>
                      <w:highlight w:val="none"/>
                    </w:rPr>
                    <w:t>保留区域指重点区域外的其它区域，对业态散乱、规模不经济、污水未集中收集治理、排放不达标和无证经营的喷水织机一律淘汰。考虑C类、D类企业首先淘汰，鼓励高端零散喷水织造企业搬迁入园(集聚区)，集聚区喷水织机总数不小于4000台，应有完善的喷织废水处理设施和中水回用能力，配有较好的缓冲净化湿地。</w:t>
                  </w:r>
                </w:p>
              </w:tc>
              <w:tc>
                <w:tcPr>
                  <w:tcW w:w="1965" w:type="dxa"/>
                  <w:tcBorders>
                    <w:tl2br w:val="nil"/>
                    <w:tr2bl w:val="nil"/>
                  </w:tcBorders>
                  <w:vAlign w:val="center"/>
                </w:tcPr>
                <w:p w14:paraId="0A10EC30">
                  <w:pPr>
                    <w:spacing w:line="240" w:lineRule="exact"/>
                    <w:jc w:val="left"/>
                    <w:rPr>
                      <w:rFonts w:hint="eastAsia" w:eastAsia="宋体"/>
                      <w:color w:val="auto"/>
                      <w:sz w:val="18"/>
                      <w:szCs w:val="18"/>
                      <w:highlight w:val="none"/>
                      <w:lang w:val="en-US" w:eastAsia="zh-CN"/>
                    </w:rPr>
                  </w:pPr>
                  <w:r>
                    <w:rPr>
                      <w:rFonts w:hint="eastAsia"/>
                      <w:color w:val="auto"/>
                      <w:sz w:val="18"/>
                      <w:szCs w:val="18"/>
                      <w:highlight w:val="none"/>
                      <w:lang w:val="en-US" w:eastAsia="zh-CN"/>
                    </w:rPr>
                    <w:t>本项目污水接管至苏州市桃源富乡污水处理有限公司处理后76%回用，其余达标排放，不属于</w:t>
                  </w:r>
                  <w:r>
                    <w:rPr>
                      <w:rFonts w:hint="eastAsia"/>
                      <w:color w:val="auto"/>
                      <w:sz w:val="18"/>
                      <w:szCs w:val="18"/>
                      <w:highlight w:val="none"/>
                    </w:rPr>
                    <w:t>C类、D类企业</w:t>
                  </w:r>
                  <w:r>
                    <w:rPr>
                      <w:rFonts w:hint="eastAsia"/>
                      <w:color w:val="auto"/>
                      <w:sz w:val="18"/>
                      <w:szCs w:val="18"/>
                      <w:highlight w:val="none"/>
                      <w:lang w:eastAsia="zh-CN"/>
                    </w:rPr>
                    <w:t>。</w:t>
                  </w:r>
                </w:p>
              </w:tc>
              <w:tc>
                <w:tcPr>
                  <w:tcW w:w="645" w:type="dxa"/>
                  <w:tcBorders>
                    <w:tl2br w:val="nil"/>
                    <w:tr2bl w:val="nil"/>
                  </w:tcBorders>
                  <w:vAlign w:val="center"/>
                </w:tcPr>
                <w:p w14:paraId="7F6B3200">
                  <w:pPr>
                    <w:spacing w:line="240" w:lineRule="exact"/>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符合</w:t>
                  </w:r>
                </w:p>
              </w:tc>
            </w:tr>
            <w:tr w14:paraId="7BCDE1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30" w:type="dxa"/>
                  <w:tcBorders>
                    <w:tl2br w:val="nil"/>
                    <w:tr2bl w:val="nil"/>
                  </w:tcBorders>
                  <w:vAlign w:val="center"/>
                </w:tcPr>
                <w:p w14:paraId="188D56D4">
                  <w:pPr>
                    <w:spacing w:line="240" w:lineRule="exact"/>
                    <w:jc w:val="left"/>
                    <w:rPr>
                      <w:rFonts w:hint="eastAsia"/>
                      <w:color w:val="auto"/>
                      <w:sz w:val="18"/>
                      <w:szCs w:val="18"/>
                      <w:highlight w:val="none"/>
                    </w:rPr>
                  </w:pPr>
                  <w:r>
                    <w:rPr>
                      <w:rFonts w:hint="eastAsia"/>
                      <w:color w:val="auto"/>
                      <w:sz w:val="18"/>
                      <w:szCs w:val="18"/>
                      <w:highlight w:val="none"/>
                      <w:lang w:eastAsia="zh-CN"/>
                    </w:rPr>
                    <w:t>（</w:t>
                  </w:r>
                  <w:r>
                    <w:rPr>
                      <w:rFonts w:hint="eastAsia"/>
                      <w:color w:val="auto"/>
                      <w:sz w:val="18"/>
                      <w:szCs w:val="18"/>
                      <w:highlight w:val="none"/>
                    </w:rPr>
                    <w:t>三</w:t>
                  </w:r>
                  <w:r>
                    <w:rPr>
                      <w:rFonts w:hint="eastAsia"/>
                      <w:color w:val="auto"/>
                      <w:sz w:val="18"/>
                      <w:szCs w:val="18"/>
                      <w:highlight w:val="none"/>
                      <w:lang w:eastAsia="zh-CN"/>
                    </w:rPr>
                    <w:t>）</w:t>
                  </w:r>
                  <w:r>
                    <w:rPr>
                      <w:rFonts w:hint="eastAsia"/>
                      <w:color w:val="auto"/>
                      <w:sz w:val="18"/>
                      <w:szCs w:val="18"/>
                      <w:highlight w:val="none"/>
                    </w:rPr>
                    <w:t>污水厂(站)高标运维。区域接纳喷水织机废水的污水处理厂(站)设计处理能力应大于1万吨/日。保留运行的污水处理厂应符合安全生产要求，结合工业污水布局，形成与区域内喷织废水产生量相匹配的污水处理能力。符合条件的集中式污水处理厂由水务集团逐步接管运维，通过提标改造逐步完善处理工艺，实现设施外排水稳定达标排放，回用水符合国家工业中水回用标准</w:t>
                  </w:r>
                  <w:r>
                    <w:rPr>
                      <w:rFonts w:hint="eastAsia"/>
                      <w:color w:val="auto"/>
                      <w:sz w:val="18"/>
                      <w:szCs w:val="18"/>
                      <w:highlight w:val="none"/>
                      <w:lang w:eastAsia="zh-CN"/>
                    </w:rPr>
                    <w:t>，</w:t>
                  </w:r>
                  <w:r>
                    <w:rPr>
                      <w:rFonts w:hint="eastAsia"/>
                      <w:color w:val="auto"/>
                      <w:sz w:val="18"/>
                      <w:szCs w:val="18"/>
                      <w:highlight w:val="none"/>
                    </w:rPr>
                    <w:t>中水回用率近期不低于50%</w:t>
                  </w:r>
                  <w:r>
                    <w:rPr>
                      <w:rFonts w:hint="eastAsia"/>
                      <w:color w:val="auto"/>
                      <w:sz w:val="18"/>
                      <w:szCs w:val="18"/>
                      <w:highlight w:val="none"/>
                      <w:lang w:eastAsia="zh-CN"/>
                    </w:rPr>
                    <w:t>，</w:t>
                  </w:r>
                  <w:r>
                    <w:rPr>
                      <w:rFonts w:hint="eastAsia"/>
                      <w:color w:val="auto"/>
                      <w:sz w:val="18"/>
                      <w:szCs w:val="18"/>
                      <w:highlight w:val="none"/>
                    </w:rPr>
                    <w:t>通过3-5年技术工艺的提高，争取提升至75%以上。</w:t>
                  </w:r>
                </w:p>
              </w:tc>
              <w:tc>
                <w:tcPr>
                  <w:tcW w:w="1965" w:type="dxa"/>
                  <w:tcBorders>
                    <w:tl2br w:val="nil"/>
                    <w:tr2bl w:val="nil"/>
                  </w:tcBorders>
                  <w:vAlign w:val="center"/>
                </w:tcPr>
                <w:p w14:paraId="68940BA2">
                  <w:pPr>
                    <w:spacing w:line="240" w:lineRule="exact"/>
                    <w:jc w:val="left"/>
                    <w:rPr>
                      <w:rFonts w:hint="default" w:eastAsia="宋体"/>
                      <w:color w:val="auto"/>
                      <w:sz w:val="18"/>
                      <w:szCs w:val="18"/>
                      <w:highlight w:val="none"/>
                      <w:lang w:val="en-US" w:eastAsia="zh-CN"/>
                    </w:rPr>
                  </w:pPr>
                  <w:r>
                    <w:rPr>
                      <w:rFonts w:hint="eastAsia"/>
                      <w:color w:val="auto"/>
                      <w:sz w:val="18"/>
                      <w:szCs w:val="18"/>
                      <w:highlight w:val="none"/>
                      <w:lang w:val="en-US" w:eastAsia="zh-CN"/>
                    </w:rPr>
                    <w:t>本项目接管的苏州市桃源富乡污水处理有限公司目前设计处理能力4万吨/日，远期处理能力5万吨/日，中水回用率76%。</w:t>
                  </w:r>
                </w:p>
              </w:tc>
              <w:tc>
                <w:tcPr>
                  <w:tcW w:w="645" w:type="dxa"/>
                  <w:tcBorders>
                    <w:tl2br w:val="nil"/>
                    <w:tr2bl w:val="nil"/>
                  </w:tcBorders>
                  <w:vAlign w:val="center"/>
                </w:tcPr>
                <w:p w14:paraId="425B798A">
                  <w:pPr>
                    <w:spacing w:line="240" w:lineRule="exact"/>
                    <w:jc w:val="center"/>
                    <w:rPr>
                      <w:color w:val="auto"/>
                      <w:sz w:val="18"/>
                      <w:szCs w:val="18"/>
                      <w:highlight w:val="none"/>
                    </w:rPr>
                  </w:pPr>
                  <w:r>
                    <w:rPr>
                      <w:rFonts w:hint="eastAsia"/>
                      <w:color w:val="auto"/>
                      <w:sz w:val="18"/>
                      <w:szCs w:val="18"/>
                      <w:highlight w:val="none"/>
                      <w:lang w:val="en-US" w:eastAsia="zh-CN"/>
                    </w:rPr>
                    <w:t>符合</w:t>
                  </w:r>
                </w:p>
              </w:tc>
            </w:tr>
            <w:tr w14:paraId="48BF35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30" w:type="dxa"/>
                  <w:tcBorders>
                    <w:tl2br w:val="nil"/>
                    <w:tr2bl w:val="nil"/>
                  </w:tcBorders>
                  <w:vAlign w:val="center"/>
                </w:tcPr>
                <w:p w14:paraId="2F19FBB0">
                  <w:pPr>
                    <w:spacing w:line="240" w:lineRule="exact"/>
                    <w:jc w:val="left"/>
                    <w:rPr>
                      <w:rFonts w:hint="eastAsia"/>
                      <w:color w:val="auto"/>
                      <w:sz w:val="18"/>
                      <w:szCs w:val="18"/>
                      <w:highlight w:val="none"/>
                    </w:rPr>
                  </w:pPr>
                  <w:r>
                    <w:rPr>
                      <w:rFonts w:hint="eastAsia"/>
                      <w:color w:val="auto"/>
                      <w:sz w:val="18"/>
                      <w:szCs w:val="18"/>
                      <w:highlight w:val="none"/>
                      <w:lang w:eastAsia="zh-CN"/>
                    </w:rPr>
                    <w:t>（</w:t>
                  </w:r>
                  <w:r>
                    <w:rPr>
                      <w:rFonts w:hint="eastAsia"/>
                      <w:color w:val="auto"/>
                      <w:sz w:val="18"/>
                      <w:szCs w:val="18"/>
                      <w:highlight w:val="none"/>
                    </w:rPr>
                    <w:t>四</w:t>
                  </w:r>
                  <w:r>
                    <w:rPr>
                      <w:rFonts w:hint="eastAsia"/>
                      <w:color w:val="auto"/>
                      <w:sz w:val="18"/>
                      <w:szCs w:val="18"/>
                      <w:highlight w:val="none"/>
                      <w:lang w:eastAsia="zh-CN"/>
                    </w:rPr>
                    <w:t>）</w:t>
                  </w:r>
                  <w:r>
                    <w:rPr>
                      <w:rFonts w:hint="eastAsia"/>
                      <w:color w:val="auto"/>
                      <w:sz w:val="18"/>
                      <w:szCs w:val="18"/>
                      <w:highlight w:val="none"/>
                    </w:rPr>
                    <w:t>环境管理持续提升。喷织企业和污水厂(站)公共区域应保持干净整齐、规范有序，做到厂区雨污分流到位、产品物料堆放有序、管网标识标向清晰、污水污泥处置合规、固危废仓库规范、自动监控设备有效。</w:t>
                  </w:r>
                </w:p>
              </w:tc>
              <w:tc>
                <w:tcPr>
                  <w:tcW w:w="1965" w:type="dxa"/>
                  <w:tcBorders>
                    <w:tl2br w:val="nil"/>
                    <w:tr2bl w:val="nil"/>
                  </w:tcBorders>
                  <w:vAlign w:val="center"/>
                </w:tcPr>
                <w:p w14:paraId="540A89AF">
                  <w:pPr>
                    <w:spacing w:line="240" w:lineRule="exact"/>
                    <w:jc w:val="left"/>
                    <w:rPr>
                      <w:rFonts w:hint="eastAsia" w:eastAsia="宋体"/>
                      <w:color w:val="auto"/>
                      <w:sz w:val="18"/>
                      <w:szCs w:val="18"/>
                      <w:highlight w:val="none"/>
                      <w:lang w:val="en-US" w:eastAsia="zh-CN"/>
                    </w:rPr>
                  </w:pPr>
                  <w:r>
                    <w:rPr>
                      <w:rFonts w:hint="eastAsia"/>
                      <w:color w:val="auto"/>
                      <w:sz w:val="18"/>
                      <w:szCs w:val="18"/>
                      <w:highlight w:val="none"/>
                      <w:lang w:val="en-US" w:eastAsia="zh-CN"/>
                    </w:rPr>
                    <w:t>本项目厂区</w:t>
                  </w:r>
                  <w:r>
                    <w:rPr>
                      <w:rFonts w:hint="eastAsia"/>
                      <w:color w:val="auto"/>
                      <w:sz w:val="18"/>
                      <w:szCs w:val="18"/>
                      <w:highlight w:val="none"/>
                    </w:rPr>
                    <w:t>雨污分流到位</w:t>
                  </w:r>
                  <w:r>
                    <w:rPr>
                      <w:rFonts w:hint="eastAsia"/>
                      <w:color w:val="auto"/>
                      <w:sz w:val="18"/>
                      <w:szCs w:val="18"/>
                      <w:highlight w:val="none"/>
                      <w:lang w:eastAsia="zh-CN"/>
                    </w:rPr>
                    <w:t>、</w:t>
                  </w:r>
                  <w:r>
                    <w:rPr>
                      <w:rFonts w:hint="eastAsia"/>
                      <w:color w:val="auto"/>
                      <w:sz w:val="18"/>
                      <w:szCs w:val="18"/>
                      <w:highlight w:val="none"/>
                    </w:rPr>
                    <w:t>产品物料堆放有序、管网标识标向清晰、固危废仓库规范、自动监控设备有效</w:t>
                  </w:r>
                  <w:r>
                    <w:rPr>
                      <w:rFonts w:hint="eastAsia"/>
                      <w:color w:val="auto"/>
                      <w:sz w:val="18"/>
                      <w:szCs w:val="18"/>
                      <w:highlight w:val="none"/>
                      <w:lang w:eastAsia="zh-CN"/>
                    </w:rPr>
                    <w:t>。</w:t>
                  </w:r>
                </w:p>
              </w:tc>
              <w:tc>
                <w:tcPr>
                  <w:tcW w:w="645" w:type="dxa"/>
                  <w:tcBorders>
                    <w:tl2br w:val="nil"/>
                    <w:tr2bl w:val="nil"/>
                  </w:tcBorders>
                  <w:vAlign w:val="center"/>
                </w:tcPr>
                <w:p w14:paraId="6C8C51E9">
                  <w:pPr>
                    <w:spacing w:line="240" w:lineRule="exact"/>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符合</w:t>
                  </w:r>
                </w:p>
              </w:tc>
            </w:tr>
            <w:tr w14:paraId="44147B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30" w:type="dxa"/>
                  <w:tcBorders>
                    <w:tl2br w:val="nil"/>
                    <w:tr2bl w:val="nil"/>
                  </w:tcBorders>
                  <w:vAlign w:val="center"/>
                </w:tcPr>
                <w:p w14:paraId="685DBE2D">
                  <w:pPr>
                    <w:spacing w:line="240" w:lineRule="exact"/>
                    <w:jc w:val="left"/>
                    <w:rPr>
                      <w:rFonts w:hint="eastAsia"/>
                      <w:color w:val="auto"/>
                      <w:sz w:val="18"/>
                      <w:szCs w:val="18"/>
                      <w:highlight w:val="none"/>
                    </w:rPr>
                  </w:pPr>
                  <w:r>
                    <w:rPr>
                      <w:rFonts w:hint="eastAsia"/>
                      <w:color w:val="auto"/>
                      <w:sz w:val="18"/>
                      <w:szCs w:val="18"/>
                      <w:highlight w:val="none"/>
                      <w:lang w:eastAsia="zh-CN"/>
                    </w:rPr>
                    <w:t>（</w:t>
                  </w:r>
                  <w:r>
                    <w:rPr>
                      <w:rFonts w:hint="eastAsia"/>
                      <w:color w:val="auto"/>
                      <w:sz w:val="18"/>
                      <w:szCs w:val="18"/>
                      <w:highlight w:val="none"/>
                    </w:rPr>
                    <w:t>五</w:t>
                  </w:r>
                  <w:r>
                    <w:rPr>
                      <w:rFonts w:hint="eastAsia"/>
                      <w:color w:val="auto"/>
                      <w:sz w:val="18"/>
                      <w:szCs w:val="18"/>
                      <w:highlight w:val="none"/>
                      <w:lang w:eastAsia="zh-CN"/>
                    </w:rPr>
                    <w:t>）</w:t>
                  </w:r>
                  <w:r>
                    <w:rPr>
                      <w:rFonts w:hint="eastAsia"/>
                      <w:color w:val="auto"/>
                      <w:sz w:val="18"/>
                      <w:szCs w:val="18"/>
                      <w:highlight w:val="none"/>
                    </w:rPr>
                    <w:t>取水排水全程监管。规范喷水织造企业取水许可管理，不再新增喷水织造企业独立取水许可，统一由污水处理厂(站)补充损耗水量。对各喷水织造企业安装进出水流量计，监控喷织企业进出水量，杜绝偷排漏排行为。</w:t>
                  </w:r>
                </w:p>
              </w:tc>
              <w:tc>
                <w:tcPr>
                  <w:tcW w:w="1965" w:type="dxa"/>
                  <w:tcBorders>
                    <w:tl2br w:val="nil"/>
                    <w:tr2bl w:val="nil"/>
                  </w:tcBorders>
                  <w:vAlign w:val="center"/>
                </w:tcPr>
                <w:p w14:paraId="38C17EF2">
                  <w:pPr>
                    <w:spacing w:line="240" w:lineRule="exact"/>
                    <w:jc w:val="left"/>
                    <w:rPr>
                      <w:rFonts w:hint="eastAsia" w:eastAsia="宋体"/>
                      <w:color w:val="auto"/>
                      <w:sz w:val="18"/>
                      <w:szCs w:val="18"/>
                      <w:highlight w:val="none"/>
                      <w:lang w:val="en-US" w:eastAsia="zh-CN"/>
                    </w:rPr>
                  </w:pPr>
                  <w:r>
                    <w:rPr>
                      <w:rFonts w:hint="eastAsia"/>
                      <w:color w:val="auto"/>
                      <w:sz w:val="18"/>
                      <w:szCs w:val="18"/>
                      <w:highlight w:val="none"/>
                      <w:lang w:val="en-US" w:eastAsia="zh-CN"/>
                    </w:rPr>
                    <w:t>本项目不独立取水，</w:t>
                  </w:r>
                  <w:r>
                    <w:rPr>
                      <w:rFonts w:hint="eastAsia"/>
                      <w:color w:val="auto"/>
                      <w:sz w:val="18"/>
                      <w:szCs w:val="18"/>
                      <w:highlight w:val="none"/>
                    </w:rPr>
                    <w:t>统一由</w:t>
                  </w:r>
                  <w:r>
                    <w:rPr>
                      <w:rFonts w:hint="eastAsia"/>
                      <w:color w:val="auto"/>
                      <w:sz w:val="18"/>
                      <w:szCs w:val="18"/>
                      <w:highlight w:val="none"/>
                      <w:lang w:val="en-US" w:eastAsia="zh-CN"/>
                    </w:rPr>
                    <w:t>苏州市桃源富乡污水处理有限公司</w:t>
                  </w:r>
                  <w:r>
                    <w:rPr>
                      <w:rFonts w:hint="eastAsia"/>
                      <w:color w:val="auto"/>
                      <w:sz w:val="18"/>
                      <w:szCs w:val="18"/>
                      <w:highlight w:val="none"/>
                    </w:rPr>
                    <w:t>补充损耗水量</w:t>
                  </w:r>
                  <w:r>
                    <w:rPr>
                      <w:rFonts w:hint="eastAsia"/>
                      <w:color w:val="auto"/>
                      <w:sz w:val="18"/>
                      <w:szCs w:val="18"/>
                      <w:highlight w:val="none"/>
                      <w:lang w:eastAsia="zh-CN"/>
                    </w:rPr>
                    <w:t>。</w:t>
                  </w:r>
                </w:p>
              </w:tc>
              <w:tc>
                <w:tcPr>
                  <w:tcW w:w="645" w:type="dxa"/>
                  <w:tcBorders>
                    <w:tl2br w:val="nil"/>
                    <w:tr2bl w:val="nil"/>
                  </w:tcBorders>
                  <w:vAlign w:val="center"/>
                </w:tcPr>
                <w:p w14:paraId="1F6697E6">
                  <w:pPr>
                    <w:spacing w:line="240" w:lineRule="exact"/>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符合</w:t>
                  </w:r>
                </w:p>
              </w:tc>
            </w:tr>
          </w:tbl>
          <w:p w14:paraId="533FACF6">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综上，本项目符合《吴江区喷水织造行业(含污水处理厂、站)整治提升行动工作指引》（喷组</w:t>
            </w:r>
            <w:r>
              <w:rPr>
                <w:rFonts w:hint="eastAsia"/>
                <w:color w:val="auto"/>
                <w:kern w:val="0"/>
                <w:szCs w:val="21"/>
                <w:highlight w:val="none"/>
                <w:lang w:eastAsia="zh-CN"/>
              </w:rPr>
              <w:t>〔</w:t>
            </w:r>
            <w:r>
              <w:rPr>
                <w:rFonts w:hint="eastAsia"/>
                <w:color w:val="auto"/>
                <w:kern w:val="0"/>
                <w:szCs w:val="21"/>
                <w:highlight w:val="none"/>
              </w:rPr>
              <w:t>2023</w:t>
            </w:r>
            <w:r>
              <w:rPr>
                <w:rFonts w:hint="eastAsia"/>
                <w:color w:val="auto"/>
                <w:kern w:val="0"/>
                <w:szCs w:val="21"/>
                <w:highlight w:val="none"/>
                <w:lang w:eastAsia="zh-CN"/>
              </w:rPr>
              <w:t>〕</w:t>
            </w:r>
            <w:r>
              <w:rPr>
                <w:rFonts w:hint="eastAsia"/>
                <w:color w:val="auto"/>
                <w:kern w:val="0"/>
                <w:szCs w:val="21"/>
                <w:highlight w:val="none"/>
              </w:rPr>
              <w:t>2号）的相关要求。</w:t>
            </w:r>
          </w:p>
          <w:p w14:paraId="579712C5">
            <w:pPr>
              <w:tabs>
                <w:tab w:val="center" w:pos="4156"/>
                <w:tab w:val="left" w:pos="5964"/>
              </w:tabs>
              <w:adjustRightInd w:val="0"/>
              <w:snapToGrid w:val="0"/>
              <w:spacing w:line="360" w:lineRule="auto"/>
              <w:jc w:val="left"/>
              <w:rPr>
                <w:b/>
                <w:snapToGrid w:val="0"/>
                <w:color w:val="auto"/>
                <w:szCs w:val="21"/>
                <w:highlight w:val="none"/>
              </w:rPr>
            </w:pPr>
            <w:r>
              <w:rPr>
                <w:b/>
                <w:snapToGrid w:val="0"/>
                <w:color w:val="auto"/>
                <w:szCs w:val="21"/>
                <w:highlight w:val="none"/>
              </w:rPr>
              <w:t>3</w:t>
            </w:r>
            <w:r>
              <w:rPr>
                <w:rFonts w:hint="eastAsia"/>
                <w:b/>
                <w:snapToGrid w:val="0"/>
                <w:color w:val="auto"/>
                <w:szCs w:val="21"/>
                <w:highlight w:val="none"/>
              </w:rPr>
              <w:t>、“三线一单”相符性分析</w:t>
            </w:r>
          </w:p>
          <w:p w14:paraId="03F6D090">
            <w:pPr>
              <w:overflowPunct w:val="0"/>
              <w:adjustRightInd w:val="0"/>
              <w:snapToGrid w:val="0"/>
              <w:spacing w:line="360" w:lineRule="auto"/>
              <w:ind w:firstLine="420" w:firstLineChars="200"/>
              <w:jc w:val="left"/>
              <w:rPr>
                <w:color w:val="auto"/>
                <w:highlight w:val="none"/>
              </w:rPr>
            </w:pPr>
            <w:r>
              <w:rPr>
                <w:rFonts w:hint="eastAsia"/>
                <w:color w:val="auto"/>
                <w:highlight w:val="none"/>
              </w:rPr>
              <w:t>“三线一单”即落实“生态保护红线、环境质量底线、资源利用上线和环境准入负面清单”。</w:t>
            </w:r>
          </w:p>
          <w:p w14:paraId="4A877955">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w:t>
            </w:r>
            <w:r>
              <w:rPr>
                <w:color w:val="auto"/>
                <w:kern w:val="0"/>
                <w:szCs w:val="21"/>
                <w:highlight w:val="none"/>
              </w:rPr>
              <w:t>1</w:t>
            </w:r>
            <w:r>
              <w:rPr>
                <w:rFonts w:hint="eastAsia"/>
                <w:color w:val="auto"/>
                <w:kern w:val="0"/>
                <w:szCs w:val="21"/>
                <w:highlight w:val="none"/>
              </w:rPr>
              <w:t>）生态保护红线</w:t>
            </w:r>
          </w:p>
          <w:p w14:paraId="7390F967">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①江苏省国家级生态保护红线规划</w:t>
            </w:r>
          </w:p>
          <w:p w14:paraId="4EEE323D">
            <w:pPr>
              <w:tabs>
                <w:tab w:val="center" w:pos="4156"/>
                <w:tab w:val="left" w:pos="5964"/>
              </w:tabs>
              <w:adjustRightInd w:val="0"/>
              <w:snapToGrid w:val="0"/>
              <w:jc w:val="center"/>
              <w:rPr>
                <w:b/>
                <w:snapToGrid w:val="0"/>
                <w:color w:val="auto"/>
                <w:szCs w:val="21"/>
                <w:highlight w:val="none"/>
              </w:rPr>
            </w:pPr>
            <w:r>
              <w:rPr>
                <w:rFonts w:hint="eastAsia"/>
                <w:b/>
                <w:snapToGrid w:val="0"/>
                <w:color w:val="auto"/>
                <w:szCs w:val="21"/>
                <w:highlight w:val="none"/>
              </w:rPr>
              <w:t>表</w:t>
            </w:r>
            <w:r>
              <w:rPr>
                <w:b/>
                <w:snapToGrid w:val="0"/>
                <w:color w:val="auto"/>
                <w:szCs w:val="21"/>
                <w:highlight w:val="none"/>
              </w:rPr>
              <w:t>1-</w:t>
            </w:r>
            <w:r>
              <w:rPr>
                <w:rFonts w:hint="eastAsia"/>
                <w:b/>
                <w:snapToGrid w:val="0"/>
                <w:color w:val="auto"/>
                <w:szCs w:val="21"/>
                <w:highlight w:val="none"/>
                <w:lang w:val="en-US" w:eastAsia="zh-CN"/>
              </w:rPr>
              <w:t>3</w:t>
            </w:r>
            <w:r>
              <w:rPr>
                <w:b/>
                <w:snapToGrid w:val="0"/>
                <w:color w:val="auto"/>
                <w:szCs w:val="21"/>
                <w:highlight w:val="none"/>
              </w:rPr>
              <w:t xml:space="preserve">  </w:t>
            </w:r>
            <w:r>
              <w:rPr>
                <w:rFonts w:hint="eastAsia"/>
                <w:b/>
                <w:snapToGrid w:val="0"/>
                <w:color w:val="auto"/>
                <w:szCs w:val="21"/>
                <w:highlight w:val="none"/>
              </w:rPr>
              <w:t>江苏省国家级生态保护红线规划</w:t>
            </w:r>
          </w:p>
          <w:tbl>
            <w:tblPr>
              <w:tblStyle w:val="2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48"/>
              <w:gridCol w:w="622"/>
              <w:gridCol w:w="1725"/>
              <w:gridCol w:w="588"/>
              <w:gridCol w:w="2035"/>
              <w:gridCol w:w="772"/>
              <w:gridCol w:w="922"/>
            </w:tblGrid>
            <w:tr w14:paraId="77CC3E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270" w:type="dxa"/>
                  <w:gridSpan w:val="2"/>
                  <w:tcBorders>
                    <w:top w:val="single" w:color="auto" w:sz="12" w:space="0"/>
                    <w:bottom w:val="single" w:color="auto" w:sz="4" w:space="0"/>
                    <w:right w:val="single" w:color="auto" w:sz="4" w:space="0"/>
                  </w:tcBorders>
                  <w:vAlign w:val="center"/>
                </w:tcPr>
                <w:p w14:paraId="3B46EB59">
                  <w:pPr>
                    <w:topLinePunct/>
                    <w:adjustRightInd w:val="0"/>
                    <w:snapToGrid w:val="0"/>
                    <w:jc w:val="center"/>
                    <w:rPr>
                      <w:color w:val="auto"/>
                      <w:kern w:val="0"/>
                      <w:sz w:val="18"/>
                      <w:szCs w:val="18"/>
                      <w:highlight w:val="none"/>
                    </w:rPr>
                  </w:pPr>
                  <w:r>
                    <w:rPr>
                      <w:rFonts w:hint="eastAsia"/>
                      <w:color w:val="auto"/>
                      <w:kern w:val="0"/>
                      <w:sz w:val="18"/>
                      <w:szCs w:val="18"/>
                      <w:highlight w:val="none"/>
                    </w:rPr>
                    <w:t>所在行政区域</w:t>
                  </w:r>
                </w:p>
              </w:tc>
              <w:tc>
                <w:tcPr>
                  <w:tcW w:w="1875" w:type="dxa"/>
                  <w:vMerge w:val="restart"/>
                  <w:tcBorders>
                    <w:top w:val="single" w:color="auto" w:sz="12" w:space="0"/>
                    <w:left w:val="single" w:color="auto" w:sz="4" w:space="0"/>
                    <w:bottom w:val="single" w:color="auto" w:sz="4" w:space="0"/>
                    <w:right w:val="single" w:color="auto" w:sz="4" w:space="0"/>
                  </w:tcBorders>
                  <w:vAlign w:val="center"/>
                </w:tcPr>
                <w:p w14:paraId="48D97429">
                  <w:pPr>
                    <w:topLinePunct/>
                    <w:adjustRightInd w:val="0"/>
                    <w:snapToGrid w:val="0"/>
                    <w:jc w:val="center"/>
                    <w:rPr>
                      <w:color w:val="auto"/>
                      <w:kern w:val="0"/>
                      <w:sz w:val="18"/>
                      <w:szCs w:val="18"/>
                      <w:highlight w:val="none"/>
                    </w:rPr>
                  </w:pPr>
                  <w:r>
                    <w:rPr>
                      <w:rFonts w:hint="eastAsia"/>
                      <w:color w:val="auto"/>
                      <w:kern w:val="0"/>
                      <w:sz w:val="18"/>
                      <w:szCs w:val="18"/>
                      <w:highlight w:val="none"/>
                    </w:rPr>
                    <w:t>生态空间保护区域名称</w:t>
                  </w:r>
                </w:p>
              </w:tc>
              <w:tc>
                <w:tcPr>
                  <w:tcW w:w="638" w:type="dxa"/>
                  <w:vMerge w:val="restart"/>
                  <w:tcBorders>
                    <w:top w:val="single" w:color="auto" w:sz="12" w:space="0"/>
                    <w:left w:val="single" w:color="auto" w:sz="4" w:space="0"/>
                    <w:bottom w:val="single" w:color="auto" w:sz="4" w:space="0"/>
                    <w:right w:val="single" w:color="auto" w:sz="4" w:space="0"/>
                  </w:tcBorders>
                  <w:vAlign w:val="center"/>
                </w:tcPr>
                <w:p w14:paraId="2E70FEF8">
                  <w:pPr>
                    <w:topLinePunct/>
                    <w:adjustRightInd w:val="0"/>
                    <w:snapToGrid w:val="0"/>
                    <w:jc w:val="center"/>
                    <w:rPr>
                      <w:color w:val="auto"/>
                      <w:kern w:val="0"/>
                      <w:sz w:val="18"/>
                      <w:szCs w:val="18"/>
                      <w:highlight w:val="none"/>
                    </w:rPr>
                  </w:pPr>
                  <w:r>
                    <w:rPr>
                      <w:rFonts w:hint="eastAsia"/>
                      <w:color w:val="auto"/>
                      <w:kern w:val="0"/>
                      <w:sz w:val="18"/>
                      <w:szCs w:val="18"/>
                      <w:highlight w:val="none"/>
                    </w:rPr>
                    <w:t>主导生态功能</w:t>
                  </w:r>
                </w:p>
              </w:tc>
              <w:tc>
                <w:tcPr>
                  <w:tcW w:w="2212" w:type="dxa"/>
                  <w:vMerge w:val="restart"/>
                  <w:tcBorders>
                    <w:top w:val="single" w:color="auto" w:sz="12" w:space="0"/>
                    <w:left w:val="single" w:color="auto" w:sz="4" w:space="0"/>
                    <w:bottom w:val="single" w:color="auto" w:sz="4" w:space="0"/>
                    <w:right w:val="single" w:color="auto" w:sz="4" w:space="0"/>
                  </w:tcBorders>
                  <w:vAlign w:val="center"/>
                </w:tcPr>
                <w:p w14:paraId="67985357">
                  <w:pPr>
                    <w:topLinePunct/>
                    <w:adjustRightInd w:val="0"/>
                    <w:snapToGrid w:val="0"/>
                    <w:jc w:val="center"/>
                    <w:rPr>
                      <w:color w:val="auto"/>
                      <w:kern w:val="0"/>
                      <w:sz w:val="18"/>
                      <w:szCs w:val="18"/>
                      <w:highlight w:val="none"/>
                    </w:rPr>
                  </w:pPr>
                  <w:r>
                    <w:rPr>
                      <w:rFonts w:hint="eastAsia"/>
                      <w:color w:val="auto"/>
                      <w:kern w:val="0"/>
                      <w:sz w:val="18"/>
                      <w:szCs w:val="18"/>
                      <w:highlight w:val="none"/>
                    </w:rPr>
                    <w:t>红线范围</w:t>
                  </w:r>
                </w:p>
              </w:tc>
              <w:tc>
                <w:tcPr>
                  <w:tcW w:w="838" w:type="dxa"/>
                  <w:vMerge w:val="restart"/>
                  <w:tcBorders>
                    <w:top w:val="single" w:color="auto" w:sz="12" w:space="0"/>
                    <w:left w:val="single" w:color="auto" w:sz="4" w:space="0"/>
                    <w:bottom w:val="single" w:color="auto" w:sz="4" w:space="0"/>
                    <w:right w:val="single" w:color="auto" w:sz="4" w:space="0"/>
                  </w:tcBorders>
                  <w:vAlign w:val="center"/>
                </w:tcPr>
                <w:p w14:paraId="4A303971">
                  <w:pPr>
                    <w:topLinePunct/>
                    <w:adjustRightInd w:val="0"/>
                    <w:snapToGrid w:val="0"/>
                    <w:jc w:val="center"/>
                    <w:rPr>
                      <w:color w:val="auto"/>
                      <w:kern w:val="0"/>
                      <w:sz w:val="18"/>
                      <w:szCs w:val="18"/>
                      <w:highlight w:val="none"/>
                    </w:rPr>
                  </w:pPr>
                  <w:r>
                    <w:rPr>
                      <w:rFonts w:hint="eastAsia"/>
                      <w:color w:val="auto"/>
                      <w:kern w:val="0"/>
                      <w:sz w:val="18"/>
                      <w:szCs w:val="18"/>
                      <w:highlight w:val="none"/>
                    </w:rPr>
                    <w:t>区域面积</w:t>
                  </w:r>
                </w:p>
              </w:tc>
              <w:tc>
                <w:tcPr>
                  <w:tcW w:w="1001" w:type="dxa"/>
                  <w:vMerge w:val="restart"/>
                  <w:tcBorders>
                    <w:top w:val="single" w:color="auto" w:sz="12" w:space="0"/>
                    <w:left w:val="single" w:color="auto" w:sz="4" w:space="0"/>
                    <w:bottom w:val="single" w:color="auto" w:sz="4" w:space="0"/>
                  </w:tcBorders>
                  <w:vAlign w:val="center"/>
                </w:tcPr>
                <w:p w14:paraId="789CB899">
                  <w:pPr>
                    <w:topLinePunct/>
                    <w:adjustRightInd w:val="0"/>
                    <w:snapToGrid w:val="0"/>
                    <w:jc w:val="center"/>
                    <w:rPr>
                      <w:color w:val="auto"/>
                      <w:kern w:val="0"/>
                      <w:sz w:val="18"/>
                      <w:szCs w:val="18"/>
                      <w:highlight w:val="none"/>
                    </w:rPr>
                  </w:pPr>
                  <w:r>
                    <w:rPr>
                      <w:rFonts w:hint="eastAsia"/>
                      <w:color w:val="auto"/>
                      <w:kern w:val="0"/>
                      <w:sz w:val="18"/>
                      <w:szCs w:val="18"/>
                      <w:highlight w:val="none"/>
                    </w:rPr>
                    <w:t>方位及距离</w:t>
                  </w:r>
                </w:p>
              </w:tc>
            </w:tr>
            <w:tr w14:paraId="6D48B2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95" w:type="dxa"/>
                  <w:tcBorders>
                    <w:top w:val="single" w:color="auto" w:sz="4" w:space="0"/>
                    <w:bottom w:val="single" w:color="auto" w:sz="4" w:space="0"/>
                    <w:right w:val="single" w:color="auto" w:sz="4" w:space="0"/>
                  </w:tcBorders>
                  <w:vAlign w:val="center"/>
                </w:tcPr>
                <w:p w14:paraId="0414BF3D">
                  <w:pPr>
                    <w:topLinePunct/>
                    <w:adjustRightInd w:val="0"/>
                    <w:snapToGrid w:val="0"/>
                    <w:jc w:val="center"/>
                    <w:rPr>
                      <w:color w:val="auto"/>
                      <w:kern w:val="0"/>
                      <w:sz w:val="18"/>
                      <w:szCs w:val="18"/>
                      <w:highlight w:val="none"/>
                    </w:rPr>
                  </w:pPr>
                  <w:r>
                    <w:rPr>
                      <w:rFonts w:hint="eastAsia"/>
                      <w:color w:val="auto"/>
                      <w:kern w:val="0"/>
                      <w:sz w:val="18"/>
                      <w:szCs w:val="18"/>
                      <w:highlight w:val="none"/>
                    </w:rPr>
                    <w:t>市级</w:t>
                  </w:r>
                </w:p>
              </w:tc>
              <w:tc>
                <w:tcPr>
                  <w:tcW w:w="675" w:type="dxa"/>
                  <w:tcBorders>
                    <w:top w:val="single" w:color="auto" w:sz="4" w:space="0"/>
                    <w:left w:val="single" w:color="auto" w:sz="4" w:space="0"/>
                    <w:bottom w:val="single" w:color="auto" w:sz="4" w:space="0"/>
                    <w:right w:val="single" w:color="auto" w:sz="4" w:space="0"/>
                  </w:tcBorders>
                  <w:vAlign w:val="center"/>
                </w:tcPr>
                <w:p w14:paraId="51D70C5D">
                  <w:pPr>
                    <w:topLinePunct/>
                    <w:adjustRightInd w:val="0"/>
                    <w:snapToGrid w:val="0"/>
                    <w:jc w:val="center"/>
                    <w:rPr>
                      <w:color w:val="auto"/>
                      <w:kern w:val="0"/>
                      <w:sz w:val="18"/>
                      <w:szCs w:val="18"/>
                      <w:highlight w:val="none"/>
                    </w:rPr>
                  </w:pPr>
                  <w:r>
                    <w:rPr>
                      <w:rFonts w:hint="eastAsia"/>
                      <w:color w:val="auto"/>
                      <w:kern w:val="0"/>
                      <w:sz w:val="18"/>
                      <w:szCs w:val="18"/>
                      <w:highlight w:val="none"/>
                    </w:rPr>
                    <w:t>区级</w:t>
                  </w:r>
                </w:p>
              </w:tc>
              <w:tc>
                <w:tcPr>
                  <w:tcW w:w="1875" w:type="dxa"/>
                  <w:vMerge w:val="continue"/>
                  <w:tcBorders>
                    <w:top w:val="single" w:color="auto" w:sz="4" w:space="0"/>
                    <w:left w:val="single" w:color="auto" w:sz="4" w:space="0"/>
                    <w:bottom w:val="single" w:color="auto" w:sz="4" w:space="0"/>
                    <w:right w:val="single" w:color="auto" w:sz="4" w:space="0"/>
                  </w:tcBorders>
                  <w:vAlign w:val="center"/>
                </w:tcPr>
                <w:p w14:paraId="7CA863D2">
                  <w:pPr>
                    <w:topLinePunct/>
                    <w:adjustRightInd w:val="0"/>
                    <w:snapToGrid w:val="0"/>
                    <w:jc w:val="center"/>
                    <w:rPr>
                      <w:color w:val="auto"/>
                      <w:kern w:val="0"/>
                      <w:sz w:val="18"/>
                      <w:szCs w:val="18"/>
                      <w:highlight w:val="none"/>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1A237928">
                  <w:pPr>
                    <w:topLinePunct/>
                    <w:adjustRightInd w:val="0"/>
                    <w:snapToGrid w:val="0"/>
                    <w:jc w:val="center"/>
                    <w:rPr>
                      <w:color w:val="auto"/>
                      <w:kern w:val="0"/>
                      <w:sz w:val="18"/>
                      <w:szCs w:val="18"/>
                      <w:highlight w:val="none"/>
                    </w:rPr>
                  </w:pPr>
                </w:p>
              </w:tc>
              <w:tc>
                <w:tcPr>
                  <w:tcW w:w="2212" w:type="dxa"/>
                  <w:vMerge w:val="continue"/>
                  <w:tcBorders>
                    <w:top w:val="single" w:color="auto" w:sz="4" w:space="0"/>
                    <w:left w:val="single" w:color="auto" w:sz="4" w:space="0"/>
                    <w:bottom w:val="single" w:color="auto" w:sz="4" w:space="0"/>
                    <w:right w:val="single" w:color="auto" w:sz="4" w:space="0"/>
                  </w:tcBorders>
                  <w:vAlign w:val="center"/>
                </w:tcPr>
                <w:p w14:paraId="48F601F3">
                  <w:pPr>
                    <w:topLinePunct/>
                    <w:adjustRightInd w:val="0"/>
                    <w:snapToGrid w:val="0"/>
                    <w:jc w:val="center"/>
                    <w:rPr>
                      <w:color w:val="auto"/>
                      <w:kern w:val="0"/>
                      <w:sz w:val="18"/>
                      <w:szCs w:val="18"/>
                      <w:highlight w:val="none"/>
                    </w:rPr>
                  </w:pPr>
                </w:p>
              </w:tc>
              <w:tc>
                <w:tcPr>
                  <w:tcW w:w="838" w:type="dxa"/>
                  <w:vMerge w:val="continue"/>
                  <w:tcBorders>
                    <w:top w:val="single" w:color="auto" w:sz="4" w:space="0"/>
                    <w:left w:val="single" w:color="auto" w:sz="4" w:space="0"/>
                    <w:bottom w:val="single" w:color="auto" w:sz="4" w:space="0"/>
                    <w:right w:val="single" w:color="auto" w:sz="4" w:space="0"/>
                  </w:tcBorders>
                  <w:vAlign w:val="center"/>
                </w:tcPr>
                <w:p w14:paraId="44917A72">
                  <w:pPr>
                    <w:topLinePunct/>
                    <w:adjustRightInd w:val="0"/>
                    <w:snapToGrid w:val="0"/>
                    <w:jc w:val="center"/>
                    <w:rPr>
                      <w:color w:val="auto"/>
                      <w:kern w:val="0"/>
                      <w:sz w:val="18"/>
                      <w:szCs w:val="18"/>
                      <w:highlight w:val="none"/>
                    </w:rPr>
                  </w:pPr>
                </w:p>
              </w:tc>
              <w:tc>
                <w:tcPr>
                  <w:tcW w:w="1001" w:type="dxa"/>
                  <w:vMerge w:val="continue"/>
                  <w:tcBorders>
                    <w:top w:val="single" w:color="auto" w:sz="4" w:space="0"/>
                    <w:left w:val="single" w:color="auto" w:sz="4" w:space="0"/>
                    <w:bottom w:val="single" w:color="auto" w:sz="4" w:space="0"/>
                  </w:tcBorders>
                  <w:vAlign w:val="center"/>
                </w:tcPr>
                <w:p w14:paraId="2D3673D7">
                  <w:pPr>
                    <w:topLinePunct/>
                    <w:adjustRightInd w:val="0"/>
                    <w:snapToGrid w:val="0"/>
                    <w:jc w:val="center"/>
                    <w:rPr>
                      <w:color w:val="auto"/>
                      <w:kern w:val="0"/>
                      <w:sz w:val="18"/>
                      <w:szCs w:val="18"/>
                      <w:highlight w:val="none"/>
                    </w:rPr>
                  </w:pPr>
                </w:p>
              </w:tc>
            </w:tr>
            <w:tr w14:paraId="7DFEF9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95" w:type="dxa"/>
                  <w:tcBorders>
                    <w:top w:val="single" w:color="auto" w:sz="4" w:space="0"/>
                    <w:bottom w:val="single" w:color="auto" w:sz="12" w:space="0"/>
                    <w:right w:val="single" w:color="auto" w:sz="4" w:space="0"/>
                  </w:tcBorders>
                  <w:vAlign w:val="center"/>
                </w:tcPr>
                <w:p w14:paraId="45A15D5F">
                  <w:pPr>
                    <w:topLinePunct/>
                    <w:adjustRightInd w:val="0"/>
                    <w:snapToGrid w:val="0"/>
                    <w:jc w:val="center"/>
                    <w:rPr>
                      <w:color w:val="auto"/>
                      <w:kern w:val="0"/>
                      <w:sz w:val="18"/>
                      <w:szCs w:val="18"/>
                      <w:highlight w:val="none"/>
                    </w:rPr>
                  </w:pPr>
                  <w:r>
                    <w:rPr>
                      <w:rFonts w:hint="eastAsia"/>
                      <w:color w:val="auto"/>
                      <w:kern w:val="0"/>
                      <w:sz w:val="18"/>
                      <w:szCs w:val="18"/>
                      <w:highlight w:val="none"/>
                    </w:rPr>
                    <w:t>苏州市</w:t>
                  </w:r>
                </w:p>
              </w:tc>
              <w:tc>
                <w:tcPr>
                  <w:tcW w:w="675" w:type="dxa"/>
                  <w:tcBorders>
                    <w:top w:val="single" w:color="auto" w:sz="4" w:space="0"/>
                    <w:left w:val="single" w:color="auto" w:sz="4" w:space="0"/>
                    <w:bottom w:val="single" w:color="auto" w:sz="12" w:space="0"/>
                    <w:right w:val="single" w:color="auto" w:sz="4" w:space="0"/>
                  </w:tcBorders>
                  <w:vAlign w:val="center"/>
                </w:tcPr>
                <w:p w14:paraId="405D428C">
                  <w:pPr>
                    <w:topLinePunct/>
                    <w:adjustRightInd w:val="0"/>
                    <w:snapToGrid w:val="0"/>
                    <w:jc w:val="center"/>
                    <w:rPr>
                      <w:color w:val="auto"/>
                      <w:kern w:val="0"/>
                      <w:sz w:val="18"/>
                      <w:szCs w:val="18"/>
                      <w:highlight w:val="none"/>
                    </w:rPr>
                  </w:pPr>
                  <w:r>
                    <w:rPr>
                      <w:rFonts w:hint="eastAsia"/>
                      <w:color w:val="auto"/>
                      <w:kern w:val="0"/>
                      <w:sz w:val="18"/>
                      <w:szCs w:val="18"/>
                      <w:highlight w:val="none"/>
                    </w:rPr>
                    <w:t>吴江区</w:t>
                  </w:r>
                </w:p>
              </w:tc>
              <w:tc>
                <w:tcPr>
                  <w:tcW w:w="1875" w:type="dxa"/>
                  <w:tcBorders>
                    <w:top w:val="single" w:color="auto" w:sz="4" w:space="0"/>
                    <w:left w:val="single" w:color="auto" w:sz="4" w:space="0"/>
                    <w:bottom w:val="single" w:color="auto" w:sz="12" w:space="0"/>
                    <w:right w:val="single" w:color="auto" w:sz="4" w:space="0"/>
                  </w:tcBorders>
                  <w:vAlign w:val="center"/>
                </w:tcPr>
                <w:p w14:paraId="7EDE41EA">
                  <w:pPr>
                    <w:topLinePunct/>
                    <w:adjustRightInd w:val="0"/>
                    <w:snapToGrid w:val="0"/>
                    <w:jc w:val="center"/>
                    <w:rPr>
                      <w:color w:val="auto"/>
                      <w:kern w:val="0"/>
                      <w:sz w:val="18"/>
                      <w:szCs w:val="18"/>
                      <w:highlight w:val="none"/>
                    </w:rPr>
                  </w:pPr>
                  <w:r>
                    <w:rPr>
                      <w:rFonts w:hint="eastAsia"/>
                      <w:color w:val="auto"/>
                      <w:kern w:val="0"/>
                      <w:sz w:val="18"/>
                      <w:szCs w:val="18"/>
                      <w:highlight w:val="none"/>
                    </w:rPr>
                    <w:t>吴江桃源省级森林公园</w:t>
                  </w:r>
                </w:p>
              </w:tc>
              <w:tc>
                <w:tcPr>
                  <w:tcW w:w="638" w:type="dxa"/>
                  <w:tcBorders>
                    <w:top w:val="single" w:color="auto" w:sz="4" w:space="0"/>
                    <w:left w:val="single" w:color="auto" w:sz="4" w:space="0"/>
                    <w:bottom w:val="single" w:color="auto" w:sz="12" w:space="0"/>
                    <w:right w:val="single" w:color="auto" w:sz="4" w:space="0"/>
                  </w:tcBorders>
                  <w:vAlign w:val="center"/>
                </w:tcPr>
                <w:p w14:paraId="535FF09E">
                  <w:pPr>
                    <w:topLinePunct/>
                    <w:adjustRightInd w:val="0"/>
                    <w:snapToGrid w:val="0"/>
                    <w:jc w:val="center"/>
                    <w:rPr>
                      <w:color w:val="auto"/>
                      <w:kern w:val="0"/>
                      <w:sz w:val="18"/>
                      <w:szCs w:val="18"/>
                      <w:highlight w:val="none"/>
                    </w:rPr>
                  </w:pPr>
                  <w:r>
                    <w:rPr>
                      <w:rFonts w:hint="eastAsia"/>
                      <w:color w:val="auto"/>
                      <w:kern w:val="0"/>
                      <w:sz w:val="18"/>
                      <w:szCs w:val="18"/>
                      <w:highlight w:val="none"/>
                    </w:rPr>
                    <w:t>自然与人文景观保护</w:t>
                  </w:r>
                </w:p>
              </w:tc>
              <w:tc>
                <w:tcPr>
                  <w:tcW w:w="2212" w:type="dxa"/>
                  <w:tcBorders>
                    <w:top w:val="single" w:color="auto" w:sz="4" w:space="0"/>
                    <w:left w:val="single" w:color="auto" w:sz="4" w:space="0"/>
                    <w:bottom w:val="single" w:color="auto" w:sz="12" w:space="0"/>
                    <w:right w:val="single" w:color="auto" w:sz="4" w:space="0"/>
                  </w:tcBorders>
                  <w:vAlign w:val="center"/>
                </w:tcPr>
                <w:p w14:paraId="760D9266">
                  <w:pPr>
                    <w:jc w:val="left"/>
                    <w:rPr>
                      <w:color w:val="auto"/>
                      <w:kern w:val="0"/>
                      <w:sz w:val="18"/>
                      <w:szCs w:val="18"/>
                      <w:highlight w:val="none"/>
                    </w:rPr>
                  </w:pPr>
                  <w:r>
                    <w:rPr>
                      <w:rFonts w:hint="eastAsia" w:ascii="宋体" w:hAnsi="宋体"/>
                      <w:color w:val="auto"/>
                      <w:sz w:val="18"/>
                      <w:szCs w:val="18"/>
                      <w:highlight w:val="none"/>
                    </w:rPr>
                    <w:t>吴江桃源省级森林公园总体规划中确定的范围（包括生态保育区和核心景观区等）</w:t>
                  </w:r>
                </w:p>
              </w:tc>
              <w:tc>
                <w:tcPr>
                  <w:tcW w:w="838" w:type="dxa"/>
                  <w:tcBorders>
                    <w:top w:val="single" w:color="auto" w:sz="4" w:space="0"/>
                    <w:left w:val="single" w:color="auto" w:sz="4" w:space="0"/>
                    <w:bottom w:val="single" w:color="auto" w:sz="12" w:space="0"/>
                    <w:right w:val="single" w:color="auto" w:sz="4" w:space="0"/>
                  </w:tcBorders>
                  <w:vAlign w:val="center"/>
                </w:tcPr>
                <w:p w14:paraId="58E47E00">
                  <w:pPr>
                    <w:topLinePunct/>
                    <w:adjustRightInd w:val="0"/>
                    <w:snapToGrid w:val="0"/>
                    <w:jc w:val="center"/>
                    <w:rPr>
                      <w:color w:val="auto"/>
                      <w:kern w:val="0"/>
                      <w:sz w:val="18"/>
                      <w:szCs w:val="18"/>
                      <w:highlight w:val="none"/>
                    </w:rPr>
                  </w:pPr>
                  <w:r>
                    <w:rPr>
                      <w:color w:val="auto"/>
                      <w:sz w:val="18"/>
                      <w:szCs w:val="18"/>
                      <w:highlight w:val="none"/>
                    </w:rPr>
                    <w:t>0.31km</w:t>
                  </w:r>
                  <w:r>
                    <w:rPr>
                      <w:color w:val="auto"/>
                      <w:sz w:val="18"/>
                      <w:szCs w:val="18"/>
                      <w:highlight w:val="none"/>
                      <w:vertAlign w:val="superscript"/>
                    </w:rPr>
                    <w:t>2</w:t>
                  </w:r>
                </w:p>
              </w:tc>
              <w:tc>
                <w:tcPr>
                  <w:tcW w:w="1001" w:type="dxa"/>
                  <w:tcBorders>
                    <w:top w:val="single" w:color="auto" w:sz="4" w:space="0"/>
                    <w:left w:val="single" w:color="auto" w:sz="4" w:space="0"/>
                    <w:bottom w:val="single" w:color="auto" w:sz="12" w:space="0"/>
                  </w:tcBorders>
                  <w:vAlign w:val="center"/>
                </w:tcPr>
                <w:p w14:paraId="61206F50">
                  <w:pPr>
                    <w:topLinePunct/>
                    <w:adjustRightInd w:val="0"/>
                    <w:snapToGrid w:val="0"/>
                    <w:jc w:val="center"/>
                    <w:rPr>
                      <w:color w:val="auto"/>
                      <w:kern w:val="0"/>
                      <w:sz w:val="18"/>
                      <w:szCs w:val="18"/>
                      <w:highlight w:val="none"/>
                    </w:rPr>
                  </w:pPr>
                  <w:r>
                    <w:rPr>
                      <w:rFonts w:hint="eastAsia"/>
                      <w:color w:val="auto"/>
                      <w:sz w:val="18"/>
                      <w:szCs w:val="18"/>
                      <w:highlight w:val="none"/>
                      <w:lang w:val="en-US" w:eastAsia="zh-CN"/>
                    </w:rPr>
                    <w:t>西</w:t>
                  </w:r>
                  <w:r>
                    <w:rPr>
                      <w:rFonts w:hint="eastAsia"/>
                      <w:color w:val="auto"/>
                      <w:sz w:val="18"/>
                      <w:szCs w:val="18"/>
                      <w:highlight w:val="none"/>
                    </w:rPr>
                    <w:t>南侧</w:t>
                  </w:r>
                  <w:r>
                    <w:rPr>
                      <w:rFonts w:hint="eastAsia"/>
                      <w:color w:val="auto"/>
                      <w:sz w:val="18"/>
                      <w:szCs w:val="18"/>
                      <w:highlight w:val="none"/>
                      <w:lang w:val="en-US" w:eastAsia="zh-CN"/>
                    </w:rPr>
                    <w:t>2.87</w:t>
                  </w:r>
                  <w:r>
                    <w:rPr>
                      <w:color w:val="auto"/>
                      <w:sz w:val="18"/>
                      <w:szCs w:val="18"/>
                      <w:highlight w:val="none"/>
                    </w:rPr>
                    <w:t>km</w:t>
                  </w:r>
                </w:p>
              </w:tc>
            </w:tr>
          </w:tbl>
          <w:p w14:paraId="7EFA0D5A">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本项目不在江苏省国家级生态保护红线规划内，符合规划要求。</w:t>
            </w:r>
          </w:p>
          <w:p w14:paraId="7D7AA7EB">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②江苏省生态空间管控区域规划</w:t>
            </w:r>
          </w:p>
          <w:p w14:paraId="175C2C08">
            <w:pPr>
              <w:tabs>
                <w:tab w:val="center" w:pos="4156"/>
                <w:tab w:val="left" w:pos="5964"/>
              </w:tabs>
              <w:adjustRightInd w:val="0"/>
              <w:snapToGrid w:val="0"/>
              <w:jc w:val="center"/>
              <w:rPr>
                <w:b/>
                <w:snapToGrid w:val="0"/>
                <w:color w:val="auto"/>
                <w:szCs w:val="21"/>
                <w:highlight w:val="none"/>
              </w:rPr>
            </w:pPr>
            <w:r>
              <w:rPr>
                <w:rFonts w:hint="eastAsia"/>
                <w:b/>
                <w:snapToGrid w:val="0"/>
                <w:color w:val="auto"/>
                <w:szCs w:val="21"/>
                <w:highlight w:val="none"/>
              </w:rPr>
              <w:t>表</w:t>
            </w:r>
            <w:r>
              <w:rPr>
                <w:b/>
                <w:snapToGrid w:val="0"/>
                <w:color w:val="auto"/>
                <w:szCs w:val="21"/>
                <w:highlight w:val="none"/>
              </w:rPr>
              <w:t>1-</w:t>
            </w:r>
            <w:r>
              <w:rPr>
                <w:rFonts w:hint="eastAsia"/>
                <w:b/>
                <w:snapToGrid w:val="0"/>
                <w:color w:val="auto"/>
                <w:szCs w:val="21"/>
                <w:highlight w:val="none"/>
                <w:lang w:val="en-US" w:eastAsia="zh-CN"/>
              </w:rPr>
              <w:t>4</w:t>
            </w:r>
            <w:r>
              <w:rPr>
                <w:b/>
                <w:snapToGrid w:val="0"/>
                <w:color w:val="auto"/>
                <w:szCs w:val="21"/>
                <w:highlight w:val="none"/>
              </w:rPr>
              <w:t xml:space="preserve">  </w:t>
            </w:r>
            <w:r>
              <w:rPr>
                <w:rFonts w:hint="eastAsia"/>
                <w:b/>
                <w:snapToGrid w:val="0"/>
                <w:color w:val="auto"/>
                <w:szCs w:val="21"/>
                <w:highlight w:val="none"/>
              </w:rPr>
              <w:t>江苏省生态空间管控区域规划</w:t>
            </w:r>
          </w:p>
          <w:tbl>
            <w:tblPr>
              <w:tblStyle w:val="2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48"/>
              <w:gridCol w:w="622"/>
              <w:gridCol w:w="979"/>
              <w:gridCol w:w="663"/>
              <w:gridCol w:w="2707"/>
              <w:gridCol w:w="772"/>
              <w:gridCol w:w="921"/>
            </w:tblGrid>
            <w:tr w14:paraId="7ED412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270" w:type="dxa"/>
                  <w:gridSpan w:val="2"/>
                  <w:tcBorders>
                    <w:tl2br w:val="nil"/>
                    <w:tr2bl w:val="nil"/>
                  </w:tcBorders>
                  <w:vAlign w:val="center"/>
                </w:tcPr>
                <w:p w14:paraId="1E4BC53B">
                  <w:pPr>
                    <w:topLinePunct/>
                    <w:adjustRightInd w:val="0"/>
                    <w:snapToGrid w:val="0"/>
                    <w:jc w:val="center"/>
                    <w:rPr>
                      <w:color w:val="auto"/>
                      <w:kern w:val="0"/>
                      <w:sz w:val="18"/>
                      <w:szCs w:val="18"/>
                      <w:highlight w:val="none"/>
                    </w:rPr>
                  </w:pPr>
                  <w:r>
                    <w:rPr>
                      <w:rFonts w:hint="eastAsia"/>
                      <w:color w:val="auto"/>
                      <w:kern w:val="0"/>
                      <w:sz w:val="18"/>
                      <w:szCs w:val="18"/>
                      <w:highlight w:val="none"/>
                    </w:rPr>
                    <w:t>所在行政区域</w:t>
                  </w:r>
                </w:p>
              </w:tc>
              <w:tc>
                <w:tcPr>
                  <w:tcW w:w="1063" w:type="dxa"/>
                  <w:vMerge w:val="restart"/>
                  <w:tcBorders>
                    <w:tl2br w:val="nil"/>
                    <w:tr2bl w:val="nil"/>
                  </w:tcBorders>
                  <w:vAlign w:val="center"/>
                </w:tcPr>
                <w:p w14:paraId="6F6C3F07">
                  <w:pPr>
                    <w:topLinePunct/>
                    <w:adjustRightInd w:val="0"/>
                    <w:snapToGrid w:val="0"/>
                    <w:jc w:val="center"/>
                    <w:rPr>
                      <w:color w:val="auto"/>
                      <w:kern w:val="0"/>
                      <w:sz w:val="18"/>
                      <w:szCs w:val="18"/>
                      <w:highlight w:val="none"/>
                    </w:rPr>
                  </w:pPr>
                  <w:r>
                    <w:rPr>
                      <w:rFonts w:hint="eastAsia"/>
                      <w:color w:val="auto"/>
                      <w:kern w:val="0"/>
                      <w:sz w:val="18"/>
                      <w:szCs w:val="18"/>
                      <w:highlight w:val="none"/>
                    </w:rPr>
                    <w:t>生态空间保护区域名称</w:t>
                  </w:r>
                </w:p>
              </w:tc>
              <w:tc>
                <w:tcPr>
                  <w:tcW w:w="720" w:type="dxa"/>
                  <w:vMerge w:val="restart"/>
                  <w:tcBorders>
                    <w:tl2br w:val="nil"/>
                    <w:tr2bl w:val="nil"/>
                  </w:tcBorders>
                  <w:vAlign w:val="center"/>
                </w:tcPr>
                <w:p w14:paraId="4B3D7490">
                  <w:pPr>
                    <w:topLinePunct/>
                    <w:adjustRightInd w:val="0"/>
                    <w:snapToGrid w:val="0"/>
                    <w:jc w:val="center"/>
                    <w:rPr>
                      <w:color w:val="auto"/>
                      <w:kern w:val="0"/>
                      <w:sz w:val="18"/>
                      <w:szCs w:val="18"/>
                      <w:highlight w:val="none"/>
                    </w:rPr>
                  </w:pPr>
                  <w:r>
                    <w:rPr>
                      <w:rFonts w:hint="eastAsia"/>
                      <w:color w:val="auto"/>
                      <w:kern w:val="0"/>
                      <w:sz w:val="18"/>
                      <w:szCs w:val="18"/>
                      <w:highlight w:val="none"/>
                    </w:rPr>
                    <w:t>主导生态功能</w:t>
                  </w:r>
                </w:p>
              </w:tc>
              <w:tc>
                <w:tcPr>
                  <w:tcW w:w="2942" w:type="dxa"/>
                  <w:vMerge w:val="restart"/>
                  <w:tcBorders>
                    <w:tl2br w:val="nil"/>
                    <w:tr2bl w:val="nil"/>
                  </w:tcBorders>
                  <w:vAlign w:val="center"/>
                </w:tcPr>
                <w:p w14:paraId="54A19926">
                  <w:pPr>
                    <w:topLinePunct/>
                    <w:adjustRightInd w:val="0"/>
                    <w:snapToGrid w:val="0"/>
                    <w:jc w:val="center"/>
                    <w:rPr>
                      <w:color w:val="auto"/>
                      <w:kern w:val="0"/>
                      <w:sz w:val="18"/>
                      <w:szCs w:val="18"/>
                      <w:highlight w:val="none"/>
                    </w:rPr>
                  </w:pPr>
                  <w:r>
                    <w:rPr>
                      <w:rFonts w:hint="eastAsia"/>
                      <w:color w:val="auto"/>
                      <w:kern w:val="0"/>
                      <w:sz w:val="18"/>
                      <w:szCs w:val="18"/>
                      <w:highlight w:val="none"/>
                    </w:rPr>
                    <w:t>管控区域范围</w:t>
                  </w:r>
                </w:p>
              </w:tc>
              <w:tc>
                <w:tcPr>
                  <w:tcW w:w="838" w:type="dxa"/>
                  <w:vMerge w:val="restart"/>
                  <w:tcBorders>
                    <w:tl2br w:val="nil"/>
                    <w:tr2bl w:val="nil"/>
                  </w:tcBorders>
                  <w:vAlign w:val="center"/>
                </w:tcPr>
                <w:p w14:paraId="59CC0CAF">
                  <w:pPr>
                    <w:topLinePunct/>
                    <w:adjustRightInd w:val="0"/>
                    <w:snapToGrid w:val="0"/>
                    <w:jc w:val="center"/>
                    <w:rPr>
                      <w:color w:val="auto"/>
                      <w:kern w:val="0"/>
                      <w:sz w:val="18"/>
                      <w:szCs w:val="18"/>
                      <w:highlight w:val="none"/>
                    </w:rPr>
                  </w:pPr>
                  <w:r>
                    <w:rPr>
                      <w:rFonts w:hint="eastAsia"/>
                      <w:color w:val="auto"/>
                      <w:kern w:val="0"/>
                      <w:sz w:val="18"/>
                      <w:szCs w:val="18"/>
                      <w:highlight w:val="none"/>
                    </w:rPr>
                    <w:t>区域面积</w:t>
                  </w:r>
                </w:p>
              </w:tc>
              <w:tc>
                <w:tcPr>
                  <w:tcW w:w="1001" w:type="dxa"/>
                  <w:vMerge w:val="restart"/>
                  <w:tcBorders>
                    <w:tl2br w:val="nil"/>
                    <w:tr2bl w:val="nil"/>
                  </w:tcBorders>
                  <w:vAlign w:val="center"/>
                </w:tcPr>
                <w:p w14:paraId="4A430BC6">
                  <w:pPr>
                    <w:topLinePunct/>
                    <w:adjustRightInd w:val="0"/>
                    <w:snapToGrid w:val="0"/>
                    <w:jc w:val="center"/>
                    <w:rPr>
                      <w:color w:val="auto"/>
                      <w:kern w:val="0"/>
                      <w:sz w:val="18"/>
                      <w:szCs w:val="18"/>
                      <w:highlight w:val="none"/>
                    </w:rPr>
                  </w:pPr>
                  <w:r>
                    <w:rPr>
                      <w:rFonts w:hint="eastAsia"/>
                      <w:color w:val="auto"/>
                      <w:kern w:val="0"/>
                      <w:sz w:val="18"/>
                      <w:szCs w:val="18"/>
                      <w:highlight w:val="none"/>
                    </w:rPr>
                    <w:t>方位及距离</w:t>
                  </w:r>
                </w:p>
              </w:tc>
            </w:tr>
            <w:tr w14:paraId="00EAF1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95" w:type="dxa"/>
                  <w:tcBorders>
                    <w:tl2br w:val="nil"/>
                    <w:tr2bl w:val="nil"/>
                  </w:tcBorders>
                  <w:vAlign w:val="center"/>
                </w:tcPr>
                <w:p w14:paraId="06069C39">
                  <w:pPr>
                    <w:topLinePunct/>
                    <w:adjustRightInd w:val="0"/>
                    <w:snapToGrid w:val="0"/>
                    <w:jc w:val="center"/>
                    <w:rPr>
                      <w:color w:val="auto"/>
                      <w:kern w:val="0"/>
                      <w:sz w:val="18"/>
                      <w:szCs w:val="18"/>
                      <w:highlight w:val="none"/>
                    </w:rPr>
                  </w:pPr>
                  <w:r>
                    <w:rPr>
                      <w:rFonts w:hint="eastAsia"/>
                      <w:color w:val="auto"/>
                      <w:kern w:val="0"/>
                      <w:sz w:val="18"/>
                      <w:szCs w:val="18"/>
                      <w:highlight w:val="none"/>
                    </w:rPr>
                    <w:t>市级</w:t>
                  </w:r>
                </w:p>
              </w:tc>
              <w:tc>
                <w:tcPr>
                  <w:tcW w:w="675" w:type="dxa"/>
                  <w:tcBorders>
                    <w:tl2br w:val="nil"/>
                    <w:tr2bl w:val="nil"/>
                  </w:tcBorders>
                  <w:vAlign w:val="center"/>
                </w:tcPr>
                <w:p w14:paraId="00D0B89B">
                  <w:pPr>
                    <w:topLinePunct/>
                    <w:adjustRightInd w:val="0"/>
                    <w:snapToGrid w:val="0"/>
                    <w:jc w:val="center"/>
                    <w:rPr>
                      <w:color w:val="auto"/>
                      <w:kern w:val="0"/>
                      <w:sz w:val="18"/>
                      <w:szCs w:val="18"/>
                      <w:highlight w:val="none"/>
                    </w:rPr>
                  </w:pPr>
                  <w:r>
                    <w:rPr>
                      <w:rFonts w:hint="eastAsia"/>
                      <w:color w:val="auto"/>
                      <w:kern w:val="0"/>
                      <w:sz w:val="18"/>
                      <w:szCs w:val="18"/>
                      <w:highlight w:val="none"/>
                    </w:rPr>
                    <w:t>区级</w:t>
                  </w:r>
                </w:p>
              </w:tc>
              <w:tc>
                <w:tcPr>
                  <w:tcW w:w="1063" w:type="dxa"/>
                  <w:vMerge w:val="continue"/>
                  <w:tcBorders>
                    <w:tl2br w:val="nil"/>
                    <w:tr2bl w:val="nil"/>
                  </w:tcBorders>
                  <w:vAlign w:val="center"/>
                </w:tcPr>
                <w:p w14:paraId="57DF015E">
                  <w:pPr>
                    <w:topLinePunct/>
                    <w:adjustRightInd w:val="0"/>
                    <w:snapToGrid w:val="0"/>
                    <w:jc w:val="center"/>
                    <w:rPr>
                      <w:color w:val="auto"/>
                      <w:kern w:val="0"/>
                      <w:sz w:val="18"/>
                      <w:szCs w:val="18"/>
                      <w:highlight w:val="none"/>
                    </w:rPr>
                  </w:pPr>
                </w:p>
              </w:tc>
              <w:tc>
                <w:tcPr>
                  <w:tcW w:w="720" w:type="dxa"/>
                  <w:vMerge w:val="continue"/>
                  <w:tcBorders>
                    <w:tl2br w:val="nil"/>
                    <w:tr2bl w:val="nil"/>
                  </w:tcBorders>
                  <w:vAlign w:val="center"/>
                </w:tcPr>
                <w:p w14:paraId="3EC4BFDE">
                  <w:pPr>
                    <w:topLinePunct/>
                    <w:adjustRightInd w:val="0"/>
                    <w:snapToGrid w:val="0"/>
                    <w:jc w:val="center"/>
                    <w:rPr>
                      <w:color w:val="auto"/>
                      <w:kern w:val="0"/>
                      <w:sz w:val="18"/>
                      <w:szCs w:val="18"/>
                      <w:highlight w:val="none"/>
                    </w:rPr>
                  </w:pPr>
                </w:p>
              </w:tc>
              <w:tc>
                <w:tcPr>
                  <w:tcW w:w="2942" w:type="dxa"/>
                  <w:vMerge w:val="continue"/>
                  <w:tcBorders>
                    <w:tl2br w:val="nil"/>
                    <w:tr2bl w:val="nil"/>
                  </w:tcBorders>
                  <w:vAlign w:val="center"/>
                </w:tcPr>
                <w:p w14:paraId="684E6315">
                  <w:pPr>
                    <w:topLinePunct/>
                    <w:adjustRightInd w:val="0"/>
                    <w:snapToGrid w:val="0"/>
                    <w:jc w:val="center"/>
                    <w:rPr>
                      <w:color w:val="auto"/>
                      <w:kern w:val="0"/>
                      <w:sz w:val="18"/>
                      <w:szCs w:val="18"/>
                      <w:highlight w:val="none"/>
                    </w:rPr>
                  </w:pPr>
                </w:p>
              </w:tc>
              <w:tc>
                <w:tcPr>
                  <w:tcW w:w="838" w:type="dxa"/>
                  <w:vMerge w:val="continue"/>
                  <w:tcBorders>
                    <w:tl2br w:val="nil"/>
                    <w:tr2bl w:val="nil"/>
                  </w:tcBorders>
                  <w:vAlign w:val="center"/>
                </w:tcPr>
                <w:p w14:paraId="55E2ABC0">
                  <w:pPr>
                    <w:topLinePunct/>
                    <w:adjustRightInd w:val="0"/>
                    <w:snapToGrid w:val="0"/>
                    <w:jc w:val="center"/>
                    <w:rPr>
                      <w:color w:val="auto"/>
                      <w:kern w:val="0"/>
                      <w:sz w:val="18"/>
                      <w:szCs w:val="18"/>
                      <w:highlight w:val="none"/>
                    </w:rPr>
                  </w:pPr>
                </w:p>
              </w:tc>
              <w:tc>
                <w:tcPr>
                  <w:tcW w:w="1001" w:type="dxa"/>
                  <w:vMerge w:val="continue"/>
                  <w:tcBorders>
                    <w:tl2br w:val="nil"/>
                    <w:tr2bl w:val="nil"/>
                  </w:tcBorders>
                  <w:vAlign w:val="center"/>
                </w:tcPr>
                <w:p w14:paraId="2CCED9F1">
                  <w:pPr>
                    <w:topLinePunct/>
                    <w:adjustRightInd w:val="0"/>
                    <w:snapToGrid w:val="0"/>
                    <w:jc w:val="center"/>
                    <w:rPr>
                      <w:color w:val="auto"/>
                      <w:kern w:val="0"/>
                      <w:sz w:val="18"/>
                      <w:szCs w:val="18"/>
                      <w:highlight w:val="none"/>
                    </w:rPr>
                  </w:pPr>
                </w:p>
              </w:tc>
            </w:tr>
            <w:tr w14:paraId="5311C1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95" w:type="dxa"/>
                  <w:tcBorders>
                    <w:tl2br w:val="nil"/>
                    <w:tr2bl w:val="nil"/>
                  </w:tcBorders>
                  <w:vAlign w:val="center"/>
                </w:tcPr>
                <w:p w14:paraId="2D7C3696">
                  <w:pPr>
                    <w:topLinePunct/>
                    <w:adjustRightInd w:val="0"/>
                    <w:snapToGrid w:val="0"/>
                    <w:jc w:val="center"/>
                    <w:rPr>
                      <w:color w:val="auto"/>
                      <w:kern w:val="0"/>
                      <w:sz w:val="18"/>
                      <w:szCs w:val="18"/>
                      <w:highlight w:val="none"/>
                    </w:rPr>
                  </w:pPr>
                  <w:r>
                    <w:rPr>
                      <w:rFonts w:hint="eastAsia"/>
                      <w:color w:val="auto"/>
                      <w:kern w:val="0"/>
                      <w:sz w:val="18"/>
                      <w:szCs w:val="18"/>
                      <w:highlight w:val="none"/>
                    </w:rPr>
                    <w:t>苏州市</w:t>
                  </w:r>
                </w:p>
              </w:tc>
              <w:tc>
                <w:tcPr>
                  <w:tcW w:w="675" w:type="dxa"/>
                  <w:tcBorders>
                    <w:tl2br w:val="nil"/>
                    <w:tr2bl w:val="nil"/>
                  </w:tcBorders>
                  <w:vAlign w:val="center"/>
                </w:tcPr>
                <w:p w14:paraId="17116401">
                  <w:pPr>
                    <w:topLinePunct/>
                    <w:adjustRightInd w:val="0"/>
                    <w:snapToGrid w:val="0"/>
                    <w:jc w:val="center"/>
                    <w:rPr>
                      <w:color w:val="auto"/>
                      <w:kern w:val="0"/>
                      <w:sz w:val="18"/>
                      <w:szCs w:val="18"/>
                      <w:highlight w:val="none"/>
                    </w:rPr>
                  </w:pPr>
                  <w:r>
                    <w:rPr>
                      <w:rFonts w:hint="eastAsia"/>
                      <w:color w:val="auto"/>
                      <w:kern w:val="0"/>
                      <w:sz w:val="18"/>
                      <w:szCs w:val="18"/>
                      <w:highlight w:val="none"/>
                    </w:rPr>
                    <w:t>吴江区</w:t>
                  </w:r>
                </w:p>
              </w:tc>
              <w:tc>
                <w:tcPr>
                  <w:tcW w:w="1063" w:type="dxa"/>
                  <w:tcBorders>
                    <w:tl2br w:val="nil"/>
                    <w:tr2bl w:val="nil"/>
                  </w:tcBorders>
                  <w:vAlign w:val="center"/>
                </w:tcPr>
                <w:p w14:paraId="1A934C13">
                  <w:pPr>
                    <w:topLinePunct/>
                    <w:adjustRightInd w:val="0"/>
                    <w:snapToGrid w:val="0"/>
                    <w:jc w:val="center"/>
                    <w:rPr>
                      <w:color w:val="auto"/>
                      <w:kern w:val="0"/>
                      <w:sz w:val="18"/>
                      <w:szCs w:val="18"/>
                      <w:highlight w:val="none"/>
                    </w:rPr>
                  </w:pPr>
                  <w:r>
                    <w:rPr>
                      <w:rFonts w:hint="eastAsia"/>
                      <w:color w:val="auto"/>
                      <w:kern w:val="0"/>
                      <w:sz w:val="18"/>
                      <w:szCs w:val="18"/>
                      <w:highlight w:val="none"/>
                    </w:rPr>
                    <w:t>吴江桃源省级森林公园</w:t>
                  </w:r>
                </w:p>
              </w:tc>
              <w:tc>
                <w:tcPr>
                  <w:tcW w:w="720" w:type="dxa"/>
                  <w:tcBorders>
                    <w:tl2br w:val="nil"/>
                    <w:tr2bl w:val="nil"/>
                  </w:tcBorders>
                  <w:vAlign w:val="center"/>
                </w:tcPr>
                <w:p w14:paraId="1603AE49">
                  <w:pPr>
                    <w:topLinePunct/>
                    <w:adjustRightInd w:val="0"/>
                    <w:snapToGrid w:val="0"/>
                    <w:jc w:val="center"/>
                    <w:rPr>
                      <w:color w:val="auto"/>
                      <w:kern w:val="0"/>
                      <w:sz w:val="18"/>
                      <w:szCs w:val="18"/>
                      <w:highlight w:val="none"/>
                    </w:rPr>
                  </w:pPr>
                  <w:r>
                    <w:rPr>
                      <w:rFonts w:hint="eastAsia"/>
                      <w:color w:val="auto"/>
                      <w:kern w:val="0"/>
                      <w:sz w:val="18"/>
                      <w:szCs w:val="18"/>
                      <w:highlight w:val="none"/>
                    </w:rPr>
                    <w:t>自然与人文景观保护</w:t>
                  </w:r>
                </w:p>
              </w:tc>
              <w:tc>
                <w:tcPr>
                  <w:tcW w:w="2942" w:type="dxa"/>
                  <w:tcBorders>
                    <w:tl2br w:val="nil"/>
                    <w:tr2bl w:val="nil"/>
                  </w:tcBorders>
                  <w:vAlign w:val="center"/>
                </w:tcPr>
                <w:p w14:paraId="4CDF9159">
                  <w:pPr>
                    <w:jc w:val="left"/>
                    <w:rPr>
                      <w:color w:val="auto"/>
                      <w:kern w:val="0"/>
                      <w:sz w:val="18"/>
                      <w:szCs w:val="18"/>
                      <w:highlight w:val="none"/>
                    </w:rPr>
                  </w:pPr>
                  <w:r>
                    <w:rPr>
                      <w:rFonts w:hint="eastAsia" w:ascii="宋体" w:hAnsi="宋体"/>
                      <w:color w:val="auto"/>
                      <w:sz w:val="18"/>
                      <w:szCs w:val="18"/>
                      <w:highlight w:val="none"/>
                    </w:rPr>
                    <w:t>吴江桃源省级森林公园总体规划范围，不包括已纳入国家级生态保护红线的部分</w:t>
                  </w:r>
                </w:p>
              </w:tc>
              <w:tc>
                <w:tcPr>
                  <w:tcW w:w="838" w:type="dxa"/>
                  <w:tcBorders>
                    <w:tl2br w:val="nil"/>
                    <w:tr2bl w:val="nil"/>
                  </w:tcBorders>
                  <w:vAlign w:val="center"/>
                </w:tcPr>
                <w:p w14:paraId="7B681019">
                  <w:pPr>
                    <w:topLinePunct/>
                    <w:adjustRightInd w:val="0"/>
                    <w:snapToGrid w:val="0"/>
                    <w:jc w:val="center"/>
                    <w:rPr>
                      <w:color w:val="auto"/>
                      <w:kern w:val="0"/>
                      <w:sz w:val="18"/>
                      <w:szCs w:val="18"/>
                      <w:highlight w:val="none"/>
                    </w:rPr>
                  </w:pPr>
                  <w:r>
                    <w:rPr>
                      <w:color w:val="auto"/>
                      <w:kern w:val="0"/>
                      <w:sz w:val="18"/>
                      <w:szCs w:val="18"/>
                      <w:highlight w:val="none"/>
                    </w:rPr>
                    <w:t>1.74</w:t>
                  </w:r>
                  <w:r>
                    <w:rPr>
                      <w:color w:val="auto"/>
                      <w:sz w:val="18"/>
                      <w:szCs w:val="18"/>
                      <w:highlight w:val="none"/>
                    </w:rPr>
                    <w:t>km</w:t>
                  </w:r>
                  <w:r>
                    <w:rPr>
                      <w:color w:val="auto"/>
                      <w:sz w:val="18"/>
                      <w:szCs w:val="18"/>
                      <w:highlight w:val="none"/>
                      <w:vertAlign w:val="superscript"/>
                    </w:rPr>
                    <w:t>2</w:t>
                  </w:r>
                </w:p>
              </w:tc>
              <w:tc>
                <w:tcPr>
                  <w:tcW w:w="1001" w:type="dxa"/>
                  <w:tcBorders>
                    <w:tl2br w:val="nil"/>
                    <w:tr2bl w:val="nil"/>
                  </w:tcBorders>
                  <w:vAlign w:val="center"/>
                </w:tcPr>
                <w:p w14:paraId="56110ACD">
                  <w:pPr>
                    <w:topLinePunct/>
                    <w:adjustRightInd w:val="0"/>
                    <w:snapToGrid w:val="0"/>
                    <w:jc w:val="center"/>
                    <w:rPr>
                      <w:color w:val="auto"/>
                      <w:kern w:val="0"/>
                      <w:sz w:val="18"/>
                      <w:szCs w:val="18"/>
                      <w:highlight w:val="none"/>
                    </w:rPr>
                  </w:pPr>
                  <w:r>
                    <w:rPr>
                      <w:rFonts w:hint="eastAsia"/>
                      <w:color w:val="auto"/>
                      <w:sz w:val="18"/>
                      <w:szCs w:val="18"/>
                      <w:highlight w:val="none"/>
                      <w:lang w:val="en-US" w:eastAsia="zh-CN"/>
                    </w:rPr>
                    <w:t>西南</w:t>
                  </w:r>
                  <w:r>
                    <w:rPr>
                      <w:rFonts w:hint="eastAsia"/>
                      <w:color w:val="auto"/>
                      <w:sz w:val="18"/>
                      <w:szCs w:val="18"/>
                      <w:highlight w:val="none"/>
                    </w:rPr>
                    <w:t>侧</w:t>
                  </w:r>
                  <w:r>
                    <w:rPr>
                      <w:rFonts w:hint="eastAsia"/>
                      <w:color w:val="auto"/>
                      <w:sz w:val="18"/>
                      <w:szCs w:val="18"/>
                      <w:highlight w:val="none"/>
                      <w:lang w:val="en-US" w:eastAsia="zh-CN"/>
                    </w:rPr>
                    <w:t>2.87</w:t>
                  </w:r>
                  <w:r>
                    <w:rPr>
                      <w:color w:val="auto"/>
                      <w:sz w:val="18"/>
                      <w:szCs w:val="18"/>
                      <w:highlight w:val="none"/>
                    </w:rPr>
                    <w:t>km</w:t>
                  </w:r>
                </w:p>
              </w:tc>
            </w:tr>
          </w:tbl>
          <w:p w14:paraId="1E35DD09">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本项目不在江苏省生态空间管控区域规划内，符合规划要求。</w:t>
            </w:r>
          </w:p>
          <w:p w14:paraId="1CB37A16">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w:t>
            </w:r>
            <w:r>
              <w:rPr>
                <w:color w:val="auto"/>
                <w:kern w:val="0"/>
                <w:szCs w:val="21"/>
                <w:highlight w:val="none"/>
              </w:rPr>
              <w:t>2</w:t>
            </w:r>
            <w:r>
              <w:rPr>
                <w:rFonts w:hint="eastAsia"/>
                <w:color w:val="auto"/>
                <w:kern w:val="0"/>
                <w:szCs w:val="21"/>
                <w:highlight w:val="none"/>
              </w:rPr>
              <w:t>）环境质量底线</w:t>
            </w:r>
          </w:p>
          <w:p w14:paraId="596D1A2E">
            <w:pPr>
              <w:topLinePunct/>
              <w:adjustRightInd w:val="0"/>
              <w:snapToGrid w:val="0"/>
              <w:spacing w:line="360" w:lineRule="auto"/>
              <w:ind w:firstLine="420" w:firstLineChars="200"/>
              <w:rPr>
                <w:rFonts w:eastAsia="仿宋"/>
                <w:color w:val="auto"/>
                <w:highlight w:val="none"/>
              </w:rPr>
            </w:pPr>
            <w:r>
              <w:rPr>
                <w:rFonts w:ascii="Times New Roman" w:hAnsi="Times New Roman" w:eastAsia="宋体" w:cs="Times New Roman"/>
                <w:color w:val="auto"/>
                <w:sz w:val="21"/>
                <w:szCs w:val="21"/>
                <w:highlight w:val="none"/>
              </w:rPr>
              <w:t>根据《</w:t>
            </w:r>
            <w:r>
              <w:rPr>
                <w:rFonts w:hint="eastAsia" w:ascii="Times New Roman" w:hAnsi="Times New Roman" w:eastAsia="宋体" w:cs="Times New Roman"/>
                <w:color w:val="auto"/>
                <w:sz w:val="21"/>
                <w:szCs w:val="21"/>
                <w:highlight w:val="none"/>
                <w:lang w:eastAsia="zh-CN"/>
              </w:rPr>
              <w:t>2025年度苏州市生态环境状况</w:t>
            </w:r>
            <w:r>
              <w:rPr>
                <w:rFonts w:ascii="Times New Roman" w:hAnsi="Times New Roman" w:eastAsia="宋体" w:cs="Times New Roman"/>
                <w:color w:val="auto"/>
                <w:sz w:val="21"/>
                <w:szCs w:val="21"/>
                <w:highlight w:val="none"/>
              </w:rPr>
              <w:t>》，大气环境方面，</w:t>
            </w:r>
            <w:r>
              <w:rPr>
                <w:rFonts w:hint="eastAsia" w:ascii="Times New Roman" w:hAnsi="Times New Roman" w:eastAsia="宋体" w:cs="Times New Roman"/>
                <w:color w:val="auto"/>
                <w:sz w:val="21"/>
                <w:szCs w:val="21"/>
                <w:highlight w:val="none"/>
              </w:rPr>
              <w:t>苏州市全市环境空气质量平均优良天数比率为80.3%，同比下降5.5个百分点。各地优良天数比率介于75.5%~82.2%；市区环境空气质量优良天数比率为80%，同比下降4.2个百分点。</w:t>
            </w:r>
            <w:r>
              <w:rPr>
                <w:rFonts w:hint="eastAsia" w:ascii="Times New Roman" w:hAnsi="Times New Roman" w:eastAsia="宋体" w:cs="Times New Roman"/>
                <w:color w:val="auto"/>
                <w:sz w:val="21"/>
                <w:szCs w:val="21"/>
                <w:highlight w:val="none"/>
                <w:lang w:eastAsia="zh-CN"/>
              </w:rPr>
              <w:t>各项</w:t>
            </w:r>
            <w:r>
              <w:rPr>
                <w:rFonts w:ascii="Times New Roman" w:hAnsi="Times New Roman" w:eastAsia="宋体" w:cs="Times New Roman"/>
                <w:color w:val="auto"/>
                <w:sz w:val="21"/>
                <w:szCs w:val="21"/>
                <w:highlight w:val="none"/>
              </w:rPr>
              <w:t>指标中O</w:t>
            </w:r>
            <w:r>
              <w:rPr>
                <w:rFonts w:ascii="Times New Roman" w:hAnsi="Times New Roman" w:eastAsia="宋体" w:cs="Times New Roman"/>
                <w:color w:val="auto"/>
                <w:sz w:val="21"/>
                <w:szCs w:val="21"/>
                <w:highlight w:val="none"/>
                <w:vertAlign w:val="subscript"/>
              </w:rPr>
              <w:t>3</w:t>
            </w:r>
            <w:r>
              <w:rPr>
                <w:rFonts w:ascii="Times New Roman" w:hAnsi="Times New Roman" w:eastAsia="宋体" w:cs="Times New Roman"/>
                <w:color w:val="auto"/>
                <w:sz w:val="21"/>
                <w:szCs w:val="21"/>
                <w:highlight w:val="none"/>
              </w:rPr>
              <w:t>超过二级标准，SO</w:t>
            </w:r>
            <w:r>
              <w:rPr>
                <w:rFonts w:ascii="Times New Roman" w:hAnsi="Times New Roman" w:eastAsia="宋体" w:cs="Times New Roman"/>
                <w:color w:val="auto"/>
                <w:sz w:val="21"/>
                <w:szCs w:val="21"/>
                <w:highlight w:val="none"/>
                <w:vertAlign w:val="subscript"/>
              </w:rPr>
              <w:t>2</w:t>
            </w:r>
            <w:r>
              <w:rPr>
                <w:rFonts w:ascii="Times New Roman" w:hAnsi="Times New Roman" w:eastAsia="宋体" w:cs="Times New Roman"/>
                <w:color w:val="auto"/>
                <w:sz w:val="21"/>
                <w:szCs w:val="21"/>
                <w:highlight w:val="none"/>
              </w:rPr>
              <w:t>、NO</w:t>
            </w:r>
            <w:r>
              <w:rPr>
                <w:rFonts w:ascii="Times New Roman" w:hAnsi="Times New Roman" w:eastAsia="宋体" w:cs="Times New Roman"/>
                <w:color w:val="auto"/>
                <w:sz w:val="21"/>
                <w:szCs w:val="21"/>
                <w:highlight w:val="none"/>
                <w:vertAlign w:val="subscript"/>
              </w:rPr>
              <w:t>2</w:t>
            </w:r>
            <w:r>
              <w:rPr>
                <w:rFonts w:ascii="Times New Roman" w:hAnsi="Times New Roman" w:eastAsia="宋体" w:cs="Times New Roman"/>
                <w:color w:val="auto"/>
                <w:sz w:val="21"/>
                <w:szCs w:val="21"/>
                <w:highlight w:val="none"/>
              </w:rPr>
              <w:t>、PM</w:t>
            </w:r>
            <w:r>
              <w:rPr>
                <w:rFonts w:ascii="Times New Roman" w:hAnsi="Times New Roman" w:eastAsia="宋体" w:cs="Times New Roman"/>
                <w:color w:val="auto"/>
                <w:sz w:val="21"/>
                <w:szCs w:val="21"/>
                <w:highlight w:val="none"/>
                <w:vertAlign w:val="subscript"/>
              </w:rPr>
              <w:t>2.5</w:t>
            </w:r>
            <w:r>
              <w:rPr>
                <w:rFonts w:ascii="Times New Roman" w:hAnsi="Times New Roman" w:eastAsia="宋体" w:cs="Times New Roman"/>
                <w:color w:val="auto"/>
                <w:sz w:val="21"/>
                <w:szCs w:val="21"/>
                <w:highlight w:val="none"/>
              </w:rPr>
              <w:t>、PM</w:t>
            </w:r>
            <w:r>
              <w:rPr>
                <w:rFonts w:ascii="Times New Roman" w:hAnsi="Times New Roman" w:eastAsia="宋体" w:cs="Times New Roman"/>
                <w:color w:val="auto"/>
                <w:sz w:val="21"/>
                <w:szCs w:val="21"/>
                <w:highlight w:val="none"/>
                <w:vertAlign w:val="subscript"/>
              </w:rPr>
              <w:t>10</w:t>
            </w:r>
            <w:r>
              <w:rPr>
                <w:rFonts w:ascii="Times New Roman" w:hAnsi="Times New Roman" w:eastAsia="宋体" w:cs="Times New Roman"/>
                <w:color w:val="auto"/>
                <w:sz w:val="21"/>
                <w:szCs w:val="21"/>
                <w:highlight w:val="none"/>
              </w:rPr>
              <w:t>和CO浓度达标</w:t>
            </w:r>
            <w:r>
              <w:rPr>
                <w:rFonts w:hint="eastAsia"/>
                <w:color w:val="auto"/>
                <w:kern w:val="0"/>
                <w:sz w:val="21"/>
                <w:szCs w:val="21"/>
                <w:highlight w:val="none"/>
              </w:rPr>
              <w:t>。</w:t>
            </w:r>
            <w:r>
              <w:rPr>
                <w:rFonts w:hint="eastAsia"/>
                <w:color w:val="auto"/>
                <w:kern w:val="0"/>
                <w:szCs w:val="21"/>
                <w:highlight w:val="none"/>
              </w:rPr>
              <w:t>纳入“十四五”国家地表水环境质量考核的30个断面中，年均水质达到或优于《地表水环境质量标准》（GB3838—2002）Ⅲ类标准的断面比例为96.7%，同比上升3.4个百分点，仅有1个湖泊断面为Ⅳ类</w:t>
            </w:r>
            <w:r>
              <w:rPr>
                <w:rFonts w:hint="eastAsia"/>
                <w:color w:val="auto"/>
                <w:kern w:val="0"/>
                <w:szCs w:val="21"/>
                <w:highlight w:val="none"/>
                <w:lang w:eastAsia="zh-CN"/>
              </w:rPr>
              <w:t>，纳入江苏省“十四五”水环境质量考核的80个地表水断面（含国考断面）中，年均水质达到或优于《地表水环境质量标准》（GB3838—2002）Ⅲ类标准的断面比例为98.8%，同比上升1.3个百分点，仅有1个湖泊断面为Ⅳ类。年均水质达到Ⅱ类标准的断面比例为73.8%，同比上升5.0个百分点</w:t>
            </w:r>
            <w:r>
              <w:rPr>
                <w:rFonts w:hint="eastAsia"/>
                <w:color w:val="auto"/>
                <w:kern w:val="0"/>
                <w:szCs w:val="21"/>
                <w:highlight w:val="none"/>
              </w:rPr>
              <w:t>。年均水质达到Ⅱ类标准的断面比例为70%，同比上升6.7个百分点。声环境方面，全市声环境质量总体保持稳定。全市昼间区域声环境质量和道路交通声环境质量略有下降。</w:t>
            </w:r>
          </w:p>
          <w:p w14:paraId="57D947A4">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本项目建成投产后，在</w:t>
            </w:r>
            <w:r>
              <w:rPr>
                <w:rFonts w:hint="eastAsia"/>
                <w:color w:val="auto"/>
                <w:kern w:val="0"/>
                <w:szCs w:val="21"/>
                <w:highlight w:val="none"/>
                <w:lang w:val="en-US" w:eastAsia="zh-CN"/>
              </w:rPr>
              <w:t>废气、</w:t>
            </w:r>
            <w:r>
              <w:rPr>
                <w:rFonts w:hint="eastAsia"/>
                <w:color w:val="auto"/>
                <w:kern w:val="0"/>
                <w:szCs w:val="21"/>
                <w:highlight w:val="none"/>
              </w:rPr>
              <w:t>废水、噪声排放方面均可达到标准，固废处置合理，不会改变现有的环境质量类别，不会突破环境质量底线。</w:t>
            </w:r>
          </w:p>
          <w:p w14:paraId="106466C8">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w:t>
            </w:r>
            <w:r>
              <w:rPr>
                <w:color w:val="auto"/>
                <w:kern w:val="0"/>
                <w:szCs w:val="21"/>
                <w:highlight w:val="none"/>
              </w:rPr>
              <w:t>3</w:t>
            </w:r>
            <w:r>
              <w:rPr>
                <w:rFonts w:hint="eastAsia"/>
                <w:color w:val="auto"/>
                <w:kern w:val="0"/>
                <w:szCs w:val="21"/>
                <w:highlight w:val="none"/>
              </w:rPr>
              <w:t>）资源利用</w:t>
            </w:r>
            <w:r>
              <w:rPr>
                <w:rFonts w:hint="eastAsia"/>
                <w:color w:val="auto"/>
                <w:kern w:val="0"/>
                <w:szCs w:val="21"/>
                <w:highlight w:val="none"/>
                <w:lang w:eastAsia="zh-CN"/>
              </w:rPr>
              <w:t>上限</w:t>
            </w:r>
          </w:p>
          <w:p w14:paraId="33CAD90B">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本项目位于苏州市</w:t>
            </w:r>
            <w:r>
              <w:rPr>
                <w:rFonts w:hint="eastAsia"/>
                <w:color w:val="auto"/>
                <w:kern w:val="0"/>
                <w:szCs w:val="21"/>
                <w:highlight w:val="none"/>
                <w:lang w:eastAsia="zh-CN"/>
              </w:rPr>
              <w:t>吴江区桃源镇澄源村</w:t>
            </w:r>
            <w:r>
              <w:rPr>
                <w:rFonts w:hint="eastAsia"/>
                <w:color w:val="auto"/>
                <w:kern w:val="0"/>
                <w:szCs w:val="21"/>
                <w:highlight w:val="none"/>
              </w:rPr>
              <w:t>，项目用水水源为市政自来水</w:t>
            </w:r>
            <w:r>
              <w:rPr>
                <w:rFonts w:hint="eastAsia"/>
                <w:color w:val="auto"/>
                <w:kern w:val="0"/>
                <w:szCs w:val="21"/>
                <w:highlight w:val="none"/>
                <w:lang w:val="en-US" w:eastAsia="zh-CN"/>
              </w:rPr>
              <w:t>及回用中水</w:t>
            </w:r>
            <w:r>
              <w:rPr>
                <w:rFonts w:hint="eastAsia"/>
                <w:color w:val="auto"/>
                <w:kern w:val="0"/>
                <w:szCs w:val="21"/>
                <w:highlight w:val="none"/>
              </w:rPr>
              <w:t>，</w:t>
            </w:r>
            <w:r>
              <w:rPr>
                <w:rFonts w:hint="eastAsia"/>
                <w:color w:val="auto"/>
                <w:kern w:val="0"/>
                <w:szCs w:val="21"/>
                <w:highlight w:val="none"/>
                <w:lang w:eastAsia="zh-CN"/>
              </w:rPr>
              <w:t>改建</w:t>
            </w:r>
            <w:r>
              <w:rPr>
                <w:rFonts w:hint="eastAsia"/>
                <w:color w:val="auto"/>
                <w:kern w:val="0"/>
                <w:szCs w:val="21"/>
                <w:highlight w:val="none"/>
              </w:rPr>
              <w:t>前后新增用水量不大；项目供电来自当地电网，</w:t>
            </w:r>
            <w:r>
              <w:rPr>
                <w:rFonts w:hint="eastAsia"/>
                <w:color w:val="auto"/>
                <w:kern w:val="0"/>
                <w:szCs w:val="21"/>
                <w:highlight w:val="none"/>
                <w:lang w:eastAsia="zh-CN"/>
              </w:rPr>
              <w:t>改建</w:t>
            </w:r>
            <w:r>
              <w:rPr>
                <w:rFonts w:hint="eastAsia"/>
                <w:color w:val="auto"/>
                <w:kern w:val="0"/>
                <w:szCs w:val="21"/>
                <w:highlight w:val="none"/>
              </w:rPr>
              <w:t>前后新增少量用电量，对当地电力资源影响不大，当地电网能够满足本项目用电量。项目用地属现有工业用地，符合用地性质，不新增土地资源，故本项目的建设符合资源利用上限的要求。</w:t>
            </w:r>
          </w:p>
          <w:p w14:paraId="4805F66F">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w:t>
            </w:r>
            <w:r>
              <w:rPr>
                <w:color w:val="auto"/>
                <w:kern w:val="0"/>
                <w:szCs w:val="21"/>
                <w:highlight w:val="none"/>
              </w:rPr>
              <w:t>4</w:t>
            </w:r>
            <w:r>
              <w:rPr>
                <w:rFonts w:hint="eastAsia"/>
                <w:color w:val="auto"/>
                <w:kern w:val="0"/>
                <w:szCs w:val="21"/>
                <w:highlight w:val="none"/>
              </w:rPr>
              <w:t>）环境准入负面清单</w:t>
            </w:r>
          </w:p>
          <w:p w14:paraId="2267AB94">
            <w:pPr>
              <w:tabs>
                <w:tab w:val="center" w:pos="4156"/>
                <w:tab w:val="left" w:pos="5964"/>
              </w:tabs>
              <w:adjustRightInd w:val="0"/>
              <w:snapToGrid w:val="0"/>
              <w:jc w:val="center"/>
              <w:rPr>
                <w:b/>
                <w:snapToGrid w:val="0"/>
                <w:color w:val="auto"/>
                <w:szCs w:val="21"/>
                <w:highlight w:val="none"/>
              </w:rPr>
            </w:pPr>
            <w:r>
              <w:rPr>
                <w:rFonts w:hint="eastAsia"/>
                <w:b/>
                <w:snapToGrid w:val="0"/>
                <w:color w:val="auto"/>
                <w:szCs w:val="21"/>
                <w:highlight w:val="none"/>
              </w:rPr>
              <w:t>表</w:t>
            </w:r>
            <w:r>
              <w:rPr>
                <w:b/>
                <w:snapToGrid w:val="0"/>
                <w:color w:val="auto"/>
                <w:szCs w:val="21"/>
                <w:highlight w:val="none"/>
              </w:rPr>
              <w:t>1-</w:t>
            </w:r>
            <w:r>
              <w:rPr>
                <w:rFonts w:hint="eastAsia"/>
                <w:b/>
                <w:snapToGrid w:val="0"/>
                <w:color w:val="auto"/>
                <w:szCs w:val="21"/>
                <w:highlight w:val="none"/>
                <w:lang w:val="en-US" w:eastAsia="zh-CN"/>
              </w:rPr>
              <w:t>5</w:t>
            </w:r>
            <w:r>
              <w:rPr>
                <w:b/>
                <w:snapToGrid w:val="0"/>
                <w:color w:val="auto"/>
                <w:szCs w:val="21"/>
                <w:highlight w:val="none"/>
              </w:rPr>
              <w:t xml:space="preserve">  </w:t>
            </w:r>
            <w:r>
              <w:rPr>
                <w:rFonts w:hint="eastAsia"/>
                <w:b/>
                <w:snapToGrid w:val="0"/>
                <w:color w:val="auto"/>
                <w:szCs w:val="21"/>
                <w:highlight w:val="none"/>
              </w:rPr>
              <w:t>环境准入负面清单</w:t>
            </w:r>
          </w:p>
          <w:tbl>
            <w:tblPr>
              <w:tblStyle w:val="2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45"/>
              <w:gridCol w:w="6037"/>
              <w:gridCol w:w="730"/>
            </w:tblGrid>
            <w:tr w14:paraId="365419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3" w:type="dxa"/>
                  <w:tcBorders>
                    <w:top w:val="single" w:color="auto" w:sz="12" w:space="0"/>
                    <w:bottom w:val="single" w:color="auto" w:sz="4" w:space="0"/>
                    <w:right w:val="single" w:color="auto" w:sz="4" w:space="0"/>
                  </w:tcBorders>
                  <w:vAlign w:val="center"/>
                </w:tcPr>
                <w:p w14:paraId="1BCFE089">
                  <w:pPr>
                    <w:topLinePunct/>
                    <w:adjustRightInd w:val="0"/>
                    <w:snapToGrid w:val="0"/>
                    <w:jc w:val="center"/>
                    <w:rPr>
                      <w:color w:val="auto"/>
                      <w:kern w:val="0"/>
                      <w:sz w:val="18"/>
                      <w:szCs w:val="18"/>
                      <w:highlight w:val="none"/>
                    </w:rPr>
                  </w:pPr>
                  <w:r>
                    <w:rPr>
                      <w:rFonts w:hint="eastAsia"/>
                      <w:color w:val="auto"/>
                      <w:kern w:val="0"/>
                      <w:sz w:val="18"/>
                      <w:szCs w:val="18"/>
                      <w:highlight w:val="none"/>
                    </w:rPr>
                    <w:t>序号</w:t>
                  </w:r>
                </w:p>
              </w:tc>
              <w:tc>
                <w:tcPr>
                  <w:tcW w:w="6562" w:type="dxa"/>
                  <w:tcBorders>
                    <w:top w:val="single" w:color="auto" w:sz="12" w:space="0"/>
                    <w:left w:val="single" w:color="auto" w:sz="4" w:space="0"/>
                    <w:bottom w:val="single" w:color="auto" w:sz="4" w:space="0"/>
                    <w:right w:val="single" w:color="auto" w:sz="4" w:space="0"/>
                  </w:tcBorders>
                  <w:vAlign w:val="center"/>
                </w:tcPr>
                <w:p w14:paraId="7BD044F4">
                  <w:pPr>
                    <w:topLinePunct/>
                    <w:adjustRightInd w:val="0"/>
                    <w:snapToGrid w:val="0"/>
                    <w:jc w:val="center"/>
                    <w:rPr>
                      <w:color w:val="auto"/>
                      <w:kern w:val="0"/>
                      <w:sz w:val="18"/>
                      <w:szCs w:val="18"/>
                      <w:highlight w:val="none"/>
                    </w:rPr>
                  </w:pPr>
                  <w:r>
                    <w:rPr>
                      <w:rFonts w:hint="eastAsia"/>
                      <w:color w:val="auto"/>
                      <w:kern w:val="0"/>
                      <w:sz w:val="18"/>
                      <w:szCs w:val="18"/>
                      <w:highlight w:val="none"/>
                    </w:rPr>
                    <w:t>法律法规、政策文件等</w:t>
                  </w:r>
                </w:p>
              </w:tc>
              <w:tc>
                <w:tcPr>
                  <w:tcW w:w="792" w:type="dxa"/>
                  <w:tcBorders>
                    <w:top w:val="single" w:color="auto" w:sz="12" w:space="0"/>
                    <w:left w:val="single" w:color="auto" w:sz="4" w:space="0"/>
                    <w:bottom w:val="single" w:color="auto" w:sz="4" w:space="0"/>
                  </w:tcBorders>
                  <w:vAlign w:val="center"/>
                </w:tcPr>
                <w:p w14:paraId="3606E2E7">
                  <w:pPr>
                    <w:topLinePunct/>
                    <w:adjustRightInd w:val="0"/>
                    <w:snapToGrid w:val="0"/>
                    <w:jc w:val="center"/>
                    <w:rPr>
                      <w:color w:val="auto"/>
                      <w:kern w:val="0"/>
                      <w:sz w:val="18"/>
                      <w:szCs w:val="18"/>
                      <w:highlight w:val="none"/>
                    </w:rPr>
                  </w:pPr>
                  <w:r>
                    <w:rPr>
                      <w:rFonts w:hint="eastAsia"/>
                      <w:color w:val="auto"/>
                      <w:kern w:val="0"/>
                      <w:sz w:val="18"/>
                      <w:szCs w:val="18"/>
                      <w:highlight w:val="none"/>
                    </w:rPr>
                    <w:t>是否属于</w:t>
                  </w:r>
                </w:p>
              </w:tc>
            </w:tr>
            <w:tr w14:paraId="7004EA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3" w:type="dxa"/>
                  <w:tcBorders>
                    <w:top w:val="single" w:color="auto" w:sz="4" w:space="0"/>
                    <w:bottom w:val="single" w:color="auto" w:sz="4" w:space="0"/>
                    <w:right w:val="single" w:color="auto" w:sz="4" w:space="0"/>
                  </w:tcBorders>
                  <w:vAlign w:val="center"/>
                </w:tcPr>
                <w:p w14:paraId="5479D436">
                  <w:pPr>
                    <w:topLinePunct/>
                    <w:adjustRightInd w:val="0"/>
                    <w:snapToGrid w:val="0"/>
                    <w:jc w:val="center"/>
                    <w:rPr>
                      <w:color w:val="auto"/>
                      <w:kern w:val="0"/>
                      <w:sz w:val="18"/>
                      <w:szCs w:val="18"/>
                      <w:highlight w:val="none"/>
                    </w:rPr>
                  </w:pPr>
                  <w:r>
                    <w:rPr>
                      <w:color w:val="auto"/>
                      <w:kern w:val="0"/>
                      <w:sz w:val="18"/>
                      <w:szCs w:val="18"/>
                      <w:highlight w:val="none"/>
                    </w:rPr>
                    <w:t>1</w:t>
                  </w:r>
                </w:p>
              </w:tc>
              <w:tc>
                <w:tcPr>
                  <w:tcW w:w="6562" w:type="dxa"/>
                  <w:tcBorders>
                    <w:top w:val="single" w:color="auto" w:sz="4" w:space="0"/>
                    <w:left w:val="single" w:color="auto" w:sz="4" w:space="0"/>
                    <w:bottom w:val="single" w:color="auto" w:sz="4" w:space="0"/>
                    <w:right w:val="single" w:color="auto" w:sz="4" w:space="0"/>
                  </w:tcBorders>
                  <w:vAlign w:val="center"/>
                </w:tcPr>
                <w:p w14:paraId="38A2CB5F">
                  <w:pPr>
                    <w:topLinePunct/>
                    <w:adjustRightInd w:val="0"/>
                    <w:snapToGrid w:val="0"/>
                    <w:ind w:left="218" w:leftChars="104"/>
                    <w:rPr>
                      <w:color w:val="auto"/>
                      <w:kern w:val="0"/>
                      <w:sz w:val="18"/>
                      <w:szCs w:val="18"/>
                      <w:highlight w:val="none"/>
                    </w:rPr>
                  </w:pPr>
                  <w:r>
                    <w:rPr>
                      <w:rFonts w:hint="eastAsia"/>
                      <w:color w:val="auto"/>
                      <w:sz w:val="18"/>
                      <w:highlight w:val="none"/>
                    </w:rPr>
                    <w:t>《产业结构调整指导目录（</w:t>
                  </w:r>
                  <w:r>
                    <w:rPr>
                      <w:color w:val="auto"/>
                      <w:sz w:val="18"/>
                      <w:highlight w:val="none"/>
                    </w:rPr>
                    <w:t>2024</w:t>
                  </w:r>
                  <w:r>
                    <w:rPr>
                      <w:rFonts w:hint="eastAsia"/>
                      <w:color w:val="auto"/>
                      <w:sz w:val="18"/>
                      <w:highlight w:val="none"/>
                    </w:rPr>
                    <w:t>年本）》中的限制类、淘汰类项目。</w:t>
                  </w:r>
                </w:p>
              </w:tc>
              <w:tc>
                <w:tcPr>
                  <w:tcW w:w="792" w:type="dxa"/>
                  <w:tcBorders>
                    <w:top w:val="single" w:color="auto" w:sz="4" w:space="0"/>
                    <w:left w:val="single" w:color="auto" w:sz="4" w:space="0"/>
                    <w:bottom w:val="single" w:color="auto" w:sz="4" w:space="0"/>
                  </w:tcBorders>
                  <w:vAlign w:val="center"/>
                </w:tcPr>
                <w:p w14:paraId="150942E1">
                  <w:pPr>
                    <w:topLinePunct/>
                    <w:adjustRightInd w:val="0"/>
                    <w:snapToGrid w:val="0"/>
                    <w:jc w:val="center"/>
                    <w:rPr>
                      <w:color w:val="auto"/>
                      <w:kern w:val="0"/>
                      <w:sz w:val="18"/>
                      <w:szCs w:val="18"/>
                      <w:highlight w:val="none"/>
                    </w:rPr>
                  </w:pPr>
                  <w:r>
                    <w:rPr>
                      <w:rFonts w:hint="eastAsia"/>
                      <w:color w:val="auto"/>
                      <w:kern w:val="0"/>
                      <w:sz w:val="18"/>
                      <w:szCs w:val="18"/>
                      <w:highlight w:val="none"/>
                    </w:rPr>
                    <w:t>不属于</w:t>
                  </w:r>
                </w:p>
              </w:tc>
            </w:tr>
            <w:tr w14:paraId="2BF9FD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3" w:type="dxa"/>
                  <w:tcBorders>
                    <w:top w:val="single" w:color="auto" w:sz="4" w:space="0"/>
                    <w:bottom w:val="single" w:color="auto" w:sz="4" w:space="0"/>
                    <w:right w:val="single" w:color="auto" w:sz="4" w:space="0"/>
                  </w:tcBorders>
                  <w:vAlign w:val="center"/>
                </w:tcPr>
                <w:p w14:paraId="19579906">
                  <w:pPr>
                    <w:topLinePunct/>
                    <w:adjustRightInd w:val="0"/>
                    <w:snapToGrid w:val="0"/>
                    <w:jc w:val="center"/>
                    <w:rPr>
                      <w:color w:val="auto"/>
                      <w:kern w:val="0"/>
                      <w:sz w:val="18"/>
                      <w:szCs w:val="18"/>
                      <w:highlight w:val="none"/>
                    </w:rPr>
                  </w:pPr>
                  <w:r>
                    <w:rPr>
                      <w:color w:val="auto"/>
                      <w:kern w:val="0"/>
                      <w:sz w:val="18"/>
                      <w:szCs w:val="18"/>
                      <w:highlight w:val="none"/>
                    </w:rPr>
                    <w:t>2</w:t>
                  </w:r>
                </w:p>
              </w:tc>
              <w:tc>
                <w:tcPr>
                  <w:tcW w:w="6562" w:type="dxa"/>
                  <w:tcBorders>
                    <w:top w:val="single" w:color="auto" w:sz="4" w:space="0"/>
                    <w:left w:val="single" w:color="auto" w:sz="4" w:space="0"/>
                    <w:bottom w:val="single" w:color="auto" w:sz="4" w:space="0"/>
                    <w:right w:val="single" w:color="auto" w:sz="4" w:space="0"/>
                  </w:tcBorders>
                  <w:vAlign w:val="center"/>
                </w:tcPr>
                <w:p w14:paraId="1C6EBBA3">
                  <w:pPr>
                    <w:rPr>
                      <w:color w:val="auto"/>
                      <w:kern w:val="0"/>
                      <w:sz w:val="18"/>
                      <w:szCs w:val="18"/>
                      <w:highlight w:val="none"/>
                    </w:rPr>
                  </w:pPr>
                  <w:r>
                    <w:rPr>
                      <w:rFonts w:hint="eastAsia"/>
                      <w:color w:val="auto"/>
                      <w:sz w:val="18"/>
                      <w:highlight w:val="none"/>
                    </w:rPr>
                    <w:t>《江苏省生态空间管控区域规划》中规定的位于国家级</w:t>
                  </w:r>
                  <w:r>
                    <w:rPr>
                      <w:rFonts w:hint="eastAsia"/>
                      <w:color w:val="auto"/>
                      <w:sz w:val="18"/>
                      <w:highlight w:val="none"/>
                      <w:lang w:eastAsia="zh-CN"/>
                    </w:rPr>
                    <w:t>生态保护红线</w:t>
                  </w:r>
                  <w:r>
                    <w:rPr>
                      <w:rFonts w:hint="eastAsia"/>
                      <w:color w:val="auto"/>
                      <w:sz w:val="18"/>
                      <w:highlight w:val="none"/>
                    </w:rPr>
                    <w:t>范围以及生态空间管控区内与保护主导生态功能无关的开发建设项目、位于管控区内禁止从事的开发建设项目。</w:t>
                  </w:r>
                </w:p>
              </w:tc>
              <w:tc>
                <w:tcPr>
                  <w:tcW w:w="792" w:type="dxa"/>
                  <w:tcBorders>
                    <w:top w:val="single" w:color="auto" w:sz="4" w:space="0"/>
                    <w:left w:val="single" w:color="auto" w:sz="4" w:space="0"/>
                    <w:bottom w:val="single" w:color="auto" w:sz="4" w:space="0"/>
                  </w:tcBorders>
                  <w:vAlign w:val="center"/>
                </w:tcPr>
                <w:p w14:paraId="1DEB7CA8">
                  <w:pPr>
                    <w:topLinePunct/>
                    <w:adjustRightInd w:val="0"/>
                    <w:snapToGrid w:val="0"/>
                    <w:jc w:val="center"/>
                    <w:rPr>
                      <w:color w:val="auto"/>
                      <w:kern w:val="0"/>
                      <w:sz w:val="18"/>
                      <w:szCs w:val="18"/>
                      <w:highlight w:val="none"/>
                    </w:rPr>
                  </w:pPr>
                  <w:r>
                    <w:rPr>
                      <w:rFonts w:hint="eastAsia"/>
                      <w:color w:val="auto"/>
                      <w:sz w:val="18"/>
                      <w:szCs w:val="18"/>
                      <w:highlight w:val="none"/>
                    </w:rPr>
                    <w:t>不属于</w:t>
                  </w:r>
                </w:p>
              </w:tc>
            </w:tr>
            <w:tr w14:paraId="03657C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3" w:type="dxa"/>
                  <w:tcBorders>
                    <w:top w:val="single" w:color="auto" w:sz="4" w:space="0"/>
                    <w:bottom w:val="single" w:color="auto" w:sz="4" w:space="0"/>
                    <w:right w:val="single" w:color="auto" w:sz="4" w:space="0"/>
                  </w:tcBorders>
                  <w:vAlign w:val="center"/>
                </w:tcPr>
                <w:p w14:paraId="505829AA">
                  <w:pPr>
                    <w:topLinePunct/>
                    <w:adjustRightInd w:val="0"/>
                    <w:snapToGrid w:val="0"/>
                    <w:jc w:val="center"/>
                    <w:rPr>
                      <w:color w:val="auto"/>
                      <w:kern w:val="0"/>
                      <w:sz w:val="18"/>
                      <w:szCs w:val="18"/>
                      <w:highlight w:val="none"/>
                    </w:rPr>
                  </w:pPr>
                  <w:r>
                    <w:rPr>
                      <w:color w:val="auto"/>
                      <w:kern w:val="0"/>
                      <w:sz w:val="18"/>
                      <w:szCs w:val="18"/>
                      <w:highlight w:val="none"/>
                    </w:rPr>
                    <w:t>3</w:t>
                  </w:r>
                </w:p>
              </w:tc>
              <w:tc>
                <w:tcPr>
                  <w:tcW w:w="6562" w:type="dxa"/>
                  <w:tcBorders>
                    <w:top w:val="single" w:color="auto" w:sz="4" w:space="0"/>
                    <w:left w:val="single" w:color="auto" w:sz="4" w:space="0"/>
                    <w:bottom w:val="single" w:color="auto" w:sz="4" w:space="0"/>
                    <w:right w:val="single" w:color="auto" w:sz="4" w:space="0"/>
                  </w:tcBorders>
                  <w:vAlign w:val="center"/>
                </w:tcPr>
                <w:p w14:paraId="3EB20979">
                  <w:pPr>
                    <w:rPr>
                      <w:color w:val="auto"/>
                      <w:kern w:val="0"/>
                      <w:sz w:val="18"/>
                      <w:szCs w:val="18"/>
                      <w:highlight w:val="none"/>
                    </w:rPr>
                  </w:pPr>
                  <w:r>
                    <w:rPr>
                      <w:rFonts w:hint="eastAsia"/>
                      <w:color w:val="auto"/>
                      <w:sz w:val="18"/>
                      <w:highlight w:val="none"/>
                    </w:rPr>
                    <w:t>《江苏省太湖水污染防治条例》（</w:t>
                  </w:r>
                  <w:r>
                    <w:rPr>
                      <w:color w:val="auto"/>
                      <w:sz w:val="18"/>
                      <w:highlight w:val="none"/>
                    </w:rPr>
                    <w:t>2021</w:t>
                  </w:r>
                  <w:r>
                    <w:rPr>
                      <w:rFonts w:hint="eastAsia"/>
                      <w:color w:val="auto"/>
                      <w:sz w:val="18"/>
                      <w:highlight w:val="none"/>
                    </w:rPr>
                    <w:t>年修订）中规定的位于太湖流域一、二、三级保护区内禁止从事的开发建设项目。</w:t>
                  </w:r>
                </w:p>
              </w:tc>
              <w:tc>
                <w:tcPr>
                  <w:tcW w:w="792" w:type="dxa"/>
                  <w:tcBorders>
                    <w:top w:val="single" w:color="auto" w:sz="4" w:space="0"/>
                    <w:left w:val="single" w:color="auto" w:sz="4" w:space="0"/>
                    <w:bottom w:val="single" w:color="auto" w:sz="4" w:space="0"/>
                  </w:tcBorders>
                  <w:vAlign w:val="center"/>
                </w:tcPr>
                <w:p w14:paraId="5158E5EA">
                  <w:pPr>
                    <w:topLinePunct/>
                    <w:adjustRightInd w:val="0"/>
                    <w:snapToGrid w:val="0"/>
                    <w:jc w:val="center"/>
                    <w:rPr>
                      <w:color w:val="auto"/>
                      <w:kern w:val="0"/>
                      <w:sz w:val="18"/>
                      <w:szCs w:val="18"/>
                      <w:highlight w:val="none"/>
                    </w:rPr>
                  </w:pPr>
                  <w:r>
                    <w:rPr>
                      <w:rFonts w:hint="eastAsia"/>
                      <w:color w:val="auto"/>
                      <w:sz w:val="18"/>
                      <w:szCs w:val="18"/>
                      <w:highlight w:val="none"/>
                    </w:rPr>
                    <w:t>不属于</w:t>
                  </w:r>
                </w:p>
              </w:tc>
            </w:tr>
            <w:tr w14:paraId="5BDE36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3" w:type="dxa"/>
                  <w:tcBorders>
                    <w:top w:val="single" w:color="auto" w:sz="4" w:space="0"/>
                    <w:bottom w:val="single" w:color="auto" w:sz="4" w:space="0"/>
                    <w:right w:val="single" w:color="auto" w:sz="4" w:space="0"/>
                  </w:tcBorders>
                  <w:vAlign w:val="center"/>
                </w:tcPr>
                <w:p w14:paraId="1CEC9730">
                  <w:pPr>
                    <w:topLinePunct/>
                    <w:adjustRightInd w:val="0"/>
                    <w:snapToGrid w:val="0"/>
                    <w:jc w:val="center"/>
                    <w:rPr>
                      <w:color w:val="auto"/>
                      <w:kern w:val="0"/>
                      <w:sz w:val="18"/>
                      <w:szCs w:val="18"/>
                      <w:highlight w:val="none"/>
                    </w:rPr>
                  </w:pPr>
                  <w:r>
                    <w:rPr>
                      <w:color w:val="auto"/>
                      <w:kern w:val="0"/>
                      <w:sz w:val="18"/>
                      <w:szCs w:val="18"/>
                      <w:highlight w:val="none"/>
                    </w:rPr>
                    <w:t>4</w:t>
                  </w:r>
                </w:p>
              </w:tc>
              <w:tc>
                <w:tcPr>
                  <w:tcW w:w="6562" w:type="dxa"/>
                  <w:tcBorders>
                    <w:top w:val="single" w:color="auto" w:sz="4" w:space="0"/>
                    <w:left w:val="single" w:color="auto" w:sz="4" w:space="0"/>
                    <w:bottom w:val="single" w:color="auto" w:sz="4" w:space="0"/>
                    <w:right w:val="single" w:color="auto" w:sz="4" w:space="0"/>
                  </w:tcBorders>
                  <w:shd w:val="clear" w:color="auto" w:fill="auto"/>
                  <w:vAlign w:val="center"/>
                </w:tcPr>
                <w:p w14:paraId="2901130E">
                  <w:pPr>
                    <w:jc w:val="left"/>
                    <w:rPr>
                      <w:rFonts w:ascii="Times New Roman" w:hAnsi="Times New Roman" w:eastAsia="宋体" w:cs="Times New Roman"/>
                      <w:color w:val="auto"/>
                      <w:kern w:val="0"/>
                      <w:sz w:val="18"/>
                      <w:szCs w:val="18"/>
                      <w:highlight w:val="none"/>
                      <w:lang w:val="en-US" w:eastAsia="zh-CN" w:bidi="ar-SA"/>
                    </w:rPr>
                  </w:pPr>
                  <w:r>
                    <w:rPr>
                      <w:rFonts w:hint="eastAsia"/>
                      <w:color w:val="auto"/>
                      <w:sz w:val="18"/>
                      <w:highlight w:val="none"/>
                    </w:rPr>
                    <w:t>《市场准入负面清单（</w:t>
                  </w:r>
                  <w:r>
                    <w:rPr>
                      <w:color w:val="auto"/>
                      <w:sz w:val="18"/>
                      <w:highlight w:val="none"/>
                    </w:rPr>
                    <w:t>20</w:t>
                  </w:r>
                  <w:r>
                    <w:rPr>
                      <w:rFonts w:hint="eastAsia"/>
                      <w:color w:val="auto"/>
                      <w:sz w:val="18"/>
                      <w:highlight w:val="none"/>
                      <w:lang w:val="en-US" w:eastAsia="zh-CN"/>
                    </w:rPr>
                    <w:t>25</w:t>
                  </w:r>
                  <w:r>
                    <w:rPr>
                      <w:rFonts w:hint="eastAsia"/>
                      <w:color w:val="auto"/>
                      <w:sz w:val="18"/>
                      <w:highlight w:val="none"/>
                    </w:rPr>
                    <w:t>年版）》（发改体改规</w:t>
                  </w:r>
                  <w:r>
                    <w:rPr>
                      <w:rFonts w:hint="eastAsia"/>
                      <w:color w:val="auto"/>
                      <w:sz w:val="18"/>
                      <w:highlight w:val="none"/>
                      <w:lang w:eastAsia="zh-CN"/>
                    </w:rPr>
                    <w:t>〔</w:t>
                  </w:r>
                  <w:r>
                    <w:rPr>
                      <w:color w:val="auto"/>
                      <w:sz w:val="18"/>
                      <w:highlight w:val="none"/>
                    </w:rPr>
                    <w:t>202</w:t>
                  </w:r>
                  <w:r>
                    <w:rPr>
                      <w:rFonts w:hint="eastAsia"/>
                      <w:color w:val="auto"/>
                      <w:sz w:val="18"/>
                      <w:highlight w:val="none"/>
                      <w:lang w:val="en-US" w:eastAsia="zh-CN"/>
                    </w:rPr>
                    <w:t>5</w:t>
                  </w:r>
                  <w:r>
                    <w:rPr>
                      <w:rFonts w:hint="eastAsia"/>
                      <w:color w:val="auto"/>
                      <w:sz w:val="18"/>
                      <w:highlight w:val="none"/>
                      <w:lang w:eastAsia="zh-CN"/>
                    </w:rPr>
                    <w:t>〕</w:t>
                  </w:r>
                  <w:r>
                    <w:rPr>
                      <w:rFonts w:hint="eastAsia"/>
                      <w:color w:val="auto"/>
                      <w:sz w:val="18"/>
                      <w:highlight w:val="none"/>
                      <w:lang w:val="en-US" w:eastAsia="zh-CN"/>
                    </w:rPr>
                    <w:t>466</w:t>
                  </w:r>
                  <w:r>
                    <w:rPr>
                      <w:rFonts w:hint="eastAsia"/>
                      <w:color w:val="auto"/>
                      <w:sz w:val="18"/>
                      <w:highlight w:val="none"/>
                    </w:rPr>
                    <w:t>号）中的禁止准入类项目。</w:t>
                  </w:r>
                </w:p>
              </w:tc>
              <w:tc>
                <w:tcPr>
                  <w:tcW w:w="792" w:type="dxa"/>
                  <w:tcBorders>
                    <w:top w:val="single" w:color="auto" w:sz="4" w:space="0"/>
                    <w:left w:val="single" w:color="auto" w:sz="4" w:space="0"/>
                    <w:bottom w:val="single" w:color="auto" w:sz="4" w:space="0"/>
                  </w:tcBorders>
                  <w:vAlign w:val="center"/>
                </w:tcPr>
                <w:p w14:paraId="51AF3429">
                  <w:pPr>
                    <w:topLinePunct/>
                    <w:adjustRightInd w:val="0"/>
                    <w:snapToGrid w:val="0"/>
                    <w:jc w:val="center"/>
                    <w:rPr>
                      <w:color w:val="auto"/>
                      <w:kern w:val="0"/>
                      <w:sz w:val="18"/>
                      <w:szCs w:val="18"/>
                      <w:highlight w:val="none"/>
                    </w:rPr>
                  </w:pPr>
                  <w:r>
                    <w:rPr>
                      <w:rFonts w:hint="eastAsia"/>
                      <w:color w:val="auto"/>
                      <w:kern w:val="0"/>
                      <w:sz w:val="18"/>
                      <w:szCs w:val="18"/>
                      <w:highlight w:val="none"/>
                    </w:rPr>
                    <w:t>不属于</w:t>
                  </w:r>
                </w:p>
              </w:tc>
            </w:tr>
            <w:tr w14:paraId="3B60B5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3" w:type="dxa"/>
                  <w:tcBorders>
                    <w:top w:val="single" w:color="auto" w:sz="4" w:space="0"/>
                    <w:bottom w:val="single" w:color="auto" w:sz="4" w:space="0"/>
                    <w:right w:val="single" w:color="auto" w:sz="4" w:space="0"/>
                  </w:tcBorders>
                  <w:vAlign w:val="center"/>
                </w:tcPr>
                <w:p w14:paraId="5745DC14">
                  <w:pPr>
                    <w:topLinePunct/>
                    <w:adjustRightInd w:val="0"/>
                    <w:snapToGrid w:val="0"/>
                    <w:jc w:val="center"/>
                    <w:rPr>
                      <w:color w:val="auto"/>
                      <w:kern w:val="0"/>
                      <w:sz w:val="18"/>
                      <w:szCs w:val="18"/>
                      <w:highlight w:val="none"/>
                    </w:rPr>
                  </w:pPr>
                  <w:r>
                    <w:rPr>
                      <w:color w:val="auto"/>
                      <w:kern w:val="0"/>
                      <w:sz w:val="18"/>
                      <w:szCs w:val="18"/>
                      <w:highlight w:val="none"/>
                    </w:rPr>
                    <w:t>5</w:t>
                  </w:r>
                </w:p>
              </w:tc>
              <w:tc>
                <w:tcPr>
                  <w:tcW w:w="6562" w:type="dxa"/>
                  <w:tcBorders>
                    <w:top w:val="single" w:color="auto" w:sz="4" w:space="0"/>
                    <w:left w:val="single" w:color="auto" w:sz="4" w:space="0"/>
                    <w:bottom w:val="single" w:color="auto" w:sz="4" w:space="0"/>
                    <w:right w:val="single" w:color="auto" w:sz="4" w:space="0"/>
                  </w:tcBorders>
                  <w:shd w:val="clear" w:color="auto" w:fill="auto"/>
                  <w:vAlign w:val="center"/>
                </w:tcPr>
                <w:p w14:paraId="01B8D920">
                  <w:pPr>
                    <w:jc w:val="left"/>
                    <w:rPr>
                      <w:rFonts w:ascii="Times New Roman" w:hAnsi="Times New Roman" w:eastAsia="宋体" w:cs="Times New Roman"/>
                      <w:color w:val="auto"/>
                      <w:kern w:val="0"/>
                      <w:sz w:val="18"/>
                      <w:szCs w:val="18"/>
                      <w:highlight w:val="none"/>
                      <w:lang w:val="en-US" w:eastAsia="zh-CN" w:bidi="ar-SA"/>
                    </w:rPr>
                  </w:pPr>
                  <w:r>
                    <w:rPr>
                      <w:rFonts w:hint="eastAsia"/>
                      <w:color w:val="auto"/>
                      <w:sz w:val="18"/>
                      <w:szCs w:val="18"/>
                      <w:highlight w:val="none"/>
                    </w:rPr>
                    <w:t>《〈长江经济带发展负面清单指南（试行，</w:t>
                  </w:r>
                  <w:r>
                    <w:rPr>
                      <w:color w:val="auto"/>
                      <w:sz w:val="18"/>
                      <w:szCs w:val="18"/>
                      <w:highlight w:val="none"/>
                    </w:rPr>
                    <w:t>2022</w:t>
                  </w:r>
                  <w:r>
                    <w:rPr>
                      <w:rFonts w:hint="eastAsia"/>
                      <w:color w:val="auto"/>
                      <w:sz w:val="18"/>
                      <w:szCs w:val="18"/>
                      <w:highlight w:val="none"/>
                    </w:rPr>
                    <w:t>年版）〉江苏省实施细则》（苏长江办发</w:t>
                  </w:r>
                  <w:r>
                    <w:rPr>
                      <w:rFonts w:hint="eastAsia"/>
                      <w:color w:val="auto"/>
                      <w:sz w:val="18"/>
                      <w:szCs w:val="18"/>
                      <w:highlight w:val="none"/>
                      <w:lang w:eastAsia="zh-CN"/>
                    </w:rPr>
                    <w:t>〔</w:t>
                  </w:r>
                  <w:r>
                    <w:rPr>
                      <w:color w:val="auto"/>
                      <w:sz w:val="18"/>
                      <w:szCs w:val="18"/>
                      <w:highlight w:val="none"/>
                    </w:rPr>
                    <w:t>2022</w:t>
                  </w:r>
                  <w:r>
                    <w:rPr>
                      <w:rFonts w:hint="eastAsia"/>
                      <w:color w:val="auto"/>
                      <w:sz w:val="18"/>
                      <w:szCs w:val="18"/>
                      <w:highlight w:val="none"/>
                      <w:lang w:eastAsia="zh-CN"/>
                    </w:rPr>
                    <w:t>〕</w:t>
                  </w:r>
                  <w:r>
                    <w:rPr>
                      <w:color w:val="auto"/>
                      <w:sz w:val="18"/>
                      <w:szCs w:val="18"/>
                      <w:highlight w:val="none"/>
                    </w:rPr>
                    <w:t>55</w:t>
                  </w:r>
                  <w:r>
                    <w:rPr>
                      <w:rFonts w:hint="eastAsia"/>
                      <w:color w:val="auto"/>
                      <w:sz w:val="18"/>
                      <w:szCs w:val="18"/>
                      <w:highlight w:val="none"/>
                    </w:rPr>
                    <w:t>号）中禁止类项目。</w:t>
                  </w:r>
                </w:p>
              </w:tc>
              <w:tc>
                <w:tcPr>
                  <w:tcW w:w="792" w:type="dxa"/>
                  <w:tcBorders>
                    <w:top w:val="single" w:color="auto" w:sz="4" w:space="0"/>
                    <w:left w:val="single" w:color="auto" w:sz="4" w:space="0"/>
                    <w:bottom w:val="single" w:color="auto" w:sz="4" w:space="0"/>
                  </w:tcBorders>
                  <w:vAlign w:val="center"/>
                </w:tcPr>
                <w:p w14:paraId="77E2AE14">
                  <w:pPr>
                    <w:topLinePunct/>
                    <w:adjustRightInd w:val="0"/>
                    <w:snapToGrid w:val="0"/>
                    <w:jc w:val="center"/>
                    <w:rPr>
                      <w:color w:val="auto"/>
                      <w:kern w:val="0"/>
                      <w:sz w:val="18"/>
                      <w:szCs w:val="18"/>
                      <w:highlight w:val="none"/>
                    </w:rPr>
                  </w:pPr>
                  <w:r>
                    <w:rPr>
                      <w:rFonts w:hint="eastAsia"/>
                      <w:color w:val="auto"/>
                      <w:sz w:val="18"/>
                      <w:szCs w:val="18"/>
                      <w:highlight w:val="none"/>
                    </w:rPr>
                    <w:t>不属于</w:t>
                  </w:r>
                </w:p>
              </w:tc>
            </w:tr>
            <w:tr w14:paraId="37CB7F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483" w:type="dxa"/>
                  <w:tcBorders>
                    <w:top w:val="single" w:color="auto" w:sz="4" w:space="0"/>
                    <w:bottom w:val="single" w:color="auto" w:sz="4" w:space="0"/>
                    <w:right w:val="single" w:color="auto" w:sz="4" w:space="0"/>
                  </w:tcBorders>
                  <w:vAlign w:val="center"/>
                </w:tcPr>
                <w:p w14:paraId="204661B5">
                  <w:pPr>
                    <w:topLinePunct/>
                    <w:adjustRightInd w:val="0"/>
                    <w:snapToGrid w:val="0"/>
                    <w:jc w:val="center"/>
                    <w:rPr>
                      <w:color w:val="auto"/>
                      <w:kern w:val="0"/>
                      <w:sz w:val="18"/>
                      <w:szCs w:val="18"/>
                      <w:highlight w:val="none"/>
                    </w:rPr>
                  </w:pPr>
                  <w:r>
                    <w:rPr>
                      <w:color w:val="auto"/>
                      <w:kern w:val="0"/>
                      <w:sz w:val="18"/>
                      <w:szCs w:val="18"/>
                      <w:highlight w:val="none"/>
                    </w:rPr>
                    <w:t>6</w:t>
                  </w:r>
                </w:p>
              </w:tc>
              <w:tc>
                <w:tcPr>
                  <w:tcW w:w="6562" w:type="dxa"/>
                  <w:tcBorders>
                    <w:top w:val="single" w:color="auto" w:sz="4" w:space="0"/>
                    <w:left w:val="single" w:color="auto" w:sz="4" w:space="0"/>
                    <w:bottom w:val="single" w:color="auto" w:sz="4" w:space="0"/>
                    <w:right w:val="single" w:color="auto" w:sz="4" w:space="0"/>
                  </w:tcBorders>
                  <w:shd w:val="clear" w:color="auto" w:fill="auto"/>
                  <w:vAlign w:val="center"/>
                </w:tcPr>
                <w:p w14:paraId="1229F907">
                  <w:pPr>
                    <w:jc w:val="left"/>
                    <w:rPr>
                      <w:rFonts w:ascii="Times New Roman" w:hAnsi="Times New Roman" w:eastAsia="宋体" w:cs="Times New Roman"/>
                      <w:color w:val="auto"/>
                      <w:kern w:val="0"/>
                      <w:sz w:val="18"/>
                      <w:szCs w:val="18"/>
                      <w:highlight w:val="none"/>
                      <w:lang w:val="en-US" w:eastAsia="zh-CN" w:bidi="ar-SA"/>
                    </w:rPr>
                  </w:pPr>
                  <w:r>
                    <w:rPr>
                      <w:rFonts w:hint="eastAsia"/>
                      <w:color w:val="auto"/>
                      <w:sz w:val="18"/>
                      <w:highlight w:val="none"/>
                    </w:rPr>
                    <w:t>《浙江省生态环境厅上海市生态环境局江苏省生态环境厅长三角生态绿色一体化发展示范区执委会关于印发长三角生态绿色一体化发展示范区生态环境准入清单的通知》（浙环函</w:t>
                  </w:r>
                  <w:r>
                    <w:rPr>
                      <w:rFonts w:hint="eastAsia"/>
                      <w:color w:val="auto"/>
                      <w:sz w:val="18"/>
                      <w:highlight w:val="none"/>
                      <w:lang w:eastAsia="zh-CN"/>
                    </w:rPr>
                    <w:t>〔</w:t>
                  </w:r>
                  <w:r>
                    <w:rPr>
                      <w:color w:val="auto"/>
                      <w:sz w:val="18"/>
                      <w:highlight w:val="none"/>
                    </w:rPr>
                    <w:t>2022</w:t>
                  </w:r>
                  <w:r>
                    <w:rPr>
                      <w:rFonts w:hint="eastAsia"/>
                      <w:color w:val="auto"/>
                      <w:sz w:val="18"/>
                      <w:highlight w:val="none"/>
                      <w:lang w:eastAsia="zh-CN"/>
                    </w:rPr>
                    <w:t>〕</w:t>
                  </w:r>
                  <w:r>
                    <w:rPr>
                      <w:color w:val="auto"/>
                      <w:sz w:val="18"/>
                      <w:highlight w:val="none"/>
                    </w:rPr>
                    <w:t>260</w:t>
                  </w:r>
                  <w:r>
                    <w:rPr>
                      <w:rFonts w:hint="eastAsia"/>
                      <w:color w:val="auto"/>
                      <w:sz w:val="18"/>
                      <w:highlight w:val="none"/>
                    </w:rPr>
                    <w:t>号）禁止事项。</w:t>
                  </w:r>
                </w:p>
              </w:tc>
              <w:tc>
                <w:tcPr>
                  <w:tcW w:w="792" w:type="dxa"/>
                  <w:tcBorders>
                    <w:top w:val="single" w:color="auto" w:sz="4" w:space="0"/>
                    <w:left w:val="single" w:color="auto" w:sz="4" w:space="0"/>
                    <w:bottom w:val="single" w:color="auto" w:sz="4" w:space="0"/>
                  </w:tcBorders>
                  <w:vAlign w:val="center"/>
                </w:tcPr>
                <w:p w14:paraId="48CA31D9">
                  <w:pPr>
                    <w:topLinePunct/>
                    <w:adjustRightInd w:val="0"/>
                    <w:snapToGrid w:val="0"/>
                    <w:jc w:val="center"/>
                    <w:rPr>
                      <w:color w:val="auto"/>
                      <w:kern w:val="0"/>
                      <w:sz w:val="18"/>
                      <w:szCs w:val="18"/>
                      <w:highlight w:val="none"/>
                    </w:rPr>
                  </w:pPr>
                  <w:r>
                    <w:rPr>
                      <w:rFonts w:hint="eastAsia"/>
                      <w:color w:val="auto"/>
                      <w:sz w:val="18"/>
                      <w:szCs w:val="18"/>
                      <w:highlight w:val="none"/>
                    </w:rPr>
                    <w:t>不属于</w:t>
                  </w:r>
                </w:p>
              </w:tc>
            </w:tr>
            <w:tr w14:paraId="2D017F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483" w:type="dxa"/>
                  <w:tcBorders>
                    <w:top w:val="single" w:color="auto" w:sz="4" w:space="0"/>
                    <w:bottom w:val="single" w:color="auto" w:sz="12" w:space="0"/>
                    <w:right w:val="single" w:color="auto" w:sz="4" w:space="0"/>
                  </w:tcBorders>
                  <w:vAlign w:val="center"/>
                </w:tcPr>
                <w:p w14:paraId="54B479D3">
                  <w:pPr>
                    <w:topLinePunct/>
                    <w:adjustRightInd w:val="0"/>
                    <w:snapToGrid w:val="0"/>
                    <w:jc w:val="center"/>
                    <w:rPr>
                      <w:rFonts w:hint="eastAsia" w:eastAsia="宋体"/>
                      <w:color w:val="auto"/>
                      <w:kern w:val="0"/>
                      <w:sz w:val="18"/>
                      <w:szCs w:val="18"/>
                      <w:highlight w:val="none"/>
                      <w:lang w:eastAsia="zh-CN"/>
                    </w:rPr>
                  </w:pPr>
                  <w:r>
                    <w:rPr>
                      <w:rFonts w:hint="eastAsia"/>
                      <w:color w:val="auto"/>
                      <w:kern w:val="0"/>
                      <w:sz w:val="18"/>
                      <w:szCs w:val="18"/>
                      <w:highlight w:val="none"/>
                      <w:lang w:val="en-US" w:eastAsia="zh-CN"/>
                    </w:rPr>
                    <w:t>7</w:t>
                  </w:r>
                </w:p>
              </w:tc>
              <w:tc>
                <w:tcPr>
                  <w:tcW w:w="6562" w:type="dxa"/>
                  <w:tcBorders>
                    <w:top w:val="single" w:color="auto" w:sz="4" w:space="0"/>
                    <w:left w:val="single" w:color="auto" w:sz="4" w:space="0"/>
                    <w:bottom w:val="single" w:color="auto" w:sz="12" w:space="0"/>
                    <w:right w:val="single" w:color="auto" w:sz="4" w:space="0"/>
                  </w:tcBorders>
                  <w:vAlign w:val="center"/>
                </w:tcPr>
                <w:p w14:paraId="6AA5CD60">
                  <w:pPr>
                    <w:topLinePunct/>
                    <w:adjustRightInd w:val="0"/>
                    <w:snapToGrid w:val="0"/>
                    <w:rPr>
                      <w:color w:val="auto"/>
                      <w:kern w:val="0"/>
                      <w:sz w:val="18"/>
                      <w:szCs w:val="18"/>
                      <w:highlight w:val="none"/>
                    </w:rPr>
                  </w:pPr>
                  <w:r>
                    <w:rPr>
                      <w:rFonts w:hint="eastAsia"/>
                      <w:color w:val="auto"/>
                      <w:sz w:val="18"/>
                      <w:szCs w:val="18"/>
                      <w:highlight w:val="none"/>
                    </w:rPr>
                    <w:t>国家、江苏省明确规定不得审批的建设项目</w:t>
                  </w:r>
                </w:p>
              </w:tc>
              <w:tc>
                <w:tcPr>
                  <w:tcW w:w="792" w:type="dxa"/>
                  <w:tcBorders>
                    <w:top w:val="single" w:color="auto" w:sz="4" w:space="0"/>
                    <w:left w:val="single" w:color="auto" w:sz="4" w:space="0"/>
                    <w:bottom w:val="single" w:color="auto" w:sz="12" w:space="0"/>
                  </w:tcBorders>
                  <w:vAlign w:val="center"/>
                </w:tcPr>
                <w:p w14:paraId="656422DA">
                  <w:pPr>
                    <w:topLinePunct/>
                    <w:adjustRightInd w:val="0"/>
                    <w:snapToGrid w:val="0"/>
                    <w:jc w:val="center"/>
                    <w:rPr>
                      <w:color w:val="auto"/>
                      <w:kern w:val="0"/>
                      <w:sz w:val="18"/>
                      <w:szCs w:val="18"/>
                      <w:highlight w:val="none"/>
                    </w:rPr>
                  </w:pPr>
                  <w:r>
                    <w:rPr>
                      <w:rFonts w:hint="eastAsia"/>
                      <w:color w:val="auto"/>
                      <w:sz w:val="18"/>
                      <w:szCs w:val="18"/>
                      <w:highlight w:val="none"/>
                    </w:rPr>
                    <w:t>不属于</w:t>
                  </w:r>
                </w:p>
              </w:tc>
            </w:tr>
          </w:tbl>
          <w:p w14:paraId="2FBC5B3C">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综上，本项目建设符合“三线一单”的相关要求。</w:t>
            </w:r>
          </w:p>
          <w:p w14:paraId="4BAECE08">
            <w:pPr>
              <w:tabs>
                <w:tab w:val="center" w:pos="4156"/>
                <w:tab w:val="left" w:pos="5964"/>
              </w:tabs>
              <w:adjustRightInd w:val="0"/>
              <w:snapToGrid w:val="0"/>
              <w:spacing w:line="360" w:lineRule="auto"/>
              <w:jc w:val="left"/>
              <w:rPr>
                <w:b/>
                <w:snapToGrid w:val="0"/>
                <w:color w:val="auto"/>
                <w:szCs w:val="21"/>
                <w:highlight w:val="none"/>
              </w:rPr>
            </w:pPr>
            <w:r>
              <w:rPr>
                <w:b/>
                <w:snapToGrid w:val="0"/>
                <w:color w:val="auto"/>
                <w:szCs w:val="21"/>
                <w:highlight w:val="none"/>
              </w:rPr>
              <w:t>4</w:t>
            </w:r>
            <w:r>
              <w:rPr>
                <w:rFonts w:hint="eastAsia"/>
                <w:b/>
                <w:snapToGrid w:val="0"/>
                <w:color w:val="auto"/>
                <w:szCs w:val="21"/>
                <w:highlight w:val="none"/>
              </w:rPr>
              <w:t>、“三线一单”生态环境分区管控方案相符性分析</w:t>
            </w:r>
          </w:p>
          <w:p w14:paraId="4131E549">
            <w:pPr>
              <w:topLinePunct/>
              <w:adjustRightInd w:val="0"/>
              <w:snapToGrid w:val="0"/>
              <w:spacing w:line="360" w:lineRule="auto"/>
              <w:ind w:firstLine="420" w:firstLineChars="200"/>
              <w:rPr>
                <w:rFonts w:ascii="Times New Roman" w:hAnsi="Times New Roman" w:eastAsia="宋?" w:cs="Times New Roman"/>
                <w:color w:val="000000"/>
                <w:kern w:val="0"/>
                <w:szCs w:val="21"/>
              </w:rPr>
            </w:pPr>
            <w:r>
              <w:rPr>
                <w:rFonts w:hint="eastAsia" w:ascii="Times New Roman" w:hAnsi="Times New Roman" w:eastAsia="宋?" w:cs="Times New Roman"/>
                <w:color w:val="000000"/>
                <w:kern w:val="0"/>
                <w:szCs w:val="21"/>
              </w:rPr>
              <w:t>（</w:t>
            </w:r>
            <w:r>
              <w:rPr>
                <w:rFonts w:ascii="Times New Roman" w:hAnsi="Times New Roman" w:eastAsia="宋?" w:cs="Times New Roman"/>
                <w:color w:val="000000"/>
                <w:kern w:val="0"/>
                <w:szCs w:val="21"/>
              </w:rPr>
              <w:t>1</w:t>
            </w:r>
            <w:r>
              <w:rPr>
                <w:rFonts w:hint="eastAsia" w:ascii="Times New Roman" w:hAnsi="Times New Roman" w:eastAsia="宋?" w:cs="Times New Roman"/>
                <w:color w:val="000000"/>
                <w:kern w:val="0"/>
                <w:szCs w:val="21"/>
              </w:rPr>
              <w:t>）与《江苏省2023年度生态环境分区管控动态更新成果公告》相符性分析</w:t>
            </w:r>
          </w:p>
          <w:p w14:paraId="77276874">
            <w:pPr>
              <w:topLinePunct/>
              <w:adjustRightInd w:val="0"/>
              <w:snapToGrid w:val="0"/>
              <w:spacing w:line="360" w:lineRule="auto"/>
              <w:ind w:firstLine="420" w:firstLineChars="200"/>
              <w:rPr>
                <w:rFonts w:hint="eastAsia" w:ascii="Times New Roman" w:hAnsi="Times New Roman" w:eastAsia="宋?" w:cs="Times New Roman"/>
                <w:color w:val="000000"/>
                <w:kern w:val="0"/>
                <w:szCs w:val="21"/>
              </w:rPr>
            </w:pPr>
            <w:r>
              <w:rPr>
                <w:rFonts w:hint="eastAsia" w:ascii="Times New Roman" w:hAnsi="Times New Roman" w:eastAsia="宋?" w:cs="Times New Roman"/>
                <w:color w:val="000000"/>
                <w:kern w:val="0"/>
                <w:szCs w:val="21"/>
              </w:rPr>
              <w:t>对照江苏省生态环境厅于2024年6月13日发布的《江苏省2023年度生态环境分区管控动态更新成果公告》，本项目位于苏州市江苏省苏州市</w:t>
            </w:r>
            <w:r>
              <w:rPr>
                <w:rFonts w:hint="eastAsia" w:ascii="Times New Roman" w:hAnsi="Times New Roman" w:eastAsia="宋?" w:cs="Times New Roman"/>
                <w:color w:val="000000"/>
                <w:kern w:val="0"/>
                <w:szCs w:val="21"/>
                <w:lang w:val="en-US" w:eastAsia="zh-CN"/>
              </w:rPr>
              <w:t>吴江</w:t>
            </w:r>
            <w:r>
              <w:rPr>
                <w:rFonts w:hint="eastAsia" w:ascii="Times New Roman" w:hAnsi="Times New Roman" w:eastAsia="宋?" w:cs="Times New Roman"/>
                <w:color w:val="000000"/>
                <w:kern w:val="0"/>
                <w:szCs w:val="21"/>
              </w:rPr>
              <w:t>区桃源镇商城路1599号，属于长江流域和太湖流域，为重点区域（流域）。对照江苏省重点区域（流域）生态环境分区管控要求，相符性分析见下表：</w:t>
            </w:r>
          </w:p>
          <w:p w14:paraId="0F1F63B4">
            <w:pPr>
              <w:tabs>
                <w:tab w:val="center" w:pos="4156"/>
                <w:tab w:val="left" w:pos="5964"/>
              </w:tabs>
              <w:adjustRightInd w:val="0"/>
              <w:snapToGrid w:val="0"/>
              <w:jc w:val="center"/>
              <w:rPr>
                <w:rFonts w:ascii="Times New Roman" w:hAnsi="Times New Roman" w:eastAsia="宋?" w:cs="Times New Roman"/>
                <w:b/>
                <w:snapToGrid w:val="0"/>
                <w:color w:val="000000"/>
                <w:szCs w:val="21"/>
              </w:rPr>
            </w:pPr>
            <w:r>
              <w:rPr>
                <w:rFonts w:hint="eastAsia" w:ascii="Times New Roman" w:hAnsi="Times New Roman" w:eastAsia="宋?" w:cs="Times New Roman"/>
                <w:b/>
                <w:snapToGrid w:val="0"/>
                <w:color w:val="000000"/>
                <w:szCs w:val="21"/>
              </w:rPr>
              <w:t>表</w:t>
            </w:r>
            <w:r>
              <w:rPr>
                <w:rFonts w:ascii="Times New Roman" w:hAnsi="Times New Roman" w:eastAsia="宋?" w:cs="Times New Roman"/>
                <w:b/>
                <w:snapToGrid w:val="0"/>
                <w:color w:val="000000"/>
                <w:szCs w:val="21"/>
              </w:rPr>
              <w:t>1-</w:t>
            </w:r>
            <w:r>
              <w:rPr>
                <w:rFonts w:hint="eastAsia" w:ascii="Times New Roman" w:hAnsi="Times New Roman" w:eastAsia="宋?" w:cs="Times New Roman"/>
                <w:b/>
                <w:snapToGrid w:val="0"/>
                <w:color w:val="000000"/>
                <w:szCs w:val="21"/>
                <w:lang w:val="en-US" w:eastAsia="zh-CN"/>
              </w:rPr>
              <w:t>6</w:t>
            </w:r>
            <w:r>
              <w:rPr>
                <w:rFonts w:ascii="Times New Roman" w:hAnsi="Times New Roman" w:eastAsia="宋?" w:cs="Times New Roman"/>
                <w:b/>
                <w:snapToGrid w:val="0"/>
                <w:color w:val="000000"/>
                <w:szCs w:val="21"/>
              </w:rPr>
              <w:t xml:space="preserve">  </w:t>
            </w:r>
            <w:r>
              <w:rPr>
                <w:rFonts w:hint="eastAsia" w:ascii="Times New Roman" w:hAnsi="Times New Roman" w:eastAsia="宋?" w:cs="Times New Roman"/>
                <w:b/>
                <w:bCs/>
                <w:color w:val="000000"/>
                <w:szCs w:val="21"/>
              </w:rPr>
              <w:t>江苏省重点区域（流域）生态环境分区管控要求</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680"/>
              <w:gridCol w:w="4300"/>
              <w:gridCol w:w="1714"/>
              <w:gridCol w:w="518"/>
            </w:tblGrid>
            <w:tr w14:paraId="500FD8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738" w:type="dxa"/>
                  <w:tcBorders>
                    <w:top w:val="single" w:color="auto" w:sz="12" w:space="0"/>
                    <w:bottom w:val="single" w:color="auto" w:sz="6" w:space="0"/>
                    <w:right w:val="single" w:color="auto" w:sz="6" w:space="0"/>
                  </w:tcBorders>
                  <w:vAlign w:val="center"/>
                </w:tcPr>
                <w:p w14:paraId="6CF7F166">
                  <w:pPr>
                    <w:topLinePunct/>
                    <w:adjustRightInd w:val="0"/>
                    <w:snapToGrid w:val="0"/>
                    <w:jc w:val="center"/>
                    <w:rPr>
                      <w:rFonts w:ascii="Times New Roman" w:hAnsi="Times New Roman" w:eastAsia="宋?" w:cs="Times New Roman"/>
                      <w:color w:val="000000"/>
                      <w:kern w:val="0"/>
                      <w:sz w:val="18"/>
                      <w:szCs w:val="18"/>
                    </w:rPr>
                  </w:pPr>
                  <w:r>
                    <w:rPr>
                      <w:rFonts w:hint="eastAsia" w:ascii="Times New Roman" w:hAnsi="Times New Roman" w:eastAsia="宋?" w:cs="Times New Roman"/>
                      <w:color w:val="000000"/>
                      <w:kern w:val="0"/>
                      <w:sz w:val="18"/>
                      <w:szCs w:val="18"/>
                    </w:rPr>
                    <w:t>类别</w:t>
                  </w:r>
                </w:p>
              </w:tc>
              <w:tc>
                <w:tcPr>
                  <w:tcW w:w="4675" w:type="dxa"/>
                  <w:tcBorders>
                    <w:top w:val="single" w:color="auto" w:sz="12" w:space="0"/>
                    <w:left w:val="single" w:color="auto" w:sz="6" w:space="0"/>
                    <w:bottom w:val="single" w:color="auto" w:sz="6" w:space="0"/>
                    <w:right w:val="single" w:color="auto" w:sz="6" w:space="0"/>
                  </w:tcBorders>
                  <w:vAlign w:val="center"/>
                </w:tcPr>
                <w:p w14:paraId="772A00EC">
                  <w:pPr>
                    <w:topLinePunct/>
                    <w:adjustRightInd w:val="0"/>
                    <w:snapToGrid w:val="0"/>
                    <w:jc w:val="center"/>
                    <w:rPr>
                      <w:rFonts w:ascii="Times New Roman" w:hAnsi="Times New Roman" w:eastAsia="宋?" w:cs="Times New Roman"/>
                      <w:color w:val="000000"/>
                      <w:kern w:val="0"/>
                      <w:sz w:val="18"/>
                      <w:szCs w:val="18"/>
                    </w:rPr>
                  </w:pPr>
                  <w:r>
                    <w:rPr>
                      <w:rFonts w:hint="eastAsia" w:ascii="Times New Roman" w:hAnsi="Times New Roman" w:eastAsia="宋?" w:cs="Times New Roman"/>
                      <w:color w:val="000000"/>
                      <w:kern w:val="0"/>
                      <w:sz w:val="18"/>
                      <w:szCs w:val="18"/>
                    </w:rPr>
                    <w:t>重点管控要求</w:t>
                  </w:r>
                </w:p>
              </w:tc>
              <w:tc>
                <w:tcPr>
                  <w:tcW w:w="1862" w:type="dxa"/>
                  <w:tcBorders>
                    <w:top w:val="single" w:color="auto" w:sz="12" w:space="0"/>
                    <w:left w:val="single" w:color="auto" w:sz="6" w:space="0"/>
                    <w:bottom w:val="single" w:color="auto" w:sz="6" w:space="0"/>
                    <w:right w:val="single" w:color="auto" w:sz="6" w:space="0"/>
                  </w:tcBorders>
                  <w:vAlign w:val="center"/>
                </w:tcPr>
                <w:p w14:paraId="0BF0F77E">
                  <w:pPr>
                    <w:topLinePunct/>
                    <w:adjustRightInd w:val="0"/>
                    <w:snapToGrid w:val="0"/>
                    <w:jc w:val="center"/>
                    <w:rPr>
                      <w:rFonts w:ascii="Times New Roman" w:hAnsi="Times New Roman" w:eastAsia="宋?" w:cs="Times New Roman"/>
                      <w:color w:val="000000"/>
                      <w:kern w:val="0"/>
                      <w:sz w:val="18"/>
                      <w:szCs w:val="18"/>
                    </w:rPr>
                  </w:pPr>
                  <w:r>
                    <w:rPr>
                      <w:rFonts w:hint="eastAsia" w:ascii="Times New Roman" w:hAnsi="Times New Roman" w:eastAsia="宋?" w:cs="Times New Roman"/>
                      <w:color w:val="000000"/>
                      <w:kern w:val="0"/>
                      <w:sz w:val="18"/>
                      <w:szCs w:val="18"/>
                    </w:rPr>
                    <w:t>本项目情况</w:t>
                  </w:r>
                </w:p>
              </w:tc>
              <w:tc>
                <w:tcPr>
                  <w:tcW w:w="562" w:type="dxa"/>
                  <w:tcBorders>
                    <w:top w:val="single" w:color="auto" w:sz="12" w:space="0"/>
                    <w:left w:val="single" w:color="auto" w:sz="6" w:space="0"/>
                    <w:bottom w:val="single" w:color="auto" w:sz="6" w:space="0"/>
                  </w:tcBorders>
                  <w:vAlign w:val="center"/>
                </w:tcPr>
                <w:p w14:paraId="66E00FC5">
                  <w:pPr>
                    <w:topLinePunct/>
                    <w:adjustRightInd w:val="0"/>
                    <w:snapToGrid w:val="0"/>
                    <w:jc w:val="center"/>
                    <w:rPr>
                      <w:rFonts w:ascii="Times New Roman" w:hAnsi="Times New Roman" w:eastAsia="宋?" w:cs="Times New Roman"/>
                      <w:color w:val="000000"/>
                      <w:kern w:val="0"/>
                      <w:sz w:val="18"/>
                      <w:szCs w:val="18"/>
                    </w:rPr>
                  </w:pPr>
                  <w:r>
                    <w:rPr>
                      <w:rFonts w:hint="eastAsia" w:ascii="Times New Roman" w:hAnsi="Times New Roman" w:eastAsia="宋?" w:cs="Times New Roman"/>
                      <w:color w:val="000000"/>
                      <w:kern w:val="0"/>
                      <w:sz w:val="18"/>
                      <w:szCs w:val="18"/>
                    </w:rPr>
                    <w:t>相符性</w:t>
                  </w:r>
                </w:p>
              </w:tc>
            </w:tr>
            <w:tr w14:paraId="673CF8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7837" w:type="dxa"/>
                  <w:gridSpan w:val="4"/>
                  <w:tcBorders>
                    <w:top w:val="single" w:color="auto" w:sz="6" w:space="0"/>
                    <w:bottom w:val="single" w:color="auto" w:sz="6" w:space="0"/>
                  </w:tcBorders>
                  <w:vAlign w:val="center"/>
                </w:tcPr>
                <w:p w14:paraId="58400916">
                  <w:pPr>
                    <w:topLinePunct/>
                    <w:adjustRightInd w:val="0"/>
                    <w:snapToGrid w:val="0"/>
                    <w:jc w:val="center"/>
                    <w:rPr>
                      <w:rFonts w:ascii="Times New Roman" w:hAnsi="Times New Roman" w:eastAsia="宋?" w:cs="Times New Roman"/>
                      <w:color w:val="000000"/>
                      <w:kern w:val="0"/>
                      <w:sz w:val="18"/>
                      <w:szCs w:val="18"/>
                    </w:rPr>
                  </w:pPr>
                  <w:r>
                    <w:rPr>
                      <w:rFonts w:hint="eastAsia" w:ascii="Times New Roman" w:hAnsi="Times New Roman" w:eastAsia="宋?" w:cs="Times New Roman"/>
                      <w:color w:val="000000"/>
                      <w:sz w:val="18"/>
                      <w:szCs w:val="18"/>
                      <w:lang w:val="en-US" w:eastAsia="zh-CN"/>
                    </w:rPr>
                    <w:t>一、</w:t>
                  </w:r>
                  <w:r>
                    <w:rPr>
                      <w:rFonts w:hint="eastAsia" w:ascii="Times New Roman" w:hAnsi="Times New Roman" w:eastAsia="宋?" w:cs="Times New Roman"/>
                      <w:color w:val="000000"/>
                      <w:sz w:val="18"/>
                      <w:szCs w:val="18"/>
                    </w:rPr>
                    <w:t>长江流域</w:t>
                  </w:r>
                </w:p>
              </w:tc>
            </w:tr>
            <w:tr w14:paraId="73D3BE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126" w:hRule="atLeast"/>
                <w:jc w:val="center"/>
              </w:trPr>
              <w:tc>
                <w:tcPr>
                  <w:tcW w:w="738" w:type="dxa"/>
                  <w:tcBorders>
                    <w:top w:val="single" w:color="auto" w:sz="6" w:space="0"/>
                    <w:bottom w:val="single" w:color="auto" w:sz="6" w:space="0"/>
                    <w:right w:val="single" w:color="auto" w:sz="6" w:space="0"/>
                  </w:tcBorders>
                  <w:vAlign w:val="center"/>
                </w:tcPr>
                <w:p w14:paraId="0D1CAE35">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空间布局约束</w:t>
                  </w:r>
                </w:p>
              </w:tc>
              <w:tc>
                <w:tcPr>
                  <w:tcW w:w="4675" w:type="dxa"/>
                  <w:tcBorders>
                    <w:top w:val="single" w:color="auto" w:sz="6" w:space="0"/>
                    <w:left w:val="single" w:color="auto" w:sz="6" w:space="0"/>
                    <w:right w:val="single" w:color="auto" w:sz="6" w:space="0"/>
                  </w:tcBorders>
                  <w:vAlign w:val="center"/>
                </w:tcPr>
                <w:p w14:paraId="27E24F90">
                  <w:pPr>
                    <w:numPr>
                      <w:ilvl w:val="0"/>
                      <w:numId w:val="0"/>
                    </w:numPr>
                    <w:ind w:right="63" w:rightChars="30"/>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kern w:val="2"/>
                      <w:sz w:val="18"/>
                      <w:szCs w:val="18"/>
                      <w:lang w:val="en-US" w:eastAsia="zh-CN" w:bidi="ar-SA"/>
                    </w:rPr>
                    <w:t>1、</w:t>
                  </w:r>
                  <w:r>
                    <w:rPr>
                      <w:rFonts w:hint="eastAsia" w:ascii="Times New Roman" w:hAnsi="Times New Roman" w:eastAsia="宋?" w:cs="Times New Roman"/>
                      <w:color w:val="000000"/>
                      <w:sz w:val="18"/>
                      <w:szCs w:val="18"/>
                    </w:rPr>
                    <w:t>始终把长江生态修复放在首位，坚持共抓大保护、不搞大开发，引导长江流域产业转型升级和布局优化调整，实现科学发展、有序发展、高质量发展。</w:t>
                  </w:r>
                </w:p>
                <w:p w14:paraId="09B28C76">
                  <w:pPr>
                    <w:numPr>
                      <w:ilvl w:val="0"/>
                      <w:numId w:val="0"/>
                    </w:numPr>
                    <w:ind w:right="63" w:rightChars="30"/>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kern w:val="2"/>
                      <w:sz w:val="18"/>
                      <w:szCs w:val="18"/>
                      <w:lang w:val="en-US" w:eastAsia="zh-CN" w:bidi="ar-SA"/>
                    </w:rPr>
                    <w:t>2、</w:t>
                  </w:r>
                  <w:r>
                    <w:rPr>
                      <w:rFonts w:hint="eastAsia" w:ascii="Times New Roman" w:hAnsi="Times New Roman" w:eastAsia="宋?" w:cs="Times New Roman"/>
                      <w:color w:val="000000"/>
                      <w:sz w:val="18"/>
                      <w:szCs w:val="18"/>
                    </w:rPr>
                    <w:t>加强生态空间保护，禁止在国家确定的生态保护红线和永久基本农田范围内，投资建设除国家重大战略资源勘查项目、生态保护修复和地质灾害治理项目、重大基础设施项目、军事国防项目以及农民基本生产生活等必要的民生项目以外的项目。</w:t>
                  </w:r>
                </w:p>
                <w:p w14:paraId="66C458D6">
                  <w:pPr>
                    <w:ind w:right="63" w:rightChars="30"/>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sz w:val="18"/>
                      <w:szCs w:val="18"/>
                      <w:lang w:val="en-US" w:eastAsia="zh-CN"/>
                    </w:rPr>
                    <w:t>3、</w:t>
                  </w:r>
                  <w:r>
                    <w:rPr>
                      <w:rFonts w:hint="eastAsia" w:ascii="Times New Roman" w:hAnsi="Times New Roman" w:eastAsia="宋?" w:cs="Times New Roman"/>
                      <w:color w:val="000000"/>
                      <w:sz w:val="18"/>
                      <w:szCs w:val="18"/>
                    </w:rPr>
                    <w:t>禁止在沿江地区新建或扩建化学工业园区，禁止新建或扩建以大宗进口油气资源为原料的石油加工、石油化工、基础有机无机化工、煤化工项目；禁止在长江干流和主要支流岸线</w:t>
                  </w:r>
                  <w:r>
                    <w:rPr>
                      <w:rFonts w:ascii="Times New Roman" w:hAnsi="Times New Roman" w:eastAsia="TimesNewRomanPSMT" w:cs="Times New Roman"/>
                      <w:color w:val="000000"/>
                      <w:sz w:val="18"/>
                      <w:szCs w:val="18"/>
                    </w:rPr>
                    <w:t>1</w:t>
                  </w:r>
                  <w:r>
                    <w:rPr>
                      <w:rFonts w:hint="eastAsia" w:ascii="Times New Roman" w:hAnsi="Times New Roman" w:eastAsia="宋?" w:cs="Times New Roman"/>
                      <w:color w:val="000000"/>
                      <w:sz w:val="18"/>
                      <w:szCs w:val="18"/>
                    </w:rPr>
                    <w:t>公里范围内新建危化品码头。</w:t>
                  </w:r>
                </w:p>
                <w:p w14:paraId="4E860753">
                  <w:pPr>
                    <w:ind w:right="63" w:rightChars="30"/>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sz w:val="18"/>
                      <w:szCs w:val="18"/>
                      <w:lang w:val="en-US" w:eastAsia="zh-CN"/>
                    </w:rPr>
                    <w:t>4、</w:t>
                  </w:r>
                  <w:r>
                    <w:rPr>
                      <w:rFonts w:hint="eastAsia" w:ascii="Times New Roman" w:hAnsi="Times New Roman" w:eastAsia="宋?" w:cs="Times New Roman"/>
                      <w:color w:val="000000"/>
                      <w:sz w:val="18"/>
                      <w:szCs w:val="18"/>
                    </w:rPr>
                    <w:t>强化港口布局优化，禁止建设不符合国家港口布局规划和《江苏省沿江沿海港口布局规划（</w:t>
                  </w:r>
                  <w:r>
                    <w:rPr>
                      <w:rFonts w:ascii="Times New Roman" w:hAnsi="Times New Roman" w:eastAsia="TimesNewRomanPSMT" w:cs="Times New Roman"/>
                      <w:color w:val="000000"/>
                      <w:sz w:val="18"/>
                      <w:szCs w:val="18"/>
                    </w:rPr>
                    <w:t>2015</w:t>
                  </w:r>
                  <w:r>
                    <w:rPr>
                      <w:rFonts w:hint="eastAsia" w:ascii="宋?" w:hAnsi="宋?" w:eastAsia="宋?" w:cs="宋?"/>
                      <w:color w:val="000000"/>
                      <w:sz w:val="18"/>
                      <w:szCs w:val="18"/>
                    </w:rPr>
                    <w:t>‐</w:t>
                  </w:r>
                  <w:r>
                    <w:rPr>
                      <w:rFonts w:ascii="Times New Roman" w:hAnsi="Times New Roman" w:eastAsia="TimesNewRomanPSMT" w:cs="Times New Roman"/>
                      <w:color w:val="000000"/>
                      <w:sz w:val="18"/>
                      <w:szCs w:val="18"/>
                    </w:rPr>
                    <w:t>2030</w:t>
                  </w:r>
                  <w:r>
                    <w:rPr>
                      <w:rFonts w:hint="eastAsia" w:ascii="Times New Roman" w:hAnsi="Times New Roman" w:eastAsia="宋?" w:cs="Times New Roman"/>
                      <w:color w:val="000000"/>
                      <w:sz w:val="18"/>
                      <w:szCs w:val="18"/>
                    </w:rPr>
                    <w:t>年）》《江苏省内河港口布局规划（</w:t>
                  </w:r>
                  <w:r>
                    <w:rPr>
                      <w:rFonts w:ascii="Times New Roman" w:hAnsi="Times New Roman" w:eastAsia="TimesNewRomanPSMT" w:cs="Times New Roman"/>
                      <w:color w:val="000000"/>
                      <w:sz w:val="18"/>
                      <w:szCs w:val="18"/>
                    </w:rPr>
                    <w:t>2017</w:t>
                  </w:r>
                  <w:r>
                    <w:rPr>
                      <w:rFonts w:hint="eastAsia" w:ascii="宋?" w:hAnsi="宋?" w:eastAsia="宋?" w:cs="宋?"/>
                      <w:color w:val="000000"/>
                      <w:sz w:val="18"/>
                      <w:szCs w:val="18"/>
                    </w:rPr>
                    <w:t>‐</w:t>
                  </w:r>
                  <w:r>
                    <w:rPr>
                      <w:rFonts w:ascii="Times New Roman" w:hAnsi="Times New Roman" w:eastAsia="TimesNewRomanPSMT" w:cs="Times New Roman"/>
                      <w:color w:val="000000"/>
                      <w:sz w:val="18"/>
                      <w:szCs w:val="18"/>
                    </w:rPr>
                    <w:t>2035</w:t>
                  </w:r>
                  <w:r>
                    <w:rPr>
                      <w:rFonts w:hint="eastAsia" w:ascii="Times New Roman" w:hAnsi="Times New Roman" w:eastAsia="宋?" w:cs="Times New Roman"/>
                      <w:color w:val="000000"/>
                      <w:sz w:val="18"/>
                      <w:szCs w:val="18"/>
                    </w:rPr>
                    <w:t>年）》的码头项目，禁止建设未纳入《长江干线过江通道布局规划》的过江干线通道项目。</w:t>
                  </w:r>
                </w:p>
                <w:p w14:paraId="03AD3744">
                  <w:pPr>
                    <w:ind w:right="63" w:rightChars="30"/>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lang w:val="en-US" w:eastAsia="zh-CN"/>
                    </w:rPr>
                    <w:t>5、</w:t>
                  </w:r>
                  <w:r>
                    <w:rPr>
                      <w:rFonts w:hint="eastAsia" w:ascii="Times New Roman" w:hAnsi="Times New Roman" w:eastAsia="宋?" w:cs="Times New Roman"/>
                      <w:color w:val="000000"/>
                      <w:sz w:val="18"/>
                      <w:szCs w:val="18"/>
                    </w:rPr>
                    <w:t>禁止新建独立焦化项目。</w:t>
                  </w:r>
                </w:p>
              </w:tc>
              <w:tc>
                <w:tcPr>
                  <w:tcW w:w="1862" w:type="dxa"/>
                  <w:tcBorders>
                    <w:top w:val="single" w:color="auto" w:sz="6" w:space="0"/>
                    <w:left w:val="single" w:color="auto" w:sz="6" w:space="0"/>
                    <w:right w:val="single" w:color="auto" w:sz="6" w:space="0"/>
                  </w:tcBorders>
                  <w:vAlign w:val="center"/>
                </w:tcPr>
                <w:p w14:paraId="4C17DE46">
                  <w:pPr>
                    <w:ind w:right="63" w:rightChars="30"/>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本项目不在国家确定的生态保护红线和永久基本农田范围内</w:t>
                  </w: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rPr>
                    <w:t>不</w:t>
                  </w:r>
                </w:p>
                <w:p w14:paraId="456414CF">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涉及化学工业园区、石油加工、石油化工、基础有机无机化工、煤化工项目</w:t>
                  </w: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rPr>
                    <w:t>不涉及码头及港口</w:t>
                  </w: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rPr>
                    <w:t>不涉及独立焦化项目。</w:t>
                  </w:r>
                </w:p>
              </w:tc>
              <w:tc>
                <w:tcPr>
                  <w:tcW w:w="562" w:type="dxa"/>
                  <w:tcBorders>
                    <w:top w:val="single" w:color="auto" w:sz="6" w:space="0"/>
                    <w:left w:val="single" w:color="auto" w:sz="6" w:space="0"/>
                    <w:bottom w:val="single" w:color="auto" w:sz="6" w:space="0"/>
                  </w:tcBorders>
                  <w:vAlign w:val="center"/>
                </w:tcPr>
                <w:p w14:paraId="1EC2FA68">
                  <w:pPr>
                    <w:ind w:left="-199" w:leftChars="-95" w:right="-84" w:rightChars="-40" w:firstLine="199" w:firstLineChars="111"/>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符合</w:t>
                  </w:r>
                </w:p>
              </w:tc>
            </w:tr>
            <w:tr w14:paraId="0F86AB6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738" w:type="dxa"/>
                  <w:tcBorders>
                    <w:top w:val="single" w:color="auto" w:sz="6" w:space="0"/>
                    <w:bottom w:val="single" w:color="auto" w:sz="6" w:space="0"/>
                    <w:right w:val="single" w:color="auto" w:sz="6" w:space="0"/>
                  </w:tcBorders>
                  <w:vAlign w:val="center"/>
                </w:tcPr>
                <w:p w14:paraId="0A801989">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污染物排放管控</w:t>
                  </w:r>
                </w:p>
              </w:tc>
              <w:tc>
                <w:tcPr>
                  <w:tcW w:w="4675" w:type="dxa"/>
                  <w:tcBorders>
                    <w:top w:val="single" w:color="auto" w:sz="6" w:space="0"/>
                    <w:left w:val="single" w:color="auto" w:sz="6" w:space="0"/>
                    <w:bottom w:val="single" w:color="auto" w:sz="6" w:space="0"/>
                    <w:right w:val="single" w:color="auto" w:sz="6" w:space="0"/>
                  </w:tcBorders>
                  <w:vAlign w:val="center"/>
                </w:tcPr>
                <w:p w14:paraId="4EA03383">
                  <w:pPr>
                    <w:jc w:val="left"/>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lang w:val="en-US" w:eastAsia="zh-CN"/>
                    </w:rPr>
                    <w:t>1、</w:t>
                  </w:r>
                  <w:r>
                    <w:rPr>
                      <w:rFonts w:hint="eastAsia" w:ascii="Times New Roman" w:hAnsi="Times New Roman" w:eastAsia="宋?" w:cs="Times New Roman"/>
                      <w:color w:val="000000"/>
                      <w:sz w:val="18"/>
                      <w:szCs w:val="18"/>
                    </w:rPr>
                    <w:t>根据《江苏省长江水污染防治条例》实施污染物总量</w:t>
                  </w:r>
                </w:p>
                <w:p w14:paraId="2478EC73">
                  <w:pPr>
                    <w:ind w:right="63" w:rightChars="30"/>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控制制度。</w:t>
                  </w:r>
                </w:p>
                <w:p w14:paraId="0B09EE4C">
                  <w:pPr>
                    <w:ind w:right="63" w:rightChars="30"/>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lang w:val="en-US" w:eastAsia="zh-CN"/>
                    </w:rPr>
                    <w:t>2、</w:t>
                  </w:r>
                  <w:r>
                    <w:rPr>
                      <w:rFonts w:hint="eastAsia" w:ascii="Times New Roman" w:hAnsi="Times New Roman" w:eastAsia="宋?" w:cs="Times New Roman"/>
                      <w:color w:val="000000"/>
                      <w:sz w:val="18"/>
                      <w:szCs w:val="18"/>
                    </w:rPr>
                    <w:t>全面加强和规范长江入河排污口管理，有效管控入河污染物排放，形成权责清晰、监控到位、管理规范的长江入河排污口监管体系，加快改善长江水环境质量。</w:t>
                  </w:r>
                </w:p>
              </w:tc>
              <w:tc>
                <w:tcPr>
                  <w:tcW w:w="1862" w:type="dxa"/>
                  <w:tcBorders>
                    <w:top w:val="single" w:color="auto" w:sz="6" w:space="0"/>
                    <w:left w:val="single" w:color="auto" w:sz="6" w:space="0"/>
                    <w:bottom w:val="single" w:color="auto" w:sz="6" w:space="0"/>
                    <w:right w:val="single" w:color="auto" w:sz="6" w:space="0"/>
                  </w:tcBorders>
                  <w:vAlign w:val="center"/>
                </w:tcPr>
                <w:p w14:paraId="64D9E695">
                  <w:pPr>
                    <w:ind w:right="63" w:rightChars="30"/>
                    <w:jc w:val="center"/>
                    <w:rPr>
                      <w:rFonts w:hint="default" w:ascii="Times New Roman" w:hAnsi="Times New Roman" w:eastAsia="宋?" w:cs="Times New Roman"/>
                      <w:color w:val="000000"/>
                      <w:sz w:val="18"/>
                      <w:szCs w:val="18"/>
                      <w:lang w:val="en-US" w:eastAsia="zh-CN"/>
                    </w:rPr>
                  </w:pPr>
                  <w:r>
                    <w:rPr>
                      <w:rFonts w:hint="eastAsia" w:ascii="Times New Roman" w:hAnsi="Times New Roman" w:eastAsia="宋?" w:cs="Times New Roman"/>
                      <w:color w:val="000000"/>
                      <w:sz w:val="18"/>
                      <w:szCs w:val="18"/>
                    </w:rPr>
                    <w:t>本项目将严格执行总量控制制度</w:t>
                  </w: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lang w:val="en-US" w:eastAsia="zh-CN"/>
                    </w:rPr>
                    <w:t>不涉及长江入河排污口。</w:t>
                  </w:r>
                </w:p>
              </w:tc>
              <w:tc>
                <w:tcPr>
                  <w:tcW w:w="562" w:type="dxa"/>
                  <w:tcBorders>
                    <w:top w:val="single" w:color="auto" w:sz="6" w:space="0"/>
                    <w:left w:val="single" w:color="auto" w:sz="6" w:space="0"/>
                    <w:bottom w:val="single" w:color="auto" w:sz="6" w:space="0"/>
                  </w:tcBorders>
                  <w:vAlign w:val="center"/>
                </w:tcPr>
                <w:p w14:paraId="26A6723A">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符合</w:t>
                  </w:r>
                </w:p>
              </w:tc>
            </w:tr>
            <w:tr w14:paraId="436BC0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1092" w:hRule="atLeast"/>
                <w:jc w:val="center"/>
              </w:trPr>
              <w:tc>
                <w:tcPr>
                  <w:tcW w:w="738" w:type="dxa"/>
                  <w:vMerge w:val="restart"/>
                  <w:tcBorders>
                    <w:top w:val="single" w:color="auto" w:sz="6" w:space="0"/>
                    <w:bottom w:val="single" w:color="auto" w:sz="6" w:space="0"/>
                    <w:right w:val="single" w:color="auto" w:sz="6" w:space="0"/>
                  </w:tcBorders>
                  <w:vAlign w:val="center"/>
                </w:tcPr>
                <w:p w14:paraId="1D631373">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环境风险防控</w:t>
                  </w:r>
                </w:p>
              </w:tc>
              <w:tc>
                <w:tcPr>
                  <w:tcW w:w="4675" w:type="dxa"/>
                  <w:tcBorders>
                    <w:top w:val="single" w:color="auto" w:sz="6" w:space="0"/>
                    <w:left w:val="single" w:color="auto" w:sz="6" w:space="0"/>
                    <w:right w:val="single" w:color="auto" w:sz="6" w:space="0"/>
                  </w:tcBorders>
                  <w:vAlign w:val="center"/>
                </w:tcPr>
                <w:p w14:paraId="77B0E1F4">
                  <w:pPr>
                    <w:ind w:right="63" w:rightChars="30"/>
                    <w:rPr>
                      <w:rFonts w:hint="eastAsia" w:ascii="Times New Roman" w:hAnsi="Times New Roman" w:eastAsia="宋?" w:cs="Times New Roman"/>
                      <w:color w:val="000000"/>
                      <w:sz w:val="18"/>
                      <w:szCs w:val="18"/>
                      <w:lang w:val="en-US" w:eastAsia="zh-CN"/>
                    </w:rPr>
                  </w:pPr>
                  <w:r>
                    <w:rPr>
                      <w:rFonts w:hint="eastAsia" w:ascii="Times New Roman" w:hAnsi="Times New Roman" w:eastAsia="宋?" w:cs="Times New Roman"/>
                      <w:color w:val="000000"/>
                      <w:sz w:val="18"/>
                      <w:szCs w:val="18"/>
                      <w:lang w:val="en-US" w:eastAsia="zh-CN"/>
                    </w:rPr>
                    <w:t>1、</w:t>
                  </w:r>
                  <w:r>
                    <w:rPr>
                      <w:rFonts w:hint="eastAsia" w:ascii="Times New Roman" w:hAnsi="Times New Roman" w:eastAsia="宋?" w:cs="Times New Roman"/>
                      <w:color w:val="000000"/>
                      <w:sz w:val="18"/>
                      <w:szCs w:val="18"/>
                    </w:rPr>
                    <w:t>防范沿江环境风险。深化沿江石化、化工、医药、纺织、印染、化纤、危化品和石油类仓储、涉重金属和危险废物处置等重点企业环境风险防控。</w:t>
                  </w:r>
                </w:p>
                <w:p w14:paraId="6887E102">
                  <w:pPr>
                    <w:ind w:right="63" w:rightChars="30"/>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lang w:val="en-US" w:eastAsia="zh-CN"/>
                    </w:rPr>
                    <w:t>2、</w:t>
                  </w:r>
                  <w:r>
                    <w:rPr>
                      <w:rFonts w:hint="eastAsia" w:ascii="Times New Roman" w:hAnsi="Times New Roman" w:eastAsia="宋?" w:cs="Times New Roman"/>
                      <w:color w:val="000000"/>
                      <w:sz w:val="18"/>
                      <w:szCs w:val="18"/>
                    </w:rPr>
                    <w:t>加强饮用水水源保护。优化水源保护区划定，推动饮用水水源地规范化建设。</w:t>
                  </w:r>
                </w:p>
              </w:tc>
              <w:tc>
                <w:tcPr>
                  <w:tcW w:w="1862" w:type="dxa"/>
                  <w:tcBorders>
                    <w:top w:val="single" w:color="auto" w:sz="6" w:space="0"/>
                    <w:left w:val="single" w:color="auto" w:sz="6" w:space="0"/>
                    <w:bottom w:val="single" w:color="auto" w:sz="6" w:space="0"/>
                    <w:right w:val="single" w:color="auto" w:sz="6" w:space="0"/>
                  </w:tcBorders>
                  <w:vAlign w:val="center"/>
                </w:tcPr>
                <w:p w14:paraId="4D423EFA">
                  <w:pPr>
                    <w:ind w:right="63" w:rightChars="30"/>
                    <w:jc w:val="center"/>
                    <w:rPr>
                      <w:rFonts w:hint="default" w:ascii="Times New Roman" w:hAnsi="Times New Roman" w:eastAsia="宋?" w:cs="Times New Roman"/>
                      <w:color w:val="000000"/>
                      <w:sz w:val="18"/>
                      <w:szCs w:val="18"/>
                      <w:lang w:val="en-US" w:eastAsia="zh-CN"/>
                    </w:rPr>
                  </w:pPr>
                  <w:r>
                    <w:rPr>
                      <w:rFonts w:hint="eastAsia" w:ascii="Times New Roman" w:hAnsi="Times New Roman" w:eastAsia="宋?" w:cs="Times New Roman"/>
                      <w:color w:val="000000"/>
                      <w:sz w:val="18"/>
                      <w:szCs w:val="18"/>
                      <w:lang w:val="en-US" w:eastAsia="zh-CN"/>
                    </w:rPr>
                    <w:t>本项目不在沿江范围。</w:t>
                  </w:r>
                </w:p>
              </w:tc>
              <w:tc>
                <w:tcPr>
                  <w:tcW w:w="562" w:type="dxa"/>
                  <w:tcBorders>
                    <w:top w:val="single" w:color="auto" w:sz="6" w:space="0"/>
                    <w:left w:val="single" w:color="auto" w:sz="6" w:space="0"/>
                    <w:bottom w:val="single" w:color="auto" w:sz="6" w:space="0"/>
                  </w:tcBorders>
                  <w:vAlign w:val="center"/>
                </w:tcPr>
                <w:p w14:paraId="6E58332A">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符合</w:t>
                  </w:r>
                </w:p>
              </w:tc>
            </w:tr>
            <w:tr w14:paraId="348498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888" w:hRule="atLeast"/>
                <w:jc w:val="center"/>
              </w:trPr>
              <w:tc>
                <w:tcPr>
                  <w:tcW w:w="738" w:type="dxa"/>
                  <w:tcBorders>
                    <w:top w:val="single" w:color="auto" w:sz="6" w:space="0"/>
                    <w:bottom w:val="single" w:color="auto" w:sz="6" w:space="0"/>
                    <w:right w:val="single" w:color="auto" w:sz="6" w:space="0"/>
                  </w:tcBorders>
                  <w:vAlign w:val="center"/>
                </w:tcPr>
                <w:p w14:paraId="30C4D5C5">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资源利用效率要求</w:t>
                  </w:r>
                </w:p>
              </w:tc>
              <w:tc>
                <w:tcPr>
                  <w:tcW w:w="4675" w:type="dxa"/>
                  <w:tcBorders>
                    <w:top w:val="single" w:color="auto" w:sz="6" w:space="0"/>
                    <w:left w:val="single" w:color="auto" w:sz="6" w:space="0"/>
                    <w:right w:val="single" w:color="auto" w:sz="6" w:space="0"/>
                  </w:tcBorders>
                  <w:vAlign w:val="center"/>
                </w:tcPr>
                <w:p w14:paraId="5739B421">
                  <w:pPr>
                    <w:ind w:right="63" w:rightChars="30"/>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禁止在长江干支流岸线管控范围内新建、扩建化工园区和化工项目。禁止在长江干流岸线和重要支流岸线管控范围内新建、改建、扩建尾矿库，但是以提升安全、生态环境保护水平为目的的改建除外。</w:t>
                  </w:r>
                </w:p>
              </w:tc>
              <w:tc>
                <w:tcPr>
                  <w:tcW w:w="1862" w:type="dxa"/>
                  <w:tcBorders>
                    <w:top w:val="single" w:color="auto" w:sz="6" w:space="0"/>
                    <w:left w:val="single" w:color="auto" w:sz="6" w:space="0"/>
                    <w:right w:val="single" w:color="auto" w:sz="6" w:space="0"/>
                  </w:tcBorders>
                  <w:vAlign w:val="center"/>
                </w:tcPr>
                <w:p w14:paraId="474C0FBF">
                  <w:pPr>
                    <w:ind w:right="63" w:rightChars="30"/>
                    <w:jc w:val="center"/>
                    <w:rPr>
                      <w:rFonts w:hint="eastAsia" w:ascii="Times New Roman" w:hAnsi="Times New Roman" w:eastAsia="宋?" w:cs="Times New Roman"/>
                      <w:color w:val="000000"/>
                      <w:sz w:val="18"/>
                      <w:szCs w:val="18"/>
                      <w:lang w:eastAsia="zh-CN"/>
                    </w:rPr>
                  </w:pPr>
                  <w:r>
                    <w:rPr>
                      <w:rFonts w:hint="eastAsia" w:ascii="Times New Roman" w:hAnsi="Times New Roman" w:eastAsia="宋?" w:cs="Times New Roman"/>
                      <w:color w:val="000000"/>
                      <w:sz w:val="18"/>
                      <w:szCs w:val="18"/>
                      <w:lang w:val="en-US" w:eastAsia="zh-CN"/>
                    </w:rPr>
                    <w:t>本项目</w:t>
                  </w:r>
                  <w:r>
                    <w:rPr>
                      <w:rFonts w:hint="eastAsia" w:ascii="Times New Roman" w:hAnsi="Times New Roman" w:eastAsia="宋?" w:cs="Times New Roman"/>
                      <w:color w:val="000000"/>
                      <w:sz w:val="18"/>
                      <w:szCs w:val="18"/>
                    </w:rPr>
                    <w:t>不涉及</w:t>
                  </w:r>
                  <w:r>
                    <w:rPr>
                      <w:rFonts w:hint="eastAsia" w:ascii="Times New Roman" w:hAnsi="Times New Roman" w:eastAsia="宋?" w:cs="Times New Roman"/>
                      <w:color w:val="000000"/>
                      <w:sz w:val="18"/>
                      <w:szCs w:val="18"/>
                      <w:lang w:eastAsia="zh-CN"/>
                    </w:rPr>
                    <w:t>。</w:t>
                  </w:r>
                </w:p>
              </w:tc>
              <w:tc>
                <w:tcPr>
                  <w:tcW w:w="562" w:type="dxa"/>
                  <w:tcBorders>
                    <w:top w:val="single" w:color="auto" w:sz="6" w:space="0"/>
                    <w:left w:val="single" w:color="auto" w:sz="6" w:space="0"/>
                    <w:bottom w:val="single" w:color="auto" w:sz="6" w:space="0"/>
                  </w:tcBorders>
                  <w:vAlign w:val="center"/>
                </w:tcPr>
                <w:p w14:paraId="37EF08C8">
                  <w:pPr>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符合</w:t>
                  </w:r>
                </w:p>
              </w:tc>
            </w:tr>
            <w:tr w14:paraId="088505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7837" w:type="dxa"/>
                  <w:gridSpan w:val="4"/>
                  <w:tcBorders>
                    <w:top w:val="single" w:color="auto" w:sz="6" w:space="0"/>
                    <w:bottom w:val="single" w:color="auto" w:sz="6" w:space="0"/>
                  </w:tcBorders>
                  <w:vAlign w:val="center"/>
                </w:tcPr>
                <w:p w14:paraId="1931564E">
                  <w:pPr>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kern w:val="0"/>
                      <w:sz w:val="18"/>
                      <w:szCs w:val="18"/>
                      <w:lang w:val="en-US" w:eastAsia="zh-CN"/>
                    </w:rPr>
                    <w:t>二、</w:t>
                  </w:r>
                  <w:r>
                    <w:rPr>
                      <w:rFonts w:hint="eastAsia" w:ascii="Times New Roman" w:hAnsi="Times New Roman" w:eastAsia="宋?" w:cs="Times New Roman"/>
                      <w:color w:val="000000"/>
                      <w:kern w:val="0"/>
                      <w:sz w:val="18"/>
                      <w:szCs w:val="18"/>
                    </w:rPr>
                    <w:t>太湖流域</w:t>
                  </w:r>
                </w:p>
              </w:tc>
            </w:tr>
            <w:tr w14:paraId="7FDB29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97" w:hRule="atLeast"/>
                <w:jc w:val="center"/>
              </w:trPr>
              <w:tc>
                <w:tcPr>
                  <w:tcW w:w="738" w:type="dxa"/>
                  <w:vMerge w:val="restart"/>
                  <w:tcBorders>
                    <w:top w:val="single" w:color="auto" w:sz="6" w:space="0"/>
                    <w:bottom w:val="single" w:color="auto" w:sz="6" w:space="0"/>
                    <w:right w:val="single" w:color="auto" w:sz="6" w:space="0"/>
                  </w:tcBorders>
                  <w:vAlign w:val="center"/>
                </w:tcPr>
                <w:p w14:paraId="75A893A2">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空间布局约束</w:t>
                  </w:r>
                </w:p>
              </w:tc>
              <w:tc>
                <w:tcPr>
                  <w:tcW w:w="4675" w:type="dxa"/>
                  <w:tcBorders>
                    <w:top w:val="single" w:color="auto" w:sz="6" w:space="0"/>
                    <w:left w:val="single" w:color="auto" w:sz="6" w:space="0"/>
                    <w:right w:val="single" w:color="auto" w:sz="6" w:space="0"/>
                  </w:tcBorders>
                  <w:vAlign w:val="center"/>
                </w:tcPr>
                <w:p w14:paraId="2EB3C9E6">
                  <w:pPr>
                    <w:jc w:val="left"/>
                    <w:rPr>
                      <w:rFonts w:ascii="Times New Roman" w:hAnsi="Times New Roman" w:eastAsia="宋?" w:cs="Times New Roman"/>
                      <w:color w:val="000000"/>
                      <w:sz w:val="18"/>
                      <w:szCs w:val="18"/>
                    </w:rPr>
                  </w:pPr>
                  <w:r>
                    <w:rPr>
                      <w:rFonts w:ascii="Times New Roman" w:hAnsi="Times New Roman" w:eastAsia="宋?" w:cs="Times New Roman"/>
                      <w:color w:val="000000"/>
                      <w:sz w:val="18"/>
                      <w:szCs w:val="18"/>
                    </w:rPr>
                    <w:t>1</w:t>
                  </w:r>
                  <w:r>
                    <w:rPr>
                      <w:rFonts w:hint="eastAsia" w:ascii="Times New Roman" w:hAnsi="Times New Roman" w:eastAsia="宋?" w:cs="Times New Roman"/>
                      <w:color w:val="000000"/>
                      <w:sz w:val="18"/>
                      <w:szCs w:val="18"/>
                    </w:rPr>
                    <w:t>、在太湖流域一、二、三级保护区，禁止新建、改建、扩建化学制浆造纸、制革、酿造、染料、印染、电镀以及其他排放含磷、氮等污染物的企业和项目，城镇污水集中处理等环境基础设施项目和《江苏省太湖水污染防治条例》第四十六条规定的情形除外。</w:t>
                  </w:r>
                </w:p>
                <w:p w14:paraId="50EEF44F">
                  <w:pPr>
                    <w:jc w:val="left"/>
                    <w:rPr>
                      <w:rFonts w:ascii="Times New Roman" w:hAnsi="Times New Roman" w:eastAsia="宋?" w:cs="Times New Roman"/>
                      <w:color w:val="000000"/>
                      <w:sz w:val="18"/>
                      <w:szCs w:val="18"/>
                    </w:rPr>
                  </w:pPr>
                  <w:r>
                    <w:rPr>
                      <w:rFonts w:ascii="Times New Roman" w:hAnsi="Times New Roman" w:eastAsia="宋?" w:cs="Times New Roman"/>
                      <w:color w:val="000000"/>
                      <w:sz w:val="18"/>
                      <w:szCs w:val="18"/>
                    </w:rPr>
                    <w:t>2</w:t>
                  </w:r>
                  <w:r>
                    <w:rPr>
                      <w:rFonts w:hint="eastAsia" w:ascii="Times New Roman" w:hAnsi="Times New Roman" w:eastAsia="宋?" w:cs="Times New Roman"/>
                      <w:color w:val="000000"/>
                      <w:sz w:val="18"/>
                      <w:szCs w:val="18"/>
                    </w:rPr>
                    <w:t>、在太湖流域一级保护区，禁止新建、扩建向水体排放污染物的建设项目，禁止新建、扩建畜禽养殖场，禁止新建扩建高尔夫球场、水上游乐等开发项目以及设置水上餐饮经营设施。</w:t>
                  </w:r>
                </w:p>
                <w:p w14:paraId="52195FDA">
                  <w:pPr>
                    <w:jc w:val="left"/>
                    <w:rPr>
                      <w:rFonts w:ascii="Times New Roman" w:hAnsi="Times New Roman" w:eastAsia="宋?" w:cs="Times New Roman"/>
                      <w:color w:val="000000"/>
                      <w:sz w:val="18"/>
                      <w:szCs w:val="18"/>
                    </w:rPr>
                  </w:pPr>
                  <w:r>
                    <w:rPr>
                      <w:rFonts w:ascii="Times New Roman" w:hAnsi="Times New Roman" w:eastAsia="宋?" w:cs="Times New Roman"/>
                      <w:color w:val="000000"/>
                      <w:sz w:val="18"/>
                      <w:szCs w:val="18"/>
                    </w:rPr>
                    <w:t>3</w:t>
                  </w:r>
                  <w:r>
                    <w:rPr>
                      <w:rFonts w:hint="eastAsia" w:ascii="Times New Roman" w:hAnsi="Times New Roman" w:eastAsia="宋?" w:cs="Times New Roman"/>
                      <w:color w:val="000000"/>
                      <w:sz w:val="18"/>
                      <w:szCs w:val="18"/>
                    </w:rPr>
                    <w:t>、在太湖流域二级保护区，禁止新建、扩建化工、医药生产项目，禁止新建、扩建污水集中处理设施排污口以外的排污口。</w:t>
                  </w:r>
                </w:p>
              </w:tc>
              <w:tc>
                <w:tcPr>
                  <w:tcW w:w="1862" w:type="dxa"/>
                  <w:tcBorders>
                    <w:top w:val="single" w:color="auto" w:sz="6" w:space="0"/>
                    <w:left w:val="single" w:color="auto" w:sz="6" w:space="0"/>
                    <w:right w:val="single" w:color="auto" w:sz="6" w:space="0"/>
                  </w:tcBorders>
                  <w:vAlign w:val="center"/>
                </w:tcPr>
                <w:p w14:paraId="0AFAA131">
                  <w:pPr>
                    <w:jc w:val="center"/>
                    <w:rPr>
                      <w:rFonts w:hint="eastAsia" w:ascii="Times New Roman" w:hAnsi="Times New Roman" w:eastAsia="宋?" w:cs="Times New Roman"/>
                      <w:color w:val="000000"/>
                      <w:sz w:val="18"/>
                      <w:szCs w:val="18"/>
                      <w:lang w:eastAsia="zh-CN"/>
                    </w:rPr>
                  </w:pPr>
                  <w:r>
                    <w:rPr>
                      <w:rFonts w:hint="eastAsia" w:ascii="Times New Roman" w:hAnsi="Times New Roman" w:eastAsia="宋?" w:cs="Times New Roman"/>
                      <w:color w:val="000000"/>
                      <w:sz w:val="18"/>
                      <w:szCs w:val="18"/>
                    </w:rPr>
                    <w:t>本项目位于太湖流域三级保护区</w:t>
                  </w: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lang w:val="en-US" w:eastAsia="zh-CN"/>
                    </w:rPr>
                    <w:t>不涉及</w:t>
                  </w:r>
                  <w:r>
                    <w:rPr>
                      <w:rFonts w:hint="eastAsia" w:ascii="Times New Roman" w:hAnsi="Times New Roman" w:eastAsia="宋?" w:cs="Times New Roman"/>
                      <w:color w:val="000000"/>
                      <w:sz w:val="18"/>
                      <w:szCs w:val="18"/>
                      <w:lang w:eastAsia="zh-CN"/>
                    </w:rPr>
                    <w:t>禁止新建、改建、扩建化学制浆造纸、制革、酿造、染料、印染、电镀以及其他排放含磷、氮等污染物的</w:t>
                  </w:r>
                  <w:r>
                    <w:rPr>
                      <w:rFonts w:hint="eastAsia" w:ascii="Times New Roman" w:hAnsi="Times New Roman" w:eastAsia="宋?" w:cs="Times New Roman"/>
                      <w:color w:val="000000"/>
                      <w:sz w:val="18"/>
                      <w:szCs w:val="18"/>
                      <w:lang w:val="en-US" w:eastAsia="zh-CN"/>
                    </w:rPr>
                    <w:t>内容。</w:t>
                  </w:r>
                </w:p>
              </w:tc>
              <w:tc>
                <w:tcPr>
                  <w:tcW w:w="562" w:type="dxa"/>
                  <w:tcBorders>
                    <w:top w:val="single" w:color="auto" w:sz="6" w:space="0"/>
                    <w:left w:val="single" w:color="auto" w:sz="6" w:space="0"/>
                    <w:bottom w:val="single" w:color="auto" w:sz="6" w:space="0"/>
                  </w:tcBorders>
                  <w:vAlign w:val="center"/>
                </w:tcPr>
                <w:p w14:paraId="6A2E5F60">
                  <w:pPr>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符合</w:t>
                  </w:r>
                </w:p>
              </w:tc>
            </w:tr>
            <w:tr w14:paraId="6A5477A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708" w:hRule="atLeast"/>
                <w:jc w:val="center"/>
              </w:trPr>
              <w:tc>
                <w:tcPr>
                  <w:tcW w:w="738" w:type="dxa"/>
                  <w:vMerge w:val="restart"/>
                  <w:tcBorders>
                    <w:top w:val="single" w:color="auto" w:sz="6" w:space="0"/>
                    <w:bottom w:val="single" w:color="auto" w:sz="6" w:space="0"/>
                    <w:right w:val="single" w:color="auto" w:sz="6" w:space="0"/>
                  </w:tcBorders>
                  <w:vAlign w:val="center"/>
                </w:tcPr>
                <w:p w14:paraId="715AEBCA">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污染物排放管控</w:t>
                  </w:r>
                </w:p>
              </w:tc>
              <w:tc>
                <w:tcPr>
                  <w:tcW w:w="4675" w:type="dxa"/>
                  <w:tcBorders>
                    <w:top w:val="single" w:color="auto" w:sz="6" w:space="0"/>
                    <w:left w:val="single" w:color="auto" w:sz="6" w:space="0"/>
                    <w:right w:val="single" w:color="auto" w:sz="6" w:space="0"/>
                  </w:tcBorders>
                  <w:vAlign w:val="center"/>
                </w:tcPr>
                <w:p w14:paraId="17240CB6">
                  <w:pPr>
                    <w:ind w:right="63" w:rightChars="30"/>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城镇污水处理厂、纺织工业、化学工业、造纸工业、钢铁工业、电镀工业和食品工业的污水处理设施执行《太湖地区城镇污水处理厂及重点工业行业主要水污染物排放限值》。</w:t>
                  </w:r>
                </w:p>
              </w:tc>
              <w:tc>
                <w:tcPr>
                  <w:tcW w:w="1862" w:type="dxa"/>
                  <w:tcBorders>
                    <w:top w:val="single" w:color="auto" w:sz="6" w:space="0"/>
                    <w:left w:val="single" w:color="auto" w:sz="6" w:space="0"/>
                    <w:right w:val="single" w:color="auto" w:sz="6" w:space="0"/>
                  </w:tcBorders>
                  <w:vAlign w:val="center"/>
                </w:tcPr>
                <w:p w14:paraId="2640AA05">
                  <w:pPr>
                    <w:jc w:val="center"/>
                    <w:rPr>
                      <w:rFonts w:hint="eastAsia" w:ascii="Times New Roman" w:hAnsi="Times New Roman" w:eastAsia="宋?" w:cs="Times New Roman"/>
                      <w:color w:val="000000"/>
                      <w:sz w:val="18"/>
                      <w:szCs w:val="18"/>
                      <w:lang w:eastAsia="zh-CN"/>
                    </w:rPr>
                  </w:pPr>
                  <w:r>
                    <w:rPr>
                      <w:rFonts w:hint="eastAsia" w:ascii="Times New Roman" w:hAnsi="Times New Roman" w:eastAsia="宋?" w:cs="Times New Roman"/>
                      <w:color w:val="000000"/>
                      <w:sz w:val="18"/>
                      <w:szCs w:val="18"/>
                      <w:lang w:val="en-US" w:eastAsia="zh-CN"/>
                    </w:rPr>
                    <w:t>本项目污水接管至苏州市桃源富乡污水处理有限公司处理后76%回用，其余达</w:t>
                  </w:r>
                  <w:r>
                    <w:rPr>
                      <w:rFonts w:hint="eastAsia" w:ascii="Times New Roman" w:hAnsi="Times New Roman" w:eastAsia="宋?" w:cs="Times New Roman"/>
                      <w:color w:val="000000"/>
                      <w:sz w:val="18"/>
                      <w:szCs w:val="18"/>
                    </w:rPr>
                    <w:t>《太湖地区城镇污水处理厂及重点工业行业主要水污染物排放限值》</w:t>
                  </w:r>
                  <w:r>
                    <w:rPr>
                      <w:rFonts w:hint="eastAsia" w:ascii="Times New Roman" w:hAnsi="Times New Roman" w:eastAsia="宋?" w:cs="Times New Roman"/>
                      <w:color w:val="000000"/>
                      <w:sz w:val="18"/>
                      <w:szCs w:val="18"/>
                      <w:lang w:val="en-US" w:eastAsia="zh-CN"/>
                    </w:rPr>
                    <w:t>标准排放</w:t>
                  </w:r>
                  <w:r>
                    <w:rPr>
                      <w:rFonts w:hint="eastAsia" w:ascii="Times New Roman" w:hAnsi="Times New Roman" w:eastAsia="宋?" w:cs="Times New Roman"/>
                      <w:color w:val="000000"/>
                      <w:sz w:val="18"/>
                      <w:szCs w:val="18"/>
                      <w:lang w:eastAsia="zh-CN"/>
                    </w:rPr>
                    <w:t>。</w:t>
                  </w:r>
                </w:p>
              </w:tc>
              <w:tc>
                <w:tcPr>
                  <w:tcW w:w="562" w:type="dxa"/>
                  <w:tcBorders>
                    <w:top w:val="single" w:color="auto" w:sz="6" w:space="0"/>
                    <w:left w:val="single" w:color="auto" w:sz="6" w:space="0"/>
                    <w:bottom w:val="single" w:color="auto" w:sz="6" w:space="0"/>
                  </w:tcBorders>
                  <w:vAlign w:val="center"/>
                </w:tcPr>
                <w:p w14:paraId="09FBAE4E">
                  <w:pPr>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符合</w:t>
                  </w:r>
                </w:p>
              </w:tc>
            </w:tr>
            <w:tr w14:paraId="66D9FD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1325" w:hRule="atLeast"/>
                <w:jc w:val="center"/>
              </w:trPr>
              <w:tc>
                <w:tcPr>
                  <w:tcW w:w="738" w:type="dxa"/>
                  <w:tcBorders>
                    <w:top w:val="single" w:color="auto" w:sz="6" w:space="0"/>
                    <w:bottom w:val="single" w:color="auto" w:sz="6" w:space="0"/>
                    <w:right w:val="single" w:color="auto" w:sz="6" w:space="0"/>
                  </w:tcBorders>
                  <w:vAlign w:val="center"/>
                </w:tcPr>
                <w:p w14:paraId="4B62886C">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环境风险防控</w:t>
                  </w:r>
                </w:p>
              </w:tc>
              <w:tc>
                <w:tcPr>
                  <w:tcW w:w="4675" w:type="dxa"/>
                  <w:tcBorders>
                    <w:top w:val="single" w:color="auto" w:sz="6" w:space="0"/>
                    <w:left w:val="single" w:color="auto" w:sz="6" w:space="0"/>
                    <w:right w:val="single" w:color="auto" w:sz="6" w:space="0"/>
                  </w:tcBorders>
                  <w:vAlign w:val="center"/>
                </w:tcPr>
                <w:p w14:paraId="27A6383F">
                  <w:pPr>
                    <w:jc w:val="left"/>
                    <w:rPr>
                      <w:rFonts w:ascii="Times New Roman" w:hAnsi="Times New Roman" w:eastAsia="宋?" w:cs="Times New Roman"/>
                      <w:color w:val="000000"/>
                      <w:sz w:val="18"/>
                      <w:szCs w:val="18"/>
                    </w:rPr>
                  </w:pPr>
                  <w:r>
                    <w:rPr>
                      <w:rFonts w:ascii="Times New Roman" w:hAnsi="Times New Roman" w:eastAsia="宋?" w:cs="Times New Roman"/>
                      <w:color w:val="000000"/>
                      <w:sz w:val="18"/>
                      <w:szCs w:val="18"/>
                    </w:rPr>
                    <w:t>1</w:t>
                  </w:r>
                  <w:r>
                    <w:rPr>
                      <w:rFonts w:hint="eastAsia" w:ascii="Times New Roman" w:hAnsi="Times New Roman" w:eastAsia="宋?" w:cs="Times New Roman"/>
                      <w:color w:val="000000"/>
                      <w:sz w:val="18"/>
                      <w:szCs w:val="18"/>
                    </w:rPr>
                    <w:t>、运输剧毒物质、危险化学品的船舶不得进入太湖。</w:t>
                  </w:r>
                </w:p>
                <w:p w14:paraId="7B0F2129">
                  <w:pPr>
                    <w:jc w:val="left"/>
                    <w:rPr>
                      <w:rFonts w:ascii="Times New Roman" w:hAnsi="Times New Roman" w:eastAsia="宋?" w:cs="Times New Roman"/>
                      <w:color w:val="000000"/>
                      <w:sz w:val="18"/>
                      <w:szCs w:val="18"/>
                    </w:rPr>
                  </w:pPr>
                  <w:r>
                    <w:rPr>
                      <w:rFonts w:ascii="Times New Roman" w:hAnsi="Times New Roman" w:eastAsia="宋?" w:cs="Times New Roman"/>
                      <w:color w:val="000000"/>
                      <w:sz w:val="18"/>
                      <w:szCs w:val="18"/>
                    </w:rPr>
                    <w:t>2</w:t>
                  </w:r>
                  <w:r>
                    <w:rPr>
                      <w:rFonts w:hint="eastAsia" w:ascii="Times New Roman" w:hAnsi="Times New Roman" w:eastAsia="宋?" w:cs="Times New Roman"/>
                      <w:color w:val="000000"/>
                      <w:sz w:val="18"/>
                      <w:szCs w:val="18"/>
                    </w:rPr>
                    <w:t>、禁止向太湖流域水体排放或者倾倒油类酸液、碱液、剧毒废渣废液、含放射性废渣废液、含病原体污水、工业废渣以及其他废弃物。</w:t>
                  </w:r>
                </w:p>
                <w:p w14:paraId="3BA98CF0">
                  <w:pPr>
                    <w:jc w:val="left"/>
                    <w:rPr>
                      <w:rFonts w:ascii="Times New Roman" w:hAnsi="Times New Roman" w:eastAsia="宋?" w:cs="Times New Roman"/>
                      <w:color w:val="000000"/>
                      <w:sz w:val="18"/>
                      <w:szCs w:val="18"/>
                    </w:rPr>
                  </w:pPr>
                  <w:r>
                    <w:rPr>
                      <w:rFonts w:ascii="Times New Roman" w:hAnsi="Times New Roman" w:eastAsia="宋?" w:cs="Times New Roman"/>
                      <w:color w:val="000000"/>
                      <w:sz w:val="18"/>
                      <w:szCs w:val="18"/>
                    </w:rPr>
                    <w:t>3</w:t>
                  </w:r>
                  <w:r>
                    <w:rPr>
                      <w:rFonts w:hint="eastAsia" w:ascii="Times New Roman" w:hAnsi="Times New Roman" w:eastAsia="宋?" w:cs="Times New Roman"/>
                      <w:color w:val="000000"/>
                      <w:sz w:val="18"/>
                      <w:szCs w:val="18"/>
                    </w:rPr>
                    <w:t>、加强太湖流域生态环境风险应急管控，着力提高防控太湖蓝藻水华风险预警和应急处置能力。</w:t>
                  </w:r>
                </w:p>
              </w:tc>
              <w:tc>
                <w:tcPr>
                  <w:tcW w:w="1862" w:type="dxa"/>
                  <w:tcBorders>
                    <w:top w:val="single" w:color="auto" w:sz="6" w:space="0"/>
                    <w:left w:val="single" w:color="auto" w:sz="6" w:space="0"/>
                    <w:right w:val="single" w:color="auto" w:sz="6" w:space="0"/>
                  </w:tcBorders>
                  <w:vAlign w:val="center"/>
                </w:tcPr>
                <w:p w14:paraId="0BB053CD">
                  <w:pPr>
                    <w:ind w:right="63" w:rightChars="30"/>
                    <w:jc w:val="center"/>
                    <w:rPr>
                      <w:rFonts w:hint="eastAsia" w:ascii="Times New Roman" w:hAnsi="Times New Roman" w:eastAsia="宋?" w:cs="Times New Roman"/>
                      <w:color w:val="000000"/>
                      <w:sz w:val="18"/>
                      <w:szCs w:val="18"/>
                      <w:lang w:eastAsia="zh-CN"/>
                    </w:rPr>
                  </w:pPr>
                  <w:r>
                    <w:rPr>
                      <w:rFonts w:hint="eastAsia" w:ascii="Times New Roman" w:hAnsi="Times New Roman" w:eastAsia="宋?" w:cs="Times New Roman"/>
                      <w:color w:val="000000"/>
                      <w:sz w:val="18"/>
                      <w:szCs w:val="18"/>
                      <w:lang w:val="en-US" w:eastAsia="zh-CN"/>
                    </w:rPr>
                    <w:t>本项目</w:t>
                  </w:r>
                  <w:r>
                    <w:rPr>
                      <w:rFonts w:hint="eastAsia" w:ascii="Times New Roman" w:hAnsi="Times New Roman" w:eastAsia="宋?" w:cs="Times New Roman"/>
                      <w:color w:val="000000"/>
                      <w:sz w:val="18"/>
                      <w:szCs w:val="18"/>
                    </w:rPr>
                    <w:t>不涉及</w:t>
                  </w:r>
                  <w:r>
                    <w:rPr>
                      <w:rFonts w:hint="eastAsia" w:ascii="Times New Roman" w:hAnsi="Times New Roman" w:eastAsia="宋?" w:cs="Times New Roman"/>
                      <w:color w:val="000000"/>
                      <w:sz w:val="18"/>
                      <w:szCs w:val="18"/>
                      <w:lang w:eastAsia="zh-CN"/>
                    </w:rPr>
                    <w:t>。</w:t>
                  </w:r>
                </w:p>
              </w:tc>
              <w:tc>
                <w:tcPr>
                  <w:tcW w:w="562" w:type="dxa"/>
                  <w:tcBorders>
                    <w:top w:val="single" w:color="auto" w:sz="6" w:space="0"/>
                    <w:left w:val="single" w:color="auto" w:sz="6" w:space="0"/>
                    <w:bottom w:val="single" w:color="auto" w:sz="6" w:space="0"/>
                  </w:tcBorders>
                  <w:vAlign w:val="center"/>
                </w:tcPr>
                <w:p w14:paraId="3A29B577">
                  <w:pPr>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符合</w:t>
                  </w:r>
                </w:p>
              </w:tc>
            </w:tr>
            <w:tr w14:paraId="4C0B74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738" w:type="dxa"/>
                  <w:tcBorders>
                    <w:top w:val="single" w:color="auto" w:sz="6" w:space="0"/>
                    <w:bottom w:val="single" w:color="auto" w:sz="12" w:space="0"/>
                    <w:right w:val="single" w:color="auto" w:sz="6" w:space="0"/>
                  </w:tcBorders>
                  <w:vAlign w:val="center"/>
                </w:tcPr>
                <w:p w14:paraId="58A5AB23">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资源利用效率要求</w:t>
                  </w:r>
                </w:p>
              </w:tc>
              <w:tc>
                <w:tcPr>
                  <w:tcW w:w="4675" w:type="dxa"/>
                  <w:tcBorders>
                    <w:top w:val="single" w:color="auto" w:sz="6" w:space="0"/>
                    <w:left w:val="single" w:color="auto" w:sz="6" w:space="0"/>
                    <w:bottom w:val="single" w:color="auto" w:sz="12" w:space="0"/>
                    <w:right w:val="single" w:color="auto" w:sz="6" w:space="0"/>
                  </w:tcBorders>
                  <w:vAlign w:val="center"/>
                </w:tcPr>
                <w:p w14:paraId="70EA7EBA">
                  <w:pPr>
                    <w:numPr>
                      <w:ilvl w:val="0"/>
                      <w:numId w:val="3"/>
                    </w:numPr>
                    <w:ind w:right="63" w:rightChars="30"/>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严格用水定额管理制度，推进取用水规范化管理，科学制定用水定额并动态调整，对超过用水定额标准的企业分类分步先期实施节水改造，鼓励重点用水企业、园区建立智慧用水管理系统。</w:t>
                  </w:r>
                </w:p>
                <w:p w14:paraId="5876F112">
                  <w:pPr>
                    <w:numPr>
                      <w:ilvl w:val="0"/>
                      <w:numId w:val="0"/>
                    </w:numPr>
                    <w:ind w:right="63" w:rightChars="30"/>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2</w:t>
                  </w: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rPr>
                    <w:t>推进新孟河、新沟河、望虞河、走马塘等河道联合调度，科学调控太湖水位。</w:t>
                  </w:r>
                </w:p>
              </w:tc>
              <w:tc>
                <w:tcPr>
                  <w:tcW w:w="1862" w:type="dxa"/>
                  <w:tcBorders>
                    <w:top w:val="single" w:color="auto" w:sz="6" w:space="0"/>
                    <w:left w:val="single" w:color="auto" w:sz="6" w:space="0"/>
                    <w:bottom w:val="single" w:color="auto" w:sz="12" w:space="0"/>
                    <w:right w:val="single" w:color="auto" w:sz="6" w:space="0"/>
                  </w:tcBorders>
                  <w:vAlign w:val="center"/>
                </w:tcPr>
                <w:p w14:paraId="14A38B8D">
                  <w:pPr>
                    <w:ind w:right="63" w:rightChars="30"/>
                    <w:jc w:val="center"/>
                    <w:rPr>
                      <w:rFonts w:hint="default" w:ascii="Times New Roman" w:hAnsi="Times New Roman" w:eastAsia="宋?" w:cs="Times New Roman"/>
                      <w:color w:val="000000"/>
                      <w:sz w:val="18"/>
                      <w:szCs w:val="18"/>
                      <w:lang w:val="en-US" w:eastAsia="zh-CN"/>
                    </w:rPr>
                  </w:pPr>
                  <w:r>
                    <w:rPr>
                      <w:rFonts w:hint="eastAsia" w:ascii="Times New Roman" w:hAnsi="Times New Roman" w:eastAsia="宋?" w:cs="Times New Roman"/>
                      <w:color w:val="000000"/>
                      <w:sz w:val="18"/>
                      <w:szCs w:val="18"/>
                      <w:lang w:val="en-US" w:eastAsia="zh-CN"/>
                    </w:rPr>
                    <w:t>本项目用水依托区域供水管网。</w:t>
                  </w:r>
                </w:p>
              </w:tc>
              <w:tc>
                <w:tcPr>
                  <w:tcW w:w="562" w:type="dxa"/>
                  <w:tcBorders>
                    <w:top w:val="single" w:color="auto" w:sz="6" w:space="0"/>
                    <w:left w:val="single" w:color="auto" w:sz="6" w:space="0"/>
                    <w:bottom w:val="single" w:color="auto" w:sz="12" w:space="0"/>
                  </w:tcBorders>
                  <w:vAlign w:val="center"/>
                </w:tcPr>
                <w:p w14:paraId="61099F29">
                  <w:pPr>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符合</w:t>
                  </w:r>
                </w:p>
              </w:tc>
            </w:tr>
          </w:tbl>
          <w:p w14:paraId="6F61C9F2">
            <w:pPr>
              <w:numPr>
                <w:ilvl w:val="0"/>
                <w:numId w:val="4"/>
              </w:numPr>
              <w:topLinePunct/>
              <w:adjustRightInd w:val="0"/>
              <w:snapToGrid w:val="0"/>
              <w:spacing w:line="360" w:lineRule="auto"/>
              <w:ind w:firstLine="420" w:firstLineChars="200"/>
              <w:rPr>
                <w:rFonts w:hint="eastAsia" w:ascii="Times New Roman" w:hAnsi="Times New Roman" w:eastAsia="宋?" w:cs="Times New Roman"/>
                <w:color w:val="000000"/>
                <w:kern w:val="0"/>
                <w:szCs w:val="21"/>
              </w:rPr>
            </w:pPr>
            <w:r>
              <w:rPr>
                <w:rFonts w:hint="eastAsia" w:ascii="Times New Roman" w:hAnsi="Times New Roman" w:eastAsia="宋?" w:cs="Times New Roman"/>
                <w:color w:val="000000"/>
                <w:kern w:val="0"/>
                <w:szCs w:val="21"/>
              </w:rPr>
              <w:t>与《苏州市2023年度生态环境分区管控动态更新成果公告》相符性分析</w:t>
            </w:r>
          </w:p>
          <w:p w14:paraId="2589FF47">
            <w:pPr>
              <w:numPr>
                <w:ilvl w:val="0"/>
                <w:numId w:val="0"/>
              </w:numPr>
              <w:topLinePunct/>
              <w:adjustRightInd w:val="0"/>
              <w:snapToGrid w:val="0"/>
              <w:spacing w:line="360" w:lineRule="auto"/>
              <w:ind w:firstLine="420" w:firstLineChars="200"/>
              <w:rPr>
                <w:rFonts w:ascii="Times New Roman" w:hAnsi="Times New Roman" w:eastAsia="宋?" w:cs="Times New Roman"/>
                <w:color w:val="000000"/>
                <w:kern w:val="0"/>
                <w:szCs w:val="21"/>
              </w:rPr>
            </w:pPr>
            <w:r>
              <w:rPr>
                <w:rFonts w:hint="eastAsia" w:ascii="Times New Roman" w:hAnsi="Times New Roman" w:eastAsia="宋?" w:cs="Times New Roman"/>
                <w:color w:val="000000"/>
                <w:kern w:val="0"/>
                <w:szCs w:val="21"/>
              </w:rPr>
              <w:t>对照苏州市生态环境局于2024年6月26日发布的《苏州市2023年度生态环境分区管控动态更新成果公告》，本项目位于生态科技产业园北区（含桃源循环经济产业园），本项目所在地属于苏州市重点管控单元，对照苏州市重点管控单元生态环境分区管控要求，相符性分析见</w:t>
            </w:r>
            <w:r>
              <w:rPr>
                <w:rFonts w:hint="eastAsia" w:ascii="Times New Roman" w:hAnsi="Times New Roman" w:eastAsia="宋?" w:cs="Times New Roman"/>
                <w:color w:val="000000"/>
                <w:kern w:val="0"/>
                <w:szCs w:val="21"/>
                <w:lang w:val="en-US" w:eastAsia="zh-CN"/>
              </w:rPr>
              <w:t>下</w:t>
            </w:r>
            <w:r>
              <w:rPr>
                <w:rFonts w:hint="eastAsia" w:ascii="Times New Roman" w:hAnsi="Times New Roman" w:eastAsia="宋?" w:cs="Times New Roman"/>
                <w:color w:val="000000"/>
                <w:kern w:val="0"/>
                <w:szCs w:val="21"/>
              </w:rPr>
              <w:t>表。</w:t>
            </w:r>
          </w:p>
          <w:p w14:paraId="66292E18">
            <w:pPr>
              <w:tabs>
                <w:tab w:val="center" w:pos="4156"/>
                <w:tab w:val="left" w:pos="5964"/>
              </w:tabs>
              <w:adjustRightInd w:val="0"/>
              <w:snapToGrid w:val="0"/>
              <w:jc w:val="center"/>
              <w:rPr>
                <w:rFonts w:ascii="Times New Roman" w:hAnsi="Times New Roman" w:eastAsia="宋?" w:cs="Times New Roman"/>
                <w:b/>
                <w:snapToGrid w:val="0"/>
                <w:color w:val="000000"/>
                <w:szCs w:val="21"/>
              </w:rPr>
            </w:pPr>
            <w:r>
              <w:rPr>
                <w:rFonts w:hint="eastAsia" w:ascii="Times New Roman" w:hAnsi="Times New Roman" w:eastAsia="宋?" w:cs="Times New Roman"/>
                <w:b/>
                <w:snapToGrid w:val="0"/>
                <w:color w:val="000000"/>
                <w:szCs w:val="21"/>
              </w:rPr>
              <w:t>表</w:t>
            </w:r>
            <w:r>
              <w:rPr>
                <w:rFonts w:hint="eastAsia" w:ascii="Times New Roman" w:hAnsi="Times New Roman" w:eastAsia="宋?" w:cs="Times New Roman"/>
                <w:b/>
                <w:snapToGrid w:val="0"/>
                <w:color w:val="000000"/>
                <w:szCs w:val="21"/>
                <w:lang w:val="en-US" w:eastAsia="zh-CN"/>
              </w:rPr>
              <w:t>1-7</w:t>
            </w:r>
            <w:r>
              <w:rPr>
                <w:rFonts w:ascii="Times New Roman" w:hAnsi="Times New Roman" w:eastAsia="宋?" w:cs="Times New Roman"/>
                <w:b/>
                <w:snapToGrid w:val="0"/>
                <w:color w:val="000000"/>
                <w:szCs w:val="21"/>
              </w:rPr>
              <w:t xml:space="preserve">  </w:t>
            </w:r>
            <w:r>
              <w:rPr>
                <w:rFonts w:hint="eastAsia" w:ascii="Times New Roman" w:hAnsi="Times New Roman" w:eastAsia="宋?" w:cs="Times New Roman"/>
                <w:b/>
                <w:bCs/>
                <w:color w:val="000000"/>
                <w:szCs w:val="21"/>
              </w:rPr>
              <w:t>苏州市重点管控单元生态环境管控要求</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680"/>
              <w:gridCol w:w="4300"/>
              <w:gridCol w:w="1714"/>
              <w:gridCol w:w="518"/>
            </w:tblGrid>
            <w:tr w14:paraId="17DB54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680" w:type="dxa"/>
                  <w:tcBorders>
                    <w:tl2br w:val="nil"/>
                    <w:tr2bl w:val="nil"/>
                  </w:tcBorders>
                  <w:vAlign w:val="center"/>
                </w:tcPr>
                <w:p w14:paraId="034FBD8B">
                  <w:pPr>
                    <w:topLinePunct/>
                    <w:adjustRightInd w:val="0"/>
                    <w:snapToGrid w:val="0"/>
                    <w:jc w:val="center"/>
                    <w:rPr>
                      <w:rFonts w:ascii="Times New Roman" w:hAnsi="Times New Roman" w:eastAsia="宋?" w:cs="Times New Roman"/>
                      <w:color w:val="000000"/>
                      <w:kern w:val="0"/>
                      <w:sz w:val="18"/>
                      <w:szCs w:val="18"/>
                    </w:rPr>
                  </w:pPr>
                  <w:r>
                    <w:rPr>
                      <w:rFonts w:hint="eastAsia" w:ascii="Times New Roman" w:hAnsi="Times New Roman" w:eastAsia="宋?" w:cs="Times New Roman"/>
                      <w:color w:val="000000"/>
                      <w:kern w:val="0"/>
                      <w:sz w:val="18"/>
                      <w:szCs w:val="18"/>
                    </w:rPr>
                    <w:t>类别</w:t>
                  </w:r>
                </w:p>
              </w:tc>
              <w:tc>
                <w:tcPr>
                  <w:tcW w:w="4300" w:type="dxa"/>
                  <w:tcBorders>
                    <w:tl2br w:val="nil"/>
                    <w:tr2bl w:val="nil"/>
                  </w:tcBorders>
                  <w:vAlign w:val="center"/>
                </w:tcPr>
                <w:p w14:paraId="53B2C2A2">
                  <w:pPr>
                    <w:topLinePunct/>
                    <w:adjustRightInd w:val="0"/>
                    <w:snapToGrid w:val="0"/>
                    <w:jc w:val="center"/>
                    <w:rPr>
                      <w:rFonts w:ascii="Times New Roman" w:hAnsi="Times New Roman" w:eastAsia="宋?" w:cs="Times New Roman"/>
                      <w:color w:val="000000"/>
                      <w:kern w:val="0"/>
                      <w:sz w:val="18"/>
                      <w:szCs w:val="18"/>
                    </w:rPr>
                  </w:pPr>
                  <w:r>
                    <w:rPr>
                      <w:rFonts w:hint="eastAsia" w:ascii="Times New Roman" w:hAnsi="Times New Roman" w:eastAsia="宋?" w:cs="Times New Roman"/>
                      <w:color w:val="000000"/>
                      <w:kern w:val="0"/>
                      <w:sz w:val="18"/>
                      <w:szCs w:val="18"/>
                    </w:rPr>
                    <w:t>重点管控要求</w:t>
                  </w:r>
                </w:p>
              </w:tc>
              <w:tc>
                <w:tcPr>
                  <w:tcW w:w="1714" w:type="dxa"/>
                  <w:tcBorders>
                    <w:tl2br w:val="nil"/>
                    <w:tr2bl w:val="nil"/>
                  </w:tcBorders>
                  <w:vAlign w:val="center"/>
                </w:tcPr>
                <w:p w14:paraId="31322F90">
                  <w:pPr>
                    <w:topLinePunct/>
                    <w:adjustRightInd w:val="0"/>
                    <w:snapToGrid w:val="0"/>
                    <w:jc w:val="center"/>
                    <w:rPr>
                      <w:rFonts w:ascii="Times New Roman" w:hAnsi="Times New Roman" w:eastAsia="宋?" w:cs="Times New Roman"/>
                      <w:color w:val="000000"/>
                      <w:kern w:val="0"/>
                      <w:sz w:val="18"/>
                      <w:szCs w:val="18"/>
                    </w:rPr>
                  </w:pPr>
                  <w:r>
                    <w:rPr>
                      <w:rFonts w:hint="eastAsia" w:ascii="Times New Roman" w:hAnsi="Times New Roman" w:eastAsia="宋?" w:cs="Times New Roman"/>
                      <w:color w:val="000000"/>
                      <w:kern w:val="0"/>
                      <w:sz w:val="18"/>
                      <w:szCs w:val="18"/>
                    </w:rPr>
                    <w:t>本项目情况</w:t>
                  </w:r>
                </w:p>
              </w:tc>
              <w:tc>
                <w:tcPr>
                  <w:tcW w:w="518" w:type="dxa"/>
                  <w:tcBorders>
                    <w:tl2br w:val="nil"/>
                    <w:tr2bl w:val="nil"/>
                  </w:tcBorders>
                  <w:vAlign w:val="center"/>
                </w:tcPr>
                <w:p w14:paraId="6A656012">
                  <w:pPr>
                    <w:topLinePunct/>
                    <w:adjustRightInd w:val="0"/>
                    <w:snapToGrid w:val="0"/>
                    <w:jc w:val="center"/>
                    <w:rPr>
                      <w:rFonts w:ascii="Times New Roman" w:hAnsi="Times New Roman" w:eastAsia="宋?" w:cs="Times New Roman"/>
                      <w:color w:val="000000"/>
                      <w:kern w:val="0"/>
                      <w:sz w:val="18"/>
                      <w:szCs w:val="18"/>
                    </w:rPr>
                  </w:pPr>
                  <w:r>
                    <w:rPr>
                      <w:rFonts w:hint="eastAsia" w:ascii="Times New Roman" w:hAnsi="Times New Roman" w:eastAsia="宋?" w:cs="Times New Roman"/>
                      <w:color w:val="000000"/>
                      <w:kern w:val="0"/>
                      <w:sz w:val="18"/>
                      <w:szCs w:val="18"/>
                    </w:rPr>
                    <w:t>相符性</w:t>
                  </w:r>
                </w:p>
              </w:tc>
            </w:tr>
            <w:tr w14:paraId="34FC7B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349" w:hRule="atLeast"/>
                <w:jc w:val="center"/>
              </w:trPr>
              <w:tc>
                <w:tcPr>
                  <w:tcW w:w="680" w:type="dxa"/>
                  <w:tcBorders>
                    <w:tl2br w:val="nil"/>
                    <w:tr2bl w:val="nil"/>
                  </w:tcBorders>
                  <w:vAlign w:val="center"/>
                </w:tcPr>
                <w:p w14:paraId="32B9694C">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空间布局约束</w:t>
                  </w:r>
                </w:p>
              </w:tc>
              <w:tc>
                <w:tcPr>
                  <w:tcW w:w="4300" w:type="dxa"/>
                  <w:tcBorders>
                    <w:tl2br w:val="nil"/>
                    <w:tr2bl w:val="nil"/>
                  </w:tcBorders>
                  <w:vAlign w:val="center"/>
                </w:tcPr>
                <w:p w14:paraId="26D7FAFE">
                  <w:pPr>
                    <w:ind w:right="63" w:rightChars="30"/>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1）按照《自然资源部生态环境部国家林业和草原局关于加强生态保护红线管理的通知（试行）》（自然资发（2022）142号）、《省政府关于印发江苏省生态空间管控区域规划的通知》（苏政发（2020）1号）、《关于进一步加强生态保护红线监督管理的通知》（苏自然函（2023）880号）、《苏州市国土空间总体规划（2021-2035年）》，坚持节约优先、保护优先、自然恢复为主的方针，以改善生态环境质量为核心，以保障和维护生态功能为主线，统筹山水林田湖草沙一体化保护和修复，严守生态保护红线，实行最严格的生态空间管控制度，确保全市生态功能不降低、面积不减少、性质不改变，切实维护生态安全。</w:t>
                  </w:r>
                </w:p>
                <w:p w14:paraId="3E063B97">
                  <w:pPr>
                    <w:ind w:right="63" w:rightChars="30"/>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（2）全市太湖、阳澄湖保护区执行《江苏省太湖水污染防治条例》、《苏州市阳澄湖水源水质保护条例》等文件要求。</w:t>
                  </w:r>
                </w:p>
                <w:p w14:paraId="74135557">
                  <w:pPr>
                    <w:ind w:right="63" w:rightChars="30"/>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（3）严格执行《</w:t>
                  </w:r>
                  <w:r>
                    <w:rPr>
                      <w:rFonts w:hint="eastAsia" w:eastAsia="宋?" w:cs="Times New Roman"/>
                      <w:color w:val="000000"/>
                      <w:sz w:val="18"/>
                      <w:szCs w:val="18"/>
                      <w:lang w:val="en-US" w:eastAsia="zh-CN"/>
                    </w:rPr>
                    <w:t>〈</w:t>
                  </w:r>
                  <w:r>
                    <w:rPr>
                      <w:rFonts w:hint="eastAsia" w:ascii="Times New Roman" w:hAnsi="Times New Roman" w:eastAsia="宋?" w:cs="Times New Roman"/>
                      <w:color w:val="000000"/>
                      <w:sz w:val="18"/>
                      <w:szCs w:val="18"/>
                    </w:rPr>
                    <w:t>长江经济带发展负面清单指南（试行，2022年版）</w:t>
                  </w:r>
                  <w:r>
                    <w:rPr>
                      <w:rFonts w:hint="eastAsia" w:ascii="Times New Roman" w:hAnsi="Times New Roman" w:eastAsia="宋?" w:cs="Times New Roman"/>
                      <w:color w:val="000000"/>
                      <w:sz w:val="18"/>
                      <w:szCs w:val="18"/>
                      <w:lang w:val="en-US" w:eastAsia="zh-CN"/>
                    </w:rPr>
                    <w:t>〉</w:t>
                  </w:r>
                  <w:r>
                    <w:rPr>
                      <w:rFonts w:hint="eastAsia" w:ascii="Times New Roman" w:hAnsi="Times New Roman" w:eastAsia="宋?" w:cs="Times New Roman"/>
                      <w:color w:val="000000"/>
                      <w:sz w:val="18"/>
                      <w:szCs w:val="18"/>
                    </w:rPr>
                    <w:t>江苏省实施细则》（苏长江办发（2022）55号）中相关要求。</w:t>
                  </w:r>
                </w:p>
                <w:p w14:paraId="2984D447">
                  <w:pPr>
                    <w:ind w:right="63" w:rightChars="30"/>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（4）禁止引进列入《苏州市产业发展导向目录》禁止类、淘汰类的产业。</w:t>
                  </w:r>
                </w:p>
              </w:tc>
              <w:tc>
                <w:tcPr>
                  <w:tcW w:w="1714" w:type="dxa"/>
                  <w:tcBorders>
                    <w:tl2br w:val="nil"/>
                    <w:tr2bl w:val="nil"/>
                  </w:tcBorders>
                  <w:vAlign w:val="center"/>
                </w:tcPr>
                <w:p w14:paraId="7B8DB9A8">
                  <w:pPr>
                    <w:ind w:right="63" w:rightChars="30"/>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本项目位于苏州市</w:t>
                  </w:r>
                  <w:r>
                    <w:rPr>
                      <w:rFonts w:hint="eastAsia" w:eastAsia="宋?" w:cs="Times New Roman"/>
                      <w:color w:val="000000"/>
                      <w:sz w:val="18"/>
                      <w:szCs w:val="18"/>
                      <w:lang w:eastAsia="zh-CN"/>
                    </w:rPr>
                    <w:t>吴江区桃源镇澄源村</w:t>
                  </w:r>
                  <w:r>
                    <w:rPr>
                      <w:rFonts w:hint="eastAsia" w:ascii="Times New Roman" w:hAnsi="Times New Roman" w:eastAsia="宋?" w:cs="Times New Roman"/>
                      <w:color w:val="000000"/>
                      <w:sz w:val="18"/>
                      <w:szCs w:val="18"/>
                    </w:rPr>
                    <w:t>，属于化纤织造加工业，不属于《苏州市产业发展导向目录》的禁止</w:t>
                  </w: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rPr>
                    <w:t>淘汰类</w:t>
                  </w:r>
                  <w:r>
                    <w:rPr>
                      <w:rFonts w:hint="eastAsia" w:ascii="Times New Roman" w:hAnsi="Times New Roman" w:eastAsia="宋?" w:cs="Times New Roman"/>
                      <w:color w:val="000000"/>
                      <w:sz w:val="18"/>
                      <w:szCs w:val="18"/>
                      <w:lang w:val="en-US" w:eastAsia="zh-CN"/>
                    </w:rPr>
                    <w:t>的</w:t>
                  </w:r>
                  <w:r>
                    <w:rPr>
                      <w:rFonts w:hint="eastAsia" w:ascii="Times New Roman" w:hAnsi="Times New Roman" w:eastAsia="宋?" w:cs="Times New Roman"/>
                      <w:color w:val="000000"/>
                      <w:sz w:val="18"/>
                      <w:szCs w:val="18"/>
                    </w:rPr>
                    <w:t>产业。</w:t>
                  </w:r>
                </w:p>
              </w:tc>
              <w:tc>
                <w:tcPr>
                  <w:tcW w:w="518" w:type="dxa"/>
                  <w:tcBorders>
                    <w:tl2br w:val="nil"/>
                    <w:tr2bl w:val="nil"/>
                  </w:tcBorders>
                  <w:vAlign w:val="center"/>
                </w:tcPr>
                <w:p w14:paraId="55FD2277">
                  <w:pPr>
                    <w:ind w:left="-199" w:leftChars="-95" w:right="-84" w:rightChars="-40" w:firstLine="199" w:firstLineChars="111"/>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符合</w:t>
                  </w:r>
                </w:p>
              </w:tc>
            </w:tr>
            <w:tr w14:paraId="4AC8D9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703" w:hRule="atLeast"/>
                <w:jc w:val="center"/>
              </w:trPr>
              <w:tc>
                <w:tcPr>
                  <w:tcW w:w="680" w:type="dxa"/>
                  <w:tcBorders>
                    <w:tl2br w:val="nil"/>
                    <w:tr2bl w:val="nil"/>
                  </w:tcBorders>
                  <w:vAlign w:val="center"/>
                </w:tcPr>
                <w:p w14:paraId="6E17FCBB">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污染物排放管控</w:t>
                  </w:r>
                </w:p>
              </w:tc>
              <w:tc>
                <w:tcPr>
                  <w:tcW w:w="4300" w:type="dxa"/>
                  <w:tcBorders>
                    <w:tl2br w:val="nil"/>
                    <w:tr2bl w:val="nil"/>
                  </w:tcBorders>
                  <w:vAlign w:val="center"/>
                </w:tcPr>
                <w:p w14:paraId="3E68F885">
                  <w:pPr>
                    <w:ind w:right="63" w:rightChars="30"/>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lang w:val="en-US" w:eastAsia="zh-CN"/>
                    </w:rPr>
                    <w:t>1</w:t>
                  </w: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rPr>
                    <w:t>坚持生态环境质量只能更好、不能变坏，实施污染物总量控制，以环境容量定产业、定项目、定规模，确保开发建设行为不突破生态环境承载力。</w:t>
                  </w:r>
                </w:p>
                <w:p w14:paraId="30812FED">
                  <w:pPr>
                    <w:ind w:right="63" w:rightChars="30"/>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（2）2025年苏州市主要污染物排放量达到省定要求。</w:t>
                  </w:r>
                </w:p>
              </w:tc>
              <w:tc>
                <w:tcPr>
                  <w:tcW w:w="1714" w:type="dxa"/>
                  <w:tcBorders>
                    <w:tl2br w:val="nil"/>
                    <w:tr2bl w:val="nil"/>
                  </w:tcBorders>
                  <w:vAlign w:val="center"/>
                </w:tcPr>
                <w:p w14:paraId="71CE3DE7">
                  <w:pPr>
                    <w:ind w:right="63" w:rightChars="30"/>
                    <w:rPr>
                      <w:rFonts w:hint="default" w:ascii="Times New Roman" w:hAnsi="Times New Roman" w:eastAsia="宋?" w:cs="Times New Roman"/>
                      <w:color w:val="000000"/>
                      <w:sz w:val="18"/>
                      <w:szCs w:val="18"/>
                      <w:lang w:val="en-US"/>
                    </w:rPr>
                  </w:pPr>
                  <w:r>
                    <w:rPr>
                      <w:rFonts w:hint="eastAsia" w:ascii="Times New Roman" w:hAnsi="Times New Roman" w:eastAsia="宋?" w:cs="Times New Roman"/>
                      <w:color w:val="000000"/>
                      <w:sz w:val="18"/>
                      <w:szCs w:val="18"/>
                      <w:lang w:val="en-US" w:eastAsia="zh-CN"/>
                    </w:rPr>
                    <w:t>本项目按要求申请总量。</w:t>
                  </w:r>
                </w:p>
              </w:tc>
              <w:tc>
                <w:tcPr>
                  <w:tcW w:w="518" w:type="dxa"/>
                  <w:tcBorders>
                    <w:tl2br w:val="nil"/>
                    <w:tr2bl w:val="nil"/>
                  </w:tcBorders>
                  <w:vAlign w:val="center"/>
                </w:tcPr>
                <w:p w14:paraId="6F1CC2BD">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符合</w:t>
                  </w:r>
                </w:p>
              </w:tc>
            </w:tr>
            <w:tr w14:paraId="6A1D67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186" w:hRule="atLeast"/>
                <w:jc w:val="center"/>
              </w:trPr>
              <w:tc>
                <w:tcPr>
                  <w:tcW w:w="680" w:type="dxa"/>
                  <w:tcBorders>
                    <w:tl2br w:val="nil"/>
                    <w:tr2bl w:val="nil"/>
                  </w:tcBorders>
                  <w:vAlign w:val="center"/>
                </w:tcPr>
                <w:p w14:paraId="3702F16E">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环境风险防控</w:t>
                  </w:r>
                </w:p>
              </w:tc>
              <w:tc>
                <w:tcPr>
                  <w:tcW w:w="4300" w:type="dxa"/>
                  <w:tcBorders>
                    <w:tl2br w:val="nil"/>
                    <w:tr2bl w:val="nil"/>
                  </w:tcBorders>
                  <w:vAlign w:val="center"/>
                </w:tcPr>
                <w:p w14:paraId="024DF58B">
                  <w:pPr>
                    <w:ind w:right="63" w:rightChars="30"/>
                    <w:rPr>
                      <w:rFonts w:hint="eastAsia" w:ascii="Times New Roman" w:hAnsi="Times New Roman" w:eastAsia="宋?" w:cs="Times New Roman"/>
                      <w:color w:val="000000"/>
                      <w:sz w:val="18"/>
                      <w:szCs w:val="18"/>
                      <w:lang w:eastAsia="zh-CN"/>
                    </w:rPr>
                  </w:pP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lang w:val="en-US" w:eastAsia="zh-CN"/>
                    </w:rPr>
                    <w:t>1</w:t>
                  </w: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rPr>
                    <w:t>强化饮用水水源环境风险管控。县级以上城市全部建成应急水源或双源供水。</w:t>
                  </w:r>
                </w:p>
                <w:p w14:paraId="61D4DDC4">
                  <w:pPr>
                    <w:ind w:right="63" w:rightChars="30"/>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lang w:val="en-US" w:eastAsia="zh-CN"/>
                    </w:rPr>
                    <w:t>2</w:t>
                  </w: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rPr>
                    <w:t>落实《苏州市突发环境事件应急预案》。完善市、县级市（区）两级突发环境事件应急响应体系，定期组织演练，提高应急处置能力。</w:t>
                  </w:r>
                </w:p>
              </w:tc>
              <w:tc>
                <w:tcPr>
                  <w:tcW w:w="1714" w:type="dxa"/>
                  <w:tcBorders>
                    <w:tl2br w:val="nil"/>
                    <w:tr2bl w:val="nil"/>
                  </w:tcBorders>
                  <w:vAlign w:val="center"/>
                </w:tcPr>
                <w:p w14:paraId="0BA51B7A">
                  <w:pPr>
                    <w:ind w:right="63" w:rightChars="30"/>
                    <w:jc w:val="center"/>
                    <w:rPr>
                      <w:rFonts w:hint="default" w:ascii="Times New Roman" w:hAnsi="Times New Roman" w:eastAsia="宋?" w:cs="Times New Roman"/>
                      <w:color w:val="000000"/>
                      <w:sz w:val="18"/>
                      <w:szCs w:val="18"/>
                      <w:lang w:val="en-US" w:eastAsia="zh-CN"/>
                    </w:rPr>
                  </w:pPr>
                  <w:r>
                    <w:rPr>
                      <w:rFonts w:hint="eastAsia" w:ascii="Times New Roman" w:hAnsi="Times New Roman" w:eastAsia="宋?" w:cs="Times New Roman"/>
                      <w:color w:val="000000"/>
                      <w:sz w:val="18"/>
                      <w:szCs w:val="18"/>
                      <w:lang w:val="en-US" w:eastAsia="zh-CN"/>
                    </w:rPr>
                    <w:t>本项目不涉及。</w:t>
                  </w:r>
                </w:p>
              </w:tc>
              <w:tc>
                <w:tcPr>
                  <w:tcW w:w="518" w:type="dxa"/>
                  <w:tcBorders>
                    <w:tl2br w:val="nil"/>
                    <w:tr2bl w:val="nil"/>
                  </w:tcBorders>
                  <w:vAlign w:val="center"/>
                </w:tcPr>
                <w:p w14:paraId="625537FC">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符合</w:t>
                  </w:r>
                </w:p>
              </w:tc>
            </w:tr>
            <w:tr w14:paraId="7F9FCF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17" w:hRule="atLeast"/>
                <w:jc w:val="center"/>
              </w:trPr>
              <w:tc>
                <w:tcPr>
                  <w:tcW w:w="680" w:type="dxa"/>
                  <w:tcBorders>
                    <w:tl2br w:val="nil"/>
                    <w:tr2bl w:val="nil"/>
                  </w:tcBorders>
                  <w:vAlign w:val="center"/>
                </w:tcPr>
                <w:p w14:paraId="633205A8">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资源利用效率要求</w:t>
                  </w:r>
                </w:p>
              </w:tc>
              <w:tc>
                <w:tcPr>
                  <w:tcW w:w="4300" w:type="dxa"/>
                  <w:tcBorders>
                    <w:tl2br w:val="nil"/>
                    <w:tr2bl w:val="nil"/>
                  </w:tcBorders>
                  <w:vAlign w:val="center"/>
                </w:tcPr>
                <w:p w14:paraId="00EB608A">
                  <w:pPr>
                    <w:ind w:right="63" w:rightChars="30"/>
                    <w:rPr>
                      <w:rFonts w:hint="eastAsia" w:ascii="Times New Roman" w:hAnsi="Times New Roman" w:eastAsia="宋?" w:cs="Times New Roman"/>
                      <w:color w:val="000000"/>
                      <w:sz w:val="18"/>
                      <w:szCs w:val="18"/>
                      <w:lang w:eastAsia="zh-CN"/>
                    </w:rPr>
                  </w:pP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lang w:val="en-US" w:eastAsia="zh-CN"/>
                    </w:rPr>
                    <w:t>1</w:t>
                  </w:r>
                  <w:r>
                    <w:rPr>
                      <w:rFonts w:hint="eastAsia" w:ascii="Times New Roman" w:hAnsi="Times New Roman" w:eastAsia="宋?" w:cs="Times New Roman"/>
                      <w:color w:val="000000"/>
                      <w:sz w:val="18"/>
                      <w:szCs w:val="18"/>
                      <w:lang w:eastAsia="zh-CN"/>
                    </w:rPr>
                    <w:t>）</w:t>
                  </w:r>
                  <w:r>
                    <w:rPr>
                      <w:rFonts w:hint="eastAsia" w:ascii="Times New Roman" w:hAnsi="Times New Roman" w:eastAsia="宋?" w:cs="Times New Roman"/>
                      <w:color w:val="000000"/>
                      <w:sz w:val="18"/>
                      <w:szCs w:val="18"/>
                    </w:rPr>
                    <w:t>2025年苏州市用水总量不得超过103亿立方米</w:t>
                  </w:r>
                  <w:r>
                    <w:rPr>
                      <w:rFonts w:hint="eastAsia" w:ascii="Times New Roman" w:hAnsi="Times New Roman" w:eastAsia="宋?" w:cs="Times New Roman"/>
                      <w:color w:val="000000"/>
                      <w:sz w:val="18"/>
                      <w:szCs w:val="18"/>
                      <w:lang w:eastAsia="zh-CN"/>
                    </w:rPr>
                    <w:t>。</w:t>
                  </w:r>
                </w:p>
                <w:p w14:paraId="1FABAE3D">
                  <w:pPr>
                    <w:ind w:right="63" w:rightChars="30"/>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（2）2025年，苏州市耕地保有量完成国家下达任务。</w:t>
                  </w:r>
                </w:p>
                <w:p w14:paraId="0C9AB756">
                  <w:pPr>
                    <w:ind w:right="63" w:rightChars="30"/>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（3）禁燃区禁止新建、扩建燃用高污染燃料的项目和设施，已建成的应逐步或依法限期改用天然气、电或者其他清洁能源。</w:t>
                  </w:r>
                </w:p>
              </w:tc>
              <w:tc>
                <w:tcPr>
                  <w:tcW w:w="1714" w:type="dxa"/>
                  <w:tcBorders>
                    <w:tl2br w:val="nil"/>
                    <w:tr2bl w:val="nil"/>
                  </w:tcBorders>
                  <w:vAlign w:val="center"/>
                </w:tcPr>
                <w:p w14:paraId="4F7BAA32">
                  <w:pPr>
                    <w:ind w:right="63" w:rightChars="30"/>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本项目</w:t>
                  </w:r>
                  <w:r>
                    <w:rPr>
                      <w:rFonts w:hint="eastAsia" w:ascii="Times New Roman" w:hAnsi="Times New Roman" w:eastAsia="宋?" w:cs="Times New Roman"/>
                      <w:color w:val="000000"/>
                      <w:sz w:val="18"/>
                      <w:szCs w:val="18"/>
                      <w:lang w:val="en-US" w:eastAsia="zh-CN"/>
                    </w:rPr>
                    <w:t>不涉及</w:t>
                  </w:r>
                  <w:r>
                    <w:rPr>
                      <w:rFonts w:hint="eastAsia" w:ascii="Times New Roman" w:hAnsi="Times New Roman" w:eastAsia="宋?" w:cs="Times New Roman"/>
                      <w:color w:val="000000"/>
                      <w:sz w:val="18"/>
                      <w:szCs w:val="18"/>
                    </w:rPr>
                    <w:t>。</w:t>
                  </w:r>
                </w:p>
              </w:tc>
              <w:tc>
                <w:tcPr>
                  <w:tcW w:w="518" w:type="dxa"/>
                  <w:tcBorders>
                    <w:tl2br w:val="nil"/>
                    <w:tr2bl w:val="nil"/>
                  </w:tcBorders>
                  <w:vAlign w:val="center"/>
                </w:tcPr>
                <w:p w14:paraId="385EFCDC">
                  <w:pPr>
                    <w:jc w:val="center"/>
                    <w:rPr>
                      <w:rFonts w:ascii="Times New Roman" w:hAnsi="Times New Roman" w:eastAsia="宋?" w:cs="Times New Roman"/>
                      <w:color w:val="000000"/>
                      <w:sz w:val="18"/>
                      <w:szCs w:val="18"/>
                    </w:rPr>
                  </w:pPr>
                  <w:r>
                    <w:rPr>
                      <w:rFonts w:hint="eastAsia" w:ascii="Times New Roman" w:hAnsi="Times New Roman" w:eastAsia="宋?" w:cs="Times New Roman"/>
                      <w:color w:val="000000"/>
                      <w:sz w:val="18"/>
                      <w:szCs w:val="18"/>
                    </w:rPr>
                    <w:t>符合</w:t>
                  </w:r>
                </w:p>
              </w:tc>
            </w:tr>
          </w:tbl>
          <w:p w14:paraId="59D8D967">
            <w:pPr>
              <w:tabs>
                <w:tab w:val="center" w:pos="4156"/>
                <w:tab w:val="left" w:pos="5964"/>
              </w:tabs>
              <w:adjustRightInd w:val="0"/>
              <w:snapToGrid w:val="0"/>
              <w:spacing w:line="360" w:lineRule="auto"/>
              <w:jc w:val="left"/>
              <w:rPr>
                <w:b/>
                <w:snapToGrid w:val="0"/>
                <w:color w:val="auto"/>
                <w:szCs w:val="21"/>
                <w:highlight w:val="none"/>
              </w:rPr>
            </w:pPr>
            <w:r>
              <w:rPr>
                <w:b/>
                <w:snapToGrid w:val="0"/>
                <w:color w:val="auto"/>
                <w:szCs w:val="21"/>
                <w:highlight w:val="none"/>
              </w:rPr>
              <w:t>5</w:t>
            </w:r>
            <w:r>
              <w:rPr>
                <w:rFonts w:hint="eastAsia"/>
                <w:b/>
                <w:snapToGrid w:val="0"/>
                <w:color w:val="auto"/>
                <w:szCs w:val="21"/>
                <w:highlight w:val="none"/>
              </w:rPr>
              <w:t>、长江相关文件相符性分析</w:t>
            </w:r>
          </w:p>
          <w:p w14:paraId="4398893C">
            <w:pPr>
              <w:tabs>
                <w:tab w:val="center" w:pos="4156"/>
                <w:tab w:val="left" w:pos="5964"/>
              </w:tabs>
              <w:adjustRightInd w:val="0"/>
              <w:snapToGrid w:val="0"/>
              <w:jc w:val="center"/>
              <w:rPr>
                <w:b/>
                <w:bCs/>
                <w:color w:val="auto"/>
                <w:szCs w:val="21"/>
                <w:highlight w:val="none"/>
              </w:rPr>
            </w:pPr>
            <w:r>
              <w:rPr>
                <w:rFonts w:hint="eastAsia"/>
                <w:b/>
                <w:bCs/>
                <w:color w:val="auto"/>
                <w:szCs w:val="21"/>
                <w:highlight w:val="none"/>
              </w:rPr>
              <w:t>表</w:t>
            </w:r>
            <w:r>
              <w:rPr>
                <w:b/>
                <w:bCs/>
                <w:color w:val="auto"/>
                <w:szCs w:val="21"/>
                <w:highlight w:val="none"/>
              </w:rPr>
              <w:t>1-</w:t>
            </w:r>
            <w:r>
              <w:rPr>
                <w:rFonts w:hint="eastAsia"/>
                <w:b/>
                <w:bCs/>
                <w:color w:val="auto"/>
                <w:szCs w:val="21"/>
                <w:highlight w:val="none"/>
                <w:lang w:val="en-US" w:eastAsia="zh-CN"/>
              </w:rPr>
              <w:t>8</w:t>
            </w:r>
            <w:r>
              <w:rPr>
                <w:b/>
                <w:bCs/>
                <w:color w:val="auto"/>
                <w:szCs w:val="21"/>
                <w:highlight w:val="none"/>
              </w:rPr>
              <w:t xml:space="preserve">  </w:t>
            </w:r>
            <w:r>
              <w:rPr>
                <w:rFonts w:hint="eastAsia"/>
                <w:b/>
                <w:bCs/>
                <w:color w:val="auto"/>
                <w:szCs w:val="21"/>
                <w:highlight w:val="none"/>
              </w:rPr>
              <w:t>《长江经济带发展负面清单指南》（试行，</w:t>
            </w:r>
            <w:r>
              <w:rPr>
                <w:b/>
                <w:bCs/>
                <w:color w:val="auto"/>
                <w:szCs w:val="21"/>
                <w:highlight w:val="none"/>
              </w:rPr>
              <w:t>2022</w:t>
            </w:r>
            <w:r>
              <w:rPr>
                <w:rFonts w:hint="eastAsia"/>
                <w:b/>
                <w:bCs/>
                <w:color w:val="auto"/>
                <w:szCs w:val="21"/>
                <w:highlight w:val="none"/>
              </w:rPr>
              <w:t>年版）</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593"/>
              <w:gridCol w:w="1074"/>
              <w:gridCol w:w="545"/>
            </w:tblGrid>
            <w:tr w14:paraId="012983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6079" w:type="dxa"/>
                  <w:tcBorders>
                    <w:top w:val="single" w:color="auto" w:sz="12" w:space="0"/>
                    <w:bottom w:val="single" w:color="auto" w:sz="4" w:space="0"/>
                    <w:right w:val="single" w:color="auto" w:sz="4" w:space="0"/>
                  </w:tcBorders>
                  <w:vAlign w:val="center"/>
                </w:tcPr>
                <w:p w14:paraId="65AB11C4">
                  <w:pPr>
                    <w:jc w:val="center"/>
                    <w:outlineLvl w:val="0"/>
                    <w:rPr>
                      <w:color w:val="auto"/>
                      <w:sz w:val="18"/>
                      <w:szCs w:val="18"/>
                      <w:highlight w:val="none"/>
                    </w:rPr>
                  </w:pPr>
                  <w:bookmarkStart w:id="7" w:name="_Toc19559"/>
                  <w:bookmarkStart w:id="8" w:name="_Toc22823"/>
                  <w:r>
                    <w:rPr>
                      <w:rFonts w:hint="eastAsia"/>
                      <w:color w:val="auto"/>
                      <w:sz w:val="18"/>
                      <w:szCs w:val="18"/>
                      <w:highlight w:val="none"/>
                    </w:rPr>
                    <w:t>条款内容</w:t>
                  </w:r>
                  <w:bookmarkEnd w:id="7"/>
                  <w:bookmarkEnd w:id="8"/>
                </w:p>
              </w:tc>
              <w:tc>
                <w:tcPr>
                  <w:tcW w:w="1166" w:type="dxa"/>
                  <w:tcBorders>
                    <w:top w:val="single" w:color="auto" w:sz="12" w:space="0"/>
                    <w:left w:val="single" w:color="auto" w:sz="4" w:space="0"/>
                    <w:bottom w:val="single" w:color="auto" w:sz="4" w:space="0"/>
                    <w:right w:val="single" w:color="auto" w:sz="4" w:space="0"/>
                  </w:tcBorders>
                  <w:vAlign w:val="center"/>
                </w:tcPr>
                <w:p w14:paraId="48AC3F4A">
                  <w:pPr>
                    <w:jc w:val="center"/>
                    <w:outlineLvl w:val="0"/>
                    <w:rPr>
                      <w:color w:val="auto"/>
                      <w:sz w:val="18"/>
                      <w:szCs w:val="18"/>
                      <w:highlight w:val="none"/>
                    </w:rPr>
                  </w:pPr>
                  <w:bookmarkStart w:id="9" w:name="_Toc24398"/>
                  <w:bookmarkStart w:id="10" w:name="_Toc28811"/>
                  <w:r>
                    <w:rPr>
                      <w:rFonts w:hint="eastAsia"/>
                      <w:color w:val="auto"/>
                      <w:kern w:val="0"/>
                      <w:sz w:val="18"/>
                      <w:szCs w:val="18"/>
                      <w:highlight w:val="none"/>
                    </w:rPr>
                    <w:t>本项目情况</w:t>
                  </w:r>
                  <w:bookmarkEnd w:id="9"/>
                  <w:bookmarkEnd w:id="10"/>
                </w:p>
              </w:tc>
              <w:tc>
                <w:tcPr>
                  <w:tcW w:w="592" w:type="dxa"/>
                  <w:tcBorders>
                    <w:top w:val="single" w:color="auto" w:sz="12" w:space="0"/>
                    <w:left w:val="single" w:color="auto" w:sz="4" w:space="0"/>
                    <w:bottom w:val="single" w:color="auto" w:sz="4" w:space="0"/>
                  </w:tcBorders>
                  <w:vAlign w:val="center"/>
                </w:tcPr>
                <w:p w14:paraId="29F57764">
                  <w:pPr>
                    <w:jc w:val="center"/>
                    <w:outlineLvl w:val="0"/>
                    <w:rPr>
                      <w:color w:val="auto"/>
                      <w:sz w:val="18"/>
                      <w:szCs w:val="18"/>
                      <w:highlight w:val="none"/>
                    </w:rPr>
                  </w:pPr>
                  <w:bookmarkStart w:id="11" w:name="_Toc16102"/>
                  <w:bookmarkStart w:id="12" w:name="_Toc23862"/>
                  <w:r>
                    <w:rPr>
                      <w:rFonts w:hint="eastAsia"/>
                      <w:color w:val="auto"/>
                      <w:sz w:val="18"/>
                      <w:szCs w:val="18"/>
                      <w:highlight w:val="none"/>
                    </w:rPr>
                    <w:t>相符性</w:t>
                  </w:r>
                  <w:bookmarkEnd w:id="11"/>
                  <w:bookmarkEnd w:id="12"/>
                </w:p>
              </w:tc>
            </w:tr>
            <w:tr w14:paraId="7D88AD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79" w:type="dxa"/>
                  <w:tcBorders>
                    <w:top w:val="single" w:color="auto" w:sz="4" w:space="0"/>
                    <w:bottom w:val="single" w:color="auto" w:sz="4" w:space="0"/>
                    <w:right w:val="single" w:color="auto" w:sz="4" w:space="0"/>
                  </w:tcBorders>
                  <w:vAlign w:val="center"/>
                </w:tcPr>
                <w:p w14:paraId="040A0624">
                  <w:pPr>
                    <w:rPr>
                      <w:color w:val="auto"/>
                      <w:sz w:val="18"/>
                      <w:szCs w:val="18"/>
                      <w:highlight w:val="none"/>
                    </w:rPr>
                  </w:pPr>
                  <w:r>
                    <w:rPr>
                      <w:rFonts w:hint="eastAsia"/>
                      <w:color w:val="auto"/>
                      <w:sz w:val="18"/>
                      <w:highlight w:val="none"/>
                    </w:rPr>
                    <w:t>禁止建设不符合全国和省级港口布局规划以及港口总体规划的码头项目，禁止建设不符合《长江干线过江通道布局规划》的过长江通道项目。</w:t>
                  </w:r>
                </w:p>
              </w:tc>
              <w:tc>
                <w:tcPr>
                  <w:tcW w:w="1166" w:type="dxa"/>
                  <w:tcBorders>
                    <w:top w:val="single" w:color="auto" w:sz="4" w:space="0"/>
                    <w:left w:val="single" w:color="auto" w:sz="4" w:space="0"/>
                    <w:bottom w:val="single" w:color="auto" w:sz="4" w:space="0"/>
                    <w:right w:val="single" w:color="auto" w:sz="4" w:space="0"/>
                  </w:tcBorders>
                  <w:vAlign w:val="center"/>
                </w:tcPr>
                <w:p w14:paraId="58785E97">
                  <w:pPr>
                    <w:jc w:val="center"/>
                    <w:outlineLvl w:val="0"/>
                    <w:rPr>
                      <w:color w:val="auto"/>
                      <w:sz w:val="18"/>
                      <w:szCs w:val="18"/>
                      <w:highlight w:val="none"/>
                    </w:rPr>
                  </w:pPr>
                  <w:bookmarkStart w:id="13" w:name="_Toc853"/>
                  <w:bookmarkStart w:id="14" w:name="_Toc27247"/>
                  <w:r>
                    <w:rPr>
                      <w:rFonts w:hint="eastAsia"/>
                      <w:color w:val="auto"/>
                      <w:sz w:val="18"/>
                      <w:szCs w:val="18"/>
                      <w:highlight w:val="none"/>
                    </w:rPr>
                    <w:t>不涉及</w:t>
                  </w:r>
                  <w:bookmarkEnd w:id="13"/>
                  <w:bookmarkEnd w:id="14"/>
                </w:p>
              </w:tc>
              <w:tc>
                <w:tcPr>
                  <w:tcW w:w="592" w:type="dxa"/>
                  <w:tcBorders>
                    <w:top w:val="single" w:color="auto" w:sz="4" w:space="0"/>
                    <w:left w:val="single" w:color="auto" w:sz="4" w:space="0"/>
                    <w:bottom w:val="single" w:color="auto" w:sz="4" w:space="0"/>
                  </w:tcBorders>
                  <w:vAlign w:val="center"/>
                </w:tcPr>
                <w:p w14:paraId="004A0F12">
                  <w:pPr>
                    <w:jc w:val="center"/>
                    <w:outlineLvl w:val="0"/>
                    <w:rPr>
                      <w:color w:val="auto"/>
                      <w:sz w:val="18"/>
                      <w:szCs w:val="18"/>
                      <w:highlight w:val="none"/>
                    </w:rPr>
                  </w:pPr>
                  <w:bookmarkStart w:id="15" w:name="_Toc26487"/>
                  <w:bookmarkStart w:id="16" w:name="_Toc9825"/>
                  <w:r>
                    <w:rPr>
                      <w:rFonts w:hint="eastAsia"/>
                      <w:color w:val="auto"/>
                      <w:sz w:val="18"/>
                      <w:szCs w:val="18"/>
                      <w:highlight w:val="none"/>
                    </w:rPr>
                    <w:t>符合</w:t>
                  </w:r>
                  <w:bookmarkEnd w:id="15"/>
                  <w:bookmarkEnd w:id="16"/>
                </w:p>
              </w:tc>
            </w:tr>
            <w:tr w14:paraId="0EDCB8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79" w:type="dxa"/>
                  <w:tcBorders>
                    <w:top w:val="single" w:color="auto" w:sz="4" w:space="0"/>
                    <w:bottom w:val="single" w:color="auto" w:sz="4" w:space="0"/>
                    <w:right w:val="single" w:color="auto" w:sz="4" w:space="0"/>
                  </w:tcBorders>
                  <w:vAlign w:val="center"/>
                </w:tcPr>
                <w:p w14:paraId="48FB1B35">
                  <w:pPr>
                    <w:rPr>
                      <w:color w:val="auto"/>
                      <w:sz w:val="18"/>
                      <w:szCs w:val="18"/>
                      <w:highlight w:val="none"/>
                    </w:rPr>
                  </w:pPr>
                  <w:r>
                    <w:rPr>
                      <w:rFonts w:hint="eastAsia"/>
                      <w:color w:val="auto"/>
                      <w:sz w:val="18"/>
                      <w:highlight w:val="none"/>
                    </w:rPr>
                    <w:t>禁止在自然保护区核心区、缓冲区的岸线和河段范围内投资建设旅游和生产经营项目。禁止在风景名胜区核心景区的岸线和河段范围内投资建设与风景名胜资源保护无关的项目。</w:t>
                  </w:r>
                </w:p>
              </w:tc>
              <w:tc>
                <w:tcPr>
                  <w:tcW w:w="1166" w:type="dxa"/>
                  <w:tcBorders>
                    <w:top w:val="single" w:color="auto" w:sz="4" w:space="0"/>
                    <w:left w:val="single" w:color="auto" w:sz="4" w:space="0"/>
                    <w:bottom w:val="single" w:color="auto" w:sz="4" w:space="0"/>
                    <w:right w:val="single" w:color="auto" w:sz="4" w:space="0"/>
                  </w:tcBorders>
                  <w:vAlign w:val="center"/>
                </w:tcPr>
                <w:p w14:paraId="4CAF6FAE">
                  <w:pPr>
                    <w:jc w:val="center"/>
                    <w:outlineLvl w:val="0"/>
                    <w:rPr>
                      <w:color w:val="auto"/>
                      <w:sz w:val="18"/>
                      <w:szCs w:val="18"/>
                      <w:highlight w:val="none"/>
                    </w:rPr>
                  </w:pPr>
                  <w:bookmarkStart w:id="17" w:name="_Toc24121"/>
                  <w:bookmarkStart w:id="18" w:name="_Toc26408"/>
                  <w:r>
                    <w:rPr>
                      <w:rFonts w:hint="eastAsia"/>
                      <w:color w:val="auto"/>
                      <w:sz w:val="18"/>
                      <w:szCs w:val="18"/>
                      <w:highlight w:val="none"/>
                    </w:rPr>
                    <w:t>不涉及</w:t>
                  </w:r>
                  <w:bookmarkEnd w:id="17"/>
                  <w:bookmarkEnd w:id="18"/>
                </w:p>
              </w:tc>
              <w:tc>
                <w:tcPr>
                  <w:tcW w:w="592" w:type="dxa"/>
                  <w:tcBorders>
                    <w:top w:val="single" w:color="auto" w:sz="4" w:space="0"/>
                    <w:left w:val="single" w:color="auto" w:sz="4" w:space="0"/>
                    <w:bottom w:val="single" w:color="auto" w:sz="4" w:space="0"/>
                  </w:tcBorders>
                  <w:vAlign w:val="center"/>
                </w:tcPr>
                <w:p w14:paraId="458B7541">
                  <w:pPr>
                    <w:jc w:val="center"/>
                    <w:outlineLvl w:val="0"/>
                    <w:rPr>
                      <w:color w:val="auto"/>
                      <w:sz w:val="18"/>
                      <w:szCs w:val="18"/>
                      <w:highlight w:val="none"/>
                    </w:rPr>
                  </w:pPr>
                  <w:bookmarkStart w:id="19" w:name="_Toc25254"/>
                  <w:bookmarkStart w:id="20" w:name="_Toc28715"/>
                  <w:r>
                    <w:rPr>
                      <w:rFonts w:hint="eastAsia"/>
                      <w:color w:val="auto"/>
                      <w:sz w:val="18"/>
                      <w:szCs w:val="18"/>
                      <w:highlight w:val="none"/>
                    </w:rPr>
                    <w:t>符合</w:t>
                  </w:r>
                  <w:bookmarkEnd w:id="19"/>
                  <w:bookmarkEnd w:id="20"/>
                </w:p>
              </w:tc>
            </w:tr>
            <w:tr w14:paraId="558335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79" w:type="dxa"/>
                  <w:tcBorders>
                    <w:top w:val="single" w:color="auto" w:sz="4" w:space="0"/>
                    <w:bottom w:val="single" w:color="auto" w:sz="4" w:space="0"/>
                    <w:right w:val="single" w:color="auto" w:sz="4" w:space="0"/>
                  </w:tcBorders>
                  <w:vAlign w:val="center"/>
                </w:tcPr>
                <w:p w14:paraId="5FA7BA80">
                  <w:pPr>
                    <w:rPr>
                      <w:color w:val="auto"/>
                      <w:sz w:val="18"/>
                      <w:szCs w:val="18"/>
                      <w:highlight w:val="none"/>
                    </w:rPr>
                  </w:pPr>
                  <w:r>
                    <w:rPr>
                      <w:rFonts w:hint="eastAsia"/>
                      <w:color w:val="auto"/>
                      <w:sz w:val="18"/>
                      <w:highlight w:val="none"/>
                    </w:rPr>
                    <w:t>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166" w:type="dxa"/>
                  <w:tcBorders>
                    <w:top w:val="single" w:color="auto" w:sz="4" w:space="0"/>
                    <w:left w:val="single" w:color="auto" w:sz="4" w:space="0"/>
                    <w:bottom w:val="single" w:color="auto" w:sz="4" w:space="0"/>
                    <w:right w:val="single" w:color="auto" w:sz="4" w:space="0"/>
                  </w:tcBorders>
                  <w:vAlign w:val="center"/>
                </w:tcPr>
                <w:p w14:paraId="68F58198">
                  <w:pPr>
                    <w:jc w:val="center"/>
                    <w:outlineLvl w:val="0"/>
                    <w:rPr>
                      <w:color w:val="auto"/>
                      <w:sz w:val="18"/>
                      <w:szCs w:val="18"/>
                      <w:highlight w:val="none"/>
                    </w:rPr>
                  </w:pPr>
                  <w:bookmarkStart w:id="21" w:name="_Toc9135"/>
                  <w:bookmarkStart w:id="22" w:name="_Toc30869"/>
                  <w:r>
                    <w:rPr>
                      <w:rFonts w:hint="eastAsia"/>
                      <w:color w:val="auto"/>
                      <w:sz w:val="18"/>
                      <w:szCs w:val="18"/>
                      <w:highlight w:val="none"/>
                    </w:rPr>
                    <w:t>不涉及</w:t>
                  </w:r>
                  <w:bookmarkEnd w:id="21"/>
                  <w:bookmarkEnd w:id="22"/>
                </w:p>
              </w:tc>
              <w:tc>
                <w:tcPr>
                  <w:tcW w:w="592" w:type="dxa"/>
                  <w:tcBorders>
                    <w:top w:val="single" w:color="auto" w:sz="4" w:space="0"/>
                    <w:left w:val="single" w:color="auto" w:sz="4" w:space="0"/>
                    <w:bottom w:val="single" w:color="auto" w:sz="4" w:space="0"/>
                  </w:tcBorders>
                  <w:vAlign w:val="center"/>
                </w:tcPr>
                <w:p w14:paraId="0147C184">
                  <w:pPr>
                    <w:jc w:val="center"/>
                    <w:outlineLvl w:val="0"/>
                    <w:rPr>
                      <w:color w:val="auto"/>
                      <w:sz w:val="18"/>
                      <w:szCs w:val="18"/>
                      <w:highlight w:val="none"/>
                    </w:rPr>
                  </w:pPr>
                  <w:bookmarkStart w:id="23" w:name="_Toc9353"/>
                  <w:bookmarkStart w:id="24" w:name="_Toc7291"/>
                  <w:r>
                    <w:rPr>
                      <w:rFonts w:hint="eastAsia"/>
                      <w:color w:val="auto"/>
                      <w:sz w:val="18"/>
                      <w:szCs w:val="18"/>
                      <w:highlight w:val="none"/>
                    </w:rPr>
                    <w:t>符合</w:t>
                  </w:r>
                  <w:bookmarkEnd w:id="23"/>
                  <w:bookmarkEnd w:id="24"/>
                </w:p>
              </w:tc>
            </w:tr>
            <w:tr w14:paraId="0B47BA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79" w:type="dxa"/>
                  <w:tcBorders>
                    <w:top w:val="single" w:color="auto" w:sz="4" w:space="0"/>
                    <w:bottom w:val="single" w:color="auto" w:sz="4" w:space="0"/>
                    <w:right w:val="single" w:color="auto" w:sz="4" w:space="0"/>
                  </w:tcBorders>
                  <w:vAlign w:val="center"/>
                </w:tcPr>
                <w:p w14:paraId="706A4F5C">
                  <w:pPr>
                    <w:rPr>
                      <w:color w:val="auto"/>
                      <w:sz w:val="18"/>
                      <w:szCs w:val="18"/>
                      <w:highlight w:val="none"/>
                    </w:rPr>
                  </w:pPr>
                  <w:r>
                    <w:rPr>
                      <w:rFonts w:hint="eastAsia"/>
                      <w:color w:val="auto"/>
                      <w:sz w:val="18"/>
                      <w:highlight w:val="none"/>
                    </w:rPr>
                    <w:t>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1166" w:type="dxa"/>
                  <w:tcBorders>
                    <w:top w:val="single" w:color="auto" w:sz="4" w:space="0"/>
                    <w:left w:val="single" w:color="auto" w:sz="4" w:space="0"/>
                    <w:bottom w:val="single" w:color="auto" w:sz="4" w:space="0"/>
                    <w:right w:val="single" w:color="auto" w:sz="4" w:space="0"/>
                  </w:tcBorders>
                  <w:vAlign w:val="center"/>
                </w:tcPr>
                <w:p w14:paraId="0E52B93B">
                  <w:pPr>
                    <w:jc w:val="center"/>
                    <w:outlineLvl w:val="0"/>
                    <w:rPr>
                      <w:color w:val="auto"/>
                      <w:sz w:val="18"/>
                      <w:szCs w:val="18"/>
                      <w:highlight w:val="none"/>
                    </w:rPr>
                  </w:pPr>
                  <w:bookmarkStart w:id="25" w:name="_Toc4423"/>
                  <w:bookmarkStart w:id="26" w:name="_Toc15120"/>
                  <w:r>
                    <w:rPr>
                      <w:rFonts w:hint="eastAsia"/>
                      <w:color w:val="auto"/>
                      <w:sz w:val="18"/>
                      <w:szCs w:val="18"/>
                      <w:highlight w:val="none"/>
                    </w:rPr>
                    <w:t>不涉及</w:t>
                  </w:r>
                  <w:bookmarkEnd w:id="25"/>
                  <w:bookmarkEnd w:id="26"/>
                </w:p>
              </w:tc>
              <w:tc>
                <w:tcPr>
                  <w:tcW w:w="592" w:type="dxa"/>
                  <w:tcBorders>
                    <w:top w:val="single" w:color="auto" w:sz="4" w:space="0"/>
                    <w:left w:val="single" w:color="auto" w:sz="4" w:space="0"/>
                    <w:bottom w:val="single" w:color="auto" w:sz="4" w:space="0"/>
                  </w:tcBorders>
                  <w:vAlign w:val="center"/>
                </w:tcPr>
                <w:p w14:paraId="77F5C265">
                  <w:pPr>
                    <w:jc w:val="center"/>
                    <w:outlineLvl w:val="0"/>
                    <w:rPr>
                      <w:color w:val="auto"/>
                      <w:sz w:val="18"/>
                      <w:szCs w:val="18"/>
                      <w:highlight w:val="none"/>
                    </w:rPr>
                  </w:pPr>
                  <w:bookmarkStart w:id="27" w:name="_Toc30898"/>
                  <w:bookmarkStart w:id="28" w:name="_Toc20051"/>
                  <w:r>
                    <w:rPr>
                      <w:rFonts w:hint="eastAsia"/>
                      <w:color w:val="auto"/>
                      <w:sz w:val="18"/>
                      <w:szCs w:val="18"/>
                      <w:highlight w:val="none"/>
                    </w:rPr>
                    <w:t>符合</w:t>
                  </w:r>
                  <w:bookmarkEnd w:id="27"/>
                  <w:bookmarkEnd w:id="28"/>
                </w:p>
              </w:tc>
            </w:tr>
            <w:tr w14:paraId="7962D2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79" w:type="dxa"/>
                  <w:tcBorders>
                    <w:top w:val="single" w:color="auto" w:sz="4" w:space="0"/>
                    <w:bottom w:val="single" w:color="auto" w:sz="4" w:space="0"/>
                    <w:right w:val="single" w:color="auto" w:sz="4" w:space="0"/>
                  </w:tcBorders>
                  <w:vAlign w:val="center"/>
                </w:tcPr>
                <w:p w14:paraId="00CDE072">
                  <w:pPr>
                    <w:rPr>
                      <w:color w:val="auto"/>
                      <w:sz w:val="18"/>
                      <w:szCs w:val="18"/>
                      <w:highlight w:val="none"/>
                    </w:rPr>
                  </w:pPr>
                  <w:r>
                    <w:rPr>
                      <w:rFonts w:hint="eastAsia"/>
                      <w:color w:val="auto"/>
                      <w:sz w:val="18"/>
                      <w:highlight w:val="none"/>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166" w:type="dxa"/>
                  <w:tcBorders>
                    <w:top w:val="single" w:color="auto" w:sz="4" w:space="0"/>
                    <w:left w:val="single" w:color="auto" w:sz="4" w:space="0"/>
                    <w:bottom w:val="single" w:color="auto" w:sz="4" w:space="0"/>
                    <w:right w:val="single" w:color="auto" w:sz="4" w:space="0"/>
                  </w:tcBorders>
                  <w:vAlign w:val="center"/>
                </w:tcPr>
                <w:p w14:paraId="69D8EDF1">
                  <w:pPr>
                    <w:jc w:val="center"/>
                    <w:outlineLvl w:val="0"/>
                    <w:rPr>
                      <w:color w:val="auto"/>
                      <w:sz w:val="18"/>
                      <w:szCs w:val="18"/>
                      <w:highlight w:val="none"/>
                    </w:rPr>
                  </w:pPr>
                  <w:bookmarkStart w:id="29" w:name="_Toc31539"/>
                  <w:bookmarkStart w:id="30" w:name="_Toc27059"/>
                  <w:r>
                    <w:rPr>
                      <w:rFonts w:hint="eastAsia"/>
                      <w:color w:val="auto"/>
                      <w:sz w:val="18"/>
                      <w:szCs w:val="18"/>
                      <w:highlight w:val="none"/>
                    </w:rPr>
                    <w:t>不涉及</w:t>
                  </w:r>
                  <w:bookmarkEnd w:id="29"/>
                  <w:bookmarkEnd w:id="30"/>
                </w:p>
              </w:tc>
              <w:tc>
                <w:tcPr>
                  <w:tcW w:w="592" w:type="dxa"/>
                  <w:tcBorders>
                    <w:top w:val="single" w:color="auto" w:sz="4" w:space="0"/>
                    <w:left w:val="single" w:color="auto" w:sz="4" w:space="0"/>
                    <w:bottom w:val="single" w:color="auto" w:sz="4" w:space="0"/>
                  </w:tcBorders>
                  <w:vAlign w:val="center"/>
                </w:tcPr>
                <w:p w14:paraId="4E057EBF">
                  <w:pPr>
                    <w:jc w:val="center"/>
                    <w:outlineLvl w:val="0"/>
                    <w:rPr>
                      <w:color w:val="auto"/>
                      <w:sz w:val="18"/>
                      <w:szCs w:val="18"/>
                      <w:highlight w:val="none"/>
                    </w:rPr>
                  </w:pPr>
                  <w:bookmarkStart w:id="31" w:name="_Toc17497"/>
                  <w:bookmarkStart w:id="32" w:name="_Toc29068"/>
                  <w:r>
                    <w:rPr>
                      <w:rFonts w:hint="eastAsia"/>
                      <w:color w:val="auto"/>
                      <w:sz w:val="18"/>
                      <w:szCs w:val="18"/>
                      <w:highlight w:val="none"/>
                    </w:rPr>
                    <w:t>符合</w:t>
                  </w:r>
                  <w:bookmarkEnd w:id="31"/>
                  <w:bookmarkEnd w:id="32"/>
                </w:p>
              </w:tc>
            </w:tr>
            <w:tr w14:paraId="5F9BA9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79" w:type="dxa"/>
                  <w:tcBorders>
                    <w:top w:val="single" w:color="auto" w:sz="4" w:space="0"/>
                    <w:bottom w:val="single" w:color="auto" w:sz="4" w:space="0"/>
                    <w:right w:val="single" w:color="auto" w:sz="4" w:space="0"/>
                  </w:tcBorders>
                  <w:vAlign w:val="center"/>
                </w:tcPr>
                <w:p w14:paraId="332F12B4">
                  <w:pPr>
                    <w:outlineLvl w:val="0"/>
                    <w:rPr>
                      <w:color w:val="auto"/>
                      <w:sz w:val="18"/>
                      <w:szCs w:val="18"/>
                      <w:highlight w:val="none"/>
                    </w:rPr>
                  </w:pPr>
                  <w:bookmarkStart w:id="33" w:name="_Toc32709"/>
                  <w:bookmarkStart w:id="34" w:name="_Toc17943"/>
                  <w:r>
                    <w:rPr>
                      <w:rFonts w:hint="eastAsia"/>
                      <w:color w:val="auto"/>
                      <w:sz w:val="18"/>
                      <w:highlight w:val="none"/>
                    </w:rPr>
                    <w:t>禁止未经许可在长江干支流及湖泊新设、改设或扩大排污口。</w:t>
                  </w:r>
                  <w:bookmarkEnd w:id="33"/>
                  <w:bookmarkEnd w:id="34"/>
                </w:p>
              </w:tc>
              <w:tc>
                <w:tcPr>
                  <w:tcW w:w="1166" w:type="dxa"/>
                  <w:tcBorders>
                    <w:top w:val="single" w:color="auto" w:sz="4" w:space="0"/>
                    <w:left w:val="single" w:color="auto" w:sz="4" w:space="0"/>
                    <w:bottom w:val="single" w:color="auto" w:sz="4" w:space="0"/>
                    <w:right w:val="single" w:color="auto" w:sz="4" w:space="0"/>
                  </w:tcBorders>
                  <w:vAlign w:val="center"/>
                </w:tcPr>
                <w:p w14:paraId="31FE2D31">
                  <w:pPr>
                    <w:jc w:val="center"/>
                    <w:outlineLvl w:val="0"/>
                    <w:rPr>
                      <w:color w:val="auto"/>
                      <w:sz w:val="18"/>
                      <w:szCs w:val="18"/>
                      <w:highlight w:val="none"/>
                    </w:rPr>
                  </w:pPr>
                  <w:bookmarkStart w:id="35" w:name="_Toc31671"/>
                  <w:bookmarkStart w:id="36" w:name="_Toc2238"/>
                  <w:r>
                    <w:rPr>
                      <w:rFonts w:hint="eastAsia"/>
                      <w:color w:val="auto"/>
                      <w:sz w:val="18"/>
                      <w:szCs w:val="18"/>
                      <w:highlight w:val="none"/>
                    </w:rPr>
                    <w:t>不涉及</w:t>
                  </w:r>
                  <w:bookmarkEnd w:id="35"/>
                  <w:bookmarkEnd w:id="36"/>
                </w:p>
              </w:tc>
              <w:tc>
                <w:tcPr>
                  <w:tcW w:w="592" w:type="dxa"/>
                  <w:tcBorders>
                    <w:top w:val="single" w:color="auto" w:sz="4" w:space="0"/>
                    <w:left w:val="single" w:color="auto" w:sz="4" w:space="0"/>
                    <w:bottom w:val="single" w:color="auto" w:sz="4" w:space="0"/>
                  </w:tcBorders>
                  <w:vAlign w:val="center"/>
                </w:tcPr>
                <w:p w14:paraId="15DFEC92">
                  <w:pPr>
                    <w:jc w:val="center"/>
                    <w:outlineLvl w:val="0"/>
                    <w:rPr>
                      <w:color w:val="auto"/>
                      <w:sz w:val="18"/>
                      <w:szCs w:val="18"/>
                      <w:highlight w:val="none"/>
                    </w:rPr>
                  </w:pPr>
                  <w:bookmarkStart w:id="37" w:name="_Toc29433"/>
                  <w:bookmarkStart w:id="38" w:name="_Toc9243"/>
                  <w:r>
                    <w:rPr>
                      <w:rFonts w:hint="eastAsia"/>
                      <w:color w:val="auto"/>
                      <w:sz w:val="18"/>
                      <w:szCs w:val="18"/>
                      <w:highlight w:val="none"/>
                    </w:rPr>
                    <w:t>符合</w:t>
                  </w:r>
                  <w:bookmarkEnd w:id="37"/>
                  <w:bookmarkEnd w:id="38"/>
                </w:p>
              </w:tc>
            </w:tr>
            <w:tr w14:paraId="74C9CC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79" w:type="dxa"/>
                  <w:tcBorders>
                    <w:top w:val="single" w:color="auto" w:sz="4" w:space="0"/>
                    <w:bottom w:val="single" w:color="auto" w:sz="4" w:space="0"/>
                    <w:right w:val="single" w:color="auto" w:sz="4" w:space="0"/>
                  </w:tcBorders>
                  <w:vAlign w:val="center"/>
                </w:tcPr>
                <w:p w14:paraId="21A9FCF1">
                  <w:pPr>
                    <w:outlineLvl w:val="0"/>
                    <w:rPr>
                      <w:color w:val="auto"/>
                      <w:sz w:val="18"/>
                      <w:szCs w:val="18"/>
                      <w:highlight w:val="none"/>
                    </w:rPr>
                  </w:pPr>
                  <w:bookmarkStart w:id="39" w:name="_Toc31641"/>
                  <w:bookmarkStart w:id="40" w:name="_Toc10946"/>
                  <w:r>
                    <w:rPr>
                      <w:rFonts w:hint="eastAsia"/>
                      <w:color w:val="auto"/>
                      <w:sz w:val="18"/>
                      <w:highlight w:val="none"/>
                    </w:rPr>
                    <w:t>禁止在“一江一口两湖七河”和</w:t>
                  </w:r>
                  <w:r>
                    <w:rPr>
                      <w:rFonts w:eastAsia="Times New Roman"/>
                      <w:color w:val="auto"/>
                      <w:sz w:val="18"/>
                      <w:highlight w:val="none"/>
                    </w:rPr>
                    <w:t>332</w:t>
                  </w:r>
                  <w:r>
                    <w:rPr>
                      <w:rFonts w:hint="eastAsia"/>
                      <w:color w:val="auto"/>
                      <w:sz w:val="18"/>
                      <w:highlight w:val="none"/>
                    </w:rPr>
                    <w:t>个水生生物保护区开展生产性捕捞。</w:t>
                  </w:r>
                  <w:bookmarkEnd w:id="39"/>
                  <w:bookmarkEnd w:id="40"/>
                </w:p>
              </w:tc>
              <w:tc>
                <w:tcPr>
                  <w:tcW w:w="1166" w:type="dxa"/>
                  <w:tcBorders>
                    <w:top w:val="single" w:color="auto" w:sz="4" w:space="0"/>
                    <w:left w:val="single" w:color="auto" w:sz="4" w:space="0"/>
                    <w:bottom w:val="single" w:color="auto" w:sz="4" w:space="0"/>
                    <w:right w:val="single" w:color="auto" w:sz="4" w:space="0"/>
                  </w:tcBorders>
                  <w:vAlign w:val="center"/>
                </w:tcPr>
                <w:p w14:paraId="51557296">
                  <w:pPr>
                    <w:jc w:val="center"/>
                    <w:outlineLvl w:val="0"/>
                    <w:rPr>
                      <w:color w:val="auto"/>
                      <w:sz w:val="18"/>
                      <w:szCs w:val="18"/>
                      <w:highlight w:val="none"/>
                    </w:rPr>
                  </w:pPr>
                  <w:bookmarkStart w:id="41" w:name="_Toc14573"/>
                  <w:bookmarkStart w:id="42" w:name="_Toc21259"/>
                  <w:r>
                    <w:rPr>
                      <w:rFonts w:hint="eastAsia"/>
                      <w:color w:val="auto"/>
                      <w:sz w:val="18"/>
                      <w:szCs w:val="18"/>
                      <w:highlight w:val="none"/>
                    </w:rPr>
                    <w:t>不涉及</w:t>
                  </w:r>
                  <w:bookmarkEnd w:id="41"/>
                  <w:bookmarkEnd w:id="42"/>
                </w:p>
              </w:tc>
              <w:tc>
                <w:tcPr>
                  <w:tcW w:w="592" w:type="dxa"/>
                  <w:tcBorders>
                    <w:top w:val="single" w:color="auto" w:sz="4" w:space="0"/>
                    <w:left w:val="single" w:color="auto" w:sz="4" w:space="0"/>
                    <w:bottom w:val="single" w:color="auto" w:sz="4" w:space="0"/>
                  </w:tcBorders>
                  <w:vAlign w:val="center"/>
                </w:tcPr>
                <w:p w14:paraId="24F57D8C">
                  <w:pPr>
                    <w:jc w:val="center"/>
                    <w:outlineLvl w:val="0"/>
                    <w:rPr>
                      <w:color w:val="auto"/>
                      <w:sz w:val="18"/>
                      <w:szCs w:val="18"/>
                      <w:highlight w:val="none"/>
                    </w:rPr>
                  </w:pPr>
                  <w:bookmarkStart w:id="43" w:name="_Toc839"/>
                  <w:bookmarkStart w:id="44" w:name="_Toc25315"/>
                  <w:r>
                    <w:rPr>
                      <w:rFonts w:hint="eastAsia"/>
                      <w:color w:val="auto"/>
                      <w:sz w:val="18"/>
                      <w:szCs w:val="18"/>
                      <w:highlight w:val="none"/>
                    </w:rPr>
                    <w:t>符合</w:t>
                  </w:r>
                  <w:bookmarkEnd w:id="43"/>
                  <w:bookmarkEnd w:id="44"/>
                </w:p>
              </w:tc>
            </w:tr>
            <w:tr w14:paraId="7DBC8A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79" w:type="dxa"/>
                  <w:tcBorders>
                    <w:top w:val="single" w:color="auto" w:sz="4" w:space="0"/>
                    <w:bottom w:val="single" w:color="auto" w:sz="4" w:space="0"/>
                    <w:right w:val="single" w:color="auto" w:sz="4" w:space="0"/>
                  </w:tcBorders>
                  <w:vAlign w:val="center"/>
                </w:tcPr>
                <w:p w14:paraId="0AF8F165">
                  <w:pPr>
                    <w:rPr>
                      <w:color w:val="auto"/>
                      <w:sz w:val="18"/>
                      <w:szCs w:val="18"/>
                      <w:highlight w:val="none"/>
                    </w:rPr>
                  </w:pPr>
                  <w:r>
                    <w:rPr>
                      <w:rFonts w:hint="eastAsia"/>
                      <w:color w:val="auto"/>
                      <w:sz w:val="18"/>
                      <w:highlight w:val="none"/>
                    </w:rPr>
                    <w:t>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1166" w:type="dxa"/>
                  <w:tcBorders>
                    <w:top w:val="single" w:color="auto" w:sz="4" w:space="0"/>
                    <w:left w:val="single" w:color="auto" w:sz="4" w:space="0"/>
                    <w:bottom w:val="single" w:color="auto" w:sz="4" w:space="0"/>
                    <w:right w:val="single" w:color="auto" w:sz="4" w:space="0"/>
                  </w:tcBorders>
                  <w:vAlign w:val="center"/>
                </w:tcPr>
                <w:p w14:paraId="05C3E4F8">
                  <w:pPr>
                    <w:jc w:val="center"/>
                    <w:outlineLvl w:val="0"/>
                    <w:rPr>
                      <w:color w:val="auto"/>
                      <w:sz w:val="18"/>
                      <w:szCs w:val="18"/>
                      <w:highlight w:val="none"/>
                    </w:rPr>
                  </w:pPr>
                  <w:bookmarkStart w:id="45" w:name="_Toc17748"/>
                  <w:bookmarkStart w:id="46" w:name="_Toc8449"/>
                  <w:r>
                    <w:rPr>
                      <w:rFonts w:hint="eastAsia"/>
                      <w:color w:val="auto"/>
                      <w:sz w:val="18"/>
                      <w:szCs w:val="18"/>
                      <w:highlight w:val="none"/>
                    </w:rPr>
                    <w:t>不涉及</w:t>
                  </w:r>
                  <w:bookmarkEnd w:id="45"/>
                  <w:bookmarkEnd w:id="46"/>
                </w:p>
              </w:tc>
              <w:tc>
                <w:tcPr>
                  <w:tcW w:w="592" w:type="dxa"/>
                  <w:tcBorders>
                    <w:top w:val="single" w:color="auto" w:sz="4" w:space="0"/>
                    <w:left w:val="single" w:color="auto" w:sz="4" w:space="0"/>
                    <w:bottom w:val="single" w:color="auto" w:sz="4" w:space="0"/>
                  </w:tcBorders>
                  <w:vAlign w:val="center"/>
                </w:tcPr>
                <w:p w14:paraId="7B473C33">
                  <w:pPr>
                    <w:jc w:val="center"/>
                    <w:outlineLvl w:val="0"/>
                    <w:rPr>
                      <w:color w:val="auto"/>
                      <w:sz w:val="18"/>
                      <w:szCs w:val="18"/>
                      <w:highlight w:val="none"/>
                    </w:rPr>
                  </w:pPr>
                  <w:bookmarkStart w:id="47" w:name="_Toc19751"/>
                  <w:bookmarkStart w:id="48" w:name="_Toc23755"/>
                  <w:r>
                    <w:rPr>
                      <w:rFonts w:hint="eastAsia"/>
                      <w:color w:val="auto"/>
                      <w:sz w:val="18"/>
                      <w:szCs w:val="18"/>
                      <w:highlight w:val="none"/>
                    </w:rPr>
                    <w:t>符合</w:t>
                  </w:r>
                  <w:bookmarkEnd w:id="47"/>
                  <w:bookmarkEnd w:id="48"/>
                </w:p>
              </w:tc>
            </w:tr>
            <w:tr w14:paraId="2B218E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79" w:type="dxa"/>
                  <w:tcBorders>
                    <w:top w:val="single" w:color="auto" w:sz="4" w:space="0"/>
                    <w:bottom w:val="single" w:color="auto" w:sz="4" w:space="0"/>
                    <w:right w:val="single" w:color="auto" w:sz="4" w:space="0"/>
                  </w:tcBorders>
                  <w:vAlign w:val="center"/>
                </w:tcPr>
                <w:p w14:paraId="124A2070">
                  <w:pPr>
                    <w:rPr>
                      <w:color w:val="auto"/>
                      <w:sz w:val="18"/>
                      <w:szCs w:val="18"/>
                      <w:highlight w:val="none"/>
                    </w:rPr>
                  </w:pPr>
                  <w:r>
                    <w:rPr>
                      <w:rFonts w:hint="eastAsia"/>
                      <w:color w:val="auto"/>
                      <w:sz w:val="18"/>
                      <w:highlight w:val="none"/>
                    </w:rPr>
                    <w:t>禁止在合规园区外新建、扩建钢铁、石化、化工、焦化、建材、有色、制浆造纸等高污染项目。</w:t>
                  </w:r>
                </w:p>
              </w:tc>
              <w:tc>
                <w:tcPr>
                  <w:tcW w:w="1166" w:type="dxa"/>
                  <w:tcBorders>
                    <w:top w:val="single" w:color="auto" w:sz="4" w:space="0"/>
                    <w:left w:val="single" w:color="auto" w:sz="4" w:space="0"/>
                    <w:bottom w:val="single" w:color="auto" w:sz="4" w:space="0"/>
                    <w:right w:val="single" w:color="auto" w:sz="4" w:space="0"/>
                  </w:tcBorders>
                  <w:vAlign w:val="center"/>
                </w:tcPr>
                <w:p w14:paraId="0383B1A0">
                  <w:pPr>
                    <w:outlineLvl w:val="0"/>
                    <w:rPr>
                      <w:color w:val="auto"/>
                      <w:sz w:val="18"/>
                      <w:szCs w:val="18"/>
                      <w:highlight w:val="none"/>
                    </w:rPr>
                  </w:pPr>
                  <w:bookmarkStart w:id="49" w:name="_Toc18149"/>
                  <w:bookmarkStart w:id="50" w:name="_Toc31421"/>
                  <w:r>
                    <w:rPr>
                      <w:rFonts w:hint="eastAsia"/>
                      <w:color w:val="auto"/>
                      <w:sz w:val="18"/>
                      <w:szCs w:val="18"/>
                      <w:highlight w:val="none"/>
                    </w:rPr>
                    <w:t>本项目不属于钢铁、石化、化工、焦化、建材、有色、制浆造纸等高污染项目。</w:t>
                  </w:r>
                  <w:bookmarkEnd w:id="49"/>
                  <w:bookmarkEnd w:id="50"/>
                </w:p>
              </w:tc>
              <w:tc>
                <w:tcPr>
                  <w:tcW w:w="592" w:type="dxa"/>
                  <w:tcBorders>
                    <w:top w:val="single" w:color="auto" w:sz="4" w:space="0"/>
                    <w:left w:val="single" w:color="auto" w:sz="4" w:space="0"/>
                    <w:bottom w:val="single" w:color="auto" w:sz="4" w:space="0"/>
                  </w:tcBorders>
                  <w:vAlign w:val="center"/>
                </w:tcPr>
                <w:p w14:paraId="07F59288">
                  <w:pPr>
                    <w:jc w:val="center"/>
                    <w:outlineLvl w:val="0"/>
                    <w:rPr>
                      <w:color w:val="auto"/>
                      <w:sz w:val="18"/>
                      <w:szCs w:val="18"/>
                      <w:highlight w:val="none"/>
                    </w:rPr>
                  </w:pPr>
                  <w:bookmarkStart w:id="51" w:name="_Toc15441"/>
                  <w:bookmarkStart w:id="52" w:name="_Toc2577"/>
                  <w:r>
                    <w:rPr>
                      <w:rFonts w:hint="eastAsia"/>
                      <w:color w:val="auto"/>
                      <w:sz w:val="18"/>
                      <w:szCs w:val="18"/>
                      <w:highlight w:val="none"/>
                    </w:rPr>
                    <w:t>符合</w:t>
                  </w:r>
                  <w:bookmarkEnd w:id="51"/>
                  <w:bookmarkEnd w:id="52"/>
                </w:p>
              </w:tc>
            </w:tr>
            <w:tr w14:paraId="2FE88E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79" w:type="dxa"/>
                  <w:tcBorders>
                    <w:top w:val="single" w:color="auto" w:sz="4" w:space="0"/>
                    <w:bottom w:val="single" w:color="auto" w:sz="4" w:space="0"/>
                    <w:right w:val="single" w:color="auto" w:sz="4" w:space="0"/>
                  </w:tcBorders>
                  <w:vAlign w:val="center"/>
                </w:tcPr>
                <w:p w14:paraId="462FBE59">
                  <w:pPr>
                    <w:outlineLvl w:val="0"/>
                    <w:rPr>
                      <w:color w:val="auto"/>
                      <w:sz w:val="18"/>
                      <w:szCs w:val="18"/>
                      <w:highlight w:val="none"/>
                    </w:rPr>
                  </w:pPr>
                  <w:bookmarkStart w:id="53" w:name="_Toc28298"/>
                  <w:bookmarkStart w:id="54" w:name="_Toc3080"/>
                  <w:r>
                    <w:rPr>
                      <w:rFonts w:hint="eastAsia"/>
                      <w:color w:val="auto"/>
                      <w:sz w:val="18"/>
                      <w:highlight w:val="none"/>
                    </w:rPr>
                    <w:t>禁止新建、扩建不符合国家石化、现代煤化工等产业布局规划的项目。</w:t>
                  </w:r>
                  <w:bookmarkEnd w:id="53"/>
                  <w:bookmarkEnd w:id="54"/>
                </w:p>
              </w:tc>
              <w:tc>
                <w:tcPr>
                  <w:tcW w:w="1166" w:type="dxa"/>
                  <w:tcBorders>
                    <w:top w:val="single" w:color="auto" w:sz="4" w:space="0"/>
                    <w:left w:val="single" w:color="auto" w:sz="4" w:space="0"/>
                    <w:bottom w:val="single" w:color="auto" w:sz="4" w:space="0"/>
                    <w:right w:val="single" w:color="auto" w:sz="4" w:space="0"/>
                  </w:tcBorders>
                  <w:vAlign w:val="center"/>
                </w:tcPr>
                <w:p w14:paraId="660C6F33">
                  <w:pPr>
                    <w:jc w:val="center"/>
                    <w:outlineLvl w:val="0"/>
                    <w:rPr>
                      <w:color w:val="auto"/>
                      <w:sz w:val="18"/>
                      <w:szCs w:val="18"/>
                      <w:highlight w:val="none"/>
                    </w:rPr>
                  </w:pPr>
                  <w:r>
                    <w:rPr>
                      <w:rFonts w:hint="eastAsia"/>
                      <w:color w:val="auto"/>
                      <w:sz w:val="18"/>
                      <w:szCs w:val="18"/>
                      <w:highlight w:val="none"/>
                    </w:rPr>
                    <w:t>不涉及</w:t>
                  </w:r>
                </w:p>
              </w:tc>
              <w:tc>
                <w:tcPr>
                  <w:tcW w:w="592" w:type="dxa"/>
                  <w:tcBorders>
                    <w:top w:val="single" w:color="auto" w:sz="4" w:space="0"/>
                    <w:left w:val="single" w:color="auto" w:sz="4" w:space="0"/>
                    <w:bottom w:val="single" w:color="auto" w:sz="4" w:space="0"/>
                  </w:tcBorders>
                  <w:vAlign w:val="center"/>
                </w:tcPr>
                <w:p w14:paraId="7D116AAA">
                  <w:pPr>
                    <w:jc w:val="center"/>
                    <w:outlineLvl w:val="0"/>
                    <w:rPr>
                      <w:color w:val="auto"/>
                      <w:sz w:val="18"/>
                      <w:szCs w:val="18"/>
                      <w:highlight w:val="none"/>
                    </w:rPr>
                  </w:pPr>
                  <w:bookmarkStart w:id="55" w:name="_Toc32134"/>
                  <w:bookmarkStart w:id="56" w:name="_Toc10175"/>
                  <w:r>
                    <w:rPr>
                      <w:rFonts w:hint="eastAsia"/>
                      <w:color w:val="auto"/>
                      <w:sz w:val="18"/>
                      <w:szCs w:val="18"/>
                      <w:highlight w:val="none"/>
                    </w:rPr>
                    <w:t>符合</w:t>
                  </w:r>
                  <w:bookmarkEnd w:id="55"/>
                  <w:bookmarkEnd w:id="56"/>
                </w:p>
              </w:tc>
            </w:tr>
            <w:tr w14:paraId="3D1AC5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79" w:type="dxa"/>
                  <w:tcBorders>
                    <w:top w:val="single" w:color="auto" w:sz="4" w:space="0"/>
                    <w:bottom w:val="single" w:color="auto" w:sz="12" w:space="0"/>
                    <w:right w:val="single" w:color="auto" w:sz="4" w:space="0"/>
                  </w:tcBorders>
                  <w:vAlign w:val="center"/>
                </w:tcPr>
                <w:p w14:paraId="68897CE1">
                  <w:pPr>
                    <w:rPr>
                      <w:color w:val="auto"/>
                      <w:sz w:val="18"/>
                      <w:szCs w:val="18"/>
                      <w:highlight w:val="none"/>
                    </w:rPr>
                  </w:pPr>
                  <w:r>
                    <w:rPr>
                      <w:rFonts w:hint="eastAsia"/>
                      <w:color w:val="auto"/>
                      <w:sz w:val="18"/>
                      <w:highlight w:val="none"/>
                    </w:rPr>
                    <w:t>禁止新建、扩建法律法规和相关政策明令禁止的落后产能项目。禁止新建、扩建不符合国家产能置换要求的严重过剩产能行业的项目。禁止新建、扩建不符合要求的高耗能高排放项目。</w:t>
                  </w:r>
                </w:p>
              </w:tc>
              <w:tc>
                <w:tcPr>
                  <w:tcW w:w="1166" w:type="dxa"/>
                  <w:tcBorders>
                    <w:top w:val="single" w:color="auto" w:sz="4" w:space="0"/>
                    <w:left w:val="single" w:color="auto" w:sz="4" w:space="0"/>
                    <w:bottom w:val="single" w:color="auto" w:sz="12" w:space="0"/>
                    <w:right w:val="single" w:color="auto" w:sz="4" w:space="0"/>
                  </w:tcBorders>
                  <w:vAlign w:val="center"/>
                </w:tcPr>
                <w:p w14:paraId="62E835AD">
                  <w:pPr>
                    <w:jc w:val="center"/>
                    <w:outlineLvl w:val="0"/>
                    <w:rPr>
                      <w:color w:val="auto"/>
                      <w:sz w:val="18"/>
                      <w:szCs w:val="18"/>
                      <w:highlight w:val="none"/>
                    </w:rPr>
                  </w:pPr>
                  <w:bookmarkStart w:id="57" w:name="_Toc1355"/>
                  <w:bookmarkStart w:id="58" w:name="_Toc8618"/>
                  <w:r>
                    <w:rPr>
                      <w:rFonts w:hint="eastAsia"/>
                      <w:color w:val="auto"/>
                      <w:sz w:val="18"/>
                      <w:szCs w:val="18"/>
                      <w:highlight w:val="none"/>
                    </w:rPr>
                    <w:t>不涉及</w:t>
                  </w:r>
                  <w:bookmarkEnd w:id="57"/>
                  <w:bookmarkEnd w:id="58"/>
                </w:p>
              </w:tc>
              <w:tc>
                <w:tcPr>
                  <w:tcW w:w="592" w:type="dxa"/>
                  <w:tcBorders>
                    <w:top w:val="single" w:color="auto" w:sz="4" w:space="0"/>
                    <w:left w:val="single" w:color="auto" w:sz="4" w:space="0"/>
                    <w:bottom w:val="single" w:color="auto" w:sz="12" w:space="0"/>
                  </w:tcBorders>
                  <w:vAlign w:val="center"/>
                </w:tcPr>
                <w:p w14:paraId="0FA9E200">
                  <w:pPr>
                    <w:jc w:val="center"/>
                    <w:outlineLvl w:val="0"/>
                    <w:rPr>
                      <w:color w:val="auto"/>
                      <w:sz w:val="18"/>
                      <w:szCs w:val="18"/>
                      <w:highlight w:val="none"/>
                    </w:rPr>
                  </w:pPr>
                  <w:bookmarkStart w:id="59" w:name="_Toc29370"/>
                  <w:bookmarkStart w:id="60" w:name="_Toc9251"/>
                  <w:r>
                    <w:rPr>
                      <w:rFonts w:hint="eastAsia"/>
                      <w:color w:val="auto"/>
                      <w:sz w:val="18"/>
                      <w:szCs w:val="18"/>
                      <w:highlight w:val="none"/>
                    </w:rPr>
                    <w:t>符合</w:t>
                  </w:r>
                  <w:bookmarkEnd w:id="59"/>
                  <w:bookmarkEnd w:id="60"/>
                </w:p>
              </w:tc>
            </w:tr>
          </w:tbl>
          <w:p w14:paraId="0B8161F2">
            <w:pPr>
              <w:tabs>
                <w:tab w:val="center" w:pos="4156"/>
                <w:tab w:val="left" w:pos="5964"/>
              </w:tabs>
              <w:adjustRightInd w:val="0"/>
              <w:snapToGrid w:val="0"/>
              <w:spacing w:line="360" w:lineRule="auto"/>
              <w:jc w:val="left"/>
              <w:rPr>
                <w:b/>
                <w:snapToGrid w:val="0"/>
                <w:color w:val="auto"/>
                <w:szCs w:val="21"/>
                <w:highlight w:val="none"/>
              </w:rPr>
            </w:pPr>
            <w:r>
              <w:rPr>
                <w:b/>
                <w:snapToGrid w:val="0"/>
                <w:color w:val="auto"/>
                <w:szCs w:val="21"/>
                <w:highlight w:val="none"/>
              </w:rPr>
              <w:t>6</w:t>
            </w:r>
            <w:r>
              <w:rPr>
                <w:rFonts w:hint="eastAsia"/>
                <w:b/>
                <w:snapToGrid w:val="0"/>
                <w:color w:val="auto"/>
                <w:szCs w:val="21"/>
                <w:highlight w:val="none"/>
              </w:rPr>
              <w:t>、太湖相关文件相符性分析</w:t>
            </w:r>
          </w:p>
          <w:p w14:paraId="1E66ABD9">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w:t>
            </w:r>
            <w:r>
              <w:rPr>
                <w:color w:val="auto"/>
                <w:kern w:val="0"/>
                <w:szCs w:val="21"/>
                <w:highlight w:val="none"/>
              </w:rPr>
              <w:t>1</w:t>
            </w:r>
            <w:r>
              <w:rPr>
                <w:rFonts w:hint="eastAsia"/>
                <w:color w:val="auto"/>
                <w:kern w:val="0"/>
                <w:szCs w:val="21"/>
                <w:highlight w:val="none"/>
              </w:rPr>
              <w:t>）《太湖流域管理条例》</w:t>
            </w:r>
          </w:p>
          <w:p w14:paraId="326F328E">
            <w:pPr>
              <w:tabs>
                <w:tab w:val="center" w:pos="4156"/>
                <w:tab w:val="left" w:pos="5964"/>
              </w:tabs>
              <w:adjustRightInd w:val="0"/>
              <w:snapToGrid w:val="0"/>
              <w:jc w:val="center"/>
              <w:rPr>
                <w:b/>
                <w:bCs/>
                <w:color w:val="auto"/>
                <w:szCs w:val="21"/>
                <w:highlight w:val="none"/>
              </w:rPr>
            </w:pPr>
            <w:bookmarkStart w:id="61" w:name="_Hlk10028258"/>
            <w:r>
              <w:rPr>
                <w:rFonts w:hint="eastAsia"/>
                <w:b/>
                <w:bCs/>
                <w:color w:val="auto"/>
                <w:szCs w:val="21"/>
                <w:highlight w:val="none"/>
              </w:rPr>
              <w:t>表</w:t>
            </w:r>
            <w:r>
              <w:rPr>
                <w:b/>
                <w:bCs/>
                <w:color w:val="auto"/>
                <w:szCs w:val="21"/>
                <w:highlight w:val="none"/>
              </w:rPr>
              <w:t>1-</w:t>
            </w:r>
            <w:r>
              <w:rPr>
                <w:rFonts w:hint="eastAsia"/>
                <w:b/>
                <w:bCs/>
                <w:color w:val="auto"/>
                <w:szCs w:val="21"/>
                <w:highlight w:val="none"/>
                <w:lang w:val="en-US" w:eastAsia="zh-CN"/>
              </w:rPr>
              <w:t>9</w:t>
            </w:r>
            <w:r>
              <w:rPr>
                <w:b/>
                <w:bCs/>
                <w:color w:val="auto"/>
                <w:szCs w:val="21"/>
                <w:highlight w:val="none"/>
              </w:rPr>
              <w:t xml:space="preserve">  </w:t>
            </w:r>
            <w:r>
              <w:rPr>
                <w:rFonts w:hint="eastAsia"/>
                <w:b/>
                <w:bCs/>
                <w:color w:val="auto"/>
                <w:szCs w:val="21"/>
                <w:highlight w:val="none"/>
              </w:rPr>
              <w:t>太湖流域管理条例</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485"/>
              <w:gridCol w:w="931"/>
              <w:gridCol w:w="796"/>
            </w:tblGrid>
            <w:tr w14:paraId="0D27B5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962" w:type="dxa"/>
                  <w:tcBorders>
                    <w:top w:val="single" w:color="auto" w:sz="12" w:space="0"/>
                    <w:bottom w:val="single" w:color="auto" w:sz="4" w:space="0"/>
                    <w:right w:val="single" w:color="auto" w:sz="4" w:space="0"/>
                  </w:tcBorders>
                  <w:vAlign w:val="center"/>
                </w:tcPr>
                <w:p w14:paraId="194416AC">
                  <w:pPr>
                    <w:overflowPunct w:val="0"/>
                    <w:adjustRightInd w:val="0"/>
                    <w:snapToGrid w:val="0"/>
                    <w:jc w:val="center"/>
                    <w:rPr>
                      <w:color w:val="auto"/>
                      <w:sz w:val="18"/>
                      <w:szCs w:val="18"/>
                      <w:highlight w:val="none"/>
                    </w:rPr>
                  </w:pPr>
                  <w:r>
                    <w:rPr>
                      <w:rFonts w:hint="eastAsia"/>
                      <w:color w:val="auto"/>
                      <w:sz w:val="18"/>
                      <w:szCs w:val="18"/>
                      <w:highlight w:val="none"/>
                    </w:rPr>
                    <w:t>条</w:t>
                  </w:r>
                  <w:bookmarkEnd w:id="61"/>
                  <w:r>
                    <w:rPr>
                      <w:rFonts w:hint="eastAsia"/>
                      <w:color w:val="auto"/>
                      <w:sz w:val="18"/>
                      <w:szCs w:val="18"/>
                      <w:highlight w:val="none"/>
                    </w:rPr>
                    <w:t>款内容</w:t>
                  </w:r>
                </w:p>
              </w:tc>
              <w:tc>
                <w:tcPr>
                  <w:tcW w:w="1011" w:type="dxa"/>
                  <w:tcBorders>
                    <w:top w:val="single" w:color="auto" w:sz="12" w:space="0"/>
                    <w:left w:val="single" w:color="auto" w:sz="4" w:space="0"/>
                    <w:bottom w:val="single" w:color="auto" w:sz="4" w:space="0"/>
                    <w:right w:val="single" w:color="auto" w:sz="4" w:space="0"/>
                  </w:tcBorders>
                  <w:vAlign w:val="center"/>
                </w:tcPr>
                <w:p w14:paraId="57E77C4C">
                  <w:pPr>
                    <w:overflowPunct w:val="0"/>
                    <w:adjustRightInd w:val="0"/>
                    <w:snapToGrid w:val="0"/>
                    <w:jc w:val="center"/>
                    <w:rPr>
                      <w:color w:val="auto"/>
                      <w:sz w:val="18"/>
                      <w:szCs w:val="18"/>
                      <w:highlight w:val="none"/>
                    </w:rPr>
                  </w:pPr>
                  <w:r>
                    <w:rPr>
                      <w:rFonts w:hint="eastAsia"/>
                      <w:color w:val="auto"/>
                      <w:sz w:val="18"/>
                      <w:szCs w:val="18"/>
                      <w:highlight w:val="none"/>
                    </w:rPr>
                    <w:t>本项目情况</w:t>
                  </w:r>
                </w:p>
              </w:tc>
              <w:tc>
                <w:tcPr>
                  <w:tcW w:w="864" w:type="dxa"/>
                  <w:tcBorders>
                    <w:top w:val="single" w:color="auto" w:sz="12" w:space="0"/>
                    <w:left w:val="single" w:color="auto" w:sz="4" w:space="0"/>
                    <w:bottom w:val="single" w:color="auto" w:sz="4" w:space="0"/>
                  </w:tcBorders>
                  <w:vAlign w:val="center"/>
                </w:tcPr>
                <w:p w14:paraId="40F27852">
                  <w:pPr>
                    <w:overflowPunct w:val="0"/>
                    <w:adjustRightInd w:val="0"/>
                    <w:snapToGrid w:val="0"/>
                    <w:jc w:val="center"/>
                    <w:rPr>
                      <w:color w:val="auto"/>
                      <w:sz w:val="18"/>
                      <w:szCs w:val="18"/>
                      <w:highlight w:val="none"/>
                    </w:rPr>
                  </w:pPr>
                  <w:r>
                    <w:rPr>
                      <w:rFonts w:hint="eastAsia"/>
                      <w:color w:val="auto"/>
                      <w:sz w:val="18"/>
                      <w:szCs w:val="18"/>
                      <w:highlight w:val="none"/>
                    </w:rPr>
                    <w:t>相符性</w:t>
                  </w:r>
                </w:p>
              </w:tc>
            </w:tr>
            <w:tr w14:paraId="4AD065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5962" w:type="dxa"/>
                  <w:tcBorders>
                    <w:top w:val="single" w:color="auto" w:sz="4" w:space="0"/>
                    <w:bottom w:val="single" w:color="auto" w:sz="4" w:space="0"/>
                    <w:right w:val="single" w:color="auto" w:sz="4" w:space="0"/>
                  </w:tcBorders>
                  <w:vAlign w:val="center"/>
                </w:tcPr>
                <w:p w14:paraId="4D988B1F">
                  <w:pPr>
                    <w:overflowPunct w:val="0"/>
                    <w:adjustRightInd w:val="0"/>
                    <w:snapToGrid w:val="0"/>
                    <w:rPr>
                      <w:color w:val="auto"/>
                      <w:sz w:val="18"/>
                      <w:szCs w:val="18"/>
                      <w:highlight w:val="none"/>
                    </w:rPr>
                  </w:pPr>
                  <w:r>
                    <w:rPr>
                      <w:rFonts w:hint="eastAsia"/>
                      <w:color w:val="auto"/>
                      <w:sz w:val="18"/>
                      <w:szCs w:val="18"/>
                      <w:highlight w:val="none"/>
                    </w:rPr>
                    <w:t>禁止在太湖流域设置不符合国家产业政策和水环境综合治理要求的造纸、制革、酒精、淀粉、冶金、酿造、印染、电镀等排放水污染物的生产项目，现有的生产项目不能实现达标排放的，应当依法关闭。</w:t>
                  </w:r>
                </w:p>
              </w:tc>
              <w:tc>
                <w:tcPr>
                  <w:tcW w:w="1011" w:type="dxa"/>
                  <w:tcBorders>
                    <w:top w:val="single" w:color="auto" w:sz="4" w:space="0"/>
                    <w:left w:val="single" w:color="auto" w:sz="4" w:space="0"/>
                    <w:bottom w:val="single" w:color="auto" w:sz="4" w:space="0"/>
                    <w:right w:val="single" w:color="auto" w:sz="4" w:space="0"/>
                  </w:tcBorders>
                  <w:vAlign w:val="center"/>
                </w:tcPr>
                <w:p w14:paraId="32AEF01D">
                  <w:pPr>
                    <w:overflowPunct w:val="0"/>
                    <w:adjustRightInd w:val="0"/>
                    <w:snapToGrid w:val="0"/>
                    <w:jc w:val="center"/>
                    <w:rPr>
                      <w:color w:val="auto"/>
                      <w:sz w:val="18"/>
                      <w:szCs w:val="18"/>
                      <w:highlight w:val="none"/>
                    </w:rPr>
                  </w:pPr>
                  <w:r>
                    <w:rPr>
                      <w:rFonts w:hint="eastAsia"/>
                      <w:color w:val="auto"/>
                      <w:sz w:val="18"/>
                      <w:szCs w:val="18"/>
                      <w:highlight w:val="none"/>
                    </w:rPr>
                    <w:t>不涉及</w:t>
                  </w:r>
                </w:p>
              </w:tc>
              <w:tc>
                <w:tcPr>
                  <w:tcW w:w="864" w:type="dxa"/>
                  <w:tcBorders>
                    <w:top w:val="single" w:color="auto" w:sz="4" w:space="0"/>
                    <w:left w:val="single" w:color="auto" w:sz="4" w:space="0"/>
                    <w:bottom w:val="single" w:color="auto" w:sz="4" w:space="0"/>
                  </w:tcBorders>
                  <w:vAlign w:val="center"/>
                </w:tcPr>
                <w:p w14:paraId="156AD2B2">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54AC83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5962" w:type="dxa"/>
                  <w:tcBorders>
                    <w:top w:val="single" w:color="auto" w:sz="4" w:space="0"/>
                    <w:bottom w:val="single" w:color="auto" w:sz="4" w:space="0"/>
                    <w:right w:val="single" w:color="auto" w:sz="4" w:space="0"/>
                  </w:tcBorders>
                  <w:vAlign w:val="center"/>
                </w:tcPr>
                <w:p w14:paraId="651A960D">
                  <w:pPr>
                    <w:overflowPunct w:val="0"/>
                    <w:adjustRightInd w:val="0"/>
                    <w:snapToGrid w:val="0"/>
                    <w:rPr>
                      <w:color w:val="auto"/>
                      <w:sz w:val="18"/>
                      <w:szCs w:val="18"/>
                      <w:highlight w:val="none"/>
                    </w:rPr>
                  </w:pPr>
                  <w:r>
                    <w:rPr>
                      <w:rFonts w:hint="eastAsia"/>
                      <w:color w:val="auto"/>
                      <w:sz w:val="18"/>
                      <w:szCs w:val="18"/>
                      <w:highlight w:val="none"/>
                    </w:rPr>
                    <w:t>新孟河、望虞河以外的其他主要入太湖河道，自河口</w:t>
                  </w:r>
                  <w:r>
                    <w:rPr>
                      <w:color w:val="auto"/>
                      <w:sz w:val="18"/>
                      <w:szCs w:val="18"/>
                      <w:highlight w:val="none"/>
                    </w:rPr>
                    <w:t>1</w:t>
                  </w:r>
                  <w:r>
                    <w:rPr>
                      <w:rFonts w:hint="eastAsia"/>
                      <w:color w:val="auto"/>
                      <w:sz w:val="18"/>
                      <w:szCs w:val="18"/>
                      <w:highlight w:val="none"/>
                    </w:rPr>
                    <w:t>万米上溯至</w:t>
                  </w:r>
                  <w:r>
                    <w:rPr>
                      <w:color w:val="auto"/>
                      <w:sz w:val="18"/>
                      <w:szCs w:val="18"/>
                      <w:highlight w:val="none"/>
                    </w:rPr>
                    <w:t>5</w:t>
                  </w:r>
                  <w:r>
                    <w:rPr>
                      <w:rFonts w:hint="eastAsia"/>
                      <w:color w:val="auto"/>
                      <w:sz w:val="18"/>
                      <w:szCs w:val="18"/>
                      <w:highlight w:val="none"/>
                    </w:rPr>
                    <w:t>万米河道岸线内及其岸线两侧各</w:t>
                  </w:r>
                  <w:r>
                    <w:rPr>
                      <w:color w:val="auto"/>
                      <w:sz w:val="18"/>
                      <w:szCs w:val="18"/>
                      <w:highlight w:val="none"/>
                    </w:rPr>
                    <w:t>1000</w:t>
                  </w:r>
                  <w:r>
                    <w:rPr>
                      <w:rFonts w:hint="eastAsia"/>
                      <w:color w:val="auto"/>
                      <w:sz w:val="18"/>
                      <w:szCs w:val="18"/>
                      <w:highlight w:val="none"/>
                    </w:rPr>
                    <w:t>米范围内，禁止下列行为：</w:t>
                  </w:r>
                </w:p>
                <w:p w14:paraId="4D17239F">
                  <w:pPr>
                    <w:overflowPunct w:val="0"/>
                    <w:adjustRightInd w:val="0"/>
                    <w:snapToGrid w:val="0"/>
                    <w:rPr>
                      <w:color w:val="auto"/>
                      <w:sz w:val="18"/>
                      <w:szCs w:val="18"/>
                      <w:highlight w:val="none"/>
                    </w:rPr>
                  </w:pPr>
                  <w:r>
                    <w:rPr>
                      <w:rFonts w:hint="eastAsia"/>
                      <w:color w:val="auto"/>
                      <w:sz w:val="18"/>
                      <w:szCs w:val="18"/>
                      <w:highlight w:val="none"/>
                    </w:rPr>
                    <w:t>（一）新建、扩建化工、医药生产项目；</w:t>
                  </w:r>
                </w:p>
              </w:tc>
              <w:tc>
                <w:tcPr>
                  <w:tcW w:w="1011" w:type="dxa"/>
                  <w:tcBorders>
                    <w:top w:val="single" w:color="auto" w:sz="4" w:space="0"/>
                    <w:left w:val="single" w:color="auto" w:sz="4" w:space="0"/>
                    <w:bottom w:val="single" w:color="auto" w:sz="4" w:space="0"/>
                    <w:right w:val="single" w:color="auto" w:sz="4" w:space="0"/>
                  </w:tcBorders>
                  <w:vAlign w:val="center"/>
                </w:tcPr>
                <w:p w14:paraId="275CD270">
                  <w:pPr>
                    <w:overflowPunct w:val="0"/>
                    <w:adjustRightInd w:val="0"/>
                    <w:snapToGrid w:val="0"/>
                    <w:jc w:val="center"/>
                    <w:rPr>
                      <w:color w:val="auto"/>
                      <w:sz w:val="18"/>
                      <w:szCs w:val="18"/>
                      <w:highlight w:val="none"/>
                    </w:rPr>
                  </w:pPr>
                  <w:r>
                    <w:rPr>
                      <w:rFonts w:hint="eastAsia"/>
                      <w:color w:val="auto"/>
                      <w:sz w:val="18"/>
                      <w:szCs w:val="18"/>
                      <w:highlight w:val="none"/>
                    </w:rPr>
                    <w:t>不涉及</w:t>
                  </w:r>
                </w:p>
              </w:tc>
              <w:tc>
                <w:tcPr>
                  <w:tcW w:w="864" w:type="dxa"/>
                  <w:tcBorders>
                    <w:top w:val="single" w:color="auto" w:sz="4" w:space="0"/>
                    <w:left w:val="single" w:color="auto" w:sz="4" w:space="0"/>
                    <w:bottom w:val="single" w:color="auto" w:sz="4" w:space="0"/>
                  </w:tcBorders>
                  <w:vAlign w:val="center"/>
                </w:tcPr>
                <w:p w14:paraId="6896EC84">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0B6B87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64" w:hRule="atLeast"/>
                <w:jc w:val="center"/>
              </w:trPr>
              <w:tc>
                <w:tcPr>
                  <w:tcW w:w="5962" w:type="dxa"/>
                  <w:tcBorders>
                    <w:top w:val="single" w:color="auto" w:sz="4" w:space="0"/>
                    <w:bottom w:val="single" w:color="auto" w:sz="4" w:space="0"/>
                    <w:right w:val="single" w:color="auto" w:sz="4" w:space="0"/>
                  </w:tcBorders>
                  <w:vAlign w:val="center"/>
                </w:tcPr>
                <w:p w14:paraId="1ACA38D5">
                  <w:pPr>
                    <w:overflowPunct w:val="0"/>
                    <w:adjustRightInd w:val="0"/>
                    <w:snapToGrid w:val="0"/>
                    <w:rPr>
                      <w:color w:val="auto"/>
                      <w:sz w:val="18"/>
                      <w:szCs w:val="18"/>
                      <w:highlight w:val="none"/>
                    </w:rPr>
                  </w:pPr>
                  <w:r>
                    <w:rPr>
                      <w:rFonts w:hint="eastAsia"/>
                      <w:color w:val="auto"/>
                      <w:sz w:val="18"/>
                      <w:szCs w:val="18"/>
                      <w:highlight w:val="none"/>
                    </w:rPr>
                    <w:t>（二）新建、扩建污水集中处理设施排污口以外的排污口；</w:t>
                  </w:r>
                </w:p>
              </w:tc>
              <w:tc>
                <w:tcPr>
                  <w:tcW w:w="1011" w:type="dxa"/>
                  <w:tcBorders>
                    <w:top w:val="single" w:color="auto" w:sz="4" w:space="0"/>
                    <w:left w:val="single" w:color="auto" w:sz="4" w:space="0"/>
                    <w:bottom w:val="single" w:color="auto" w:sz="4" w:space="0"/>
                    <w:right w:val="single" w:color="auto" w:sz="4" w:space="0"/>
                  </w:tcBorders>
                  <w:vAlign w:val="center"/>
                </w:tcPr>
                <w:p w14:paraId="580F0518">
                  <w:pPr>
                    <w:overflowPunct w:val="0"/>
                    <w:adjustRightInd w:val="0"/>
                    <w:snapToGrid w:val="0"/>
                    <w:jc w:val="center"/>
                    <w:rPr>
                      <w:color w:val="auto"/>
                      <w:sz w:val="18"/>
                      <w:szCs w:val="18"/>
                      <w:highlight w:val="none"/>
                    </w:rPr>
                  </w:pPr>
                  <w:r>
                    <w:rPr>
                      <w:rFonts w:hint="eastAsia"/>
                      <w:color w:val="auto"/>
                      <w:sz w:val="18"/>
                      <w:szCs w:val="18"/>
                      <w:highlight w:val="none"/>
                    </w:rPr>
                    <w:t>不涉及</w:t>
                  </w:r>
                </w:p>
              </w:tc>
              <w:tc>
                <w:tcPr>
                  <w:tcW w:w="864" w:type="dxa"/>
                  <w:tcBorders>
                    <w:top w:val="single" w:color="auto" w:sz="4" w:space="0"/>
                    <w:left w:val="single" w:color="auto" w:sz="4" w:space="0"/>
                    <w:bottom w:val="single" w:color="auto" w:sz="4" w:space="0"/>
                  </w:tcBorders>
                  <w:vAlign w:val="center"/>
                </w:tcPr>
                <w:p w14:paraId="3D265DE2">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6D9B46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5962" w:type="dxa"/>
                  <w:tcBorders>
                    <w:top w:val="single" w:color="auto" w:sz="4" w:space="0"/>
                    <w:bottom w:val="single" w:color="auto" w:sz="4" w:space="0"/>
                    <w:right w:val="single" w:color="auto" w:sz="4" w:space="0"/>
                  </w:tcBorders>
                  <w:vAlign w:val="center"/>
                </w:tcPr>
                <w:p w14:paraId="3B533423">
                  <w:pPr>
                    <w:overflowPunct w:val="0"/>
                    <w:adjustRightInd w:val="0"/>
                    <w:snapToGrid w:val="0"/>
                    <w:rPr>
                      <w:color w:val="auto"/>
                      <w:sz w:val="18"/>
                      <w:szCs w:val="18"/>
                      <w:highlight w:val="none"/>
                    </w:rPr>
                  </w:pPr>
                  <w:r>
                    <w:rPr>
                      <w:rFonts w:hint="eastAsia"/>
                      <w:color w:val="auto"/>
                      <w:sz w:val="18"/>
                      <w:szCs w:val="18"/>
                      <w:highlight w:val="none"/>
                    </w:rPr>
                    <w:t>（三）扩大水产养殖规模。</w:t>
                  </w:r>
                </w:p>
              </w:tc>
              <w:tc>
                <w:tcPr>
                  <w:tcW w:w="1011" w:type="dxa"/>
                  <w:tcBorders>
                    <w:top w:val="single" w:color="auto" w:sz="4" w:space="0"/>
                    <w:left w:val="single" w:color="auto" w:sz="4" w:space="0"/>
                    <w:bottom w:val="single" w:color="auto" w:sz="4" w:space="0"/>
                    <w:right w:val="single" w:color="auto" w:sz="4" w:space="0"/>
                  </w:tcBorders>
                  <w:vAlign w:val="center"/>
                </w:tcPr>
                <w:p w14:paraId="1A649D18">
                  <w:pPr>
                    <w:overflowPunct w:val="0"/>
                    <w:adjustRightInd w:val="0"/>
                    <w:snapToGrid w:val="0"/>
                    <w:jc w:val="center"/>
                    <w:rPr>
                      <w:color w:val="auto"/>
                      <w:sz w:val="18"/>
                      <w:szCs w:val="18"/>
                      <w:highlight w:val="none"/>
                    </w:rPr>
                  </w:pPr>
                  <w:r>
                    <w:rPr>
                      <w:rFonts w:hint="eastAsia"/>
                      <w:color w:val="auto"/>
                      <w:sz w:val="18"/>
                      <w:szCs w:val="18"/>
                      <w:highlight w:val="none"/>
                    </w:rPr>
                    <w:t>不涉及</w:t>
                  </w:r>
                </w:p>
              </w:tc>
              <w:tc>
                <w:tcPr>
                  <w:tcW w:w="864" w:type="dxa"/>
                  <w:tcBorders>
                    <w:top w:val="single" w:color="auto" w:sz="4" w:space="0"/>
                    <w:left w:val="single" w:color="auto" w:sz="4" w:space="0"/>
                    <w:bottom w:val="single" w:color="auto" w:sz="4" w:space="0"/>
                  </w:tcBorders>
                  <w:vAlign w:val="center"/>
                </w:tcPr>
                <w:p w14:paraId="7180A2B8">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1703EE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5962" w:type="dxa"/>
                  <w:tcBorders>
                    <w:top w:val="single" w:color="auto" w:sz="4" w:space="0"/>
                    <w:bottom w:val="single" w:color="auto" w:sz="4" w:space="0"/>
                    <w:right w:val="single" w:color="auto" w:sz="4" w:space="0"/>
                  </w:tcBorders>
                  <w:vAlign w:val="center"/>
                </w:tcPr>
                <w:p w14:paraId="33100135">
                  <w:pPr>
                    <w:overflowPunct w:val="0"/>
                    <w:adjustRightInd w:val="0"/>
                    <w:snapToGrid w:val="0"/>
                    <w:rPr>
                      <w:color w:val="auto"/>
                      <w:sz w:val="18"/>
                      <w:szCs w:val="18"/>
                      <w:highlight w:val="none"/>
                    </w:rPr>
                  </w:pPr>
                  <w:r>
                    <w:rPr>
                      <w:rFonts w:hint="eastAsia"/>
                      <w:color w:val="auto"/>
                      <w:sz w:val="18"/>
                      <w:szCs w:val="18"/>
                      <w:highlight w:val="none"/>
                    </w:rPr>
                    <w:t>太湖岸线内和岸线周边</w:t>
                  </w:r>
                  <w:r>
                    <w:rPr>
                      <w:color w:val="auto"/>
                      <w:sz w:val="18"/>
                      <w:szCs w:val="18"/>
                      <w:highlight w:val="none"/>
                    </w:rPr>
                    <w:t>5000</w:t>
                  </w:r>
                  <w:r>
                    <w:rPr>
                      <w:rFonts w:hint="eastAsia"/>
                      <w:color w:val="auto"/>
                      <w:sz w:val="18"/>
                      <w:szCs w:val="18"/>
                      <w:highlight w:val="none"/>
                    </w:rPr>
                    <w:t>米范围内，淀山湖岸线内和岸线周边</w:t>
                  </w:r>
                  <w:r>
                    <w:rPr>
                      <w:color w:val="auto"/>
                      <w:sz w:val="18"/>
                      <w:szCs w:val="18"/>
                      <w:highlight w:val="none"/>
                    </w:rPr>
                    <w:t>2000</w:t>
                  </w:r>
                  <w:r>
                    <w:rPr>
                      <w:rFonts w:hint="eastAsia"/>
                      <w:color w:val="auto"/>
                      <w:sz w:val="18"/>
                      <w:szCs w:val="18"/>
                      <w:highlight w:val="none"/>
                    </w:rPr>
                    <w:t>米范围内，太浦河、新孟河、望虞河岸线内和岸线两侧各</w:t>
                  </w:r>
                  <w:r>
                    <w:rPr>
                      <w:color w:val="auto"/>
                      <w:sz w:val="18"/>
                      <w:szCs w:val="18"/>
                      <w:highlight w:val="none"/>
                    </w:rPr>
                    <w:t>1000</w:t>
                  </w:r>
                  <w:r>
                    <w:rPr>
                      <w:rFonts w:hint="eastAsia"/>
                      <w:color w:val="auto"/>
                      <w:sz w:val="18"/>
                      <w:szCs w:val="18"/>
                      <w:highlight w:val="none"/>
                    </w:rPr>
                    <w:t>米范围内，其他主要入太湖河道自河口上溯至</w:t>
                  </w:r>
                  <w:r>
                    <w:rPr>
                      <w:color w:val="auto"/>
                      <w:sz w:val="18"/>
                      <w:szCs w:val="18"/>
                      <w:highlight w:val="none"/>
                    </w:rPr>
                    <w:t>1</w:t>
                  </w:r>
                  <w:r>
                    <w:rPr>
                      <w:rFonts w:hint="eastAsia"/>
                      <w:color w:val="auto"/>
                      <w:sz w:val="18"/>
                      <w:szCs w:val="18"/>
                      <w:highlight w:val="none"/>
                    </w:rPr>
                    <w:t>万米河道岸线内及其岸线两侧各</w:t>
                  </w:r>
                  <w:r>
                    <w:rPr>
                      <w:color w:val="auto"/>
                      <w:sz w:val="18"/>
                      <w:szCs w:val="18"/>
                      <w:highlight w:val="none"/>
                    </w:rPr>
                    <w:t>1000</w:t>
                  </w:r>
                  <w:r>
                    <w:rPr>
                      <w:rFonts w:hint="eastAsia"/>
                      <w:color w:val="auto"/>
                      <w:sz w:val="18"/>
                      <w:szCs w:val="18"/>
                      <w:highlight w:val="none"/>
                    </w:rPr>
                    <w:t>米范围内，禁止下列行为：</w:t>
                  </w:r>
                </w:p>
                <w:p w14:paraId="5FF7EF90">
                  <w:pPr>
                    <w:overflowPunct w:val="0"/>
                    <w:adjustRightInd w:val="0"/>
                    <w:snapToGrid w:val="0"/>
                    <w:rPr>
                      <w:color w:val="auto"/>
                      <w:sz w:val="18"/>
                      <w:szCs w:val="18"/>
                      <w:highlight w:val="none"/>
                    </w:rPr>
                  </w:pPr>
                  <w:r>
                    <w:rPr>
                      <w:rFonts w:hint="eastAsia"/>
                      <w:color w:val="auto"/>
                      <w:sz w:val="18"/>
                      <w:szCs w:val="18"/>
                      <w:highlight w:val="none"/>
                    </w:rPr>
                    <w:t>（一）设置剧毒物质、危险化学品的贮存、输送设施和废物回收场、垃圾场；</w:t>
                  </w:r>
                </w:p>
              </w:tc>
              <w:tc>
                <w:tcPr>
                  <w:tcW w:w="1011" w:type="dxa"/>
                  <w:tcBorders>
                    <w:top w:val="single" w:color="auto" w:sz="4" w:space="0"/>
                    <w:left w:val="single" w:color="auto" w:sz="4" w:space="0"/>
                    <w:bottom w:val="single" w:color="auto" w:sz="4" w:space="0"/>
                    <w:right w:val="single" w:color="auto" w:sz="4" w:space="0"/>
                  </w:tcBorders>
                  <w:vAlign w:val="center"/>
                </w:tcPr>
                <w:p w14:paraId="5130EB1B">
                  <w:pPr>
                    <w:overflowPunct w:val="0"/>
                    <w:adjustRightInd w:val="0"/>
                    <w:snapToGrid w:val="0"/>
                    <w:jc w:val="center"/>
                    <w:rPr>
                      <w:color w:val="auto"/>
                      <w:sz w:val="18"/>
                      <w:szCs w:val="18"/>
                      <w:highlight w:val="none"/>
                    </w:rPr>
                  </w:pPr>
                  <w:r>
                    <w:rPr>
                      <w:rFonts w:hint="eastAsia"/>
                      <w:color w:val="auto"/>
                      <w:sz w:val="18"/>
                      <w:szCs w:val="18"/>
                      <w:highlight w:val="none"/>
                    </w:rPr>
                    <w:t>不涉及</w:t>
                  </w:r>
                </w:p>
              </w:tc>
              <w:tc>
                <w:tcPr>
                  <w:tcW w:w="864" w:type="dxa"/>
                  <w:tcBorders>
                    <w:top w:val="single" w:color="auto" w:sz="4" w:space="0"/>
                    <w:left w:val="single" w:color="auto" w:sz="4" w:space="0"/>
                    <w:bottom w:val="single" w:color="auto" w:sz="4" w:space="0"/>
                  </w:tcBorders>
                  <w:vAlign w:val="center"/>
                </w:tcPr>
                <w:p w14:paraId="5B094856">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48A0DE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56" w:hRule="atLeast"/>
                <w:jc w:val="center"/>
              </w:trPr>
              <w:tc>
                <w:tcPr>
                  <w:tcW w:w="5962" w:type="dxa"/>
                  <w:tcBorders>
                    <w:top w:val="single" w:color="auto" w:sz="4" w:space="0"/>
                    <w:bottom w:val="single" w:color="auto" w:sz="4" w:space="0"/>
                    <w:right w:val="single" w:color="auto" w:sz="4" w:space="0"/>
                  </w:tcBorders>
                  <w:vAlign w:val="center"/>
                </w:tcPr>
                <w:p w14:paraId="3199977E">
                  <w:pPr>
                    <w:overflowPunct w:val="0"/>
                    <w:adjustRightInd w:val="0"/>
                    <w:snapToGrid w:val="0"/>
                    <w:rPr>
                      <w:color w:val="auto"/>
                      <w:sz w:val="18"/>
                      <w:szCs w:val="18"/>
                      <w:highlight w:val="none"/>
                    </w:rPr>
                  </w:pPr>
                  <w:r>
                    <w:rPr>
                      <w:rFonts w:hint="eastAsia"/>
                      <w:color w:val="auto"/>
                      <w:sz w:val="18"/>
                      <w:szCs w:val="18"/>
                      <w:highlight w:val="none"/>
                    </w:rPr>
                    <w:t>（二）设置水上餐饮经营设施；</w:t>
                  </w:r>
                </w:p>
              </w:tc>
              <w:tc>
                <w:tcPr>
                  <w:tcW w:w="1011" w:type="dxa"/>
                  <w:tcBorders>
                    <w:top w:val="single" w:color="auto" w:sz="4" w:space="0"/>
                    <w:left w:val="single" w:color="auto" w:sz="4" w:space="0"/>
                    <w:bottom w:val="single" w:color="auto" w:sz="4" w:space="0"/>
                    <w:right w:val="single" w:color="auto" w:sz="4" w:space="0"/>
                  </w:tcBorders>
                  <w:vAlign w:val="center"/>
                </w:tcPr>
                <w:p w14:paraId="16C6D5EF">
                  <w:pPr>
                    <w:overflowPunct w:val="0"/>
                    <w:adjustRightInd w:val="0"/>
                    <w:snapToGrid w:val="0"/>
                    <w:jc w:val="center"/>
                    <w:rPr>
                      <w:color w:val="auto"/>
                      <w:sz w:val="18"/>
                      <w:szCs w:val="18"/>
                      <w:highlight w:val="none"/>
                    </w:rPr>
                  </w:pPr>
                  <w:r>
                    <w:rPr>
                      <w:rFonts w:hint="eastAsia"/>
                      <w:color w:val="auto"/>
                      <w:sz w:val="18"/>
                      <w:szCs w:val="18"/>
                      <w:highlight w:val="none"/>
                    </w:rPr>
                    <w:t>不涉及</w:t>
                  </w:r>
                </w:p>
              </w:tc>
              <w:tc>
                <w:tcPr>
                  <w:tcW w:w="864" w:type="dxa"/>
                  <w:tcBorders>
                    <w:top w:val="single" w:color="auto" w:sz="4" w:space="0"/>
                    <w:left w:val="single" w:color="auto" w:sz="4" w:space="0"/>
                    <w:bottom w:val="single" w:color="auto" w:sz="4" w:space="0"/>
                  </w:tcBorders>
                  <w:vAlign w:val="center"/>
                </w:tcPr>
                <w:p w14:paraId="319F5998">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779FE0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962" w:type="dxa"/>
                  <w:tcBorders>
                    <w:top w:val="single" w:color="auto" w:sz="4" w:space="0"/>
                    <w:bottom w:val="single" w:color="auto" w:sz="4" w:space="0"/>
                    <w:right w:val="single" w:color="auto" w:sz="4" w:space="0"/>
                  </w:tcBorders>
                  <w:vAlign w:val="center"/>
                </w:tcPr>
                <w:p w14:paraId="4ABD51C8">
                  <w:pPr>
                    <w:overflowPunct w:val="0"/>
                    <w:adjustRightInd w:val="0"/>
                    <w:snapToGrid w:val="0"/>
                    <w:rPr>
                      <w:color w:val="auto"/>
                      <w:sz w:val="18"/>
                      <w:szCs w:val="18"/>
                      <w:highlight w:val="none"/>
                    </w:rPr>
                  </w:pPr>
                  <w:r>
                    <w:rPr>
                      <w:rFonts w:hint="eastAsia"/>
                      <w:color w:val="auto"/>
                      <w:sz w:val="18"/>
                      <w:szCs w:val="18"/>
                      <w:highlight w:val="none"/>
                    </w:rPr>
                    <w:t>（三）新建、扩建高尔夫球场；</w:t>
                  </w:r>
                </w:p>
              </w:tc>
              <w:tc>
                <w:tcPr>
                  <w:tcW w:w="1011" w:type="dxa"/>
                  <w:tcBorders>
                    <w:top w:val="single" w:color="auto" w:sz="4" w:space="0"/>
                    <w:left w:val="single" w:color="auto" w:sz="4" w:space="0"/>
                    <w:bottom w:val="single" w:color="auto" w:sz="4" w:space="0"/>
                    <w:right w:val="single" w:color="auto" w:sz="4" w:space="0"/>
                  </w:tcBorders>
                  <w:vAlign w:val="center"/>
                </w:tcPr>
                <w:p w14:paraId="12D55B7C">
                  <w:pPr>
                    <w:overflowPunct w:val="0"/>
                    <w:adjustRightInd w:val="0"/>
                    <w:snapToGrid w:val="0"/>
                    <w:jc w:val="center"/>
                    <w:rPr>
                      <w:color w:val="auto"/>
                      <w:sz w:val="18"/>
                      <w:szCs w:val="18"/>
                      <w:highlight w:val="none"/>
                    </w:rPr>
                  </w:pPr>
                  <w:r>
                    <w:rPr>
                      <w:rFonts w:hint="eastAsia"/>
                      <w:color w:val="auto"/>
                      <w:sz w:val="18"/>
                      <w:szCs w:val="18"/>
                      <w:highlight w:val="none"/>
                    </w:rPr>
                    <w:t>不涉及</w:t>
                  </w:r>
                </w:p>
              </w:tc>
              <w:tc>
                <w:tcPr>
                  <w:tcW w:w="864" w:type="dxa"/>
                  <w:tcBorders>
                    <w:top w:val="single" w:color="auto" w:sz="4" w:space="0"/>
                    <w:left w:val="single" w:color="auto" w:sz="4" w:space="0"/>
                    <w:bottom w:val="single" w:color="auto" w:sz="4" w:space="0"/>
                  </w:tcBorders>
                  <w:vAlign w:val="center"/>
                </w:tcPr>
                <w:p w14:paraId="3E3A0E92">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023FC7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5962" w:type="dxa"/>
                  <w:tcBorders>
                    <w:top w:val="single" w:color="auto" w:sz="4" w:space="0"/>
                    <w:bottom w:val="single" w:color="auto" w:sz="4" w:space="0"/>
                    <w:right w:val="single" w:color="auto" w:sz="4" w:space="0"/>
                  </w:tcBorders>
                  <w:vAlign w:val="center"/>
                </w:tcPr>
                <w:p w14:paraId="266A5569">
                  <w:pPr>
                    <w:overflowPunct w:val="0"/>
                    <w:adjustRightInd w:val="0"/>
                    <w:snapToGrid w:val="0"/>
                    <w:rPr>
                      <w:color w:val="auto"/>
                      <w:sz w:val="18"/>
                      <w:szCs w:val="18"/>
                      <w:highlight w:val="none"/>
                    </w:rPr>
                  </w:pPr>
                  <w:r>
                    <w:rPr>
                      <w:rFonts w:hint="eastAsia"/>
                      <w:color w:val="auto"/>
                      <w:sz w:val="18"/>
                      <w:szCs w:val="18"/>
                      <w:highlight w:val="none"/>
                    </w:rPr>
                    <w:t>（四）新建、扩建畜禽养殖场；</w:t>
                  </w:r>
                </w:p>
              </w:tc>
              <w:tc>
                <w:tcPr>
                  <w:tcW w:w="1011" w:type="dxa"/>
                  <w:tcBorders>
                    <w:top w:val="single" w:color="auto" w:sz="4" w:space="0"/>
                    <w:left w:val="single" w:color="auto" w:sz="4" w:space="0"/>
                    <w:bottom w:val="single" w:color="auto" w:sz="4" w:space="0"/>
                    <w:right w:val="single" w:color="auto" w:sz="4" w:space="0"/>
                  </w:tcBorders>
                  <w:vAlign w:val="center"/>
                </w:tcPr>
                <w:p w14:paraId="300E59EE">
                  <w:pPr>
                    <w:overflowPunct w:val="0"/>
                    <w:adjustRightInd w:val="0"/>
                    <w:snapToGrid w:val="0"/>
                    <w:jc w:val="center"/>
                    <w:rPr>
                      <w:color w:val="auto"/>
                      <w:sz w:val="18"/>
                      <w:szCs w:val="18"/>
                      <w:highlight w:val="none"/>
                    </w:rPr>
                  </w:pPr>
                  <w:r>
                    <w:rPr>
                      <w:rFonts w:hint="eastAsia"/>
                      <w:color w:val="auto"/>
                      <w:sz w:val="18"/>
                      <w:szCs w:val="18"/>
                      <w:highlight w:val="none"/>
                    </w:rPr>
                    <w:t>不涉及</w:t>
                  </w:r>
                </w:p>
              </w:tc>
              <w:tc>
                <w:tcPr>
                  <w:tcW w:w="864" w:type="dxa"/>
                  <w:tcBorders>
                    <w:top w:val="single" w:color="auto" w:sz="4" w:space="0"/>
                    <w:left w:val="single" w:color="auto" w:sz="4" w:space="0"/>
                    <w:bottom w:val="single" w:color="auto" w:sz="4" w:space="0"/>
                  </w:tcBorders>
                  <w:vAlign w:val="center"/>
                </w:tcPr>
                <w:p w14:paraId="2E88E3C8">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66AE78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5962" w:type="dxa"/>
                  <w:tcBorders>
                    <w:top w:val="single" w:color="auto" w:sz="4" w:space="0"/>
                    <w:bottom w:val="single" w:color="auto" w:sz="12" w:space="0"/>
                    <w:right w:val="single" w:color="auto" w:sz="4" w:space="0"/>
                  </w:tcBorders>
                  <w:vAlign w:val="center"/>
                </w:tcPr>
                <w:p w14:paraId="1FB3FF16">
                  <w:pPr>
                    <w:overflowPunct w:val="0"/>
                    <w:adjustRightInd w:val="0"/>
                    <w:snapToGrid w:val="0"/>
                    <w:rPr>
                      <w:color w:val="auto"/>
                      <w:sz w:val="18"/>
                      <w:szCs w:val="18"/>
                      <w:highlight w:val="none"/>
                    </w:rPr>
                  </w:pPr>
                  <w:r>
                    <w:rPr>
                      <w:rFonts w:hint="eastAsia"/>
                      <w:color w:val="auto"/>
                      <w:sz w:val="18"/>
                      <w:szCs w:val="18"/>
                      <w:highlight w:val="none"/>
                    </w:rPr>
                    <w:t>（五）新建、扩建向水体排放污染物的建设项目；</w:t>
                  </w:r>
                </w:p>
              </w:tc>
              <w:tc>
                <w:tcPr>
                  <w:tcW w:w="1011" w:type="dxa"/>
                  <w:tcBorders>
                    <w:top w:val="single" w:color="auto" w:sz="4" w:space="0"/>
                    <w:left w:val="single" w:color="auto" w:sz="4" w:space="0"/>
                    <w:bottom w:val="single" w:color="auto" w:sz="12" w:space="0"/>
                    <w:right w:val="single" w:color="auto" w:sz="4" w:space="0"/>
                  </w:tcBorders>
                  <w:vAlign w:val="center"/>
                </w:tcPr>
                <w:p w14:paraId="56EE6085">
                  <w:pPr>
                    <w:overflowPunct w:val="0"/>
                    <w:adjustRightInd w:val="0"/>
                    <w:snapToGrid w:val="0"/>
                    <w:jc w:val="center"/>
                    <w:rPr>
                      <w:color w:val="auto"/>
                      <w:sz w:val="18"/>
                      <w:szCs w:val="18"/>
                      <w:highlight w:val="none"/>
                    </w:rPr>
                  </w:pPr>
                  <w:r>
                    <w:rPr>
                      <w:rFonts w:hint="eastAsia"/>
                      <w:color w:val="auto"/>
                      <w:sz w:val="18"/>
                      <w:szCs w:val="18"/>
                      <w:highlight w:val="none"/>
                    </w:rPr>
                    <w:t>不涉及</w:t>
                  </w:r>
                </w:p>
              </w:tc>
              <w:tc>
                <w:tcPr>
                  <w:tcW w:w="864" w:type="dxa"/>
                  <w:tcBorders>
                    <w:top w:val="single" w:color="auto" w:sz="4" w:space="0"/>
                    <w:left w:val="single" w:color="auto" w:sz="4" w:space="0"/>
                    <w:bottom w:val="single" w:color="auto" w:sz="12" w:space="0"/>
                  </w:tcBorders>
                  <w:vAlign w:val="center"/>
                </w:tcPr>
                <w:p w14:paraId="7C038BF1">
                  <w:pPr>
                    <w:overflowPunct w:val="0"/>
                    <w:adjustRightInd w:val="0"/>
                    <w:snapToGrid w:val="0"/>
                    <w:jc w:val="center"/>
                    <w:rPr>
                      <w:color w:val="auto"/>
                      <w:sz w:val="18"/>
                      <w:szCs w:val="18"/>
                      <w:highlight w:val="none"/>
                    </w:rPr>
                  </w:pPr>
                  <w:r>
                    <w:rPr>
                      <w:rFonts w:hint="eastAsia"/>
                      <w:color w:val="auto"/>
                      <w:sz w:val="18"/>
                      <w:szCs w:val="18"/>
                      <w:highlight w:val="none"/>
                    </w:rPr>
                    <w:t>符合</w:t>
                  </w:r>
                </w:p>
              </w:tc>
            </w:tr>
          </w:tbl>
          <w:p w14:paraId="1B931747">
            <w:pPr>
              <w:overflowPunct w:val="0"/>
              <w:adjustRightInd w:val="0"/>
              <w:snapToGrid w:val="0"/>
              <w:spacing w:line="360"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2</w:t>
            </w:r>
            <w:r>
              <w:rPr>
                <w:rFonts w:hint="eastAsia"/>
                <w:color w:val="auto"/>
                <w:kern w:val="0"/>
                <w:szCs w:val="21"/>
                <w:highlight w:val="none"/>
              </w:rPr>
              <w:t>）《江苏省太湖水污染防治条例》</w:t>
            </w:r>
          </w:p>
          <w:p w14:paraId="734CFE22">
            <w:pPr>
              <w:tabs>
                <w:tab w:val="center" w:pos="4156"/>
                <w:tab w:val="left" w:pos="5964"/>
              </w:tabs>
              <w:adjustRightInd w:val="0"/>
              <w:snapToGrid w:val="0"/>
              <w:jc w:val="center"/>
              <w:rPr>
                <w:b/>
                <w:bCs/>
                <w:color w:val="auto"/>
                <w:szCs w:val="21"/>
                <w:highlight w:val="none"/>
              </w:rPr>
            </w:pPr>
            <w:r>
              <w:rPr>
                <w:rFonts w:hint="eastAsia"/>
                <w:b/>
                <w:bCs/>
                <w:color w:val="auto"/>
                <w:szCs w:val="21"/>
                <w:highlight w:val="none"/>
              </w:rPr>
              <w:t>表</w:t>
            </w:r>
            <w:r>
              <w:rPr>
                <w:b/>
                <w:bCs/>
                <w:color w:val="auto"/>
                <w:szCs w:val="21"/>
                <w:highlight w:val="none"/>
              </w:rPr>
              <w:t>1-1</w:t>
            </w:r>
            <w:r>
              <w:rPr>
                <w:rFonts w:hint="eastAsia"/>
                <w:b/>
                <w:bCs/>
                <w:color w:val="auto"/>
                <w:szCs w:val="21"/>
                <w:highlight w:val="none"/>
                <w:lang w:val="en-US" w:eastAsia="zh-CN"/>
              </w:rPr>
              <w:t>0</w:t>
            </w:r>
            <w:r>
              <w:rPr>
                <w:b/>
                <w:bCs/>
                <w:color w:val="auto"/>
                <w:szCs w:val="21"/>
                <w:highlight w:val="none"/>
              </w:rPr>
              <w:t xml:space="preserve">  </w:t>
            </w:r>
            <w:r>
              <w:rPr>
                <w:rFonts w:hint="eastAsia"/>
                <w:b/>
                <w:bCs/>
                <w:color w:val="auto"/>
                <w:szCs w:val="21"/>
                <w:highlight w:val="none"/>
              </w:rPr>
              <w:t>江苏省太湖水污染防治条例（</w:t>
            </w:r>
            <w:r>
              <w:rPr>
                <w:b/>
                <w:bCs/>
                <w:color w:val="auto"/>
                <w:szCs w:val="21"/>
                <w:highlight w:val="none"/>
              </w:rPr>
              <w:t>2021</w:t>
            </w:r>
            <w:r>
              <w:rPr>
                <w:rFonts w:hint="eastAsia"/>
                <w:b/>
                <w:bCs/>
                <w:color w:val="auto"/>
                <w:szCs w:val="21"/>
                <w:highlight w:val="none"/>
              </w:rPr>
              <w:t>年修订）</w:t>
            </w:r>
          </w:p>
          <w:tbl>
            <w:tblPr>
              <w:tblStyle w:val="2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240"/>
              <w:gridCol w:w="1107"/>
              <w:gridCol w:w="865"/>
            </w:tblGrid>
            <w:tr w14:paraId="158A55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696" w:type="dxa"/>
                  <w:tcBorders>
                    <w:top w:val="single" w:color="auto" w:sz="12" w:space="0"/>
                    <w:bottom w:val="single" w:color="auto" w:sz="4" w:space="0"/>
                    <w:right w:val="single" w:color="auto" w:sz="4" w:space="0"/>
                  </w:tcBorders>
                  <w:vAlign w:val="center"/>
                </w:tcPr>
                <w:p w14:paraId="2BFFD147">
                  <w:pPr>
                    <w:overflowPunct w:val="0"/>
                    <w:adjustRightInd w:val="0"/>
                    <w:snapToGrid w:val="0"/>
                    <w:jc w:val="center"/>
                    <w:rPr>
                      <w:b/>
                      <w:bCs/>
                      <w:color w:val="auto"/>
                      <w:sz w:val="18"/>
                      <w:szCs w:val="18"/>
                      <w:highlight w:val="none"/>
                    </w:rPr>
                  </w:pPr>
                  <w:r>
                    <w:rPr>
                      <w:rFonts w:hint="eastAsia"/>
                      <w:color w:val="auto"/>
                      <w:sz w:val="18"/>
                      <w:szCs w:val="18"/>
                      <w:highlight w:val="none"/>
                    </w:rPr>
                    <w:t>条款内容</w:t>
                  </w:r>
                </w:p>
              </w:tc>
              <w:tc>
                <w:tcPr>
                  <w:tcW w:w="1202" w:type="dxa"/>
                  <w:tcBorders>
                    <w:top w:val="single" w:color="auto" w:sz="12" w:space="0"/>
                    <w:left w:val="single" w:color="auto" w:sz="4" w:space="0"/>
                    <w:bottom w:val="single" w:color="auto" w:sz="4" w:space="0"/>
                    <w:right w:val="single" w:color="auto" w:sz="4" w:space="0"/>
                  </w:tcBorders>
                  <w:vAlign w:val="center"/>
                </w:tcPr>
                <w:p w14:paraId="42089799">
                  <w:pPr>
                    <w:overflowPunct w:val="0"/>
                    <w:adjustRightInd w:val="0"/>
                    <w:snapToGrid w:val="0"/>
                    <w:jc w:val="center"/>
                    <w:rPr>
                      <w:color w:val="auto"/>
                      <w:sz w:val="18"/>
                      <w:szCs w:val="18"/>
                      <w:highlight w:val="none"/>
                    </w:rPr>
                  </w:pPr>
                  <w:r>
                    <w:rPr>
                      <w:rFonts w:hint="eastAsia"/>
                      <w:color w:val="auto"/>
                      <w:sz w:val="18"/>
                      <w:szCs w:val="18"/>
                      <w:highlight w:val="none"/>
                    </w:rPr>
                    <w:t>本项目情况</w:t>
                  </w:r>
                </w:p>
              </w:tc>
              <w:tc>
                <w:tcPr>
                  <w:tcW w:w="939" w:type="dxa"/>
                  <w:tcBorders>
                    <w:top w:val="single" w:color="auto" w:sz="12" w:space="0"/>
                    <w:left w:val="single" w:color="auto" w:sz="4" w:space="0"/>
                    <w:bottom w:val="single" w:color="auto" w:sz="4" w:space="0"/>
                  </w:tcBorders>
                  <w:vAlign w:val="center"/>
                </w:tcPr>
                <w:p w14:paraId="6A02670E">
                  <w:pPr>
                    <w:overflowPunct w:val="0"/>
                    <w:adjustRightInd w:val="0"/>
                    <w:snapToGrid w:val="0"/>
                    <w:jc w:val="center"/>
                    <w:rPr>
                      <w:color w:val="auto"/>
                      <w:sz w:val="18"/>
                      <w:szCs w:val="18"/>
                      <w:highlight w:val="none"/>
                    </w:rPr>
                  </w:pPr>
                  <w:r>
                    <w:rPr>
                      <w:rFonts w:hint="eastAsia"/>
                      <w:color w:val="auto"/>
                      <w:sz w:val="18"/>
                      <w:szCs w:val="18"/>
                      <w:highlight w:val="none"/>
                    </w:rPr>
                    <w:t>相符性</w:t>
                  </w:r>
                </w:p>
              </w:tc>
            </w:tr>
            <w:tr w14:paraId="21AA9E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96" w:type="dxa"/>
                  <w:tcBorders>
                    <w:top w:val="single" w:color="auto" w:sz="4" w:space="0"/>
                    <w:bottom w:val="single" w:color="auto" w:sz="4" w:space="0"/>
                    <w:right w:val="single" w:color="auto" w:sz="4" w:space="0"/>
                  </w:tcBorders>
                  <w:vAlign w:val="center"/>
                </w:tcPr>
                <w:p w14:paraId="60A9B9C1">
                  <w:pPr>
                    <w:jc w:val="left"/>
                    <w:rPr>
                      <w:b/>
                      <w:bCs/>
                      <w:color w:val="auto"/>
                      <w:sz w:val="18"/>
                      <w:szCs w:val="18"/>
                      <w:highlight w:val="none"/>
                    </w:rPr>
                  </w:pPr>
                  <w:r>
                    <w:rPr>
                      <w:rFonts w:hint="eastAsia"/>
                      <w:color w:val="auto"/>
                      <w:sz w:val="18"/>
                      <w:szCs w:val="18"/>
                      <w:highlight w:val="none"/>
                    </w:rPr>
                    <w:t>新建、改建、扩建化学制浆造纸、制革、酿造、染料、印染、电镀以及其他排放含磷、氮等污染物的企业和项目，城镇污水集中处理等环境基础设施项目和第四十六条规定的情形除外。</w:t>
                  </w:r>
                </w:p>
              </w:tc>
              <w:tc>
                <w:tcPr>
                  <w:tcW w:w="1202" w:type="dxa"/>
                  <w:tcBorders>
                    <w:top w:val="single" w:color="auto" w:sz="4" w:space="0"/>
                    <w:left w:val="single" w:color="auto" w:sz="4" w:space="0"/>
                    <w:bottom w:val="single" w:color="auto" w:sz="4" w:space="0"/>
                    <w:right w:val="single" w:color="auto" w:sz="4" w:space="0"/>
                  </w:tcBorders>
                  <w:vAlign w:val="center"/>
                </w:tcPr>
                <w:p w14:paraId="0EF808A5">
                  <w:pPr>
                    <w:overflowPunct w:val="0"/>
                    <w:adjustRightInd w:val="0"/>
                    <w:snapToGrid w:val="0"/>
                    <w:jc w:val="center"/>
                    <w:rPr>
                      <w:b/>
                      <w:bCs/>
                      <w:color w:val="auto"/>
                      <w:sz w:val="18"/>
                      <w:szCs w:val="18"/>
                      <w:highlight w:val="none"/>
                    </w:rPr>
                  </w:pPr>
                  <w:r>
                    <w:rPr>
                      <w:rFonts w:hint="eastAsia"/>
                      <w:color w:val="auto"/>
                      <w:sz w:val="18"/>
                      <w:szCs w:val="18"/>
                      <w:highlight w:val="none"/>
                    </w:rPr>
                    <w:t>不涉及</w:t>
                  </w:r>
                </w:p>
              </w:tc>
              <w:tc>
                <w:tcPr>
                  <w:tcW w:w="939" w:type="dxa"/>
                  <w:tcBorders>
                    <w:top w:val="single" w:color="auto" w:sz="4" w:space="0"/>
                    <w:left w:val="single" w:color="auto" w:sz="4" w:space="0"/>
                    <w:bottom w:val="single" w:color="auto" w:sz="4" w:space="0"/>
                  </w:tcBorders>
                  <w:vAlign w:val="center"/>
                </w:tcPr>
                <w:p w14:paraId="1F9FDFD9">
                  <w:pPr>
                    <w:overflowPunct w:val="0"/>
                    <w:adjustRightInd w:val="0"/>
                    <w:snapToGrid w:val="0"/>
                    <w:jc w:val="center"/>
                    <w:rPr>
                      <w:b/>
                      <w:bCs/>
                      <w:color w:val="auto"/>
                      <w:sz w:val="18"/>
                      <w:szCs w:val="18"/>
                      <w:highlight w:val="none"/>
                    </w:rPr>
                  </w:pPr>
                  <w:r>
                    <w:rPr>
                      <w:rFonts w:hint="eastAsia"/>
                      <w:color w:val="auto"/>
                      <w:sz w:val="18"/>
                      <w:szCs w:val="18"/>
                      <w:highlight w:val="none"/>
                    </w:rPr>
                    <w:t>符合</w:t>
                  </w:r>
                </w:p>
              </w:tc>
            </w:tr>
            <w:tr w14:paraId="4BEE39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96" w:type="dxa"/>
                  <w:tcBorders>
                    <w:top w:val="single" w:color="auto" w:sz="4" w:space="0"/>
                    <w:bottom w:val="single" w:color="auto" w:sz="4" w:space="0"/>
                    <w:right w:val="single" w:color="auto" w:sz="4" w:space="0"/>
                  </w:tcBorders>
                  <w:vAlign w:val="center"/>
                </w:tcPr>
                <w:p w14:paraId="62EBF1F5">
                  <w:pPr>
                    <w:overflowPunct w:val="0"/>
                    <w:adjustRightInd w:val="0"/>
                    <w:snapToGrid w:val="0"/>
                    <w:jc w:val="left"/>
                    <w:rPr>
                      <w:b/>
                      <w:bCs/>
                      <w:color w:val="auto"/>
                      <w:sz w:val="18"/>
                      <w:szCs w:val="18"/>
                      <w:highlight w:val="none"/>
                    </w:rPr>
                  </w:pPr>
                  <w:r>
                    <w:rPr>
                      <w:rFonts w:hint="eastAsia"/>
                      <w:color w:val="auto"/>
                      <w:sz w:val="18"/>
                      <w:szCs w:val="18"/>
                      <w:highlight w:val="none"/>
                    </w:rPr>
                    <w:t>销售、使用含磷洗涤用品。</w:t>
                  </w:r>
                </w:p>
              </w:tc>
              <w:tc>
                <w:tcPr>
                  <w:tcW w:w="1202" w:type="dxa"/>
                  <w:tcBorders>
                    <w:top w:val="single" w:color="auto" w:sz="4" w:space="0"/>
                    <w:left w:val="single" w:color="auto" w:sz="4" w:space="0"/>
                    <w:bottom w:val="single" w:color="auto" w:sz="4" w:space="0"/>
                    <w:right w:val="single" w:color="auto" w:sz="4" w:space="0"/>
                  </w:tcBorders>
                  <w:vAlign w:val="center"/>
                </w:tcPr>
                <w:p w14:paraId="68F6D94B">
                  <w:pPr>
                    <w:overflowPunct w:val="0"/>
                    <w:adjustRightInd w:val="0"/>
                    <w:snapToGrid w:val="0"/>
                    <w:jc w:val="center"/>
                    <w:rPr>
                      <w:b/>
                      <w:bCs/>
                      <w:color w:val="auto"/>
                      <w:sz w:val="18"/>
                      <w:szCs w:val="18"/>
                      <w:highlight w:val="none"/>
                    </w:rPr>
                  </w:pPr>
                  <w:r>
                    <w:rPr>
                      <w:rFonts w:hint="eastAsia"/>
                      <w:color w:val="auto"/>
                      <w:sz w:val="18"/>
                      <w:szCs w:val="18"/>
                      <w:highlight w:val="none"/>
                    </w:rPr>
                    <w:t>不涉及</w:t>
                  </w:r>
                </w:p>
              </w:tc>
              <w:tc>
                <w:tcPr>
                  <w:tcW w:w="939" w:type="dxa"/>
                  <w:tcBorders>
                    <w:top w:val="single" w:color="auto" w:sz="4" w:space="0"/>
                    <w:left w:val="single" w:color="auto" w:sz="4" w:space="0"/>
                    <w:bottom w:val="single" w:color="auto" w:sz="4" w:space="0"/>
                  </w:tcBorders>
                  <w:vAlign w:val="center"/>
                </w:tcPr>
                <w:p w14:paraId="055A8AC6">
                  <w:pPr>
                    <w:overflowPunct w:val="0"/>
                    <w:adjustRightInd w:val="0"/>
                    <w:snapToGrid w:val="0"/>
                    <w:jc w:val="center"/>
                    <w:rPr>
                      <w:b/>
                      <w:bCs/>
                      <w:color w:val="auto"/>
                      <w:sz w:val="18"/>
                      <w:szCs w:val="18"/>
                      <w:highlight w:val="none"/>
                    </w:rPr>
                  </w:pPr>
                  <w:r>
                    <w:rPr>
                      <w:rFonts w:hint="eastAsia"/>
                      <w:color w:val="auto"/>
                      <w:sz w:val="18"/>
                      <w:szCs w:val="18"/>
                      <w:highlight w:val="none"/>
                    </w:rPr>
                    <w:t>符合</w:t>
                  </w:r>
                </w:p>
              </w:tc>
            </w:tr>
            <w:tr w14:paraId="511352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96" w:type="dxa"/>
                  <w:tcBorders>
                    <w:top w:val="single" w:color="auto" w:sz="4" w:space="0"/>
                    <w:bottom w:val="single" w:color="auto" w:sz="4" w:space="0"/>
                    <w:right w:val="single" w:color="auto" w:sz="4" w:space="0"/>
                  </w:tcBorders>
                  <w:vAlign w:val="center"/>
                </w:tcPr>
                <w:p w14:paraId="07D59793">
                  <w:pPr>
                    <w:jc w:val="left"/>
                    <w:rPr>
                      <w:b/>
                      <w:bCs/>
                      <w:color w:val="auto"/>
                      <w:sz w:val="18"/>
                      <w:szCs w:val="18"/>
                      <w:highlight w:val="none"/>
                    </w:rPr>
                  </w:pPr>
                  <w:r>
                    <w:rPr>
                      <w:rFonts w:hint="eastAsia"/>
                      <w:color w:val="auto"/>
                      <w:sz w:val="18"/>
                      <w:szCs w:val="18"/>
                      <w:highlight w:val="none"/>
                    </w:rPr>
                    <w:t>向水体排放或者倾倒油类、酸液、碱液、剧毒废渣废液、含放射性废渣废液、含病原体污水、工业废渣以及其他废弃物。</w:t>
                  </w:r>
                </w:p>
              </w:tc>
              <w:tc>
                <w:tcPr>
                  <w:tcW w:w="1202" w:type="dxa"/>
                  <w:tcBorders>
                    <w:top w:val="single" w:color="auto" w:sz="4" w:space="0"/>
                    <w:left w:val="single" w:color="auto" w:sz="4" w:space="0"/>
                    <w:bottom w:val="single" w:color="auto" w:sz="4" w:space="0"/>
                    <w:right w:val="single" w:color="auto" w:sz="4" w:space="0"/>
                  </w:tcBorders>
                  <w:vAlign w:val="center"/>
                </w:tcPr>
                <w:p w14:paraId="49FE6C69">
                  <w:pPr>
                    <w:overflowPunct w:val="0"/>
                    <w:adjustRightInd w:val="0"/>
                    <w:snapToGrid w:val="0"/>
                    <w:jc w:val="center"/>
                    <w:rPr>
                      <w:b/>
                      <w:bCs/>
                      <w:color w:val="auto"/>
                      <w:sz w:val="18"/>
                      <w:szCs w:val="18"/>
                      <w:highlight w:val="none"/>
                    </w:rPr>
                  </w:pPr>
                  <w:r>
                    <w:rPr>
                      <w:rFonts w:hint="eastAsia"/>
                      <w:color w:val="auto"/>
                      <w:sz w:val="18"/>
                      <w:szCs w:val="18"/>
                      <w:highlight w:val="none"/>
                    </w:rPr>
                    <w:t>不涉及</w:t>
                  </w:r>
                </w:p>
              </w:tc>
              <w:tc>
                <w:tcPr>
                  <w:tcW w:w="939" w:type="dxa"/>
                  <w:tcBorders>
                    <w:top w:val="single" w:color="auto" w:sz="4" w:space="0"/>
                    <w:left w:val="single" w:color="auto" w:sz="4" w:space="0"/>
                    <w:bottom w:val="single" w:color="auto" w:sz="4" w:space="0"/>
                  </w:tcBorders>
                  <w:vAlign w:val="center"/>
                </w:tcPr>
                <w:p w14:paraId="23010FD7">
                  <w:pPr>
                    <w:overflowPunct w:val="0"/>
                    <w:adjustRightInd w:val="0"/>
                    <w:snapToGrid w:val="0"/>
                    <w:jc w:val="center"/>
                    <w:rPr>
                      <w:b/>
                      <w:bCs/>
                      <w:color w:val="auto"/>
                      <w:sz w:val="18"/>
                      <w:szCs w:val="18"/>
                      <w:highlight w:val="none"/>
                    </w:rPr>
                  </w:pPr>
                  <w:r>
                    <w:rPr>
                      <w:rFonts w:hint="eastAsia"/>
                      <w:color w:val="auto"/>
                      <w:sz w:val="18"/>
                      <w:szCs w:val="18"/>
                      <w:highlight w:val="none"/>
                    </w:rPr>
                    <w:t>符合</w:t>
                  </w:r>
                </w:p>
              </w:tc>
            </w:tr>
            <w:tr w14:paraId="656981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96" w:type="dxa"/>
                  <w:tcBorders>
                    <w:top w:val="single" w:color="auto" w:sz="4" w:space="0"/>
                    <w:bottom w:val="single" w:color="auto" w:sz="4" w:space="0"/>
                    <w:right w:val="single" w:color="auto" w:sz="4" w:space="0"/>
                  </w:tcBorders>
                  <w:vAlign w:val="center"/>
                </w:tcPr>
                <w:p w14:paraId="051BA020">
                  <w:pPr>
                    <w:jc w:val="left"/>
                    <w:rPr>
                      <w:b/>
                      <w:bCs/>
                      <w:color w:val="auto"/>
                      <w:sz w:val="18"/>
                      <w:szCs w:val="18"/>
                      <w:highlight w:val="none"/>
                    </w:rPr>
                  </w:pPr>
                  <w:r>
                    <w:rPr>
                      <w:rFonts w:hint="eastAsia"/>
                      <w:color w:val="auto"/>
                      <w:sz w:val="18"/>
                      <w:szCs w:val="18"/>
                      <w:highlight w:val="none"/>
                    </w:rPr>
                    <w:t>在水体清洗装贮过油类或者有毒有害污染物的车辆、船舶和容器等。</w:t>
                  </w:r>
                </w:p>
              </w:tc>
              <w:tc>
                <w:tcPr>
                  <w:tcW w:w="1202" w:type="dxa"/>
                  <w:tcBorders>
                    <w:top w:val="single" w:color="auto" w:sz="4" w:space="0"/>
                    <w:left w:val="single" w:color="auto" w:sz="4" w:space="0"/>
                    <w:bottom w:val="single" w:color="auto" w:sz="4" w:space="0"/>
                    <w:right w:val="single" w:color="auto" w:sz="4" w:space="0"/>
                  </w:tcBorders>
                  <w:vAlign w:val="center"/>
                </w:tcPr>
                <w:p w14:paraId="44B53466">
                  <w:pPr>
                    <w:overflowPunct w:val="0"/>
                    <w:adjustRightInd w:val="0"/>
                    <w:snapToGrid w:val="0"/>
                    <w:jc w:val="center"/>
                    <w:rPr>
                      <w:b/>
                      <w:bCs/>
                      <w:color w:val="auto"/>
                      <w:sz w:val="18"/>
                      <w:szCs w:val="18"/>
                      <w:highlight w:val="none"/>
                    </w:rPr>
                  </w:pPr>
                  <w:r>
                    <w:rPr>
                      <w:rFonts w:hint="eastAsia"/>
                      <w:color w:val="auto"/>
                      <w:sz w:val="18"/>
                      <w:szCs w:val="18"/>
                      <w:highlight w:val="none"/>
                    </w:rPr>
                    <w:t>不涉及</w:t>
                  </w:r>
                </w:p>
              </w:tc>
              <w:tc>
                <w:tcPr>
                  <w:tcW w:w="939" w:type="dxa"/>
                  <w:tcBorders>
                    <w:top w:val="single" w:color="auto" w:sz="4" w:space="0"/>
                    <w:left w:val="single" w:color="auto" w:sz="4" w:space="0"/>
                    <w:bottom w:val="single" w:color="auto" w:sz="4" w:space="0"/>
                  </w:tcBorders>
                  <w:vAlign w:val="center"/>
                </w:tcPr>
                <w:p w14:paraId="31259CAF">
                  <w:pPr>
                    <w:overflowPunct w:val="0"/>
                    <w:adjustRightInd w:val="0"/>
                    <w:snapToGrid w:val="0"/>
                    <w:jc w:val="center"/>
                    <w:rPr>
                      <w:b/>
                      <w:bCs/>
                      <w:color w:val="auto"/>
                      <w:sz w:val="18"/>
                      <w:szCs w:val="18"/>
                      <w:highlight w:val="none"/>
                    </w:rPr>
                  </w:pPr>
                  <w:r>
                    <w:rPr>
                      <w:rFonts w:hint="eastAsia"/>
                      <w:color w:val="auto"/>
                      <w:sz w:val="18"/>
                      <w:szCs w:val="18"/>
                      <w:highlight w:val="none"/>
                    </w:rPr>
                    <w:t>符合</w:t>
                  </w:r>
                </w:p>
              </w:tc>
            </w:tr>
            <w:tr w14:paraId="295B78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96" w:type="dxa"/>
                  <w:tcBorders>
                    <w:top w:val="single" w:color="auto" w:sz="4" w:space="0"/>
                    <w:bottom w:val="single" w:color="auto" w:sz="4" w:space="0"/>
                    <w:right w:val="single" w:color="auto" w:sz="4" w:space="0"/>
                  </w:tcBorders>
                  <w:vAlign w:val="center"/>
                </w:tcPr>
                <w:p w14:paraId="0E280B97">
                  <w:pPr>
                    <w:overflowPunct w:val="0"/>
                    <w:adjustRightInd w:val="0"/>
                    <w:snapToGrid w:val="0"/>
                    <w:jc w:val="left"/>
                    <w:rPr>
                      <w:b/>
                      <w:bCs/>
                      <w:color w:val="auto"/>
                      <w:sz w:val="18"/>
                      <w:szCs w:val="18"/>
                      <w:highlight w:val="none"/>
                    </w:rPr>
                  </w:pPr>
                  <w:r>
                    <w:rPr>
                      <w:rFonts w:hint="eastAsia"/>
                      <w:color w:val="auto"/>
                      <w:sz w:val="18"/>
                      <w:szCs w:val="18"/>
                      <w:highlight w:val="none"/>
                    </w:rPr>
                    <w:t>使用农药等有毒物毒杀水生生物。</w:t>
                  </w:r>
                </w:p>
              </w:tc>
              <w:tc>
                <w:tcPr>
                  <w:tcW w:w="1202" w:type="dxa"/>
                  <w:tcBorders>
                    <w:top w:val="single" w:color="auto" w:sz="4" w:space="0"/>
                    <w:left w:val="single" w:color="auto" w:sz="4" w:space="0"/>
                    <w:bottom w:val="single" w:color="auto" w:sz="4" w:space="0"/>
                    <w:right w:val="single" w:color="auto" w:sz="4" w:space="0"/>
                  </w:tcBorders>
                  <w:vAlign w:val="center"/>
                </w:tcPr>
                <w:p w14:paraId="30A10DA7">
                  <w:pPr>
                    <w:overflowPunct w:val="0"/>
                    <w:adjustRightInd w:val="0"/>
                    <w:snapToGrid w:val="0"/>
                    <w:jc w:val="center"/>
                    <w:rPr>
                      <w:b/>
                      <w:bCs/>
                      <w:color w:val="auto"/>
                      <w:sz w:val="18"/>
                      <w:szCs w:val="18"/>
                      <w:highlight w:val="none"/>
                    </w:rPr>
                  </w:pPr>
                  <w:r>
                    <w:rPr>
                      <w:rFonts w:hint="eastAsia"/>
                      <w:color w:val="auto"/>
                      <w:sz w:val="18"/>
                      <w:szCs w:val="18"/>
                      <w:highlight w:val="none"/>
                    </w:rPr>
                    <w:t>不涉及</w:t>
                  </w:r>
                </w:p>
              </w:tc>
              <w:tc>
                <w:tcPr>
                  <w:tcW w:w="939" w:type="dxa"/>
                  <w:tcBorders>
                    <w:top w:val="single" w:color="auto" w:sz="4" w:space="0"/>
                    <w:left w:val="single" w:color="auto" w:sz="4" w:space="0"/>
                    <w:bottom w:val="single" w:color="auto" w:sz="4" w:space="0"/>
                  </w:tcBorders>
                  <w:vAlign w:val="center"/>
                </w:tcPr>
                <w:p w14:paraId="74191B62">
                  <w:pPr>
                    <w:overflowPunct w:val="0"/>
                    <w:adjustRightInd w:val="0"/>
                    <w:snapToGrid w:val="0"/>
                    <w:jc w:val="center"/>
                    <w:rPr>
                      <w:b/>
                      <w:bCs/>
                      <w:color w:val="auto"/>
                      <w:sz w:val="18"/>
                      <w:szCs w:val="18"/>
                      <w:highlight w:val="none"/>
                    </w:rPr>
                  </w:pPr>
                  <w:r>
                    <w:rPr>
                      <w:rFonts w:hint="eastAsia"/>
                      <w:color w:val="auto"/>
                      <w:sz w:val="18"/>
                      <w:szCs w:val="18"/>
                      <w:highlight w:val="none"/>
                    </w:rPr>
                    <w:t>符合</w:t>
                  </w:r>
                </w:p>
              </w:tc>
            </w:tr>
            <w:tr w14:paraId="17BDAB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96" w:type="dxa"/>
                  <w:tcBorders>
                    <w:top w:val="single" w:color="auto" w:sz="4" w:space="0"/>
                    <w:bottom w:val="single" w:color="auto" w:sz="4" w:space="0"/>
                    <w:right w:val="single" w:color="auto" w:sz="4" w:space="0"/>
                  </w:tcBorders>
                  <w:vAlign w:val="center"/>
                </w:tcPr>
                <w:p w14:paraId="39055DD5">
                  <w:pPr>
                    <w:overflowPunct w:val="0"/>
                    <w:adjustRightInd w:val="0"/>
                    <w:snapToGrid w:val="0"/>
                    <w:jc w:val="left"/>
                    <w:rPr>
                      <w:b/>
                      <w:bCs/>
                      <w:color w:val="auto"/>
                      <w:sz w:val="18"/>
                      <w:szCs w:val="18"/>
                      <w:highlight w:val="none"/>
                    </w:rPr>
                  </w:pPr>
                  <w:r>
                    <w:rPr>
                      <w:rFonts w:hint="eastAsia"/>
                      <w:color w:val="auto"/>
                      <w:sz w:val="18"/>
                      <w:szCs w:val="18"/>
                      <w:highlight w:val="none"/>
                    </w:rPr>
                    <w:t>向水体直接排放人畜粪便、倾倒垃圾。</w:t>
                  </w:r>
                </w:p>
              </w:tc>
              <w:tc>
                <w:tcPr>
                  <w:tcW w:w="1202" w:type="dxa"/>
                  <w:tcBorders>
                    <w:top w:val="single" w:color="auto" w:sz="4" w:space="0"/>
                    <w:left w:val="single" w:color="auto" w:sz="4" w:space="0"/>
                    <w:bottom w:val="single" w:color="auto" w:sz="4" w:space="0"/>
                    <w:right w:val="single" w:color="auto" w:sz="4" w:space="0"/>
                  </w:tcBorders>
                  <w:vAlign w:val="center"/>
                </w:tcPr>
                <w:p w14:paraId="06945554">
                  <w:pPr>
                    <w:overflowPunct w:val="0"/>
                    <w:adjustRightInd w:val="0"/>
                    <w:snapToGrid w:val="0"/>
                    <w:jc w:val="center"/>
                    <w:rPr>
                      <w:b/>
                      <w:bCs/>
                      <w:color w:val="auto"/>
                      <w:sz w:val="18"/>
                      <w:szCs w:val="18"/>
                      <w:highlight w:val="none"/>
                    </w:rPr>
                  </w:pPr>
                  <w:r>
                    <w:rPr>
                      <w:rFonts w:hint="eastAsia"/>
                      <w:color w:val="auto"/>
                      <w:sz w:val="18"/>
                      <w:szCs w:val="18"/>
                      <w:highlight w:val="none"/>
                    </w:rPr>
                    <w:t>不涉及</w:t>
                  </w:r>
                </w:p>
              </w:tc>
              <w:tc>
                <w:tcPr>
                  <w:tcW w:w="939" w:type="dxa"/>
                  <w:tcBorders>
                    <w:top w:val="single" w:color="auto" w:sz="4" w:space="0"/>
                    <w:left w:val="single" w:color="auto" w:sz="4" w:space="0"/>
                    <w:bottom w:val="single" w:color="auto" w:sz="4" w:space="0"/>
                  </w:tcBorders>
                  <w:vAlign w:val="center"/>
                </w:tcPr>
                <w:p w14:paraId="3B0529AB">
                  <w:pPr>
                    <w:overflowPunct w:val="0"/>
                    <w:adjustRightInd w:val="0"/>
                    <w:snapToGrid w:val="0"/>
                    <w:jc w:val="center"/>
                    <w:rPr>
                      <w:b/>
                      <w:bCs/>
                      <w:color w:val="auto"/>
                      <w:sz w:val="18"/>
                      <w:szCs w:val="18"/>
                      <w:highlight w:val="none"/>
                    </w:rPr>
                  </w:pPr>
                  <w:r>
                    <w:rPr>
                      <w:rFonts w:hint="eastAsia"/>
                      <w:color w:val="auto"/>
                      <w:sz w:val="18"/>
                      <w:szCs w:val="18"/>
                      <w:highlight w:val="none"/>
                    </w:rPr>
                    <w:t>符合</w:t>
                  </w:r>
                </w:p>
              </w:tc>
            </w:tr>
            <w:tr w14:paraId="4ADF43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96" w:type="dxa"/>
                  <w:tcBorders>
                    <w:top w:val="single" w:color="auto" w:sz="4" w:space="0"/>
                    <w:bottom w:val="single" w:color="auto" w:sz="4" w:space="0"/>
                    <w:right w:val="single" w:color="auto" w:sz="4" w:space="0"/>
                  </w:tcBorders>
                  <w:vAlign w:val="center"/>
                </w:tcPr>
                <w:p w14:paraId="32581F49">
                  <w:pPr>
                    <w:overflowPunct w:val="0"/>
                    <w:adjustRightInd w:val="0"/>
                    <w:snapToGrid w:val="0"/>
                    <w:jc w:val="left"/>
                    <w:rPr>
                      <w:b/>
                      <w:bCs/>
                      <w:color w:val="auto"/>
                      <w:sz w:val="18"/>
                      <w:szCs w:val="18"/>
                      <w:highlight w:val="none"/>
                    </w:rPr>
                  </w:pPr>
                  <w:r>
                    <w:rPr>
                      <w:rFonts w:hint="eastAsia"/>
                      <w:color w:val="auto"/>
                      <w:sz w:val="18"/>
                      <w:szCs w:val="18"/>
                      <w:highlight w:val="none"/>
                    </w:rPr>
                    <w:t>围湖造地。</w:t>
                  </w:r>
                </w:p>
              </w:tc>
              <w:tc>
                <w:tcPr>
                  <w:tcW w:w="1202" w:type="dxa"/>
                  <w:tcBorders>
                    <w:top w:val="single" w:color="auto" w:sz="4" w:space="0"/>
                    <w:left w:val="single" w:color="auto" w:sz="4" w:space="0"/>
                    <w:bottom w:val="single" w:color="auto" w:sz="4" w:space="0"/>
                    <w:right w:val="single" w:color="auto" w:sz="4" w:space="0"/>
                  </w:tcBorders>
                  <w:vAlign w:val="center"/>
                </w:tcPr>
                <w:p w14:paraId="3044025E">
                  <w:pPr>
                    <w:overflowPunct w:val="0"/>
                    <w:adjustRightInd w:val="0"/>
                    <w:snapToGrid w:val="0"/>
                    <w:jc w:val="center"/>
                    <w:rPr>
                      <w:b/>
                      <w:bCs/>
                      <w:color w:val="auto"/>
                      <w:sz w:val="18"/>
                      <w:szCs w:val="18"/>
                      <w:highlight w:val="none"/>
                    </w:rPr>
                  </w:pPr>
                  <w:r>
                    <w:rPr>
                      <w:rFonts w:hint="eastAsia"/>
                      <w:color w:val="auto"/>
                      <w:sz w:val="18"/>
                      <w:szCs w:val="18"/>
                      <w:highlight w:val="none"/>
                    </w:rPr>
                    <w:t>不涉及</w:t>
                  </w:r>
                </w:p>
              </w:tc>
              <w:tc>
                <w:tcPr>
                  <w:tcW w:w="939" w:type="dxa"/>
                  <w:tcBorders>
                    <w:top w:val="single" w:color="auto" w:sz="4" w:space="0"/>
                    <w:left w:val="single" w:color="auto" w:sz="4" w:space="0"/>
                    <w:bottom w:val="single" w:color="auto" w:sz="4" w:space="0"/>
                  </w:tcBorders>
                  <w:vAlign w:val="center"/>
                </w:tcPr>
                <w:p w14:paraId="2832BFB3">
                  <w:pPr>
                    <w:overflowPunct w:val="0"/>
                    <w:adjustRightInd w:val="0"/>
                    <w:snapToGrid w:val="0"/>
                    <w:jc w:val="center"/>
                    <w:rPr>
                      <w:b/>
                      <w:bCs/>
                      <w:color w:val="auto"/>
                      <w:sz w:val="18"/>
                      <w:szCs w:val="18"/>
                      <w:highlight w:val="none"/>
                    </w:rPr>
                  </w:pPr>
                  <w:r>
                    <w:rPr>
                      <w:rFonts w:hint="eastAsia"/>
                      <w:color w:val="auto"/>
                      <w:sz w:val="18"/>
                      <w:szCs w:val="18"/>
                      <w:highlight w:val="none"/>
                    </w:rPr>
                    <w:t>符合</w:t>
                  </w:r>
                </w:p>
              </w:tc>
            </w:tr>
            <w:tr w14:paraId="54C7AF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96" w:type="dxa"/>
                  <w:tcBorders>
                    <w:top w:val="single" w:color="auto" w:sz="4" w:space="0"/>
                    <w:bottom w:val="single" w:color="auto" w:sz="4" w:space="0"/>
                    <w:right w:val="single" w:color="auto" w:sz="4" w:space="0"/>
                  </w:tcBorders>
                  <w:vAlign w:val="center"/>
                </w:tcPr>
                <w:p w14:paraId="6EBF8B33">
                  <w:pPr>
                    <w:jc w:val="left"/>
                    <w:rPr>
                      <w:color w:val="auto"/>
                      <w:sz w:val="18"/>
                      <w:szCs w:val="18"/>
                      <w:highlight w:val="none"/>
                    </w:rPr>
                  </w:pPr>
                  <w:r>
                    <w:rPr>
                      <w:rFonts w:hint="eastAsia"/>
                      <w:color w:val="auto"/>
                      <w:sz w:val="18"/>
                      <w:szCs w:val="18"/>
                      <w:highlight w:val="none"/>
                    </w:rPr>
                    <w:t>违法开山采石，或者进行破坏林木、植被、水生生物的活动。</w:t>
                  </w:r>
                </w:p>
              </w:tc>
              <w:tc>
                <w:tcPr>
                  <w:tcW w:w="1202" w:type="dxa"/>
                  <w:tcBorders>
                    <w:top w:val="single" w:color="auto" w:sz="4" w:space="0"/>
                    <w:left w:val="single" w:color="auto" w:sz="4" w:space="0"/>
                    <w:bottom w:val="single" w:color="auto" w:sz="4" w:space="0"/>
                    <w:right w:val="single" w:color="auto" w:sz="4" w:space="0"/>
                  </w:tcBorders>
                  <w:vAlign w:val="center"/>
                </w:tcPr>
                <w:p w14:paraId="3D6F180A">
                  <w:pPr>
                    <w:overflowPunct w:val="0"/>
                    <w:adjustRightInd w:val="0"/>
                    <w:snapToGrid w:val="0"/>
                    <w:jc w:val="center"/>
                    <w:rPr>
                      <w:b/>
                      <w:bCs/>
                      <w:color w:val="auto"/>
                      <w:sz w:val="18"/>
                      <w:szCs w:val="18"/>
                      <w:highlight w:val="none"/>
                    </w:rPr>
                  </w:pPr>
                  <w:r>
                    <w:rPr>
                      <w:rFonts w:hint="eastAsia"/>
                      <w:color w:val="auto"/>
                      <w:sz w:val="18"/>
                      <w:szCs w:val="18"/>
                      <w:highlight w:val="none"/>
                    </w:rPr>
                    <w:t>不涉及</w:t>
                  </w:r>
                </w:p>
              </w:tc>
              <w:tc>
                <w:tcPr>
                  <w:tcW w:w="939" w:type="dxa"/>
                  <w:tcBorders>
                    <w:top w:val="single" w:color="auto" w:sz="4" w:space="0"/>
                    <w:left w:val="single" w:color="auto" w:sz="4" w:space="0"/>
                    <w:bottom w:val="single" w:color="auto" w:sz="4" w:space="0"/>
                  </w:tcBorders>
                  <w:vAlign w:val="center"/>
                </w:tcPr>
                <w:p w14:paraId="487A3792">
                  <w:pPr>
                    <w:overflowPunct w:val="0"/>
                    <w:adjustRightInd w:val="0"/>
                    <w:snapToGrid w:val="0"/>
                    <w:jc w:val="center"/>
                    <w:rPr>
                      <w:b/>
                      <w:bCs/>
                      <w:color w:val="auto"/>
                      <w:sz w:val="18"/>
                      <w:szCs w:val="18"/>
                      <w:highlight w:val="none"/>
                    </w:rPr>
                  </w:pPr>
                  <w:r>
                    <w:rPr>
                      <w:rFonts w:hint="eastAsia"/>
                      <w:color w:val="auto"/>
                      <w:sz w:val="18"/>
                      <w:szCs w:val="18"/>
                      <w:highlight w:val="none"/>
                    </w:rPr>
                    <w:t>符合</w:t>
                  </w:r>
                </w:p>
              </w:tc>
            </w:tr>
            <w:tr w14:paraId="37A727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96" w:type="dxa"/>
                  <w:tcBorders>
                    <w:top w:val="single" w:color="auto" w:sz="4" w:space="0"/>
                    <w:bottom w:val="single" w:color="auto" w:sz="12" w:space="0"/>
                    <w:right w:val="single" w:color="auto" w:sz="4" w:space="0"/>
                  </w:tcBorders>
                  <w:vAlign w:val="center"/>
                </w:tcPr>
                <w:p w14:paraId="6D1B48D2">
                  <w:pPr>
                    <w:overflowPunct w:val="0"/>
                    <w:adjustRightInd w:val="0"/>
                    <w:snapToGrid w:val="0"/>
                    <w:jc w:val="left"/>
                    <w:rPr>
                      <w:color w:val="auto"/>
                      <w:sz w:val="18"/>
                      <w:szCs w:val="18"/>
                      <w:highlight w:val="none"/>
                    </w:rPr>
                  </w:pPr>
                  <w:r>
                    <w:rPr>
                      <w:rFonts w:hint="eastAsia"/>
                      <w:color w:val="auto"/>
                      <w:sz w:val="18"/>
                      <w:szCs w:val="18"/>
                      <w:highlight w:val="none"/>
                    </w:rPr>
                    <w:t>法律法规禁止的其他行为。</w:t>
                  </w:r>
                </w:p>
              </w:tc>
              <w:tc>
                <w:tcPr>
                  <w:tcW w:w="1202" w:type="dxa"/>
                  <w:tcBorders>
                    <w:top w:val="single" w:color="auto" w:sz="4" w:space="0"/>
                    <w:left w:val="single" w:color="auto" w:sz="4" w:space="0"/>
                    <w:bottom w:val="single" w:color="auto" w:sz="12" w:space="0"/>
                    <w:right w:val="single" w:color="auto" w:sz="4" w:space="0"/>
                  </w:tcBorders>
                  <w:vAlign w:val="center"/>
                </w:tcPr>
                <w:p w14:paraId="676DAD8F">
                  <w:pPr>
                    <w:overflowPunct w:val="0"/>
                    <w:adjustRightInd w:val="0"/>
                    <w:snapToGrid w:val="0"/>
                    <w:jc w:val="center"/>
                    <w:rPr>
                      <w:b/>
                      <w:bCs/>
                      <w:color w:val="auto"/>
                      <w:sz w:val="18"/>
                      <w:szCs w:val="18"/>
                      <w:highlight w:val="none"/>
                    </w:rPr>
                  </w:pPr>
                  <w:r>
                    <w:rPr>
                      <w:rFonts w:hint="eastAsia"/>
                      <w:color w:val="auto"/>
                      <w:sz w:val="18"/>
                      <w:szCs w:val="18"/>
                      <w:highlight w:val="none"/>
                    </w:rPr>
                    <w:t>不涉及</w:t>
                  </w:r>
                </w:p>
              </w:tc>
              <w:tc>
                <w:tcPr>
                  <w:tcW w:w="939" w:type="dxa"/>
                  <w:tcBorders>
                    <w:top w:val="single" w:color="auto" w:sz="4" w:space="0"/>
                    <w:left w:val="single" w:color="auto" w:sz="4" w:space="0"/>
                    <w:bottom w:val="single" w:color="auto" w:sz="12" w:space="0"/>
                  </w:tcBorders>
                  <w:vAlign w:val="center"/>
                </w:tcPr>
                <w:p w14:paraId="09A49B57">
                  <w:pPr>
                    <w:overflowPunct w:val="0"/>
                    <w:adjustRightInd w:val="0"/>
                    <w:snapToGrid w:val="0"/>
                    <w:jc w:val="center"/>
                    <w:rPr>
                      <w:b/>
                      <w:bCs/>
                      <w:color w:val="auto"/>
                      <w:sz w:val="18"/>
                      <w:szCs w:val="18"/>
                      <w:highlight w:val="none"/>
                    </w:rPr>
                  </w:pPr>
                  <w:r>
                    <w:rPr>
                      <w:rFonts w:hint="eastAsia"/>
                      <w:color w:val="auto"/>
                      <w:sz w:val="18"/>
                      <w:szCs w:val="18"/>
                      <w:highlight w:val="none"/>
                    </w:rPr>
                    <w:t>符合</w:t>
                  </w:r>
                </w:p>
              </w:tc>
            </w:tr>
          </w:tbl>
          <w:p w14:paraId="3A0116BF">
            <w:pPr>
              <w:tabs>
                <w:tab w:val="center" w:pos="4156"/>
                <w:tab w:val="left" w:pos="5964"/>
              </w:tabs>
              <w:adjustRightInd w:val="0"/>
              <w:snapToGrid w:val="0"/>
              <w:spacing w:line="360" w:lineRule="auto"/>
              <w:jc w:val="left"/>
              <w:rPr>
                <w:b/>
                <w:snapToGrid w:val="0"/>
                <w:color w:val="auto"/>
                <w:szCs w:val="21"/>
                <w:highlight w:val="none"/>
              </w:rPr>
            </w:pPr>
            <w:r>
              <w:rPr>
                <w:b/>
                <w:snapToGrid w:val="0"/>
                <w:color w:val="auto"/>
                <w:szCs w:val="21"/>
                <w:highlight w:val="none"/>
              </w:rPr>
              <w:t>7</w:t>
            </w:r>
            <w:r>
              <w:rPr>
                <w:rFonts w:hint="eastAsia"/>
                <w:b/>
                <w:snapToGrid w:val="0"/>
                <w:color w:val="auto"/>
                <w:szCs w:val="21"/>
                <w:highlight w:val="none"/>
              </w:rPr>
              <w:t>、《长三角生态绿色一体化发展示范区生态环境准入清单》相符性分析</w:t>
            </w:r>
          </w:p>
          <w:p w14:paraId="0329BB7C">
            <w:pPr>
              <w:tabs>
                <w:tab w:val="center" w:pos="4156"/>
                <w:tab w:val="left" w:pos="5964"/>
              </w:tabs>
              <w:adjustRightInd w:val="0"/>
              <w:snapToGrid w:val="0"/>
              <w:jc w:val="center"/>
              <w:rPr>
                <w:b/>
                <w:bCs/>
                <w:color w:val="auto"/>
                <w:szCs w:val="21"/>
                <w:highlight w:val="none"/>
              </w:rPr>
            </w:pPr>
            <w:r>
              <w:rPr>
                <w:rFonts w:hint="eastAsia"/>
                <w:b/>
                <w:bCs/>
                <w:color w:val="auto"/>
                <w:szCs w:val="21"/>
                <w:highlight w:val="none"/>
              </w:rPr>
              <w:t>表</w:t>
            </w:r>
            <w:r>
              <w:rPr>
                <w:b/>
                <w:bCs/>
                <w:color w:val="auto"/>
                <w:szCs w:val="21"/>
                <w:highlight w:val="none"/>
              </w:rPr>
              <w:t>1-1</w:t>
            </w:r>
            <w:r>
              <w:rPr>
                <w:rFonts w:hint="eastAsia"/>
                <w:b/>
                <w:bCs/>
                <w:color w:val="auto"/>
                <w:szCs w:val="21"/>
                <w:highlight w:val="none"/>
                <w:lang w:val="en-US" w:eastAsia="zh-CN"/>
              </w:rPr>
              <w:t>1</w:t>
            </w:r>
            <w:r>
              <w:rPr>
                <w:b/>
                <w:bCs/>
                <w:color w:val="auto"/>
                <w:szCs w:val="21"/>
                <w:highlight w:val="none"/>
              </w:rPr>
              <w:t xml:space="preserve">  </w:t>
            </w:r>
            <w:r>
              <w:rPr>
                <w:rFonts w:hint="eastAsia"/>
                <w:b/>
                <w:bCs/>
                <w:color w:val="auto"/>
                <w:szCs w:val="21"/>
                <w:highlight w:val="none"/>
              </w:rPr>
              <w:t>长三角生态绿色一体化发展示范区生态环境准入清单</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065"/>
              <w:gridCol w:w="1351"/>
              <w:gridCol w:w="796"/>
            </w:tblGrid>
            <w:tr w14:paraId="5CB85E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506" w:type="dxa"/>
                  <w:tcBorders>
                    <w:top w:val="single" w:color="auto" w:sz="12" w:space="0"/>
                    <w:bottom w:val="single" w:color="auto" w:sz="4" w:space="0"/>
                    <w:right w:val="single" w:color="auto" w:sz="4" w:space="0"/>
                  </w:tcBorders>
                  <w:vAlign w:val="center"/>
                </w:tcPr>
                <w:p w14:paraId="7013234E">
                  <w:pPr>
                    <w:overflowPunct w:val="0"/>
                    <w:adjustRightInd w:val="0"/>
                    <w:snapToGrid w:val="0"/>
                    <w:jc w:val="center"/>
                    <w:rPr>
                      <w:color w:val="auto"/>
                      <w:sz w:val="18"/>
                      <w:szCs w:val="18"/>
                      <w:highlight w:val="none"/>
                    </w:rPr>
                  </w:pPr>
                  <w:r>
                    <w:rPr>
                      <w:rFonts w:hint="eastAsia"/>
                      <w:color w:val="auto"/>
                      <w:sz w:val="18"/>
                      <w:szCs w:val="18"/>
                      <w:highlight w:val="none"/>
                    </w:rPr>
                    <w:t>条款内容</w:t>
                  </w:r>
                </w:p>
              </w:tc>
              <w:tc>
                <w:tcPr>
                  <w:tcW w:w="1467" w:type="dxa"/>
                  <w:tcBorders>
                    <w:top w:val="single" w:color="auto" w:sz="12" w:space="0"/>
                    <w:left w:val="single" w:color="auto" w:sz="4" w:space="0"/>
                    <w:bottom w:val="single" w:color="auto" w:sz="4" w:space="0"/>
                    <w:right w:val="single" w:color="auto" w:sz="4" w:space="0"/>
                  </w:tcBorders>
                  <w:vAlign w:val="center"/>
                </w:tcPr>
                <w:p w14:paraId="63FC2B71">
                  <w:pPr>
                    <w:overflowPunct w:val="0"/>
                    <w:adjustRightInd w:val="0"/>
                    <w:snapToGrid w:val="0"/>
                    <w:jc w:val="center"/>
                    <w:rPr>
                      <w:color w:val="auto"/>
                      <w:sz w:val="18"/>
                      <w:szCs w:val="18"/>
                      <w:highlight w:val="none"/>
                    </w:rPr>
                  </w:pPr>
                  <w:r>
                    <w:rPr>
                      <w:rFonts w:hint="eastAsia"/>
                      <w:color w:val="auto"/>
                      <w:sz w:val="18"/>
                      <w:szCs w:val="18"/>
                      <w:highlight w:val="none"/>
                    </w:rPr>
                    <w:t>本项目情况</w:t>
                  </w:r>
                </w:p>
              </w:tc>
              <w:tc>
                <w:tcPr>
                  <w:tcW w:w="864" w:type="dxa"/>
                  <w:tcBorders>
                    <w:top w:val="single" w:color="auto" w:sz="12" w:space="0"/>
                    <w:left w:val="single" w:color="auto" w:sz="4" w:space="0"/>
                    <w:bottom w:val="single" w:color="auto" w:sz="4" w:space="0"/>
                  </w:tcBorders>
                  <w:vAlign w:val="center"/>
                </w:tcPr>
                <w:p w14:paraId="148885FC">
                  <w:pPr>
                    <w:overflowPunct w:val="0"/>
                    <w:adjustRightInd w:val="0"/>
                    <w:snapToGrid w:val="0"/>
                    <w:jc w:val="center"/>
                    <w:rPr>
                      <w:color w:val="auto"/>
                      <w:sz w:val="18"/>
                      <w:szCs w:val="18"/>
                      <w:highlight w:val="none"/>
                    </w:rPr>
                  </w:pPr>
                  <w:r>
                    <w:rPr>
                      <w:rFonts w:hint="eastAsia"/>
                      <w:color w:val="auto"/>
                      <w:sz w:val="18"/>
                      <w:szCs w:val="18"/>
                      <w:highlight w:val="none"/>
                    </w:rPr>
                    <w:t>相符性</w:t>
                  </w:r>
                </w:p>
              </w:tc>
            </w:tr>
            <w:tr w14:paraId="00B8E1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5506" w:type="dxa"/>
                  <w:tcBorders>
                    <w:top w:val="single" w:color="auto" w:sz="4" w:space="0"/>
                    <w:bottom w:val="single" w:color="auto" w:sz="4" w:space="0"/>
                    <w:right w:val="single" w:color="auto" w:sz="4" w:space="0"/>
                  </w:tcBorders>
                  <w:vAlign w:val="center"/>
                </w:tcPr>
                <w:p w14:paraId="6667EC0A">
                  <w:pPr>
                    <w:jc w:val="left"/>
                    <w:rPr>
                      <w:color w:val="auto"/>
                      <w:sz w:val="18"/>
                      <w:szCs w:val="18"/>
                      <w:highlight w:val="none"/>
                    </w:rPr>
                  </w:pPr>
                  <w:r>
                    <w:rPr>
                      <w:rFonts w:hint="eastAsia"/>
                      <w:color w:val="auto"/>
                      <w:sz w:val="18"/>
                      <w:szCs w:val="18"/>
                      <w:highlight w:val="none"/>
                    </w:rPr>
                    <w:t>严格执行相关法律法规，禁止开展和建设损害生态保护红线主导生态功能、法律法规禁止的活动和项目。结构性生态空间内禁止对主导生态功能产生影响的开发建设活动。</w:t>
                  </w:r>
                </w:p>
              </w:tc>
              <w:tc>
                <w:tcPr>
                  <w:tcW w:w="1467" w:type="dxa"/>
                  <w:tcBorders>
                    <w:top w:val="single" w:color="auto" w:sz="4" w:space="0"/>
                    <w:left w:val="single" w:color="auto" w:sz="4" w:space="0"/>
                    <w:bottom w:val="single" w:color="auto" w:sz="4" w:space="0"/>
                    <w:right w:val="single" w:color="auto" w:sz="4" w:space="0"/>
                  </w:tcBorders>
                  <w:vAlign w:val="center"/>
                </w:tcPr>
                <w:p w14:paraId="0737D338">
                  <w:pPr>
                    <w:pStyle w:val="9"/>
                    <w:spacing w:before="0" w:after="0" w:line="240" w:lineRule="auto"/>
                    <w:ind w:right="0"/>
                    <w:rPr>
                      <w:color w:val="auto"/>
                      <w:szCs w:val="18"/>
                      <w:highlight w:val="none"/>
                    </w:rPr>
                  </w:pPr>
                  <w:r>
                    <w:rPr>
                      <w:rFonts w:hint="eastAsia"/>
                      <w:color w:val="auto"/>
                      <w:szCs w:val="18"/>
                      <w:highlight w:val="none"/>
                    </w:rPr>
                    <w:t>本项目不在生态红线内</w:t>
                  </w:r>
                </w:p>
              </w:tc>
              <w:tc>
                <w:tcPr>
                  <w:tcW w:w="864" w:type="dxa"/>
                  <w:tcBorders>
                    <w:top w:val="single" w:color="auto" w:sz="4" w:space="0"/>
                    <w:left w:val="single" w:color="auto" w:sz="4" w:space="0"/>
                    <w:bottom w:val="single" w:color="auto" w:sz="4" w:space="0"/>
                  </w:tcBorders>
                  <w:vAlign w:val="center"/>
                </w:tcPr>
                <w:p w14:paraId="25081A8B">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39D08F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5506" w:type="dxa"/>
                  <w:tcBorders>
                    <w:top w:val="single" w:color="auto" w:sz="4" w:space="0"/>
                    <w:bottom w:val="single" w:color="auto" w:sz="4" w:space="0"/>
                    <w:right w:val="single" w:color="auto" w:sz="4" w:space="0"/>
                  </w:tcBorders>
                  <w:vAlign w:val="center"/>
                </w:tcPr>
                <w:p w14:paraId="37B7E4AD">
                  <w:pPr>
                    <w:jc w:val="left"/>
                    <w:rPr>
                      <w:color w:val="auto"/>
                      <w:sz w:val="18"/>
                      <w:szCs w:val="18"/>
                      <w:highlight w:val="none"/>
                    </w:rPr>
                  </w:pPr>
                  <w:r>
                    <w:rPr>
                      <w:rFonts w:hint="eastAsia"/>
                      <w:color w:val="auto"/>
                      <w:sz w:val="18"/>
                      <w:szCs w:val="18"/>
                      <w:highlight w:val="none"/>
                    </w:rPr>
                    <w:t>长江流域重点水域自</w:t>
                  </w:r>
                  <w:r>
                    <w:rPr>
                      <w:color w:val="auto"/>
                      <w:sz w:val="18"/>
                      <w:szCs w:val="18"/>
                      <w:highlight w:val="none"/>
                    </w:rPr>
                    <w:t>2021</w:t>
                  </w:r>
                  <w:r>
                    <w:rPr>
                      <w:rFonts w:hint="eastAsia"/>
                      <w:color w:val="auto"/>
                      <w:sz w:val="18"/>
                      <w:szCs w:val="18"/>
                      <w:highlight w:val="none"/>
                    </w:rPr>
                    <w:t>年</w:t>
                  </w:r>
                  <w:r>
                    <w:rPr>
                      <w:color w:val="auto"/>
                      <w:sz w:val="18"/>
                      <w:szCs w:val="18"/>
                      <w:highlight w:val="none"/>
                    </w:rPr>
                    <w:t>1</w:t>
                  </w:r>
                  <w:r>
                    <w:rPr>
                      <w:rFonts w:hint="eastAsia"/>
                      <w:color w:val="auto"/>
                      <w:sz w:val="18"/>
                      <w:szCs w:val="18"/>
                      <w:highlight w:val="none"/>
                    </w:rPr>
                    <w:t>月</w:t>
                  </w:r>
                  <w:r>
                    <w:rPr>
                      <w:color w:val="auto"/>
                      <w:sz w:val="18"/>
                      <w:szCs w:val="18"/>
                      <w:highlight w:val="none"/>
                    </w:rPr>
                    <w:t>1</w:t>
                  </w:r>
                  <w:r>
                    <w:rPr>
                      <w:rFonts w:hint="eastAsia"/>
                      <w:color w:val="auto"/>
                      <w:sz w:val="18"/>
                      <w:szCs w:val="18"/>
                      <w:highlight w:val="none"/>
                    </w:rPr>
                    <w:t>日起实行为期</w:t>
                  </w:r>
                  <w:r>
                    <w:rPr>
                      <w:color w:val="auto"/>
                      <w:sz w:val="18"/>
                      <w:szCs w:val="18"/>
                      <w:highlight w:val="none"/>
                    </w:rPr>
                    <w:t>10</w:t>
                  </w:r>
                  <w:r>
                    <w:rPr>
                      <w:rFonts w:hint="eastAsia"/>
                      <w:color w:val="auto"/>
                      <w:sz w:val="18"/>
                      <w:szCs w:val="18"/>
                      <w:highlight w:val="none"/>
                    </w:rPr>
                    <w:t>年的常年禁捕，国家、省级水生生物保护区实行常年禁捕，禁捕期内全面禁止生产性捕捞和垂钓。禁止在水产种质资源保护区的岸线和河段范围内新建围湖造田等投资建设项目。淀山湖生物多样性维护区、大莲湖生物多样性维护区、嘉善县生物多样性维护区内，禁止违法猎捕野生动物、破坏野生动物栖息地和生存环境，禁止开展破坏其生态功能的活动。</w:t>
                  </w:r>
                </w:p>
              </w:tc>
              <w:tc>
                <w:tcPr>
                  <w:tcW w:w="1467" w:type="dxa"/>
                  <w:tcBorders>
                    <w:top w:val="single" w:color="auto" w:sz="4" w:space="0"/>
                    <w:left w:val="single" w:color="auto" w:sz="4" w:space="0"/>
                    <w:bottom w:val="single" w:color="auto" w:sz="4" w:space="0"/>
                    <w:right w:val="single" w:color="auto" w:sz="4" w:space="0"/>
                  </w:tcBorders>
                  <w:vAlign w:val="center"/>
                </w:tcPr>
                <w:p w14:paraId="4B3DE1D4">
                  <w:pPr>
                    <w:pStyle w:val="9"/>
                    <w:spacing w:before="0" w:after="0" w:line="240" w:lineRule="auto"/>
                    <w:ind w:right="0"/>
                    <w:jc w:val="center"/>
                    <w:rPr>
                      <w:color w:val="auto"/>
                      <w:szCs w:val="18"/>
                      <w:highlight w:val="none"/>
                    </w:rPr>
                  </w:pPr>
                  <w:r>
                    <w:rPr>
                      <w:rFonts w:hint="eastAsia"/>
                      <w:color w:val="auto"/>
                      <w:szCs w:val="18"/>
                      <w:highlight w:val="none"/>
                    </w:rPr>
                    <w:t>不涉及</w:t>
                  </w:r>
                </w:p>
              </w:tc>
              <w:tc>
                <w:tcPr>
                  <w:tcW w:w="864" w:type="dxa"/>
                  <w:tcBorders>
                    <w:top w:val="single" w:color="auto" w:sz="4" w:space="0"/>
                    <w:left w:val="single" w:color="auto" w:sz="4" w:space="0"/>
                    <w:bottom w:val="single" w:color="auto" w:sz="4" w:space="0"/>
                  </w:tcBorders>
                  <w:vAlign w:val="center"/>
                </w:tcPr>
                <w:p w14:paraId="7E314C45">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5E6CC0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64" w:hRule="atLeast"/>
                <w:jc w:val="center"/>
              </w:trPr>
              <w:tc>
                <w:tcPr>
                  <w:tcW w:w="5506" w:type="dxa"/>
                  <w:tcBorders>
                    <w:top w:val="single" w:color="auto" w:sz="4" w:space="0"/>
                    <w:bottom w:val="single" w:color="auto" w:sz="4" w:space="0"/>
                    <w:right w:val="single" w:color="auto" w:sz="4" w:space="0"/>
                  </w:tcBorders>
                  <w:vAlign w:val="center"/>
                </w:tcPr>
                <w:p w14:paraId="0CF7536E">
                  <w:pPr>
                    <w:jc w:val="left"/>
                    <w:rPr>
                      <w:color w:val="auto"/>
                      <w:sz w:val="18"/>
                      <w:szCs w:val="18"/>
                      <w:highlight w:val="none"/>
                    </w:rPr>
                  </w:pPr>
                  <w:r>
                    <w:rPr>
                      <w:rFonts w:hint="eastAsia"/>
                      <w:color w:val="auto"/>
                      <w:sz w:val="18"/>
                      <w:szCs w:val="18"/>
                      <w:highlight w:val="none"/>
                    </w:rPr>
                    <w:t>禁止在自然保护区核心区、缓冲区的岸线和河段范围内投资建设旅游和生产经营项目。禁止在风景名胜区核心景区的岸线和河段范围内投资建设与风景名胜资源保护无关的项目。禁止在太湖（吴江区）重要湿地、吴江同里国家湿地公园（试点）、吴江震泽省级湿地公园的岸线和河段范围内挖沙、采矿，以及不符合主体功能定位的投资建设项目。林地、河流等生态空间严格执行相关法律法规或管理办法，禁止建设或开展法律法规规定不能建设或开展的项目或活动。</w:t>
                  </w:r>
                </w:p>
              </w:tc>
              <w:tc>
                <w:tcPr>
                  <w:tcW w:w="1467" w:type="dxa"/>
                  <w:tcBorders>
                    <w:top w:val="single" w:color="auto" w:sz="4" w:space="0"/>
                    <w:left w:val="single" w:color="auto" w:sz="4" w:space="0"/>
                    <w:bottom w:val="single" w:color="auto" w:sz="4" w:space="0"/>
                    <w:right w:val="single" w:color="auto" w:sz="4" w:space="0"/>
                  </w:tcBorders>
                  <w:vAlign w:val="center"/>
                </w:tcPr>
                <w:p w14:paraId="765BE55E">
                  <w:pPr>
                    <w:pStyle w:val="9"/>
                    <w:spacing w:before="0" w:after="0" w:line="240" w:lineRule="auto"/>
                    <w:ind w:right="0"/>
                    <w:jc w:val="center"/>
                    <w:rPr>
                      <w:color w:val="auto"/>
                      <w:szCs w:val="18"/>
                      <w:highlight w:val="none"/>
                    </w:rPr>
                  </w:pPr>
                  <w:r>
                    <w:rPr>
                      <w:rFonts w:hint="eastAsia"/>
                      <w:color w:val="auto"/>
                      <w:szCs w:val="18"/>
                      <w:highlight w:val="none"/>
                    </w:rPr>
                    <w:t>不涉及</w:t>
                  </w:r>
                </w:p>
              </w:tc>
              <w:tc>
                <w:tcPr>
                  <w:tcW w:w="864" w:type="dxa"/>
                  <w:tcBorders>
                    <w:top w:val="single" w:color="auto" w:sz="4" w:space="0"/>
                    <w:left w:val="single" w:color="auto" w:sz="4" w:space="0"/>
                    <w:bottom w:val="single" w:color="auto" w:sz="4" w:space="0"/>
                  </w:tcBorders>
                  <w:vAlign w:val="center"/>
                </w:tcPr>
                <w:p w14:paraId="3E175647">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4E5548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5506" w:type="dxa"/>
                  <w:tcBorders>
                    <w:top w:val="single" w:color="auto" w:sz="4" w:space="0"/>
                    <w:bottom w:val="single" w:color="auto" w:sz="4" w:space="0"/>
                    <w:right w:val="single" w:color="auto" w:sz="4" w:space="0"/>
                  </w:tcBorders>
                  <w:vAlign w:val="center"/>
                </w:tcPr>
                <w:p w14:paraId="2196CEC3">
                  <w:pPr>
                    <w:jc w:val="left"/>
                    <w:rPr>
                      <w:color w:val="auto"/>
                      <w:sz w:val="18"/>
                      <w:szCs w:val="18"/>
                      <w:highlight w:val="none"/>
                    </w:rPr>
                  </w:pPr>
                  <w:r>
                    <w:rPr>
                      <w:rFonts w:hint="eastAsia"/>
                      <w:color w:val="auto"/>
                      <w:sz w:val="18"/>
                      <w:szCs w:val="18"/>
                      <w:highlight w:val="none"/>
                    </w:rPr>
                    <w:t>禁止在饮用水水源一级保护区新建、改建、扩建与供水设施和保护水源无关的项目，以及网箱养殖、畜禽养殖、旅游等可能污染饮用水水体的投资建设活动。禁止在饮用水水源二级保护区范围内新建、改建、扩建排放污染物的建设项目。禁止在饮用水水源地保护区内新建、扩建污染水体的建设项目；改建项目不得增加排污量。对确实无法避让、涉及生态保护红线和相关法定保护区的线性交通设施、水利设施项目以及保障城市安全的工程项目，应采取无害化穿（跨）越方式，并依法依规取得相关主管部门的同意。</w:t>
                  </w:r>
                </w:p>
              </w:tc>
              <w:tc>
                <w:tcPr>
                  <w:tcW w:w="1467" w:type="dxa"/>
                  <w:tcBorders>
                    <w:top w:val="single" w:color="auto" w:sz="4" w:space="0"/>
                    <w:left w:val="single" w:color="auto" w:sz="4" w:space="0"/>
                    <w:bottom w:val="single" w:color="auto" w:sz="4" w:space="0"/>
                    <w:right w:val="single" w:color="auto" w:sz="4" w:space="0"/>
                  </w:tcBorders>
                  <w:vAlign w:val="center"/>
                </w:tcPr>
                <w:p w14:paraId="4151D872">
                  <w:pPr>
                    <w:pStyle w:val="9"/>
                    <w:spacing w:before="0" w:after="0" w:line="240" w:lineRule="auto"/>
                    <w:ind w:right="0"/>
                    <w:jc w:val="center"/>
                    <w:rPr>
                      <w:color w:val="auto"/>
                      <w:szCs w:val="18"/>
                      <w:highlight w:val="none"/>
                    </w:rPr>
                  </w:pPr>
                  <w:r>
                    <w:rPr>
                      <w:rFonts w:hint="eastAsia"/>
                      <w:color w:val="auto"/>
                      <w:szCs w:val="18"/>
                      <w:highlight w:val="none"/>
                    </w:rPr>
                    <w:t>不涉及</w:t>
                  </w:r>
                </w:p>
              </w:tc>
              <w:tc>
                <w:tcPr>
                  <w:tcW w:w="864" w:type="dxa"/>
                  <w:tcBorders>
                    <w:top w:val="single" w:color="auto" w:sz="4" w:space="0"/>
                    <w:left w:val="single" w:color="auto" w:sz="4" w:space="0"/>
                    <w:bottom w:val="single" w:color="auto" w:sz="4" w:space="0"/>
                  </w:tcBorders>
                  <w:vAlign w:val="center"/>
                </w:tcPr>
                <w:p w14:paraId="2D0A4B88">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025229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5506" w:type="dxa"/>
                  <w:tcBorders>
                    <w:top w:val="single" w:color="auto" w:sz="4" w:space="0"/>
                    <w:bottom w:val="single" w:color="auto" w:sz="4" w:space="0"/>
                    <w:right w:val="single" w:color="auto" w:sz="4" w:space="0"/>
                  </w:tcBorders>
                  <w:vAlign w:val="center"/>
                </w:tcPr>
                <w:p w14:paraId="6239CDAB">
                  <w:pPr>
                    <w:jc w:val="left"/>
                    <w:rPr>
                      <w:color w:val="auto"/>
                      <w:sz w:val="18"/>
                      <w:szCs w:val="18"/>
                      <w:highlight w:val="none"/>
                    </w:rPr>
                  </w:pPr>
                  <w:r>
                    <w:rPr>
                      <w:rFonts w:hint="eastAsia"/>
                      <w:color w:val="auto"/>
                      <w:sz w:val="18"/>
                      <w:szCs w:val="18"/>
                      <w:highlight w:val="none"/>
                    </w:rPr>
                    <w:t>禁止违法利用、占用长江流域河湖岸线。禁止在《全国重要江河湖泊水功能区划》划定的河段及湖泊保护区、保留区内投资建设不利于水资源及自然生态保护的项目。禁止未经法定许可占用水域和建设影响河道自然形态和水生态（环境）功能的项目。</w:t>
                  </w:r>
                </w:p>
              </w:tc>
              <w:tc>
                <w:tcPr>
                  <w:tcW w:w="1467" w:type="dxa"/>
                  <w:tcBorders>
                    <w:top w:val="single" w:color="auto" w:sz="4" w:space="0"/>
                    <w:left w:val="single" w:color="auto" w:sz="4" w:space="0"/>
                    <w:bottom w:val="single" w:color="auto" w:sz="4" w:space="0"/>
                    <w:right w:val="single" w:color="auto" w:sz="4" w:space="0"/>
                  </w:tcBorders>
                  <w:vAlign w:val="center"/>
                </w:tcPr>
                <w:p w14:paraId="688315E3">
                  <w:pPr>
                    <w:pStyle w:val="9"/>
                    <w:spacing w:before="0" w:after="0" w:line="240" w:lineRule="auto"/>
                    <w:ind w:right="0"/>
                    <w:rPr>
                      <w:color w:val="auto"/>
                      <w:szCs w:val="18"/>
                      <w:highlight w:val="none"/>
                    </w:rPr>
                  </w:pPr>
                  <w:r>
                    <w:rPr>
                      <w:rFonts w:hint="eastAsia"/>
                      <w:color w:val="auto"/>
                      <w:szCs w:val="18"/>
                      <w:highlight w:val="none"/>
                      <w:shd w:val="clear" w:color="auto" w:fill="FFFFFF"/>
                    </w:rPr>
                    <w:t>本项目不占用长江流域河湖岸线</w:t>
                  </w:r>
                </w:p>
              </w:tc>
              <w:tc>
                <w:tcPr>
                  <w:tcW w:w="864" w:type="dxa"/>
                  <w:tcBorders>
                    <w:top w:val="single" w:color="auto" w:sz="4" w:space="0"/>
                    <w:left w:val="single" w:color="auto" w:sz="4" w:space="0"/>
                    <w:bottom w:val="single" w:color="auto" w:sz="4" w:space="0"/>
                  </w:tcBorders>
                  <w:vAlign w:val="center"/>
                </w:tcPr>
                <w:p w14:paraId="3F106AFA">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6DD25D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56" w:hRule="atLeast"/>
                <w:jc w:val="center"/>
              </w:trPr>
              <w:tc>
                <w:tcPr>
                  <w:tcW w:w="5506" w:type="dxa"/>
                  <w:tcBorders>
                    <w:top w:val="single" w:color="auto" w:sz="4" w:space="0"/>
                    <w:bottom w:val="single" w:color="auto" w:sz="4" w:space="0"/>
                    <w:right w:val="single" w:color="auto" w:sz="4" w:space="0"/>
                  </w:tcBorders>
                  <w:vAlign w:val="center"/>
                </w:tcPr>
                <w:p w14:paraId="2049E2AE">
                  <w:pPr>
                    <w:jc w:val="left"/>
                    <w:rPr>
                      <w:color w:val="auto"/>
                      <w:sz w:val="18"/>
                      <w:szCs w:val="18"/>
                      <w:highlight w:val="none"/>
                    </w:rPr>
                  </w:pPr>
                  <w:r>
                    <w:rPr>
                      <w:rFonts w:hint="eastAsia"/>
                      <w:color w:val="auto"/>
                      <w:sz w:val="18"/>
                      <w:szCs w:val="18"/>
                      <w:highlight w:val="none"/>
                    </w:rPr>
                    <w:t>禁止未经同意在长江流域江河、湖泊新设、改设或扩大排污口。禁止在长江干支流、重要湖泊岸线一公里范围内新建、扩建化工园区和化工项目，现有化工企业依法逐步淘汰搬迁。禁止在长江干流岸线三公里范围内和重要支流岸线</w:t>
                  </w:r>
                  <w:r>
                    <w:rPr>
                      <w:color w:val="auto"/>
                      <w:sz w:val="18"/>
                      <w:szCs w:val="18"/>
                      <w:highlight w:val="none"/>
                    </w:rPr>
                    <w:t>1</w:t>
                  </w:r>
                  <w:r>
                    <w:rPr>
                      <w:rFonts w:hint="eastAsia"/>
                      <w:color w:val="auto"/>
                      <w:sz w:val="18"/>
                      <w:szCs w:val="18"/>
                      <w:highlight w:val="none"/>
                    </w:rPr>
                    <w:t>公里范围内新建、改建、扩建尾矿库、冶炼渣库和磷石膏库，以提升安全、生态环境保护水平为目的的改建除外。</w:t>
                  </w:r>
                </w:p>
              </w:tc>
              <w:tc>
                <w:tcPr>
                  <w:tcW w:w="1467" w:type="dxa"/>
                  <w:tcBorders>
                    <w:top w:val="single" w:color="auto" w:sz="4" w:space="0"/>
                    <w:left w:val="single" w:color="auto" w:sz="4" w:space="0"/>
                    <w:bottom w:val="single" w:color="auto" w:sz="4" w:space="0"/>
                    <w:right w:val="single" w:color="auto" w:sz="4" w:space="0"/>
                  </w:tcBorders>
                  <w:vAlign w:val="center"/>
                </w:tcPr>
                <w:p w14:paraId="15D525EC">
                  <w:pPr>
                    <w:pStyle w:val="9"/>
                    <w:spacing w:before="0" w:after="0" w:line="240" w:lineRule="auto"/>
                    <w:ind w:right="0"/>
                    <w:rPr>
                      <w:color w:val="auto"/>
                      <w:szCs w:val="18"/>
                      <w:highlight w:val="none"/>
                    </w:rPr>
                  </w:pPr>
                  <w:r>
                    <w:rPr>
                      <w:rFonts w:hint="eastAsia"/>
                      <w:color w:val="auto"/>
                      <w:szCs w:val="18"/>
                      <w:highlight w:val="none"/>
                      <w:shd w:val="clear" w:color="auto" w:fill="FFFFFF"/>
                    </w:rPr>
                    <w:t>本项目不在长江流域江河、湖泊新设、改设或扩大排污口</w:t>
                  </w:r>
                </w:p>
              </w:tc>
              <w:tc>
                <w:tcPr>
                  <w:tcW w:w="864" w:type="dxa"/>
                  <w:tcBorders>
                    <w:top w:val="single" w:color="auto" w:sz="4" w:space="0"/>
                    <w:left w:val="single" w:color="auto" w:sz="4" w:space="0"/>
                    <w:bottom w:val="single" w:color="auto" w:sz="4" w:space="0"/>
                  </w:tcBorders>
                  <w:vAlign w:val="center"/>
                </w:tcPr>
                <w:p w14:paraId="250A040D">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1A9918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185" w:hRule="atLeast"/>
                <w:jc w:val="center"/>
              </w:trPr>
              <w:tc>
                <w:tcPr>
                  <w:tcW w:w="5506" w:type="dxa"/>
                  <w:tcBorders>
                    <w:top w:val="single" w:color="auto" w:sz="4" w:space="0"/>
                    <w:bottom w:val="single" w:color="auto" w:sz="4" w:space="0"/>
                    <w:right w:val="single" w:color="auto" w:sz="4" w:space="0"/>
                  </w:tcBorders>
                  <w:vAlign w:val="center"/>
                </w:tcPr>
                <w:p w14:paraId="6177BF4A">
                  <w:pPr>
                    <w:jc w:val="left"/>
                    <w:rPr>
                      <w:color w:val="auto"/>
                      <w:sz w:val="18"/>
                      <w:szCs w:val="18"/>
                      <w:highlight w:val="none"/>
                    </w:rPr>
                  </w:pPr>
                  <w:r>
                    <w:rPr>
                      <w:rFonts w:hint="eastAsia"/>
                      <w:color w:val="auto"/>
                      <w:sz w:val="18"/>
                      <w:szCs w:val="18"/>
                      <w:highlight w:val="none"/>
                    </w:rPr>
                    <w:t>除战略新兴产业项目外，大湖流域原则上不再审批其他生产性新增氮磷污染物的工业类建设项目。太湖沿岸</w:t>
                  </w:r>
                  <w:r>
                    <w:rPr>
                      <w:color w:val="auto"/>
                      <w:sz w:val="18"/>
                      <w:szCs w:val="18"/>
                      <w:highlight w:val="none"/>
                    </w:rPr>
                    <w:t>5</w:t>
                  </w:r>
                  <w:r>
                    <w:rPr>
                      <w:rFonts w:hint="eastAsia"/>
                      <w:color w:val="auto"/>
                      <w:sz w:val="18"/>
                      <w:szCs w:val="18"/>
                      <w:highlight w:val="none"/>
                    </w:rPr>
                    <w:t>公里范围内，禁止新建、扩建向水体排放污染物的建设项目，禁止新建、扩建畜禽养殖场，禁止新建、扩建高尔夫球场和设置水上餐饮经营设施。</w:t>
                  </w:r>
                </w:p>
              </w:tc>
              <w:tc>
                <w:tcPr>
                  <w:tcW w:w="1467" w:type="dxa"/>
                  <w:tcBorders>
                    <w:top w:val="single" w:color="auto" w:sz="4" w:space="0"/>
                    <w:left w:val="single" w:color="auto" w:sz="4" w:space="0"/>
                    <w:bottom w:val="single" w:color="auto" w:sz="4" w:space="0"/>
                    <w:right w:val="single" w:color="auto" w:sz="4" w:space="0"/>
                  </w:tcBorders>
                  <w:vAlign w:val="center"/>
                </w:tcPr>
                <w:p w14:paraId="605A48D7">
                  <w:pPr>
                    <w:pStyle w:val="9"/>
                    <w:spacing w:before="0" w:after="0" w:line="240" w:lineRule="auto"/>
                    <w:ind w:right="0"/>
                    <w:rPr>
                      <w:color w:val="auto"/>
                      <w:szCs w:val="18"/>
                      <w:highlight w:val="none"/>
                    </w:rPr>
                  </w:pPr>
                  <w:r>
                    <w:rPr>
                      <w:rFonts w:hint="eastAsia"/>
                      <w:color w:val="auto"/>
                      <w:szCs w:val="18"/>
                      <w:highlight w:val="none"/>
                    </w:rPr>
                    <w:t>本项目不在太湖</w:t>
                  </w:r>
                  <w:r>
                    <w:rPr>
                      <w:color w:val="auto"/>
                      <w:szCs w:val="18"/>
                      <w:highlight w:val="none"/>
                    </w:rPr>
                    <w:t>5km</w:t>
                  </w:r>
                  <w:r>
                    <w:rPr>
                      <w:rFonts w:hint="eastAsia"/>
                      <w:color w:val="auto"/>
                      <w:szCs w:val="18"/>
                      <w:highlight w:val="none"/>
                    </w:rPr>
                    <w:t>范围内，且不向水体排放污染物</w:t>
                  </w:r>
                </w:p>
              </w:tc>
              <w:tc>
                <w:tcPr>
                  <w:tcW w:w="864" w:type="dxa"/>
                  <w:tcBorders>
                    <w:top w:val="single" w:color="auto" w:sz="4" w:space="0"/>
                    <w:left w:val="single" w:color="auto" w:sz="4" w:space="0"/>
                    <w:bottom w:val="single" w:color="auto" w:sz="4" w:space="0"/>
                  </w:tcBorders>
                  <w:vAlign w:val="center"/>
                </w:tcPr>
                <w:p w14:paraId="00F44DF0">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556818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5506" w:type="dxa"/>
                  <w:tcBorders>
                    <w:top w:val="single" w:color="auto" w:sz="4" w:space="0"/>
                    <w:bottom w:val="single" w:color="auto" w:sz="4" w:space="0"/>
                    <w:right w:val="single" w:color="auto" w:sz="4" w:space="0"/>
                  </w:tcBorders>
                  <w:vAlign w:val="center"/>
                </w:tcPr>
                <w:p w14:paraId="6C727AD0">
                  <w:pPr>
                    <w:jc w:val="left"/>
                    <w:rPr>
                      <w:color w:val="auto"/>
                      <w:sz w:val="18"/>
                      <w:szCs w:val="18"/>
                      <w:highlight w:val="none"/>
                    </w:rPr>
                  </w:pPr>
                  <w:r>
                    <w:rPr>
                      <w:rFonts w:hint="eastAsia"/>
                      <w:color w:val="auto"/>
                      <w:sz w:val="18"/>
                      <w:szCs w:val="18"/>
                      <w:highlight w:val="none"/>
                    </w:rPr>
                    <w:t>禁止建设不符合全国和省级港口布局规划以及港口总体规划的码头项目。禁止新建、扩建不符合国家石化、现代煤化工等产业布局规划的项目。</w:t>
                  </w:r>
                </w:p>
              </w:tc>
              <w:tc>
                <w:tcPr>
                  <w:tcW w:w="1467" w:type="dxa"/>
                  <w:tcBorders>
                    <w:top w:val="single" w:color="auto" w:sz="4" w:space="0"/>
                    <w:left w:val="single" w:color="auto" w:sz="4" w:space="0"/>
                    <w:bottom w:val="single" w:color="auto" w:sz="4" w:space="0"/>
                    <w:right w:val="single" w:color="auto" w:sz="4" w:space="0"/>
                  </w:tcBorders>
                  <w:vAlign w:val="center"/>
                </w:tcPr>
                <w:p w14:paraId="79EF0223">
                  <w:pPr>
                    <w:pStyle w:val="9"/>
                    <w:spacing w:before="0" w:after="0" w:line="240" w:lineRule="auto"/>
                    <w:ind w:right="0"/>
                    <w:jc w:val="center"/>
                    <w:rPr>
                      <w:color w:val="auto"/>
                      <w:szCs w:val="18"/>
                      <w:highlight w:val="none"/>
                    </w:rPr>
                  </w:pPr>
                  <w:r>
                    <w:rPr>
                      <w:rFonts w:hint="eastAsia"/>
                      <w:color w:val="auto"/>
                      <w:szCs w:val="18"/>
                      <w:highlight w:val="none"/>
                    </w:rPr>
                    <w:t>不涉及</w:t>
                  </w:r>
                </w:p>
              </w:tc>
              <w:tc>
                <w:tcPr>
                  <w:tcW w:w="864" w:type="dxa"/>
                  <w:tcBorders>
                    <w:top w:val="single" w:color="auto" w:sz="4" w:space="0"/>
                    <w:left w:val="single" w:color="auto" w:sz="4" w:space="0"/>
                    <w:bottom w:val="single" w:color="auto" w:sz="4" w:space="0"/>
                  </w:tcBorders>
                  <w:vAlign w:val="center"/>
                </w:tcPr>
                <w:p w14:paraId="261A6BCB">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5550B4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5506" w:type="dxa"/>
                  <w:tcBorders>
                    <w:top w:val="single" w:color="auto" w:sz="4" w:space="0"/>
                    <w:bottom w:val="single" w:color="auto" w:sz="4" w:space="0"/>
                    <w:right w:val="single" w:color="auto" w:sz="4" w:space="0"/>
                  </w:tcBorders>
                  <w:vAlign w:val="center"/>
                </w:tcPr>
                <w:p w14:paraId="4993663B">
                  <w:pPr>
                    <w:jc w:val="left"/>
                    <w:rPr>
                      <w:color w:val="auto"/>
                      <w:sz w:val="18"/>
                      <w:szCs w:val="18"/>
                      <w:highlight w:val="none"/>
                    </w:rPr>
                  </w:pPr>
                  <w:r>
                    <w:rPr>
                      <w:rFonts w:hint="eastAsia"/>
                      <w:color w:val="auto"/>
                      <w:sz w:val="18"/>
                      <w:szCs w:val="18"/>
                      <w:highlight w:val="none"/>
                    </w:rPr>
                    <w:t>禁止新增化工园区。禁止在合规园区外新建、扩建钢铁、石化、化工、焦化、建材、有色、制浆造纸等高污染项目。高污染项目清单参照生态环境部《环境保护综合名录》执行。</w:t>
                  </w:r>
                </w:p>
              </w:tc>
              <w:tc>
                <w:tcPr>
                  <w:tcW w:w="1467" w:type="dxa"/>
                  <w:tcBorders>
                    <w:top w:val="single" w:color="auto" w:sz="4" w:space="0"/>
                    <w:left w:val="single" w:color="auto" w:sz="4" w:space="0"/>
                    <w:bottom w:val="single" w:color="auto" w:sz="4" w:space="0"/>
                    <w:right w:val="single" w:color="auto" w:sz="4" w:space="0"/>
                  </w:tcBorders>
                  <w:vAlign w:val="center"/>
                </w:tcPr>
                <w:p w14:paraId="51C69FFD">
                  <w:pPr>
                    <w:pStyle w:val="9"/>
                    <w:spacing w:before="0" w:after="0" w:line="240" w:lineRule="auto"/>
                    <w:ind w:right="0"/>
                    <w:jc w:val="center"/>
                    <w:rPr>
                      <w:color w:val="auto"/>
                      <w:szCs w:val="18"/>
                      <w:highlight w:val="none"/>
                    </w:rPr>
                  </w:pPr>
                  <w:r>
                    <w:rPr>
                      <w:rFonts w:hint="eastAsia"/>
                      <w:color w:val="auto"/>
                      <w:szCs w:val="18"/>
                      <w:highlight w:val="none"/>
                    </w:rPr>
                    <w:t>不涉及</w:t>
                  </w:r>
                </w:p>
              </w:tc>
              <w:tc>
                <w:tcPr>
                  <w:tcW w:w="864" w:type="dxa"/>
                  <w:tcBorders>
                    <w:top w:val="single" w:color="auto" w:sz="4" w:space="0"/>
                    <w:left w:val="single" w:color="auto" w:sz="4" w:space="0"/>
                    <w:bottom w:val="single" w:color="auto" w:sz="4" w:space="0"/>
                  </w:tcBorders>
                  <w:vAlign w:val="center"/>
                </w:tcPr>
                <w:p w14:paraId="40532846">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381A45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01" w:hRule="atLeast"/>
                <w:jc w:val="center"/>
              </w:trPr>
              <w:tc>
                <w:tcPr>
                  <w:tcW w:w="5506" w:type="dxa"/>
                  <w:tcBorders>
                    <w:top w:val="single" w:color="auto" w:sz="4" w:space="0"/>
                    <w:bottom w:val="single" w:color="auto" w:sz="4" w:space="0"/>
                    <w:right w:val="single" w:color="auto" w:sz="4" w:space="0"/>
                  </w:tcBorders>
                  <w:vAlign w:val="center"/>
                </w:tcPr>
                <w:p w14:paraId="207BC005">
                  <w:pPr>
                    <w:jc w:val="left"/>
                    <w:rPr>
                      <w:color w:val="auto"/>
                      <w:sz w:val="18"/>
                      <w:szCs w:val="18"/>
                      <w:highlight w:val="none"/>
                    </w:rPr>
                  </w:pPr>
                  <w:r>
                    <w:rPr>
                      <w:rFonts w:hint="eastAsia"/>
                      <w:color w:val="auto"/>
                      <w:sz w:val="18"/>
                      <w:szCs w:val="18"/>
                      <w:highlight w:val="none"/>
                    </w:rPr>
                    <w:t>禁止新建、扩建法律法规和相关政策明令禁止的落后产能项目。禁止新建、扩建不符合国家产能置换要求的严重过剩产能行业的项目。禁止新建、扩建不符合要求的高耗能高排放项目。严格禁止煤炭、重油、渣油、石油焦等高污染燃料的使用（除电站锅炉、钢铁冶炼窑炉以外）。禁止建设企业自备燃煤设施。禁止新建、扩建燃用高污染燃料的设施（除热电行业以外）。</w:t>
                  </w:r>
                </w:p>
              </w:tc>
              <w:tc>
                <w:tcPr>
                  <w:tcW w:w="1467" w:type="dxa"/>
                  <w:tcBorders>
                    <w:top w:val="single" w:color="auto" w:sz="4" w:space="0"/>
                    <w:left w:val="single" w:color="auto" w:sz="4" w:space="0"/>
                    <w:bottom w:val="single" w:color="auto" w:sz="4" w:space="0"/>
                    <w:right w:val="single" w:color="auto" w:sz="4" w:space="0"/>
                  </w:tcBorders>
                  <w:vAlign w:val="center"/>
                </w:tcPr>
                <w:p w14:paraId="01C46C9D">
                  <w:pPr>
                    <w:pStyle w:val="9"/>
                    <w:spacing w:before="0" w:after="0" w:line="240" w:lineRule="auto"/>
                    <w:ind w:right="0"/>
                    <w:rPr>
                      <w:color w:val="auto"/>
                      <w:szCs w:val="18"/>
                      <w:highlight w:val="none"/>
                    </w:rPr>
                  </w:pPr>
                  <w:r>
                    <w:rPr>
                      <w:rFonts w:hint="eastAsia"/>
                      <w:color w:val="auto"/>
                      <w:szCs w:val="18"/>
                      <w:highlight w:val="none"/>
                    </w:rPr>
                    <w:t>本项目不属于置换行业，也不属于高耗能行业，本项目使用电能</w:t>
                  </w:r>
                </w:p>
              </w:tc>
              <w:tc>
                <w:tcPr>
                  <w:tcW w:w="864" w:type="dxa"/>
                  <w:tcBorders>
                    <w:top w:val="single" w:color="auto" w:sz="4" w:space="0"/>
                    <w:left w:val="single" w:color="auto" w:sz="4" w:space="0"/>
                    <w:bottom w:val="single" w:color="auto" w:sz="4" w:space="0"/>
                  </w:tcBorders>
                  <w:vAlign w:val="center"/>
                </w:tcPr>
                <w:p w14:paraId="4C494507">
                  <w:pPr>
                    <w:overflowPunct w:val="0"/>
                    <w:adjustRightInd w:val="0"/>
                    <w:snapToGrid w:val="0"/>
                    <w:jc w:val="center"/>
                    <w:rPr>
                      <w:color w:val="auto"/>
                      <w:sz w:val="18"/>
                      <w:szCs w:val="18"/>
                      <w:highlight w:val="none"/>
                    </w:rPr>
                  </w:pPr>
                  <w:r>
                    <w:rPr>
                      <w:rFonts w:hint="eastAsia"/>
                      <w:color w:val="auto"/>
                      <w:sz w:val="18"/>
                      <w:szCs w:val="18"/>
                      <w:highlight w:val="none"/>
                    </w:rPr>
                    <w:t>符合</w:t>
                  </w:r>
                </w:p>
              </w:tc>
            </w:tr>
            <w:tr w14:paraId="437346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5506" w:type="dxa"/>
                  <w:tcBorders>
                    <w:top w:val="single" w:color="auto" w:sz="4" w:space="0"/>
                    <w:bottom w:val="single" w:color="auto" w:sz="12" w:space="0"/>
                    <w:right w:val="single" w:color="auto" w:sz="4" w:space="0"/>
                  </w:tcBorders>
                  <w:vAlign w:val="center"/>
                </w:tcPr>
                <w:p w14:paraId="2BB24379">
                  <w:pPr>
                    <w:jc w:val="left"/>
                    <w:rPr>
                      <w:color w:val="auto"/>
                      <w:sz w:val="18"/>
                      <w:szCs w:val="18"/>
                      <w:highlight w:val="none"/>
                    </w:rPr>
                  </w:pPr>
                  <w:r>
                    <w:rPr>
                      <w:rFonts w:hint="eastAsia"/>
                      <w:color w:val="auto"/>
                      <w:sz w:val="18"/>
                      <w:szCs w:val="18"/>
                      <w:highlight w:val="none"/>
                    </w:rPr>
                    <w:t>在地下水禁止开采区内禁止取用地下水，但不包括《地下水管理条例》第三十五条所列三种情形。在地下水限制开采区内禁止新增取用地下水，并逐步削减地下水取水量。</w:t>
                  </w:r>
                </w:p>
              </w:tc>
              <w:tc>
                <w:tcPr>
                  <w:tcW w:w="1467" w:type="dxa"/>
                  <w:tcBorders>
                    <w:top w:val="single" w:color="auto" w:sz="4" w:space="0"/>
                    <w:left w:val="single" w:color="auto" w:sz="4" w:space="0"/>
                    <w:bottom w:val="single" w:color="auto" w:sz="12" w:space="0"/>
                    <w:right w:val="single" w:color="auto" w:sz="4" w:space="0"/>
                  </w:tcBorders>
                  <w:vAlign w:val="center"/>
                </w:tcPr>
                <w:p w14:paraId="64D2C9BC">
                  <w:pPr>
                    <w:pStyle w:val="9"/>
                    <w:spacing w:before="0" w:after="0" w:line="240" w:lineRule="auto"/>
                    <w:ind w:right="0"/>
                    <w:rPr>
                      <w:color w:val="auto"/>
                      <w:szCs w:val="18"/>
                      <w:highlight w:val="none"/>
                    </w:rPr>
                  </w:pPr>
                  <w:r>
                    <w:rPr>
                      <w:rFonts w:hint="eastAsia"/>
                      <w:color w:val="auto"/>
                      <w:szCs w:val="18"/>
                      <w:highlight w:val="none"/>
                    </w:rPr>
                    <w:t>本项目不取用地下水</w:t>
                  </w:r>
                </w:p>
              </w:tc>
              <w:tc>
                <w:tcPr>
                  <w:tcW w:w="864" w:type="dxa"/>
                  <w:tcBorders>
                    <w:top w:val="single" w:color="auto" w:sz="4" w:space="0"/>
                    <w:left w:val="single" w:color="auto" w:sz="4" w:space="0"/>
                    <w:bottom w:val="single" w:color="auto" w:sz="12" w:space="0"/>
                  </w:tcBorders>
                  <w:vAlign w:val="center"/>
                </w:tcPr>
                <w:p w14:paraId="0D087B04">
                  <w:pPr>
                    <w:overflowPunct w:val="0"/>
                    <w:adjustRightInd w:val="0"/>
                    <w:snapToGrid w:val="0"/>
                    <w:jc w:val="center"/>
                    <w:rPr>
                      <w:color w:val="auto"/>
                      <w:sz w:val="18"/>
                      <w:szCs w:val="18"/>
                      <w:highlight w:val="none"/>
                    </w:rPr>
                  </w:pPr>
                  <w:r>
                    <w:rPr>
                      <w:rFonts w:hint="eastAsia"/>
                      <w:color w:val="auto"/>
                      <w:sz w:val="18"/>
                      <w:szCs w:val="18"/>
                      <w:highlight w:val="none"/>
                    </w:rPr>
                    <w:t>符合</w:t>
                  </w:r>
                </w:p>
              </w:tc>
            </w:tr>
          </w:tbl>
          <w:p w14:paraId="2464A234">
            <w:pPr>
              <w:tabs>
                <w:tab w:val="center" w:pos="4156"/>
                <w:tab w:val="left" w:pos="5964"/>
              </w:tabs>
              <w:adjustRightInd w:val="0"/>
              <w:snapToGrid w:val="0"/>
              <w:spacing w:line="360" w:lineRule="auto"/>
              <w:jc w:val="left"/>
              <w:rPr>
                <w:b/>
                <w:snapToGrid w:val="0"/>
                <w:color w:val="auto"/>
                <w:szCs w:val="21"/>
                <w:highlight w:val="none"/>
              </w:rPr>
            </w:pPr>
            <w:r>
              <w:rPr>
                <w:b/>
                <w:snapToGrid w:val="0"/>
                <w:color w:val="auto"/>
                <w:szCs w:val="21"/>
                <w:highlight w:val="none"/>
              </w:rPr>
              <w:t>8</w:t>
            </w:r>
            <w:r>
              <w:rPr>
                <w:rFonts w:hint="eastAsia"/>
                <w:b/>
                <w:snapToGrid w:val="0"/>
                <w:color w:val="auto"/>
                <w:szCs w:val="21"/>
                <w:highlight w:val="none"/>
              </w:rPr>
              <w:t>、《大运河苏州段核心监控区国土空间管控细则》（苏府规字</w:t>
            </w:r>
            <w:r>
              <w:rPr>
                <w:rFonts w:hint="eastAsia"/>
                <w:b/>
                <w:snapToGrid w:val="0"/>
                <w:color w:val="auto"/>
                <w:szCs w:val="21"/>
                <w:highlight w:val="none"/>
                <w:lang w:eastAsia="zh-CN"/>
              </w:rPr>
              <w:t>〔</w:t>
            </w:r>
            <w:r>
              <w:rPr>
                <w:b/>
                <w:snapToGrid w:val="0"/>
                <w:color w:val="auto"/>
                <w:szCs w:val="21"/>
                <w:highlight w:val="none"/>
              </w:rPr>
              <w:t>2022</w:t>
            </w:r>
            <w:r>
              <w:rPr>
                <w:rFonts w:hint="eastAsia"/>
                <w:b/>
                <w:snapToGrid w:val="0"/>
                <w:color w:val="auto"/>
                <w:szCs w:val="21"/>
                <w:highlight w:val="none"/>
                <w:lang w:eastAsia="zh-CN"/>
              </w:rPr>
              <w:t>〕</w:t>
            </w:r>
            <w:r>
              <w:rPr>
                <w:b/>
                <w:snapToGrid w:val="0"/>
                <w:color w:val="auto"/>
                <w:szCs w:val="21"/>
                <w:highlight w:val="none"/>
              </w:rPr>
              <w:t>8</w:t>
            </w:r>
            <w:r>
              <w:rPr>
                <w:rFonts w:hint="eastAsia"/>
                <w:b/>
                <w:snapToGrid w:val="0"/>
                <w:color w:val="auto"/>
                <w:szCs w:val="21"/>
                <w:highlight w:val="none"/>
              </w:rPr>
              <w:t>号）相符性分析</w:t>
            </w:r>
          </w:p>
          <w:p w14:paraId="794826B1">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本细则所称核心监控区，是指大运河苏州段主河道两岸各2千米范围。核心监控区按照滨河生态空间、建成区和核心监控区其他区域（“三区”）予以分区管</w:t>
            </w:r>
            <w:r>
              <w:rPr>
                <w:rFonts w:hint="eastAsia"/>
                <w:color w:val="auto"/>
                <w:kern w:val="0"/>
                <w:szCs w:val="21"/>
                <w:highlight w:val="none"/>
                <w:lang w:val="en-US" w:eastAsia="zh-CN"/>
              </w:rPr>
              <w:t>控。</w:t>
            </w:r>
            <w:r>
              <w:rPr>
                <w:rFonts w:hint="eastAsia"/>
                <w:color w:val="auto"/>
                <w:kern w:val="0"/>
                <w:szCs w:val="21"/>
                <w:highlight w:val="none"/>
              </w:rPr>
              <w:t>滨河生态空间，是指核心监控区内，原则上除建成区外，大运河苏州段主河道两岸各</w:t>
            </w:r>
            <w:r>
              <w:rPr>
                <w:color w:val="auto"/>
                <w:kern w:val="0"/>
                <w:szCs w:val="21"/>
                <w:highlight w:val="none"/>
              </w:rPr>
              <w:t>1</w:t>
            </w:r>
            <w:r>
              <w:rPr>
                <w:rFonts w:hint="eastAsia"/>
                <w:color w:val="auto"/>
                <w:kern w:val="0"/>
                <w:szCs w:val="21"/>
                <w:highlight w:val="none"/>
              </w:rPr>
              <w:t>千米范围内的区域；建成区是指核心监控区范围内，城镇开发边界以内的区域和城镇开发边界以外的村庄建设区；核心监控区其他区域是指核心监控区内除滨河生态空间及建成区以外的区域。</w:t>
            </w:r>
          </w:p>
          <w:p w14:paraId="764FCC9D">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本项目距离</w:t>
            </w:r>
            <w:r>
              <w:rPr>
                <w:rFonts w:hint="eastAsia"/>
                <w:color w:val="auto"/>
                <w:kern w:val="0"/>
                <w:szCs w:val="21"/>
                <w:highlight w:val="none"/>
                <w:lang w:val="en-US" w:eastAsia="zh-CN"/>
              </w:rPr>
              <w:t>京杭大运河30</w:t>
            </w:r>
            <w:r>
              <w:rPr>
                <w:color w:val="auto"/>
                <w:kern w:val="0"/>
                <w:szCs w:val="21"/>
                <w:highlight w:val="none"/>
              </w:rPr>
              <w:t>m</w:t>
            </w:r>
            <w:r>
              <w:rPr>
                <w:rFonts w:hint="eastAsia"/>
                <w:color w:val="auto"/>
                <w:kern w:val="0"/>
                <w:szCs w:val="21"/>
                <w:highlight w:val="none"/>
              </w:rPr>
              <w:t>，</w:t>
            </w:r>
            <w:r>
              <w:rPr>
                <w:rFonts w:hint="eastAsia"/>
                <w:color w:val="auto"/>
                <w:kern w:val="0"/>
                <w:szCs w:val="21"/>
                <w:highlight w:val="none"/>
                <w:lang w:val="en-US" w:eastAsia="zh-CN"/>
              </w:rPr>
              <w:t>位于</w:t>
            </w:r>
            <w:r>
              <w:rPr>
                <w:rFonts w:hint="eastAsia"/>
                <w:color w:val="auto"/>
                <w:kern w:val="0"/>
                <w:szCs w:val="21"/>
                <w:highlight w:val="none"/>
              </w:rPr>
              <w:t>核心监控区</w:t>
            </w:r>
            <w:r>
              <w:rPr>
                <w:rFonts w:hint="eastAsia"/>
                <w:color w:val="auto"/>
                <w:kern w:val="0"/>
                <w:szCs w:val="21"/>
                <w:highlight w:val="none"/>
                <w:lang w:val="en-US" w:eastAsia="zh-CN"/>
              </w:rPr>
              <w:t>内，</w:t>
            </w:r>
            <w:r>
              <w:rPr>
                <w:rFonts w:hint="eastAsia"/>
                <w:color w:val="auto"/>
                <w:kern w:val="0"/>
                <w:szCs w:val="21"/>
                <w:highlight w:val="none"/>
              </w:rPr>
              <w:t>吴江区桃源镇人民政府已对</w:t>
            </w:r>
            <w:r>
              <w:rPr>
                <w:rFonts w:hint="eastAsia"/>
                <w:color w:val="auto"/>
                <w:kern w:val="0"/>
                <w:szCs w:val="21"/>
                <w:highlight w:val="none"/>
                <w:lang w:val="en-US" w:eastAsia="zh-CN"/>
              </w:rPr>
              <w:t>本</w:t>
            </w:r>
            <w:r>
              <w:rPr>
                <w:rFonts w:hint="eastAsia"/>
                <w:color w:val="auto"/>
                <w:kern w:val="0"/>
                <w:szCs w:val="21"/>
                <w:highlight w:val="none"/>
              </w:rPr>
              <w:t>厂址出具建成区</w:t>
            </w:r>
            <w:r>
              <w:rPr>
                <w:rFonts w:hint="eastAsia"/>
                <w:color w:val="auto"/>
                <w:kern w:val="0"/>
                <w:szCs w:val="21"/>
                <w:highlight w:val="none"/>
                <w:lang w:eastAsia="zh-CN"/>
              </w:rPr>
              <w:t>证明</w:t>
            </w:r>
            <w:r>
              <w:rPr>
                <w:rFonts w:hint="eastAsia"/>
                <w:color w:val="auto"/>
                <w:kern w:val="0"/>
                <w:szCs w:val="21"/>
                <w:highlight w:val="none"/>
              </w:rPr>
              <w:t>，判定内容：“该项目位于已批复的（苏自然资函〔2022〕1260号）《苏州市大运河核心监控区国土空间管控细则》中表述的建成区范围内。以上说明仅供参考，请按环保相关要求和程序办理。”故本项目所在位置属于大运河建成区，本项目建设内容符合产业政策、规划和管制要求。故符合《大运河苏州段核心监控区国土空间管控细则》（苏府规字〔2022〕8号）要求。</w:t>
            </w:r>
          </w:p>
          <w:p w14:paraId="10FC26BD">
            <w:pPr>
              <w:tabs>
                <w:tab w:val="center" w:pos="4156"/>
                <w:tab w:val="left" w:pos="5964"/>
              </w:tabs>
              <w:adjustRightInd w:val="0"/>
              <w:snapToGrid w:val="0"/>
              <w:spacing w:line="360" w:lineRule="auto"/>
              <w:jc w:val="left"/>
              <w:rPr>
                <w:b/>
                <w:snapToGrid w:val="0"/>
                <w:color w:val="auto"/>
                <w:szCs w:val="21"/>
                <w:highlight w:val="none"/>
              </w:rPr>
            </w:pPr>
            <w:r>
              <w:rPr>
                <w:b/>
                <w:snapToGrid w:val="0"/>
                <w:color w:val="auto"/>
                <w:szCs w:val="21"/>
                <w:highlight w:val="none"/>
              </w:rPr>
              <w:t>9</w:t>
            </w:r>
            <w:r>
              <w:rPr>
                <w:rFonts w:hint="eastAsia"/>
                <w:b/>
                <w:snapToGrid w:val="0"/>
                <w:color w:val="auto"/>
                <w:szCs w:val="21"/>
                <w:highlight w:val="none"/>
              </w:rPr>
              <w:t>、《苏州市空气质量改善达标规划》（</w:t>
            </w:r>
            <w:r>
              <w:rPr>
                <w:b/>
                <w:snapToGrid w:val="0"/>
                <w:color w:val="auto"/>
                <w:szCs w:val="21"/>
                <w:highlight w:val="none"/>
              </w:rPr>
              <w:t>2019-2024</w:t>
            </w:r>
            <w:r>
              <w:rPr>
                <w:rFonts w:hint="eastAsia"/>
                <w:b/>
                <w:snapToGrid w:val="0"/>
                <w:color w:val="auto"/>
                <w:szCs w:val="21"/>
                <w:highlight w:val="none"/>
              </w:rPr>
              <w:t>年）相符性分析</w:t>
            </w:r>
          </w:p>
          <w:p w14:paraId="026EC52A">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根据《苏州市空气质量改善达标规划（</w:t>
            </w:r>
            <w:r>
              <w:rPr>
                <w:color w:val="auto"/>
                <w:kern w:val="0"/>
                <w:szCs w:val="21"/>
                <w:highlight w:val="none"/>
              </w:rPr>
              <w:t>2019-2024</w:t>
            </w:r>
            <w:r>
              <w:rPr>
                <w:rFonts w:hint="eastAsia"/>
                <w:color w:val="auto"/>
                <w:kern w:val="0"/>
                <w:szCs w:val="21"/>
                <w:highlight w:val="none"/>
              </w:rPr>
              <w:t>）》，苏州市以到</w:t>
            </w:r>
            <w:r>
              <w:rPr>
                <w:color w:val="auto"/>
                <w:kern w:val="0"/>
                <w:szCs w:val="21"/>
                <w:highlight w:val="none"/>
              </w:rPr>
              <w:t>2020</w:t>
            </w:r>
            <w:r>
              <w:rPr>
                <w:rFonts w:hint="eastAsia"/>
                <w:color w:val="auto"/>
                <w:kern w:val="0"/>
                <w:szCs w:val="21"/>
                <w:highlight w:val="none"/>
              </w:rPr>
              <w:t>年空气质量优良天数比率达到</w:t>
            </w:r>
            <w:r>
              <w:rPr>
                <w:color w:val="auto"/>
                <w:kern w:val="0"/>
                <w:szCs w:val="21"/>
                <w:highlight w:val="none"/>
              </w:rPr>
              <w:t>75%</w:t>
            </w:r>
            <w:r>
              <w:rPr>
                <w:rFonts w:hint="eastAsia"/>
                <w:color w:val="auto"/>
                <w:kern w:val="0"/>
                <w:szCs w:val="21"/>
                <w:highlight w:val="none"/>
              </w:rPr>
              <w:t>为近期目标，以到</w:t>
            </w:r>
            <w:r>
              <w:rPr>
                <w:color w:val="auto"/>
                <w:kern w:val="0"/>
                <w:szCs w:val="21"/>
                <w:highlight w:val="none"/>
              </w:rPr>
              <w:t>2024</w:t>
            </w:r>
            <w:r>
              <w:rPr>
                <w:rFonts w:hint="eastAsia"/>
                <w:color w:val="auto"/>
                <w:kern w:val="0"/>
                <w:szCs w:val="21"/>
                <w:highlight w:val="none"/>
              </w:rPr>
              <w:t>年环境空气质量实现全面达标为远期目标，通过调整能源结构，控制煤炭消费总量；调整产业结构，减少污染物排放；推进工业领域全行业、全要素达标排放；加强交通行业大气污染防治；严格控制扬尘污染；加强服务业和生活污染防治；推进农业污染防治；加强重污染天气应对等措施，提升大气污染防控能力。</w:t>
            </w:r>
          </w:p>
          <w:p w14:paraId="2C4F23F7">
            <w:pPr>
              <w:topLinePunct/>
              <w:adjustRightInd w:val="0"/>
              <w:snapToGrid w:val="0"/>
              <w:spacing w:line="360" w:lineRule="auto"/>
              <w:ind w:firstLine="420" w:firstLineChars="200"/>
              <w:rPr>
                <w:color w:val="auto"/>
                <w:kern w:val="0"/>
                <w:szCs w:val="21"/>
                <w:highlight w:val="none"/>
              </w:rPr>
            </w:pPr>
            <w:r>
              <w:rPr>
                <w:rFonts w:hint="eastAsia"/>
                <w:color w:val="auto"/>
                <w:kern w:val="0"/>
                <w:szCs w:val="21"/>
                <w:highlight w:val="none"/>
              </w:rPr>
              <w:t>本项目为</w:t>
            </w:r>
            <w:r>
              <w:rPr>
                <w:rFonts w:hint="eastAsia"/>
                <w:color w:val="auto"/>
                <w:kern w:val="0"/>
                <w:szCs w:val="21"/>
                <w:highlight w:val="none"/>
                <w:lang w:val="en-US" w:eastAsia="zh-CN"/>
              </w:rPr>
              <w:t>高档纺织面料生产线技术改造项目</w:t>
            </w:r>
            <w:r>
              <w:rPr>
                <w:rFonts w:hint="eastAsia"/>
                <w:color w:val="auto"/>
                <w:kern w:val="0"/>
                <w:szCs w:val="21"/>
                <w:highlight w:val="none"/>
              </w:rPr>
              <w:t>，在各个产污环节安装运行相应的环保设施，从生产工序的各个过程削减污染物的排放，不会突破环境质量底线。因此，本项目的建设符合《苏州市空气质量改善达标规划（</w:t>
            </w:r>
            <w:r>
              <w:rPr>
                <w:color w:val="auto"/>
                <w:kern w:val="0"/>
                <w:szCs w:val="21"/>
                <w:highlight w:val="none"/>
              </w:rPr>
              <w:t>2019-2024</w:t>
            </w:r>
            <w:r>
              <w:rPr>
                <w:rFonts w:hint="eastAsia"/>
                <w:color w:val="auto"/>
                <w:kern w:val="0"/>
                <w:szCs w:val="21"/>
                <w:highlight w:val="none"/>
              </w:rPr>
              <w:t>）》的要求。</w:t>
            </w:r>
          </w:p>
          <w:p w14:paraId="45FEA962">
            <w:pPr>
              <w:spacing w:line="360" w:lineRule="auto"/>
              <w:rPr>
                <w:b/>
                <w:snapToGrid w:val="0"/>
                <w:color w:val="auto"/>
                <w:szCs w:val="21"/>
                <w:highlight w:val="none"/>
              </w:rPr>
            </w:pPr>
            <w:r>
              <w:rPr>
                <w:b/>
                <w:snapToGrid w:val="0"/>
                <w:color w:val="auto"/>
                <w:szCs w:val="21"/>
                <w:highlight w:val="none"/>
              </w:rPr>
              <w:t>10</w:t>
            </w:r>
            <w:r>
              <w:rPr>
                <w:rFonts w:hint="eastAsia"/>
                <w:b/>
                <w:snapToGrid w:val="0"/>
                <w:color w:val="auto"/>
                <w:szCs w:val="21"/>
                <w:highlight w:val="none"/>
              </w:rPr>
              <w:t>、《关于加强高耗能、高排放建设项目生态环境源头防控的指导意见》</w:t>
            </w:r>
            <w:r>
              <w:rPr>
                <w:b/>
                <w:snapToGrid w:val="0"/>
                <w:color w:val="auto"/>
                <w:szCs w:val="21"/>
                <w:highlight w:val="none"/>
              </w:rPr>
              <w:t>(</w:t>
            </w:r>
            <w:r>
              <w:rPr>
                <w:rFonts w:hint="eastAsia"/>
                <w:b/>
                <w:snapToGrid w:val="0"/>
                <w:color w:val="auto"/>
                <w:szCs w:val="21"/>
                <w:highlight w:val="none"/>
              </w:rPr>
              <w:t>环环评</w:t>
            </w:r>
            <w:r>
              <w:rPr>
                <w:rFonts w:hint="eastAsia"/>
                <w:b/>
                <w:snapToGrid w:val="0"/>
                <w:color w:val="auto"/>
                <w:szCs w:val="21"/>
                <w:highlight w:val="none"/>
                <w:lang w:eastAsia="zh-CN"/>
              </w:rPr>
              <w:t>〔</w:t>
            </w:r>
            <w:r>
              <w:rPr>
                <w:b/>
                <w:snapToGrid w:val="0"/>
                <w:color w:val="auto"/>
                <w:szCs w:val="21"/>
                <w:highlight w:val="none"/>
              </w:rPr>
              <w:t>2021</w:t>
            </w:r>
            <w:r>
              <w:rPr>
                <w:rFonts w:hint="eastAsia"/>
                <w:b/>
                <w:snapToGrid w:val="0"/>
                <w:color w:val="auto"/>
                <w:szCs w:val="21"/>
                <w:highlight w:val="none"/>
                <w:lang w:eastAsia="zh-CN"/>
              </w:rPr>
              <w:t>〕</w:t>
            </w:r>
            <w:r>
              <w:rPr>
                <w:b/>
                <w:snapToGrid w:val="0"/>
                <w:color w:val="auto"/>
                <w:szCs w:val="21"/>
                <w:highlight w:val="none"/>
              </w:rPr>
              <w:t>45</w:t>
            </w:r>
            <w:r>
              <w:rPr>
                <w:rFonts w:hint="eastAsia"/>
                <w:b/>
                <w:snapToGrid w:val="0"/>
                <w:color w:val="auto"/>
                <w:szCs w:val="21"/>
                <w:highlight w:val="none"/>
              </w:rPr>
              <w:t>号</w:t>
            </w:r>
            <w:r>
              <w:rPr>
                <w:b/>
                <w:snapToGrid w:val="0"/>
                <w:color w:val="auto"/>
                <w:szCs w:val="21"/>
                <w:highlight w:val="none"/>
              </w:rPr>
              <w:t>)</w:t>
            </w:r>
            <w:r>
              <w:rPr>
                <w:rFonts w:hint="eastAsia"/>
                <w:b/>
                <w:snapToGrid w:val="0"/>
                <w:color w:val="auto"/>
                <w:szCs w:val="21"/>
                <w:highlight w:val="none"/>
              </w:rPr>
              <w:t>相符性分析</w:t>
            </w:r>
          </w:p>
          <w:p w14:paraId="36E249C7">
            <w:pPr>
              <w:tabs>
                <w:tab w:val="center" w:pos="4156"/>
                <w:tab w:val="left" w:pos="5964"/>
              </w:tabs>
              <w:adjustRightInd w:val="0"/>
              <w:snapToGrid w:val="0"/>
              <w:jc w:val="center"/>
              <w:rPr>
                <w:b/>
                <w:bCs/>
                <w:color w:val="auto"/>
                <w:szCs w:val="21"/>
                <w:highlight w:val="none"/>
              </w:rPr>
            </w:pPr>
            <w:r>
              <w:rPr>
                <w:rFonts w:hint="eastAsia"/>
                <w:b/>
                <w:bCs/>
                <w:color w:val="auto"/>
                <w:szCs w:val="21"/>
                <w:highlight w:val="none"/>
              </w:rPr>
              <w:t>表</w:t>
            </w:r>
            <w:r>
              <w:rPr>
                <w:b/>
                <w:bCs/>
                <w:color w:val="auto"/>
                <w:szCs w:val="21"/>
                <w:highlight w:val="none"/>
              </w:rPr>
              <w:t>1-1</w:t>
            </w:r>
            <w:r>
              <w:rPr>
                <w:rFonts w:hint="eastAsia"/>
                <w:b/>
                <w:bCs/>
                <w:color w:val="auto"/>
                <w:szCs w:val="21"/>
                <w:highlight w:val="none"/>
                <w:lang w:val="en-US" w:eastAsia="zh-CN"/>
              </w:rPr>
              <w:t>2</w:t>
            </w:r>
            <w:r>
              <w:rPr>
                <w:b/>
                <w:bCs/>
                <w:color w:val="auto"/>
                <w:szCs w:val="21"/>
                <w:highlight w:val="none"/>
              </w:rPr>
              <w:t xml:space="preserve">  </w:t>
            </w:r>
            <w:r>
              <w:rPr>
                <w:rFonts w:hint="eastAsia"/>
                <w:b/>
                <w:snapToGrid w:val="0"/>
                <w:color w:val="auto"/>
                <w:szCs w:val="21"/>
                <w:highlight w:val="none"/>
              </w:rPr>
              <w:t>关于加强高耗能、高排放建设项目生态环境源头防控的指导意见</w:t>
            </w:r>
          </w:p>
          <w:tbl>
            <w:tblPr>
              <w:tblStyle w:val="2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240"/>
              <w:gridCol w:w="1423"/>
              <w:gridCol w:w="549"/>
            </w:tblGrid>
            <w:tr w14:paraId="4020B4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696" w:type="dxa"/>
                  <w:tcBorders>
                    <w:top w:val="single" w:color="auto" w:sz="12" w:space="0"/>
                    <w:bottom w:val="single" w:color="auto" w:sz="4" w:space="0"/>
                    <w:right w:val="single" w:color="auto" w:sz="4" w:space="0"/>
                  </w:tcBorders>
                  <w:vAlign w:val="center"/>
                </w:tcPr>
                <w:p w14:paraId="122946A6">
                  <w:pPr>
                    <w:overflowPunct w:val="0"/>
                    <w:adjustRightInd w:val="0"/>
                    <w:snapToGrid w:val="0"/>
                    <w:jc w:val="center"/>
                    <w:rPr>
                      <w:b/>
                      <w:bCs/>
                      <w:color w:val="auto"/>
                      <w:sz w:val="18"/>
                      <w:szCs w:val="18"/>
                      <w:highlight w:val="none"/>
                    </w:rPr>
                  </w:pPr>
                  <w:r>
                    <w:rPr>
                      <w:rFonts w:hint="eastAsia"/>
                      <w:color w:val="auto"/>
                      <w:sz w:val="18"/>
                      <w:szCs w:val="18"/>
                      <w:highlight w:val="none"/>
                    </w:rPr>
                    <w:t>条款内容</w:t>
                  </w:r>
                </w:p>
              </w:tc>
              <w:tc>
                <w:tcPr>
                  <w:tcW w:w="1546" w:type="dxa"/>
                  <w:tcBorders>
                    <w:top w:val="single" w:color="auto" w:sz="12" w:space="0"/>
                    <w:left w:val="single" w:color="auto" w:sz="4" w:space="0"/>
                    <w:bottom w:val="single" w:color="auto" w:sz="4" w:space="0"/>
                    <w:right w:val="single" w:color="auto" w:sz="4" w:space="0"/>
                  </w:tcBorders>
                  <w:vAlign w:val="center"/>
                </w:tcPr>
                <w:p w14:paraId="7D8F7FF9">
                  <w:pPr>
                    <w:overflowPunct w:val="0"/>
                    <w:adjustRightInd w:val="0"/>
                    <w:snapToGrid w:val="0"/>
                    <w:jc w:val="center"/>
                    <w:rPr>
                      <w:color w:val="auto"/>
                      <w:sz w:val="18"/>
                      <w:szCs w:val="18"/>
                      <w:highlight w:val="none"/>
                    </w:rPr>
                  </w:pPr>
                  <w:r>
                    <w:rPr>
                      <w:rFonts w:hint="eastAsia"/>
                      <w:color w:val="auto"/>
                      <w:sz w:val="18"/>
                      <w:szCs w:val="18"/>
                      <w:highlight w:val="none"/>
                    </w:rPr>
                    <w:t>本项目情况</w:t>
                  </w:r>
                </w:p>
              </w:tc>
              <w:tc>
                <w:tcPr>
                  <w:tcW w:w="595" w:type="dxa"/>
                  <w:tcBorders>
                    <w:top w:val="single" w:color="auto" w:sz="12" w:space="0"/>
                    <w:left w:val="single" w:color="auto" w:sz="4" w:space="0"/>
                    <w:bottom w:val="single" w:color="auto" w:sz="4" w:space="0"/>
                  </w:tcBorders>
                  <w:vAlign w:val="center"/>
                </w:tcPr>
                <w:p w14:paraId="22C65756">
                  <w:pPr>
                    <w:overflowPunct w:val="0"/>
                    <w:adjustRightInd w:val="0"/>
                    <w:snapToGrid w:val="0"/>
                    <w:jc w:val="center"/>
                    <w:rPr>
                      <w:color w:val="auto"/>
                      <w:sz w:val="18"/>
                      <w:szCs w:val="18"/>
                      <w:highlight w:val="none"/>
                    </w:rPr>
                  </w:pPr>
                  <w:r>
                    <w:rPr>
                      <w:rFonts w:hint="eastAsia"/>
                      <w:color w:val="auto"/>
                      <w:sz w:val="18"/>
                      <w:szCs w:val="18"/>
                      <w:highlight w:val="none"/>
                    </w:rPr>
                    <w:t>相符性</w:t>
                  </w:r>
                </w:p>
              </w:tc>
            </w:tr>
            <w:tr w14:paraId="460CD7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96" w:type="dxa"/>
                  <w:tcBorders>
                    <w:top w:val="single" w:color="auto" w:sz="4" w:space="0"/>
                    <w:bottom w:val="single" w:color="auto" w:sz="4" w:space="0"/>
                    <w:right w:val="single" w:color="auto" w:sz="4" w:space="0"/>
                  </w:tcBorders>
                  <w:vAlign w:val="center"/>
                </w:tcPr>
                <w:p w14:paraId="15C9A9C3">
                  <w:pPr>
                    <w:pStyle w:val="22"/>
                    <w:spacing w:before="0" w:beforeAutospacing="0" w:after="0" w:afterAutospacing="0"/>
                    <w:jc w:val="both"/>
                    <w:rPr>
                      <w:rFonts w:ascii="Times New Roman" w:hAnsi="Times New Roman"/>
                      <w:b/>
                      <w:bCs/>
                      <w:color w:val="auto"/>
                      <w:sz w:val="18"/>
                      <w:szCs w:val="18"/>
                      <w:highlight w:val="none"/>
                    </w:rPr>
                  </w:pPr>
                  <w:r>
                    <w:rPr>
                      <w:rFonts w:hint="eastAsia" w:ascii="Times New Roman" w:hAnsi="Times New Roman"/>
                      <w:color w:val="auto"/>
                      <w:kern w:val="2"/>
                      <w:sz w:val="18"/>
                      <w:szCs w:val="18"/>
                      <w:highlight w:val="none"/>
                    </w:rPr>
                    <w:t>严把建设项目环境准入关。新建、改建、扩建</w:t>
                  </w:r>
                  <w:r>
                    <w:rPr>
                      <w:rFonts w:ascii="Times New Roman" w:hAnsi="Times New Roman"/>
                      <w:color w:val="auto"/>
                      <w:kern w:val="2"/>
                      <w:sz w:val="18"/>
                      <w:szCs w:val="18"/>
                      <w:highlight w:val="none"/>
                    </w:rPr>
                    <w:t>“</w:t>
                  </w:r>
                  <w:r>
                    <w:rPr>
                      <w:rFonts w:hint="eastAsia" w:ascii="Times New Roman" w:hAnsi="Times New Roman"/>
                      <w:color w:val="auto"/>
                      <w:kern w:val="2"/>
                      <w:sz w:val="18"/>
                      <w:szCs w:val="18"/>
                      <w:highlight w:val="none"/>
                    </w:rPr>
                    <w:t>两高</w:t>
                  </w:r>
                  <w:r>
                    <w:rPr>
                      <w:rFonts w:ascii="Times New Roman" w:hAnsi="Times New Roman"/>
                      <w:color w:val="auto"/>
                      <w:kern w:val="2"/>
                      <w:sz w:val="18"/>
                      <w:szCs w:val="18"/>
                      <w:highlight w:val="none"/>
                    </w:rPr>
                    <w:t>”</w:t>
                  </w:r>
                  <w:r>
                    <w:rPr>
                      <w:rFonts w:hint="eastAsia" w:ascii="Times New Roman" w:hAnsi="Times New Roman"/>
                      <w:color w:val="auto"/>
                      <w:kern w:val="2"/>
                      <w:sz w:val="18"/>
                      <w:szCs w:val="18"/>
                      <w:highlight w:val="none"/>
                    </w:rPr>
                    <w:t>项目须符合生态环境保护法律法规和相关法定规划，满足重点污染物排放总量控制、碳排放达峰目标、生态环境准入清单、相关规划环评和相应行业建设项目环境准入条件、环评文件审批原则要求。石化、现代煤化工项目应纳入国家产业规划。新建、扩建石化、化工、焦化、有色金属冶炼、平板玻璃项目应布设在依法合规设立并经规划环评的产业园区。各级生态环境部门和行政审批部门要严格把关，对于不符合相关法律法规的，依法不予审批。</w:t>
                  </w:r>
                </w:p>
              </w:tc>
              <w:tc>
                <w:tcPr>
                  <w:tcW w:w="1546" w:type="dxa"/>
                  <w:vMerge w:val="restart"/>
                  <w:tcBorders>
                    <w:top w:val="single" w:color="auto" w:sz="4" w:space="0"/>
                    <w:left w:val="single" w:color="auto" w:sz="4" w:space="0"/>
                    <w:bottom w:val="single" w:color="auto" w:sz="4" w:space="0"/>
                    <w:right w:val="single" w:color="auto" w:sz="4" w:space="0"/>
                  </w:tcBorders>
                  <w:vAlign w:val="center"/>
                </w:tcPr>
                <w:p w14:paraId="44EDADED">
                  <w:pPr>
                    <w:overflowPunct w:val="0"/>
                    <w:adjustRightInd w:val="0"/>
                    <w:snapToGrid w:val="0"/>
                    <w:rPr>
                      <w:b/>
                      <w:bCs/>
                      <w:color w:val="auto"/>
                      <w:sz w:val="18"/>
                      <w:szCs w:val="18"/>
                      <w:highlight w:val="none"/>
                    </w:rPr>
                  </w:pPr>
                  <w:r>
                    <w:rPr>
                      <w:rFonts w:hint="eastAsia"/>
                      <w:color w:val="auto"/>
                      <w:sz w:val="18"/>
                      <w:szCs w:val="18"/>
                      <w:highlight w:val="none"/>
                    </w:rPr>
                    <w:t>本项目不属于石化、化工、焦化、有色金属冶炼、平板玻璃项目，不属于“两高”项目，不使用煤炭和生物质燃料作为燃料，本项目通过加强污染防治措施，可保证污染物达标排放。</w:t>
                  </w:r>
                </w:p>
              </w:tc>
              <w:tc>
                <w:tcPr>
                  <w:tcW w:w="595" w:type="dxa"/>
                  <w:tcBorders>
                    <w:top w:val="single" w:color="auto" w:sz="4" w:space="0"/>
                    <w:left w:val="single" w:color="auto" w:sz="4" w:space="0"/>
                    <w:bottom w:val="single" w:color="auto" w:sz="4" w:space="0"/>
                  </w:tcBorders>
                  <w:vAlign w:val="center"/>
                </w:tcPr>
                <w:p w14:paraId="3526C89A">
                  <w:pPr>
                    <w:overflowPunct w:val="0"/>
                    <w:adjustRightInd w:val="0"/>
                    <w:snapToGrid w:val="0"/>
                    <w:jc w:val="center"/>
                    <w:rPr>
                      <w:b/>
                      <w:bCs/>
                      <w:color w:val="auto"/>
                      <w:sz w:val="18"/>
                      <w:szCs w:val="18"/>
                      <w:highlight w:val="none"/>
                    </w:rPr>
                  </w:pPr>
                  <w:r>
                    <w:rPr>
                      <w:rFonts w:hint="eastAsia"/>
                      <w:color w:val="auto"/>
                      <w:sz w:val="18"/>
                      <w:szCs w:val="18"/>
                      <w:highlight w:val="none"/>
                    </w:rPr>
                    <w:t>符合</w:t>
                  </w:r>
                </w:p>
              </w:tc>
            </w:tr>
            <w:tr w14:paraId="4C6942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96" w:type="dxa"/>
                  <w:tcBorders>
                    <w:top w:val="single" w:color="auto" w:sz="4" w:space="0"/>
                    <w:bottom w:val="single" w:color="auto" w:sz="4" w:space="0"/>
                    <w:right w:val="single" w:color="auto" w:sz="4" w:space="0"/>
                  </w:tcBorders>
                  <w:vAlign w:val="center"/>
                </w:tcPr>
                <w:p w14:paraId="7E3CC433">
                  <w:pPr>
                    <w:pStyle w:val="22"/>
                    <w:spacing w:before="0" w:beforeAutospacing="0" w:after="0" w:afterAutospacing="0"/>
                    <w:jc w:val="both"/>
                    <w:rPr>
                      <w:rFonts w:ascii="Times New Roman" w:hAnsi="Times New Roman"/>
                      <w:b/>
                      <w:bCs/>
                      <w:color w:val="auto"/>
                      <w:sz w:val="18"/>
                      <w:szCs w:val="18"/>
                      <w:highlight w:val="none"/>
                    </w:rPr>
                  </w:pPr>
                  <w:r>
                    <w:rPr>
                      <w:rFonts w:hint="eastAsia" w:ascii="Times New Roman" w:hAnsi="Times New Roman"/>
                      <w:color w:val="auto"/>
                      <w:kern w:val="2"/>
                      <w:sz w:val="18"/>
                      <w:szCs w:val="18"/>
                      <w:highlight w:val="none"/>
                    </w:rPr>
                    <w:t>落实区域削减要求。新建“两高”项目应按照《关于加强重点行业建设项目区域削减措施监督管理的通知》要求，依据区域环境质量改善目标，制定配套区域污染物削减方案，采取有效的污染物区域削减措施，腾出足够的环境容量。国家大气污染防治重点区域</w:t>
                  </w:r>
                  <w:r>
                    <w:rPr>
                      <w:rFonts w:ascii="Times New Roman" w:hAnsi="Times New Roman"/>
                      <w:color w:val="auto"/>
                      <w:kern w:val="2"/>
                      <w:sz w:val="18"/>
                      <w:szCs w:val="18"/>
                      <w:highlight w:val="none"/>
                    </w:rPr>
                    <w:t>(</w:t>
                  </w:r>
                  <w:r>
                    <w:rPr>
                      <w:rFonts w:hint="eastAsia" w:ascii="Times New Roman" w:hAnsi="Times New Roman"/>
                      <w:color w:val="auto"/>
                      <w:kern w:val="2"/>
                      <w:sz w:val="18"/>
                      <w:szCs w:val="18"/>
                      <w:highlight w:val="none"/>
                    </w:rPr>
                    <w:t>以下称重点区域</w:t>
                  </w:r>
                  <w:r>
                    <w:rPr>
                      <w:rFonts w:ascii="Times New Roman" w:hAnsi="Times New Roman"/>
                      <w:color w:val="auto"/>
                      <w:kern w:val="2"/>
                      <w:sz w:val="18"/>
                      <w:szCs w:val="18"/>
                      <w:highlight w:val="none"/>
                    </w:rPr>
                    <w:t>)</w:t>
                  </w:r>
                  <w:r>
                    <w:rPr>
                      <w:rFonts w:hint="eastAsia" w:ascii="Times New Roman" w:hAnsi="Times New Roman"/>
                      <w:color w:val="auto"/>
                      <w:kern w:val="2"/>
                      <w:sz w:val="18"/>
                      <w:szCs w:val="18"/>
                      <w:highlight w:val="none"/>
                    </w:rPr>
                    <w:t>内新建耗煤项目还应严格按规定采取煤炭消费减量替代措施，不得使用高污染燃料作为煤炭减量替代措施。</w:t>
                  </w:r>
                </w:p>
              </w:tc>
              <w:tc>
                <w:tcPr>
                  <w:tcW w:w="1546" w:type="dxa"/>
                  <w:vMerge w:val="continue"/>
                  <w:tcBorders>
                    <w:top w:val="single" w:color="auto" w:sz="4" w:space="0"/>
                    <w:left w:val="single" w:color="auto" w:sz="4" w:space="0"/>
                    <w:bottom w:val="single" w:color="auto" w:sz="4" w:space="0"/>
                    <w:right w:val="single" w:color="auto" w:sz="4" w:space="0"/>
                  </w:tcBorders>
                  <w:vAlign w:val="center"/>
                </w:tcPr>
                <w:p w14:paraId="5939A91E">
                  <w:pPr>
                    <w:overflowPunct w:val="0"/>
                    <w:adjustRightInd w:val="0"/>
                    <w:snapToGrid w:val="0"/>
                    <w:jc w:val="center"/>
                    <w:rPr>
                      <w:b/>
                      <w:bCs/>
                      <w:color w:val="auto"/>
                      <w:sz w:val="18"/>
                      <w:szCs w:val="18"/>
                      <w:highlight w:val="none"/>
                    </w:rPr>
                  </w:pPr>
                </w:p>
              </w:tc>
              <w:tc>
                <w:tcPr>
                  <w:tcW w:w="595" w:type="dxa"/>
                  <w:tcBorders>
                    <w:top w:val="single" w:color="auto" w:sz="4" w:space="0"/>
                    <w:left w:val="single" w:color="auto" w:sz="4" w:space="0"/>
                    <w:bottom w:val="single" w:color="auto" w:sz="4" w:space="0"/>
                  </w:tcBorders>
                  <w:vAlign w:val="center"/>
                </w:tcPr>
                <w:p w14:paraId="7BEE2F13">
                  <w:pPr>
                    <w:overflowPunct w:val="0"/>
                    <w:adjustRightInd w:val="0"/>
                    <w:snapToGrid w:val="0"/>
                    <w:jc w:val="center"/>
                    <w:rPr>
                      <w:b/>
                      <w:bCs/>
                      <w:color w:val="auto"/>
                      <w:sz w:val="18"/>
                      <w:szCs w:val="18"/>
                      <w:highlight w:val="none"/>
                    </w:rPr>
                  </w:pPr>
                  <w:r>
                    <w:rPr>
                      <w:rFonts w:hint="eastAsia"/>
                      <w:color w:val="auto"/>
                      <w:sz w:val="18"/>
                      <w:szCs w:val="18"/>
                      <w:highlight w:val="none"/>
                    </w:rPr>
                    <w:t>符合</w:t>
                  </w:r>
                </w:p>
              </w:tc>
            </w:tr>
            <w:tr w14:paraId="2B400A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696" w:type="dxa"/>
                  <w:tcBorders>
                    <w:top w:val="single" w:color="auto" w:sz="4" w:space="0"/>
                    <w:bottom w:val="single" w:color="auto" w:sz="12" w:space="0"/>
                    <w:right w:val="single" w:color="auto" w:sz="4" w:space="0"/>
                  </w:tcBorders>
                  <w:vAlign w:val="center"/>
                </w:tcPr>
                <w:p w14:paraId="513469C4">
                  <w:pPr>
                    <w:pStyle w:val="22"/>
                    <w:spacing w:before="0" w:beforeAutospacing="0" w:after="0" w:afterAutospacing="0"/>
                    <w:jc w:val="both"/>
                    <w:rPr>
                      <w:rFonts w:ascii="Times New Roman" w:hAnsi="Times New Roman"/>
                      <w:b/>
                      <w:bCs/>
                      <w:color w:val="auto"/>
                      <w:sz w:val="18"/>
                      <w:szCs w:val="18"/>
                      <w:highlight w:val="none"/>
                    </w:rPr>
                  </w:pPr>
                  <w:r>
                    <w:rPr>
                      <w:rFonts w:hint="eastAsia" w:ascii="Times New Roman" w:hAnsi="Times New Roman"/>
                      <w:color w:val="auto"/>
                      <w:kern w:val="2"/>
                      <w:sz w:val="18"/>
                      <w:szCs w:val="18"/>
                      <w:highlight w:val="none"/>
                    </w:rPr>
                    <w:t>合理划分事权。省级生态环境部门应加强对基层</w:t>
                  </w:r>
                  <w:r>
                    <w:rPr>
                      <w:rFonts w:ascii="Times New Roman" w:hAnsi="Times New Roman"/>
                      <w:color w:val="auto"/>
                      <w:kern w:val="2"/>
                      <w:sz w:val="18"/>
                      <w:szCs w:val="18"/>
                      <w:highlight w:val="none"/>
                    </w:rPr>
                    <w:t>“</w:t>
                  </w:r>
                  <w:r>
                    <w:rPr>
                      <w:rFonts w:hint="eastAsia" w:ascii="Times New Roman" w:hAnsi="Times New Roman"/>
                      <w:color w:val="auto"/>
                      <w:kern w:val="2"/>
                      <w:sz w:val="18"/>
                      <w:szCs w:val="18"/>
                      <w:highlight w:val="none"/>
                    </w:rPr>
                    <w:t>两高</w:t>
                  </w:r>
                  <w:r>
                    <w:rPr>
                      <w:rFonts w:ascii="Times New Roman" w:hAnsi="Times New Roman"/>
                      <w:color w:val="auto"/>
                      <w:kern w:val="2"/>
                      <w:sz w:val="18"/>
                      <w:szCs w:val="18"/>
                      <w:highlight w:val="none"/>
                    </w:rPr>
                    <w:t>”</w:t>
                  </w:r>
                  <w:r>
                    <w:rPr>
                      <w:rFonts w:hint="eastAsia" w:ascii="Times New Roman" w:hAnsi="Times New Roman"/>
                      <w:color w:val="auto"/>
                      <w:kern w:val="2"/>
                      <w:sz w:val="18"/>
                      <w:szCs w:val="18"/>
                      <w:highlight w:val="none"/>
                    </w:rPr>
                    <w:t>项目环评审批程序、审批结果的监督与评估，对审批能力不适应的依法调整上收。对炼油、乙烯、钢铁、焦化、煤化工、燃煤发电、电解铝、水泥熟料、平板玻璃、铜铅锌硅冶炼等环境影响大或环境风险高的项目类别，不得以改革试点名义随意下放环评审批权限或降低审批要求。</w:t>
                  </w:r>
                </w:p>
              </w:tc>
              <w:tc>
                <w:tcPr>
                  <w:tcW w:w="1546" w:type="dxa"/>
                  <w:vMerge w:val="continue"/>
                  <w:tcBorders>
                    <w:top w:val="single" w:color="auto" w:sz="4" w:space="0"/>
                    <w:left w:val="single" w:color="auto" w:sz="4" w:space="0"/>
                    <w:bottom w:val="single" w:color="auto" w:sz="12" w:space="0"/>
                    <w:right w:val="single" w:color="auto" w:sz="4" w:space="0"/>
                  </w:tcBorders>
                  <w:vAlign w:val="center"/>
                </w:tcPr>
                <w:p w14:paraId="4BE5AEF5">
                  <w:pPr>
                    <w:overflowPunct w:val="0"/>
                    <w:adjustRightInd w:val="0"/>
                    <w:snapToGrid w:val="0"/>
                    <w:jc w:val="center"/>
                    <w:rPr>
                      <w:b/>
                      <w:bCs/>
                      <w:color w:val="auto"/>
                      <w:sz w:val="18"/>
                      <w:szCs w:val="18"/>
                      <w:highlight w:val="none"/>
                    </w:rPr>
                  </w:pPr>
                </w:p>
              </w:tc>
              <w:tc>
                <w:tcPr>
                  <w:tcW w:w="595" w:type="dxa"/>
                  <w:tcBorders>
                    <w:top w:val="single" w:color="auto" w:sz="4" w:space="0"/>
                    <w:left w:val="single" w:color="auto" w:sz="4" w:space="0"/>
                    <w:bottom w:val="single" w:color="auto" w:sz="12" w:space="0"/>
                  </w:tcBorders>
                  <w:vAlign w:val="center"/>
                </w:tcPr>
                <w:p w14:paraId="3CEF386F">
                  <w:pPr>
                    <w:overflowPunct w:val="0"/>
                    <w:adjustRightInd w:val="0"/>
                    <w:snapToGrid w:val="0"/>
                    <w:jc w:val="center"/>
                    <w:rPr>
                      <w:b/>
                      <w:bCs/>
                      <w:color w:val="auto"/>
                      <w:sz w:val="18"/>
                      <w:szCs w:val="18"/>
                      <w:highlight w:val="none"/>
                    </w:rPr>
                  </w:pPr>
                  <w:r>
                    <w:rPr>
                      <w:rFonts w:hint="eastAsia"/>
                      <w:color w:val="auto"/>
                      <w:sz w:val="18"/>
                      <w:szCs w:val="18"/>
                      <w:highlight w:val="none"/>
                    </w:rPr>
                    <w:t>符合</w:t>
                  </w:r>
                </w:p>
              </w:tc>
            </w:tr>
          </w:tbl>
          <w:p w14:paraId="4AB4CD63">
            <w:pPr>
              <w:spacing w:line="360" w:lineRule="auto"/>
              <w:rPr>
                <w:b/>
                <w:snapToGrid w:val="0"/>
                <w:color w:val="auto"/>
                <w:szCs w:val="21"/>
                <w:highlight w:val="none"/>
              </w:rPr>
            </w:pPr>
            <w:r>
              <w:rPr>
                <w:b/>
                <w:snapToGrid w:val="0"/>
                <w:color w:val="auto"/>
                <w:szCs w:val="21"/>
                <w:highlight w:val="none"/>
              </w:rPr>
              <w:t>11</w:t>
            </w:r>
            <w:r>
              <w:rPr>
                <w:rFonts w:hint="eastAsia"/>
                <w:b/>
                <w:snapToGrid w:val="0"/>
                <w:color w:val="auto"/>
                <w:szCs w:val="21"/>
                <w:highlight w:val="none"/>
              </w:rPr>
              <w:t>、《省大气办关于印发</w:t>
            </w:r>
            <w:r>
              <w:rPr>
                <w:rFonts w:hint="eastAsia"/>
                <w:b/>
                <w:snapToGrid w:val="0"/>
                <w:color w:val="auto"/>
                <w:szCs w:val="21"/>
                <w:highlight w:val="none"/>
                <w:lang w:val="en-US" w:eastAsia="zh-CN"/>
              </w:rPr>
              <w:t>〈</w:t>
            </w:r>
            <w:r>
              <w:rPr>
                <w:rFonts w:hint="eastAsia"/>
                <w:b/>
                <w:snapToGrid w:val="0"/>
                <w:color w:val="auto"/>
                <w:szCs w:val="21"/>
                <w:highlight w:val="none"/>
              </w:rPr>
              <w:t>江苏省挥发性有机物替代工作方案</w:t>
            </w:r>
            <w:r>
              <w:rPr>
                <w:rFonts w:hint="eastAsia"/>
                <w:b/>
                <w:snapToGrid w:val="0"/>
                <w:color w:val="auto"/>
                <w:szCs w:val="21"/>
                <w:highlight w:val="none"/>
                <w:lang w:val="en-US" w:eastAsia="zh-CN"/>
              </w:rPr>
              <w:t>〉</w:t>
            </w:r>
            <w:r>
              <w:rPr>
                <w:rFonts w:hint="eastAsia"/>
                <w:b/>
                <w:snapToGrid w:val="0"/>
                <w:color w:val="auto"/>
                <w:szCs w:val="21"/>
                <w:highlight w:val="none"/>
              </w:rPr>
              <w:t>的通知》（苏大气办</w:t>
            </w:r>
            <w:r>
              <w:rPr>
                <w:rFonts w:hint="eastAsia"/>
                <w:b/>
                <w:snapToGrid w:val="0"/>
                <w:color w:val="auto"/>
                <w:szCs w:val="21"/>
                <w:highlight w:val="none"/>
                <w:lang w:eastAsia="zh-CN"/>
              </w:rPr>
              <w:t>〔</w:t>
            </w:r>
            <w:r>
              <w:rPr>
                <w:b/>
                <w:snapToGrid w:val="0"/>
                <w:color w:val="auto"/>
                <w:szCs w:val="21"/>
                <w:highlight w:val="none"/>
              </w:rPr>
              <w:t>2021</w:t>
            </w:r>
            <w:r>
              <w:rPr>
                <w:rFonts w:hint="eastAsia"/>
                <w:b/>
                <w:snapToGrid w:val="0"/>
                <w:color w:val="auto"/>
                <w:szCs w:val="21"/>
                <w:highlight w:val="none"/>
                <w:lang w:eastAsia="zh-CN"/>
              </w:rPr>
              <w:t>〕</w:t>
            </w:r>
            <w:r>
              <w:rPr>
                <w:b/>
                <w:snapToGrid w:val="0"/>
                <w:color w:val="auto"/>
                <w:szCs w:val="21"/>
                <w:highlight w:val="none"/>
              </w:rPr>
              <w:t>2</w:t>
            </w:r>
            <w:r>
              <w:rPr>
                <w:rFonts w:hint="eastAsia"/>
                <w:b/>
                <w:snapToGrid w:val="0"/>
                <w:color w:val="auto"/>
                <w:szCs w:val="21"/>
                <w:highlight w:val="none"/>
              </w:rPr>
              <w:t>号）相符性分析</w:t>
            </w:r>
          </w:p>
          <w:p w14:paraId="7AEC23D2">
            <w:pPr>
              <w:pStyle w:val="9"/>
              <w:spacing w:before="0" w:after="0" w:line="360" w:lineRule="auto"/>
              <w:ind w:right="0" w:firstLine="420" w:firstLineChars="200"/>
              <w:rPr>
                <w:rFonts w:hint="eastAsia"/>
                <w:color w:val="auto"/>
                <w:sz w:val="21"/>
                <w:szCs w:val="21"/>
                <w:highlight w:val="none"/>
                <w:lang w:val="en-US" w:eastAsia="zh-CN"/>
              </w:rPr>
            </w:pPr>
            <w:r>
              <w:rPr>
                <w:rFonts w:hint="eastAsia"/>
                <w:color w:val="auto"/>
                <w:sz w:val="21"/>
                <w:szCs w:val="21"/>
                <w:highlight w:val="none"/>
              </w:rPr>
              <w:t>本项目</w:t>
            </w:r>
            <w:r>
              <w:rPr>
                <w:rFonts w:hint="eastAsia"/>
                <w:color w:val="auto"/>
                <w:sz w:val="21"/>
                <w:szCs w:val="21"/>
                <w:highlight w:val="none"/>
                <w:lang w:val="en-US" w:eastAsia="zh-CN"/>
              </w:rPr>
              <w:t>不在需分阶段推进清洁原料替代的3130家企业名单中，</w:t>
            </w:r>
            <w:r>
              <w:rPr>
                <w:rFonts w:hint="eastAsia"/>
                <w:color w:val="auto"/>
                <w:sz w:val="21"/>
                <w:szCs w:val="21"/>
                <w:highlight w:val="none"/>
              </w:rPr>
              <w:t>不生产和使用涂料、油墨</w:t>
            </w:r>
            <w:r>
              <w:rPr>
                <w:rFonts w:hint="eastAsia"/>
                <w:color w:val="auto"/>
                <w:sz w:val="21"/>
                <w:szCs w:val="21"/>
                <w:highlight w:val="none"/>
                <w:lang w:eastAsia="zh-CN"/>
              </w:rPr>
              <w:t>、</w:t>
            </w:r>
            <w:r>
              <w:rPr>
                <w:rFonts w:hint="eastAsia"/>
                <w:color w:val="auto"/>
                <w:sz w:val="21"/>
                <w:szCs w:val="21"/>
                <w:highlight w:val="none"/>
              </w:rPr>
              <w:t>及清洗剂。</w:t>
            </w:r>
            <w:r>
              <w:rPr>
                <w:rFonts w:hint="eastAsia"/>
                <w:color w:val="auto"/>
                <w:sz w:val="21"/>
                <w:szCs w:val="21"/>
                <w:highlight w:val="none"/>
                <w:lang w:val="en-US" w:eastAsia="zh-CN"/>
              </w:rPr>
              <w:t>本项目使用水基型胶粘剂，情况如下：</w:t>
            </w:r>
          </w:p>
          <w:p w14:paraId="35A52716">
            <w:pPr>
              <w:widowControl/>
              <w:adjustRightInd w:val="0"/>
              <w:snapToGrid w:val="0"/>
              <w:spacing w:before="24" w:beforeLines="0" w:after="24" w:afterLines="0" w:line="240" w:lineRule="auto"/>
              <w:jc w:val="center"/>
              <w:rPr>
                <w:rFonts w:hint="eastAsia" w:ascii="Times New Roman" w:hAnsi="Times New Roman" w:eastAsia="宋体" w:cs="Times New Roman"/>
                <w:b/>
                <w:color w:val="000000"/>
                <w:kern w:val="0"/>
                <w:sz w:val="21"/>
                <w:szCs w:val="21"/>
                <w:lang w:val="en-US" w:eastAsia="zh-CN" w:bidi="ar-SA"/>
              </w:rPr>
            </w:pPr>
          </w:p>
          <w:p w14:paraId="1666966F">
            <w:pPr>
              <w:widowControl/>
              <w:adjustRightInd w:val="0"/>
              <w:snapToGrid w:val="0"/>
              <w:spacing w:before="24" w:beforeLines="0" w:after="24" w:afterLines="0" w:line="240" w:lineRule="auto"/>
              <w:jc w:val="center"/>
              <w:rPr>
                <w:rFonts w:hint="eastAsia" w:ascii="Times New Roman" w:hAnsi="Times New Roman" w:eastAsia="宋体" w:cs="Times New Roman"/>
                <w:b/>
                <w:color w:val="000000"/>
                <w:kern w:val="0"/>
                <w:sz w:val="21"/>
                <w:szCs w:val="21"/>
                <w:lang w:val="en-US" w:eastAsia="zh-CN" w:bidi="ar-SA"/>
              </w:rPr>
            </w:pPr>
            <w:r>
              <w:rPr>
                <w:rFonts w:hint="eastAsia" w:ascii="Times New Roman" w:hAnsi="Times New Roman" w:eastAsia="宋体" w:cs="Times New Roman"/>
                <w:b/>
                <w:color w:val="000000"/>
                <w:kern w:val="0"/>
                <w:sz w:val="21"/>
                <w:szCs w:val="21"/>
                <w:lang w:val="en-US" w:eastAsia="zh-CN" w:bidi="ar-SA"/>
              </w:rPr>
              <w:t>表1-1</w:t>
            </w:r>
            <w:r>
              <w:rPr>
                <w:rFonts w:hint="eastAsia" w:cs="Times New Roman"/>
                <w:b/>
                <w:color w:val="000000"/>
                <w:kern w:val="0"/>
                <w:sz w:val="21"/>
                <w:szCs w:val="21"/>
                <w:lang w:val="en-US" w:eastAsia="zh-CN" w:bidi="ar-SA"/>
              </w:rPr>
              <w:t>3</w:t>
            </w:r>
            <w:r>
              <w:rPr>
                <w:rFonts w:hint="eastAsia" w:ascii="Times New Roman" w:hAnsi="Times New Roman" w:eastAsia="宋体" w:cs="Times New Roman"/>
                <w:b/>
                <w:color w:val="000000"/>
                <w:kern w:val="0"/>
                <w:sz w:val="21"/>
                <w:szCs w:val="21"/>
                <w:lang w:val="en-US" w:eastAsia="zh-CN" w:bidi="ar-SA"/>
              </w:rPr>
              <w:t xml:space="preserve"> 胶粘剂VOCs含量</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1440"/>
              <w:gridCol w:w="1443"/>
              <w:gridCol w:w="1443"/>
              <w:gridCol w:w="1443"/>
              <w:gridCol w:w="1443"/>
            </w:tblGrid>
            <w:tr w14:paraId="6CD48C08">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jc w:val="center"/>
              </w:trPr>
              <w:tc>
                <w:tcPr>
                  <w:tcW w:w="1800" w:type="dxa"/>
                  <w:noWrap w:val="0"/>
                  <w:vAlign w:val="center"/>
                </w:tcPr>
                <w:p w14:paraId="5929D639">
                  <w:pPr>
                    <w:autoSpaceDE w:val="0"/>
                    <w:autoSpaceDN w:val="0"/>
                    <w:adjustRightInd w:val="0"/>
                    <w:spacing w:before="24" w:beforeLines="0" w:after="24" w:afterLines="0"/>
                    <w:jc w:val="center"/>
                    <w:rPr>
                      <w:rFonts w:ascii="Times New Roman" w:hAnsi="Times New Roman" w:eastAsia="宋体" w:cs="Times New Roman"/>
                      <w:snapToGrid w:val="0"/>
                      <w:color w:val="000000"/>
                      <w:sz w:val="18"/>
                      <w:szCs w:val="18"/>
                    </w:rPr>
                  </w:pPr>
                  <w:r>
                    <w:rPr>
                      <w:rFonts w:hint="eastAsia" w:ascii="Times New Roman" w:hAnsi="Times New Roman" w:eastAsia="宋体" w:cs="Times New Roman"/>
                      <w:snapToGrid w:val="0"/>
                      <w:color w:val="000000"/>
                      <w:sz w:val="18"/>
                      <w:szCs w:val="18"/>
                    </w:rPr>
                    <w:t>胶粘剂名称</w:t>
                  </w:r>
                </w:p>
              </w:tc>
              <w:tc>
                <w:tcPr>
                  <w:tcW w:w="1804" w:type="dxa"/>
                  <w:noWrap w:val="0"/>
                  <w:vAlign w:val="center"/>
                </w:tcPr>
                <w:p w14:paraId="4003BF7D">
                  <w:pPr>
                    <w:autoSpaceDE w:val="0"/>
                    <w:autoSpaceDN w:val="0"/>
                    <w:adjustRightInd w:val="0"/>
                    <w:spacing w:before="24" w:beforeLines="0" w:after="24" w:afterLines="0"/>
                    <w:jc w:val="center"/>
                    <w:rPr>
                      <w:rFonts w:hint="eastAsia" w:ascii="Times New Roman" w:hAnsi="Times New Roman" w:eastAsia="宋体" w:cs="Times New Roman"/>
                      <w:snapToGrid w:val="0"/>
                      <w:color w:val="000000"/>
                      <w:sz w:val="18"/>
                      <w:szCs w:val="18"/>
                      <w:lang w:eastAsia="zh-CN"/>
                    </w:rPr>
                  </w:pPr>
                  <w:r>
                    <w:rPr>
                      <w:rFonts w:hint="eastAsia" w:ascii="Times New Roman" w:hAnsi="Times New Roman" w:eastAsia="宋体" w:cs="Times New Roman"/>
                      <w:snapToGrid w:val="0"/>
                      <w:color w:val="000000"/>
                      <w:sz w:val="18"/>
                      <w:szCs w:val="18"/>
                    </w:rPr>
                    <w:t>VOCs含量g/</w:t>
                  </w:r>
                  <w:r>
                    <w:rPr>
                      <w:rFonts w:hint="eastAsia" w:ascii="Times New Roman" w:hAnsi="Times New Roman" w:eastAsia="宋体" w:cs="Times New Roman"/>
                      <w:snapToGrid w:val="0"/>
                      <w:color w:val="000000"/>
                      <w:sz w:val="18"/>
                      <w:szCs w:val="18"/>
                      <w:lang w:val="en-US" w:eastAsia="zh-CN"/>
                    </w:rPr>
                    <w:t>L</w:t>
                  </w:r>
                </w:p>
              </w:tc>
              <w:tc>
                <w:tcPr>
                  <w:tcW w:w="1804" w:type="dxa"/>
                  <w:noWrap w:val="0"/>
                  <w:vAlign w:val="center"/>
                </w:tcPr>
                <w:p w14:paraId="0F445FF5">
                  <w:pPr>
                    <w:autoSpaceDE w:val="0"/>
                    <w:autoSpaceDN w:val="0"/>
                    <w:adjustRightInd w:val="0"/>
                    <w:spacing w:before="24" w:beforeLines="0" w:after="24" w:afterLines="0"/>
                    <w:jc w:val="center"/>
                    <w:rPr>
                      <w:rFonts w:ascii="Times New Roman" w:hAnsi="Times New Roman" w:eastAsia="宋体" w:cs="Times New Roman"/>
                      <w:snapToGrid w:val="0"/>
                      <w:color w:val="000000"/>
                      <w:sz w:val="18"/>
                      <w:szCs w:val="18"/>
                    </w:rPr>
                  </w:pPr>
                  <w:r>
                    <w:rPr>
                      <w:rFonts w:hint="eastAsia" w:ascii="Times New Roman" w:hAnsi="Times New Roman" w:eastAsia="宋体" w:cs="Times New Roman"/>
                      <w:snapToGrid w:val="0"/>
                      <w:color w:val="000000"/>
                      <w:sz w:val="18"/>
                      <w:szCs w:val="18"/>
                    </w:rPr>
                    <w:t>胶粘剂类别</w:t>
                  </w:r>
                </w:p>
              </w:tc>
              <w:tc>
                <w:tcPr>
                  <w:tcW w:w="1804" w:type="dxa"/>
                  <w:noWrap w:val="0"/>
                  <w:vAlign w:val="center"/>
                </w:tcPr>
                <w:p w14:paraId="3CFC1FE7">
                  <w:pPr>
                    <w:autoSpaceDE w:val="0"/>
                    <w:autoSpaceDN w:val="0"/>
                    <w:adjustRightInd w:val="0"/>
                    <w:spacing w:before="24" w:beforeLines="0" w:after="24" w:afterLines="0"/>
                    <w:jc w:val="center"/>
                    <w:rPr>
                      <w:rFonts w:hint="eastAsia" w:ascii="Times New Roman" w:hAnsi="Times New Roman" w:eastAsia="宋体" w:cs="Times New Roman"/>
                      <w:snapToGrid w:val="0"/>
                      <w:color w:val="000000"/>
                      <w:sz w:val="18"/>
                      <w:szCs w:val="18"/>
                      <w:lang w:eastAsia="zh-CN"/>
                    </w:rPr>
                  </w:pPr>
                  <w:r>
                    <w:rPr>
                      <w:rFonts w:hint="eastAsia" w:ascii="Times New Roman" w:hAnsi="Times New Roman" w:eastAsia="宋体" w:cs="Times New Roman"/>
                      <w:snapToGrid w:val="0"/>
                      <w:color w:val="000000"/>
                      <w:sz w:val="18"/>
                      <w:szCs w:val="18"/>
                    </w:rPr>
                    <w:t>限值要求g/</w:t>
                  </w:r>
                  <w:r>
                    <w:rPr>
                      <w:rFonts w:hint="eastAsia" w:ascii="Times New Roman" w:hAnsi="Times New Roman" w:eastAsia="宋体" w:cs="Times New Roman"/>
                      <w:snapToGrid w:val="0"/>
                      <w:color w:val="000000"/>
                      <w:sz w:val="18"/>
                      <w:szCs w:val="18"/>
                      <w:lang w:val="en-US" w:eastAsia="zh-CN"/>
                    </w:rPr>
                    <w:t>L</w:t>
                  </w:r>
                </w:p>
              </w:tc>
              <w:tc>
                <w:tcPr>
                  <w:tcW w:w="1804" w:type="dxa"/>
                  <w:noWrap w:val="0"/>
                  <w:vAlign w:val="center"/>
                </w:tcPr>
                <w:p w14:paraId="6DD0B5C1">
                  <w:pPr>
                    <w:autoSpaceDE w:val="0"/>
                    <w:autoSpaceDN w:val="0"/>
                    <w:adjustRightInd w:val="0"/>
                    <w:spacing w:before="24" w:beforeLines="0" w:after="24" w:afterLines="0"/>
                    <w:jc w:val="center"/>
                    <w:rPr>
                      <w:rFonts w:hint="eastAsia" w:ascii="Times New Roman" w:hAnsi="Times New Roman" w:eastAsia="宋体" w:cs="Times New Roman"/>
                      <w:snapToGrid w:val="0"/>
                      <w:color w:val="000000"/>
                      <w:sz w:val="18"/>
                      <w:szCs w:val="18"/>
                      <w:lang w:val="en-US" w:eastAsia="zh-CN"/>
                    </w:rPr>
                  </w:pPr>
                  <w:r>
                    <w:rPr>
                      <w:rFonts w:hint="eastAsia" w:ascii="Times New Roman" w:hAnsi="Times New Roman" w:eastAsia="宋体" w:cs="Times New Roman"/>
                      <w:snapToGrid w:val="0"/>
                      <w:color w:val="000000"/>
                      <w:sz w:val="18"/>
                      <w:szCs w:val="18"/>
                      <w:lang w:val="en-US" w:eastAsia="zh-CN"/>
                    </w:rPr>
                    <w:t>标准来源</w:t>
                  </w:r>
                </w:p>
              </w:tc>
            </w:tr>
            <w:tr w14:paraId="25C72B5D">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00" w:hRule="atLeast"/>
                <w:jc w:val="center"/>
              </w:trPr>
              <w:tc>
                <w:tcPr>
                  <w:tcW w:w="1800" w:type="dxa"/>
                  <w:noWrap w:val="0"/>
                  <w:vAlign w:val="center"/>
                </w:tcPr>
                <w:p w14:paraId="4CF9DE6F">
                  <w:pPr>
                    <w:widowControl/>
                    <w:autoSpaceDE w:val="0"/>
                    <w:autoSpaceDN w:val="0"/>
                    <w:adjustRightInd w:val="0"/>
                    <w:snapToGrid w:val="0"/>
                    <w:spacing w:before="48" w:beforeLines="20" w:after="48" w:afterLines="20"/>
                    <w:jc w:val="center"/>
                    <w:rPr>
                      <w:rFonts w:hint="eastAsia" w:ascii="Times New Roman" w:hAnsi="Times New Roman" w:eastAsia="宋体" w:cs="Times New Roman"/>
                      <w:color w:val="000000"/>
                      <w:kern w:val="28"/>
                      <w:sz w:val="18"/>
                      <w:szCs w:val="18"/>
                      <w:lang w:val="en-US" w:eastAsia="zh-CN" w:bidi="ar-SA"/>
                    </w:rPr>
                  </w:pPr>
                  <w:r>
                    <w:rPr>
                      <w:rFonts w:hint="eastAsia" w:ascii="Times New Roman" w:hAnsi="Times New Roman" w:eastAsia="宋体" w:cs="Times New Roman"/>
                      <w:color w:val="000000"/>
                      <w:kern w:val="28"/>
                      <w:sz w:val="18"/>
                      <w:szCs w:val="18"/>
                      <w:lang w:val="en-US" w:eastAsia="zh-CN" w:bidi="ar-SA"/>
                    </w:rPr>
                    <w:t>水性粘合剂</w:t>
                  </w:r>
                </w:p>
                <w:p w14:paraId="755EEE4E">
                  <w:pPr>
                    <w:widowControl/>
                    <w:autoSpaceDE w:val="0"/>
                    <w:autoSpaceDN w:val="0"/>
                    <w:adjustRightInd w:val="0"/>
                    <w:snapToGrid w:val="0"/>
                    <w:spacing w:before="48" w:beforeLines="20" w:after="48" w:afterLines="20"/>
                    <w:jc w:val="center"/>
                    <w:rPr>
                      <w:rFonts w:hint="eastAsia" w:ascii="Times New Roman" w:hAnsi="Times New Roman" w:eastAsia="宋体" w:cs="Times New Roman"/>
                      <w:color w:val="000000"/>
                      <w:kern w:val="28"/>
                      <w:sz w:val="18"/>
                      <w:szCs w:val="18"/>
                      <w:lang w:val="en-US" w:eastAsia="zh-CN" w:bidi="ar-SA"/>
                    </w:rPr>
                  </w:pPr>
                  <w:r>
                    <w:rPr>
                      <w:rFonts w:hint="eastAsia" w:ascii="Times New Roman" w:hAnsi="Times New Roman" w:eastAsia="宋体" w:cs="Times New Roman"/>
                      <w:color w:val="000000"/>
                      <w:kern w:val="28"/>
                      <w:sz w:val="18"/>
                      <w:szCs w:val="18"/>
                      <w:lang w:val="en-US" w:eastAsia="zh-CN" w:bidi="ar-SA"/>
                    </w:rPr>
                    <w:t>TF-3901D</w:t>
                  </w:r>
                </w:p>
              </w:tc>
              <w:tc>
                <w:tcPr>
                  <w:tcW w:w="1804" w:type="dxa"/>
                  <w:noWrap w:val="0"/>
                  <w:vAlign w:val="center"/>
                </w:tcPr>
                <w:p w14:paraId="457724E7">
                  <w:pPr>
                    <w:spacing w:before="48" w:beforeLines="20" w:after="48" w:afterLines="20"/>
                    <w:jc w:val="center"/>
                    <w:rPr>
                      <w:rFonts w:hint="default" w:ascii="Times New Roman" w:hAnsi="Times New Roman" w:eastAsia="宋体" w:cs="Times New Roman"/>
                      <w:snapToGrid w:val="0"/>
                      <w:color w:val="000000"/>
                      <w:sz w:val="18"/>
                      <w:szCs w:val="18"/>
                      <w:lang w:val="en-US" w:eastAsia="zh-CN" w:bidi="ar-SA"/>
                    </w:rPr>
                  </w:pPr>
                  <w:r>
                    <w:rPr>
                      <w:rFonts w:hint="eastAsia" w:ascii="Times New Roman" w:hAnsi="Times New Roman" w:eastAsia="宋体" w:cs="Times New Roman"/>
                      <w:snapToGrid w:val="0"/>
                      <w:color w:val="000000"/>
                      <w:sz w:val="18"/>
                      <w:szCs w:val="18"/>
                      <w:lang w:val="en-US" w:eastAsia="zh-CN" w:bidi="ar-SA"/>
                    </w:rPr>
                    <w:t>10</w:t>
                  </w:r>
                </w:p>
              </w:tc>
              <w:tc>
                <w:tcPr>
                  <w:tcW w:w="1804" w:type="dxa"/>
                  <w:noWrap w:val="0"/>
                  <w:vAlign w:val="center"/>
                </w:tcPr>
                <w:p w14:paraId="455AD0E3">
                  <w:pPr>
                    <w:spacing w:before="48" w:beforeLines="20" w:after="48" w:afterLines="20"/>
                    <w:jc w:val="center"/>
                    <w:rPr>
                      <w:rFonts w:hint="eastAsia" w:ascii="Times New Roman" w:hAnsi="Times New Roman" w:eastAsia="宋体" w:cs="Times New Roman"/>
                      <w:snapToGrid w:val="0"/>
                      <w:color w:val="000000"/>
                      <w:sz w:val="18"/>
                      <w:szCs w:val="18"/>
                      <w:lang w:val="en-US" w:eastAsia="zh-CN" w:bidi="ar-SA"/>
                    </w:rPr>
                  </w:pPr>
                  <w:r>
                    <w:rPr>
                      <w:rFonts w:hint="eastAsia" w:ascii="Times New Roman" w:hAnsi="Times New Roman" w:eastAsia="宋体" w:cs="Times New Roman"/>
                      <w:snapToGrid w:val="0"/>
                      <w:color w:val="000000"/>
                      <w:sz w:val="18"/>
                      <w:szCs w:val="18"/>
                      <w:lang w:val="en-US" w:eastAsia="zh-CN" w:bidi="ar-SA"/>
                    </w:rPr>
                    <w:t>聚氨酯类</w:t>
                  </w:r>
                </w:p>
              </w:tc>
              <w:tc>
                <w:tcPr>
                  <w:tcW w:w="1804" w:type="dxa"/>
                  <w:noWrap w:val="0"/>
                  <w:vAlign w:val="center"/>
                </w:tcPr>
                <w:p w14:paraId="40D63B67">
                  <w:pPr>
                    <w:widowControl/>
                    <w:spacing w:before="24" w:beforeLines="0" w:after="24" w:afterLines="0"/>
                    <w:jc w:val="center"/>
                    <w:textAlignment w:val="bottom"/>
                    <w:rPr>
                      <w:rFonts w:hint="default" w:ascii="Times New Roman" w:hAnsi="Times New Roman" w:eastAsia="宋体" w:cs="Times New Roman"/>
                      <w:snapToGrid w:val="0"/>
                      <w:color w:val="000000"/>
                      <w:sz w:val="18"/>
                      <w:szCs w:val="18"/>
                      <w:lang w:val="en-US" w:eastAsia="zh-CN"/>
                    </w:rPr>
                  </w:pPr>
                  <w:r>
                    <w:rPr>
                      <w:rFonts w:hint="eastAsia" w:ascii="Times New Roman" w:hAnsi="Times New Roman" w:eastAsia="宋体" w:cs="Times New Roman"/>
                      <w:snapToGrid w:val="0"/>
                      <w:color w:val="000000"/>
                      <w:sz w:val="18"/>
                      <w:szCs w:val="18"/>
                      <w:lang w:val="en-US" w:eastAsia="zh-CN"/>
                    </w:rPr>
                    <w:t>50</w:t>
                  </w:r>
                </w:p>
              </w:tc>
              <w:tc>
                <w:tcPr>
                  <w:tcW w:w="1804" w:type="dxa"/>
                  <w:noWrap w:val="0"/>
                  <w:vAlign w:val="center"/>
                </w:tcPr>
                <w:p w14:paraId="17E19053">
                  <w:pPr>
                    <w:widowControl/>
                    <w:spacing w:before="24" w:beforeLines="0" w:after="24" w:afterLines="0"/>
                    <w:jc w:val="center"/>
                    <w:textAlignment w:val="bottom"/>
                    <w:rPr>
                      <w:rFonts w:hint="eastAsia" w:ascii="Times New Roman" w:hAnsi="Times New Roman" w:eastAsia="宋体" w:cs="Times New Roman"/>
                      <w:snapToGrid w:val="0"/>
                      <w:color w:val="000000"/>
                      <w:sz w:val="18"/>
                      <w:szCs w:val="18"/>
                      <w:lang w:val="en-US" w:eastAsia="zh-CN"/>
                    </w:rPr>
                  </w:pPr>
                  <w:r>
                    <w:rPr>
                      <w:rFonts w:hint="eastAsia" w:ascii="Times New Roman" w:hAnsi="Times New Roman" w:eastAsia="宋体" w:cs="Times New Roman"/>
                      <w:snapToGrid w:val="0"/>
                      <w:color w:val="000000"/>
                      <w:sz w:val="18"/>
                      <w:szCs w:val="18"/>
                      <w:lang w:val="en-US" w:eastAsia="zh-CN"/>
                    </w:rPr>
                    <w:t>《胶粘剂挥发性有机化合物限量》（GB 33372-2020）</w:t>
                  </w:r>
                </w:p>
              </w:tc>
            </w:tr>
          </w:tbl>
          <w:p w14:paraId="174AE6EB">
            <w:pPr>
              <w:spacing w:line="360" w:lineRule="auto"/>
              <w:ind w:firstLine="420" w:firstLineChars="20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综上所述，本项目</w:t>
            </w:r>
            <w:r>
              <w:rPr>
                <w:rFonts w:hint="eastAsia" w:ascii="Times New Roman" w:hAnsi="Times New Roman" w:eastAsia="宋体" w:cs="Times New Roman"/>
                <w:color w:val="auto"/>
                <w:szCs w:val="21"/>
                <w:highlight w:val="none"/>
                <w:lang w:val="en-US" w:eastAsia="zh-CN"/>
              </w:rPr>
              <w:t>使用的水基型胶粘剂</w:t>
            </w:r>
            <w:r>
              <w:rPr>
                <w:rFonts w:hint="default" w:ascii="Times New Roman" w:hAnsi="Times New Roman" w:eastAsia="宋体" w:cs="Times New Roman"/>
                <w:color w:val="auto"/>
                <w:szCs w:val="21"/>
                <w:highlight w:val="none"/>
                <w:lang w:val="en-US" w:eastAsia="zh-CN"/>
              </w:rPr>
              <w:t>符合《胶粘剂挥发性有机化合物限量》（GB 33372-2020）的</w:t>
            </w:r>
            <w:r>
              <w:rPr>
                <w:rFonts w:hint="eastAsia" w:ascii="Times New Roman" w:hAnsi="Times New Roman" w:eastAsia="宋体" w:cs="Times New Roman"/>
                <w:color w:val="auto"/>
                <w:szCs w:val="21"/>
                <w:highlight w:val="none"/>
                <w:lang w:val="en-US" w:eastAsia="zh-CN"/>
              </w:rPr>
              <w:t>限值</w:t>
            </w:r>
            <w:r>
              <w:rPr>
                <w:rFonts w:hint="default" w:ascii="Times New Roman" w:hAnsi="Times New Roman" w:eastAsia="宋体" w:cs="Times New Roman"/>
                <w:color w:val="auto"/>
                <w:szCs w:val="21"/>
                <w:highlight w:val="none"/>
                <w:lang w:val="en-US" w:eastAsia="zh-CN"/>
              </w:rPr>
              <w:t>要求</w:t>
            </w:r>
            <w:r>
              <w:rPr>
                <w:rFonts w:hint="eastAsia" w:ascii="Times New Roman" w:hAnsi="Times New Roman" w:eastAsia="宋体" w:cs="Times New Roman"/>
                <w:color w:val="auto"/>
                <w:szCs w:val="21"/>
                <w:highlight w:val="none"/>
                <w:lang w:val="en-US" w:eastAsia="zh-CN"/>
              </w:rPr>
              <w:t>，不属于高VOCs胶粘剂</w:t>
            </w:r>
            <w:r>
              <w:rPr>
                <w:rFonts w:hint="default" w:ascii="Times New Roman" w:hAnsi="Times New Roman" w:eastAsia="宋体" w:cs="Times New Roman"/>
                <w:color w:val="auto"/>
                <w:szCs w:val="21"/>
                <w:highlight w:val="none"/>
                <w:lang w:val="en-US" w:eastAsia="zh-CN"/>
              </w:rPr>
              <w:t>。</w:t>
            </w:r>
          </w:p>
          <w:p w14:paraId="276DC52F">
            <w:pPr>
              <w:spacing w:line="260" w:lineRule="auto"/>
              <w:jc w:val="center"/>
              <w:rPr>
                <w:b/>
                <w:bCs/>
                <w:color w:val="auto"/>
                <w:szCs w:val="21"/>
                <w:highlight w:val="none"/>
              </w:rPr>
            </w:pPr>
            <w:r>
              <w:rPr>
                <w:rFonts w:hint="eastAsia"/>
                <w:b/>
                <w:bCs/>
                <w:color w:val="auto"/>
                <w:szCs w:val="21"/>
                <w:highlight w:val="none"/>
              </w:rPr>
              <w:t>表</w:t>
            </w:r>
            <w:r>
              <w:rPr>
                <w:b/>
                <w:bCs/>
                <w:color w:val="auto"/>
                <w:szCs w:val="21"/>
                <w:highlight w:val="none"/>
              </w:rPr>
              <w:t>1-1</w:t>
            </w:r>
            <w:r>
              <w:rPr>
                <w:rFonts w:hint="eastAsia"/>
                <w:b/>
                <w:bCs/>
                <w:color w:val="auto"/>
                <w:szCs w:val="21"/>
                <w:highlight w:val="none"/>
                <w:lang w:val="en-US" w:eastAsia="zh-CN"/>
              </w:rPr>
              <w:t>4</w:t>
            </w:r>
            <w:r>
              <w:rPr>
                <w:b/>
                <w:bCs/>
                <w:color w:val="auto"/>
                <w:szCs w:val="21"/>
                <w:highlight w:val="none"/>
              </w:rPr>
              <w:t xml:space="preserve"> </w:t>
            </w:r>
            <w:r>
              <w:rPr>
                <w:rFonts w:hint="eastAsia"/>
                <w:b/>
                <w:bCs/>
                <w:color w:val="auto"/>
                <w:szCs w:val="21"/>
                <w:highlight w:val="none"/>
              </w:rPr>
              <w:t>《江苏省挥发性有机物清洁原料替代工作方案》相符性分析</w:t>
            </w:r>
          </w:p>
          <w:tbl>
            <w:tblPr>
              <w:tblStyle w:val="2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9"/>
              <w:gridCol w:w="4089"/>
              <w:gridCol w:w="1807"/>
              <w:gridCol w:w="827"/>
            </w:tblGrid>
            <w:tr w14:paraId="3F54F6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515" w:type="dxa"/>
                  <w:tcBorders>
                    <w:top w:val="single" w:color="auto" w:sz="12" w:space="0"/>
                    <w:bottom w:val="single" w:color="auto" w:sz="4" w:space="0"/>
                    <w:right w:val="single" w:color="auto" w:sz="4" w:space="0"/>
                  </w:tcBorders>
                  <w:tcMar>
                    <w:left w:w="11" w:type="dxa"/>
                    <w:right w:w="11" w:type="dxa"/>
                  </w:tcMar>
                  <w:vAlign w:val="center"/>
                </w:tcPr>
                <w:p w14:paraId="6CE652A4">
                  <w:pPr>
                    <w:adjustRightInd w:val="0"/>
                    <w:jc w:val="center"/>
                    <w:rPr>
                      <w:bCs/>
                      <w:color w:val="auto"/>
                      <w:sz w:val="18"/>
                      <w:szCs w:val="18"/>
                      <w:highlight w:val="none"/>
                    </w:rPr>
                  </w:pPr>
                  <w:r>
                    <w:rPr>
                      <w:rFonts w:hint="eastAsia"/>
                      <w:bCs/>
                      <w:color w:val="auto"/>
                      <w:sz w:val="18"/>
                      <w:szCs w:val="18"/>
                      <w:highlight w:val="none"/>
                    </w:rPr>
                    <w:t>序号</w:t>
                  </w:r>
                </w:p>
              </w:tc>
              <w:tc>
                <w:tcPr>
                  <w:tcW w:w="4469" w:type="dxa"/>
                  <w:tcBorders>
                    <w:top w:val="single" w:color="auto" w:sz="12" w:space="0"/>
                    <w:left w:val="single" w:color="auto" w:sz="4" w:space="0"/>
                    <w:bottom w:val="single" w:color="auto" w:sz="4" w:space="0"/>
                    <w:right w:val="single" w:color="auto" w:sz="4" w:space="0"/>
                  </w:tcBorders>
                  <w:vAlign w:val="center"/>
                </w:tcPr>
                <w:p w14:paraId="0369136E">
                  <w:pPr>
                    <w:adjustRightInd w:val="0"/>
                    <w:jc w:val="center"/>
                    <w:rPr>
                      <w:bCs/>
                      <w:color w:val="auto"/>
                      <w:sz w:val="18"/>
                      <w:szCs w:val="18"/>
                      <w:highlight w:val="none"/>
                    </w:rPr>
                  </w:pPr>
                  <w:r>
                    <w:rPr>
                      <w:rFonts w:hint="eastAsia"/>
                      <w:bCs/>
                      <w:color w:val="auto"/>
                      <w:sz w:val="18"/>
                      <w:szCs w:val="18"/>
                      <w:highlight w:val="none"/>
                    </w:rPr>
                    <w:t>标准要求</w:t>
                  </w:r>
                </w:p>
              </w:tc>
              <w:tc>
                <w:tcPr>
                  <w:tcW w:w="1963" w:type="dxa"/>
                  <w:tcBorders>
                    <w:top w:val="single" w:color="auto" w:sz="12" w:space="0"/>
                    <w:left w:val="single" w:color="auto" w:sz="4" w:space="0"/>
                    <w:bottom w:val="single" w:color="auto" w:sz="4" w:space="0"/>
                    <w:right w:val="single" w:color="auto" w:sz="4" w:space="0"/>
                  </w:tcBorders>
                  <w:vAlign w:val="center"/>
                </w:tcPr>
                <w:p w14:paraId="7848EE92">
                  <w:pPr>
                    <w:jc w:val="center"/>
                    <w:rPr>
                      <w:bCs/>
                      <w:color w:val="auto"/>
                      <w:sz w:val="18"/>
                      <w:szCs w:val="18"/>
                      <w:highlight w:val="none"/>
                    </w:rPr>
                  </w:pPr>
                  <w:r>
                    <w:rPr>
                      <w:rFonts w:hint="eastAsia"/>
                      <w:bCs/>
                      <w:color w:val="auto"/>
                      <w:sz w:val="18"/>
                      <w:szCs w:val="18"/>
                      <w:highlight w:val="none"/>
                    </w:rPr>
                    <w:t>项目情况</w:t>
                  </w:r>
                </w:p>
              </w:tc>
              <w:tc>
                <w:tcPr>
                  <w:tcW w:w="887" w:type="dxa"/>
                  <w:tcBorders>
                    <w:top w:val="single" w:color="auto" w:sz="12" w:space="0"/>
                    <w:left w:val="single" w:color="auto" w:sz="4" w:space="0"/>
                    <w:bottom w:val="single" w:color="auto" w:sz="4" w:space="0"/>
                  </w:tcBorders>
                  <w:tcMar>
                    <w:left w:w="11" w:type="dxa"/>
                    <w:right w:w="11" w:type="dxa"/>
                  </w:tcMar>
                  <w:vAlign w:val="center"/>
                </w:tcPr>
                <w:p w14:paraId="0CD9D09B">
                  <w:pPr>
                    <w:jc w:val="center"/>
                    <w:rPr>
                      <w:bCs/>
                      <w:color w:val="auto"/>
                      <w:sz w:val="18"/>
                      <w:szCs w:val="18"/>
                      <w:highlight w:val="none"/>
                    </w:rPr>
                  </w:pPr>
                  <w:r>
                    <w:rPr>
                      <w:rFonts w:hint="eastAsia"/>
                      <w:bCs/>
                      <w:color w:val="auto"/>
                      <w:sz w:val="18"/>
                      <w:szCs w:val="18"/>
                      <w:highlight w:val="none"/>
                    </w:rPr>
                    <w:t>相符性</w:t>
                  </w:r>
                </w:p>
              </w:tc>
            </w:tr>
            <w:tr w14:paraId="491B41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15" w:type="dxa"/>
                  <w:tcBorders>
                    <w:top w:val="single" w:color="auto" w:sz="4" w:space="0"/>
                    <w:bottom w:val="single" w:color="auto" w:sz="4" w:space="0"/>
                    <w:right w:val="single" w:color="auto" w:sz="4" w:space="0"/>
                  </w:tcBorders>
                  <w:vAlign w:val="center"/>
                </w:tcPr>
                <w:p w14:paraId="74FCC506">
                  <w:pPr>
                    <w:adjustRightInd w:val="0"/>
                    <w:jc w:val="center"/>
                    <w:rPr>
                      <w:color w:val="auto"/>
                      <w:sz w:val="18"/>
                      <w:szCs w:val="18"/>
                      <w:highlight w:val="none"/>
                    </w:rPr>
                  </w:pPr>
                  <w:r>
                    <w:rPr>
                      <w:color w:val="auto"/>
                      <w:sz w:val="18"/>
                      <w:szCs w:val="18"/>
                      <w:highlight w:val="none"/>
                    </w:rPr>
                    <w:t>1</w:t>
                  </w:r>
                </w:p>
              </w:tc>
              <w:tc>
                <w:tcPr>
                  <w:tcW w:w="4469" w:type="dxa"/>
                  <w:tcBorders>
                    <w:top w:val="single" w:color="auto" w:sz="4" w:space="0"/>
                    <w:left w:val="single" w:color="auto" w:sz="4" w:space="0"/>
                    <w:bottom w:val="single" w:color="auto" w:sz="4" w:space="0"/>
                    <w:right w:val="single" w:color="auto" w:sz="4" w:space="0"/>
                  </w:tcBorders>
                  <w:vAlign w:val="center"/>
                </w:tcPr>
                <w:p w14:paraId="4DCF8EED">
                  <w:pPr>
                    <w:adjustRightInd w:val="0"/>
                    <w:jc w:val="center"/>
                    <w:rPr>
                      <w:color w:val="auto"/>
                      <w:sz w:val="18"/>
                      <w:szCs w:val="18"/>
                      <w:highlight w:val="none"/>
                    </w:rPr>
                  </w:pPr>
                  <w:r>
                    <w:rPr>
                      <w:rFonts w:hint="eastAsia"/>
                      <w:color w:val="auto"/>
                      <w:sz w:val="18"/>
                      <w:szCs w:val="18"/>
                      <w:highlight w:val="none"/>
                    </w:rPr>
                    <w:t>明确替代要求。以工业涂装、包装印刷、木材加工、纺织（附件</w:t>
                  </w:r>
                  <w:r>
                    <w:rPr>
                      <w:color w:val="auto"/>
                      <w:sz w:val="18"/>
                      <w:szCs w:val="18"/>
                      <w:highlight w:val="none"/>
                    </w:rPr>
                    <w:t>1</w:t>
                  </w:r>
                  <w:r>
                    <w:rPr>
                      <w:rFonts w:hint="eastAsia"/>
                      <w:color w:val="auto"/>
                      <w:sz w:val="18"/>
                      <w:szCs w:val="18"/>
                      <w:highlight w:val="none"/>
                    </w:rPr>
                    <w:t>）等行业为重点，分阶段推进</w:t>
                  </w:r>
                  <w:r>
                    <w:rPr>
                      <w:color w:val="auto"/>
                      <w:sz w:val="18"/>
                      <w:szCs w:val="18"/>
                      <w:highlight w:val="none"/>
                    </w:rPr>
                    <w:t>3130</w:t>
                  </w:r>
                  <w:r>
                    <w:rPr>
                      <w:rFonts w:hint="eastAsia"/>
                      <w:color w:val="auto"/>
                      <w:sz w:val="18"/>
                      <w:szCs w:val="18"/>
                      <w:highlight w:val="none"/>
                    </w:rPr>
                    <w:t>家企业（附件</w:t>
                  </w:r>
                  <w:r>
                    <w:rPr>
                      <w:color w:val="auto"/>
                      <w:sz w:val="18"/>
                      <w:szCs w:val="18"/>
                      <w:highlight w:val="none"/>
                    </w:rPr>
                    <w:t>2</w:t>
                  </w:r>
                  <w:r>
                    <w:rPr>
                      <w:rFonts w:hint="eastAsia"/>
                      <w:color w:val="auto"/>
                      <w:sz w:val="18"/>
                      <w:szCs w:val="18"/>
                      <w:highlight w:val="none"/>
                    </w:rPr>
                    <w:t>）清洁原料替代工作。</w:t>
                  </w:r>
                </w:p>
              </w:tc>
              <w:tc>
                <w:tcPr>
                  <w:tcW w:w="1963" w:type="dxa"/>
                  <w:tcBorders>
                    <w:top w:val="single" w:color="auto" w:sz="4" w:space="0"/>
                    <w:left w:val="single" w:color="auto" w:sz="4" w:space="0"/>
                    <w:bottom w:val="single" w:color="auto" w:sz="4" w:space="0"/>
                    <w:right w:val="single" w:color="auto" w:sz="4" w:space="0"/>
                  </w:tcBorders>
                  <w:vAlign w:val="center"/>
                </w:tcPr>
                <w:p w14:paraId="64331F09">
                  <w:pPr>
                    <w:wordWrap w:val="0"/>
                    <w:jc w:val="center"/>
                    <w:rPr>
                      <w:color w:val="auto"/>
                      <w:sz w:val="18"/>
                      <w:szCs w:val="18"/>
                      <w:highlight w:val="none"/>
                    </w:rPr>
                  </w:pPr>
                  <w:r>
                    <w:rPr>
                      <w:rFonts w:hint="eastAsia"/>
                      <w:color w:val="auto"/>
                      <w:sz w:val="18"/>
                      <w:szCs w:val="18"/>
                      <w:highlight w:val="none"/>
                      <w:lang w:val="en-US" w:eastAsia="zh-CN"/>
                    </w:rPr>
                    <w:t>本</w:t>
                  </w:r>
                  <w:r>
                    <w:rPr>
                      <w:rFonts w:hint="eastAsia"/>
                      <w:color w:val="auto"/>
                      <w:sz w:val="18"/>
                      <w:szCs w:val="18"/>
                      <w:highlight w:val="none"/>
                    </w:rPr>
                    <w:t>项目不生产和使用高</w:t>
                  </w:r>
                  <w:r>
                    <w:rPr>
                      <w:color w:val="auto"/>
                      <w:sz w:val="18"/>
                      <w:szCs w:val="18"/>
                      <w:highlight w:val="none"/>
                    </w:rPr>
                    <w:t>VOCs</w:t>
                  </w:r>
                  <w:r>
                    <w:rPr>
                      <w:rFonts w:hint="eastAsia"/>
                      <w:color w:val="auto"/>
                      <w:sz w:val="18"/>
                      <w:szCs w:val="18"/>
                      <w:highlight w:val="none"/>
                    </w:rPr>
                    <w:t>涂料、油墨、胶粘剂及清洗剂</w:t>
                  </w:r>
                </w:p>
              </w:tc>
              <w:tc>
                <w:tcPr>
                  <w:tcW w:w="887" w:type="dxa"/>
                  <w:tcBorders>
                    <w:top w:val="single" w:color="auto" w:sz="4" w:space="0"/>
                    <w:left w:val="single" w:color="auto" w:sz="4" w:space="0"/>
                    <w:bottom w:val="single" w:color="auto" w:sz="4" w:space="0"/>
                  </w:tcBorders>
                  <w:vAlign w:val="center"/>
                </w:tcPr>
                <w:p w14:paraId="57C44539">
                  <w:pPr>
                    <w:jc w:val="center"/>
                    <w:rPr>
                      <w:color w:val="auto"/>
                      <w:sz w:val="18"/>
                      <w:szCs w:val="18"/>
                      <w:highlight w:val="none"/>
                    </w:rPr>
                  </w:pPr>
                  <w:r>
                    <w:rPr>
                      <w:rFonts w:hint="eastAsia"/>
                      <w:color w:val="auto"/>
                      <w:sz w:val="18"/>
                      <w:szCs w:val="18"/>
                      <w:highlight w:val="none"/>
                    </w:rPr>
                    <w:t>符合</w:t>
                  </w:r>
                </w:p>
              </w:tc>
            </w:tr>
            <w:tr w14:paraId="2C2989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515" w:type="dxa"/>
                  <w:tcBorders>
                    <w:top w:val="single" w:color="auto" w:sz="4" w:space="0"/>
                    <w:bottom w:val="single" w:color="auto" w:sz="4" w:space="0"/>
                    <w:right w:val="single" w:color="auto" w:sz="4" w:space="0"/>
                  </w:tcBorders>
                  <w:vAlign w:val="center"/>
                </w:tcPr>
                <w:p w14:paraId="5CF8A6D1">
                  <w:pPr>
                    <w:adjustRightInd w:val="0"/>
                    <w:jc w:val="center"/>
                    <w:rPr>
                      <w:color w:val="auto"/>
                      <w:sz w:val="18"/>
                      <w:szCs w:val="18"/>
                      <w:highlight w:val="none"/>
                    </w:rPr>
                  </w:pPr>
                  <w:r>
                    <w:rPr>
                      <w:color w:val="auto"/>
                      <w:sz w:val="18"/>
                      <w:szCs w:val="18"/>
                      <w:highlight w:val="none"/>
                    </w:rPr>
                    <w:t>2</w:t>
                  </w:r>
                </w:p>
              </w:tc>
              <w:tc>
                <w:tcPr>
                  <w:tcW w:w="4469" w:type="dxa"/>
                  <w:tcBorders>
                    <w:top w:val="single" w:color="auto" w:sz="4" w:space="0"/>
                    <w:left w:val="single" w:color="auto" w:sz="4" w:space="0"/>
                    <w:bottom w:val="single" w:color="auto" w:sz="4" w:space="0"/>
                    <w:right w:val="single" w:color="auto" w:sz="4" w:space="0"/>
                  </w:tcBorders>
                  <w:vAlign w:val="center"/>
                </w:tcPr>
                <w:p w14:paraId="6219D099">
                  <w:pPr>
                    <w:adjustRightInd w:val="0"/>
                    <w:jc w:val="center"/>
                    <w:rPr>
                      <w:color w:val="auto"/>
                      <w:sz w:val="18"/>
                      <w:szCs w:val="18"/>
                      <w:highlight w:val="none"/>
                    </w:rPr>
                  </w:pPr>
                  <w:r>
                    <w:rPr>
                      <w:rFonts w:hint="eastAsia"/>
                      <w:color w:val="auto"/>
                      <w:sz w:val="18"/>
                      <w:szCs w:val="18"/>
                      <w:highlight w:val="none"/>
                    </w:rPr>
                    <w:t>严格准入条件。禁止建设生产和使用高</w:t>
                  </w:r>
                  <w:r>
                    <w:rPr>
                      <w:color w:val="auto"/>
                      <w:sz w:val="18"/>
                      <w:szCs w:val="18"/>
                      <w:highlight w:val="none"/>
                    </w:rPr>
                    <w:t>VOCs</w:t>
                  </w:r>
                  <w:r>
                    <w:rPr>
                      <w:rFonts w:hint="eastAsia"/>
                      <w:color w:val="auto"/>
                      <w:sz w:val="18"/>
                      <w:szCs w:val="18"/>
                      <w:highlight w:val="none"/>
                    </w:rPr>
                    <w:t>含量的涂料、油墨、胶黏剂等项目。</w:t>
                  </w:r>
                </w:p>
              </w:tc>
              <w:tc>
                <w:tcPr>
                  <w:tcW w:w="1963" w:type="dxa"/>
                  <w:tcBorders>
                    <w:top w:val="single" w:color="auto" w:sz="4" w:space="0"/>
                    <w:left w:val="single" w:color="auto" w:sz="4" w:space="0"/>
                    <w:bottom w:val="single" w:color="auto" w:sz="4" w:space="0"/>
                    <w:right w:val="single" w:color="auto" w:sz="4" w:space="0"/>
                  </w:tcBorders>
                  <w:vAlign w:val="center"/>
                </w:tcPr>
                <w:p w14:paraId="2B328EF6">
                  <w:pPr>
                    <w:wordWrap w:val="0"/>
                    <w:jc w:val="center"/>
                    <w:rPr>
                      <w:color w:val="auto"/>
                      <w:sz w:val="18"/>
                      <w:szCs w:val="18"/>
                      <w:highlight w:val="none"/>
                    </w:rPr>
                  </w:pPr>
                  <w:r>
                    <w:rPr>
                      <w:rFonts w:hint="eastAsia"/>
                      <w:color w:val="auto"/>
                      <w:sz w:val="18"/>
                      <w:szCs w:val="18"/>
                      <w:highlight w:val="none"/>
                    </w:rPr>
                    <w:t>本项目不生产和使用高</w:t>
                  </w:r>
                  <w:r>
                    <w:rPr>
                      <w:color w:val="auto"/>
                      <w:sz w:val="18"/>
                      <w:szCs w:val="18"/>
                      <w:highlight w:val="none"/>
                    </w:rPr>
                    <w:t>VOCs</w:t>
                  </w:r>
                  <w:r>
                    <w:rPr>
                      <w:rFonts w:hint="eastAsia"/>
                      <w:color w:val="auto"/>
                      <w:sz w:val="18"/>
                      <w:szCs w:val="18"/>
                      <w:highlight w:val="none"/>
                    </w:rPr>
                    <w:t>含量的涂料、油墨、胶黏剂等</w:t>
                  </w:r>
                </w:p>
              </w:tc>
              <w:tc>
                <w:tcPr>
                  <w:tcW w:w="887" w:type="dxa"/>
                  <w:tcBorders>
                    <w:top w:val="single" w:color="auto" w:sz="4" w:space="0"/>
                    <w:left w:val="single" w:color="auto" w:sz="4" w:space="0"/>
                    <w:bottom w:val="single" w:color="auto" w:sz="4" w:space="0"/>
                  </w:tcBorders>
                  <w:vAlign w:val="center"/>
                </w:tcPr>
                <w:p w14:paraId="1FF8DBBD">
                  <w:pPr>
                    <w:jc w:val="center"/>
                    <w:rPr>
                      <w:color w:val="auto"/>
                      <w:sz w:val="18"/>
                      <w:szCs w:val="18"/>
                      <w:highlight w:val="none"/>
                    </w:rPr>
                  </w:pPr>
                  <w:r>
                    <w:rPr>
                      <w:rFonts w:hint="eastAsia"/>
                      <w:color w:val="auto"/>
                      <w:sz w:val="18"/>
                      <w:szCs w:val="18"/>
                      <w:highlight w:val="none"/>
                    </w:rPr>
                    <w:t>符合</w:t>
                  </w:r>
                </w:p>
              </w:tc>
            </w:tr>
            <w:tr w14:paraId="0CE9C0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515" w:type="dxa"/>
                  <w:tcBorders>
                    <w:top w:val="single" w:color="auto" w:sz="4" w:space="0"/>
                    <w:bottom w:val="single" w:color="auto" w:sz="12" w:space="0"/>
                    <w:right w:val="single" w:color="auto" w:sz="4" w:space="0"/>
                  </w:tcBorders>
                  <w:vAlign w:val="center"/>
                </w:tcPr>
                <w:p w14:paraId="2418D368">
                  <w:pPr>
                    <w:adjustRightInd w:val="0"/>
                    <w:jc w:val="center"/>
                    <w:rPr>
                      <w:color w:val="auto"/>
                      <w:sz w:val="18"/>
                      <w:szCs w:val="18"/>
                      <w:highlight w:val="none"/>
                    </w:rPr>
                  </w:pPr>
                  <w:r>
                    <w:rPr>
                      <w:color w:val="auto"/>
                      <w:sz w:val="18"/>
                      <w:szCs w:val="18"/>
                      <w:highlight w:val="none"/>
                    </w:rPr>
                    <w:t>3</w:t>
                  </w:r>
                </w:p>
              </w:tc>
              <w:tc>
                <w:tcPr>
                  <w:tcW w:w="4469" w:type="dxa"/>
                  <w:tcBorders>
                    <w:top w:val="single" w:color="auto" w:sz="4" w:space="0"/>
                    <w:left w:val="single" w:color="auto" w:sz="4" w:space="0"/>
                    <w:bottom w:val="single" w:color="auto" w:sz="12" w:space="0"/>
                    <w:right w:val="single" w:color="auto" w:sz="4" w:space="0"/>
                  </w:tcBorders>
                  <w:vAlign w:val="center"/>
                </w:tcPr>
                <w:p w14:paraId="6D1B4131">
                  <w:pPr>
                    <w:adjustRightInd w:val="0"/>
                    <w:jc w:val="center"/>
                    <w:rPr>
                      <w:color w:val="auto"/>
                      <w:sz w:val="18"/>
                      <w:szCs w:val="18"/>
                      <w:highlight w:val="none"/>
                    </w:rPr>
                  </w:pPr>
                  <w:r>
                    <w:rPr>
                      <w:rFonts w:hint="eastAsia"/>
                      <w:color w:val="auto"/>
                      <w:sz w:val="18"/>
                      <w:szCs w:val="18"/>
                      <w:highlight w:val="none"/>
                    </w:rPr>
                    <w:t>强化排查整治。各地在推动</w:t>
                  </w:r>
                  <w:r>
                    <w:rPr>
                      <w:color w:val="auto"/>
                      <w:sz w:val="18"/>
                      <w:szCs w:val="18"/>
                      <w:highlight w:val="none"/>
                    </w:rPr>
                    <w:t>3130</w:t>
                  </w:r>
                  <w:r>
                    <w:rPr>
                      <w:rFonts w:hint="eastAsia"/>
                      <w:color w:val="auto"/>
                      <w:sz w:val="18"/>
                      <w:szCs w:val="18"/>
                      <w:highlight w:val="none"/>
                    </w:rPr>
                    <w:t>家企业实施源头替代的基础上，举一反三，对工业涂装、包装印刷、木材加工、纺织等涉</w:t>
                  </w:r>
                  <w:r>
                    <w:rPr>
                      <w:color w:val="auto"/>
                      <w:sz w:val="18"/>
                      <w:szCs w:val="18"/>
                      <w:highlight w:val="none"/>
                    </w:rPr>
                    <w:t>VOCs</w:t>
                  </w:r>
                  <w:r>
                    <w:rPr>
                      <w:rFonts w:hint="eastAsia"/>
                      <w:color w:val="auto"/>
                      <w:sz w:val="18"/>
                      <w:szCs w:val="18"/>
                      <w:highlight w:val="none"/>
                    </w:rPr>
                    <w:t>重点行业进行再排查、再梳理；加强现场监管，确保</w:t>
                  </w:r>
                  <w:r>
                    <w:rPr>
                      <w:color w:val="auto"/>
                      <w:sz w:val="18"/>
                      <w:szCs w:val="18"/>
                      <w:highlight w:val="none"/>
                    </w:rPr>
                    <w:t>VOCs</w:t>
                  </w:r>
                  <w:r>
                    <w:rPr>
                      <w:rFonts w:hint="eastAsia"/>
                      <w:color w:val="auto"/>
                      <w:sz w:val="18"/>
                      <w:szCs w:val="18"/>
                      <w:highlight w:val="none"/>
                    </w:rPr>
                    <w:t>无组织排放得到有效控制，废气排气口达到国家及地方</w:t>
                  </w:r>
                  <w:r>
                    <w:rPr>
                      <w:color w:val="auto"/>
                      <w:sz w:val="18"/>
                      <w:szCs w:val="18"/>
                      <w:highlight w:val="none"/>
                    </w:rPr>
                    <w:t>VOCs</w:t>
                  </w:r>
                  <w:r>
                    <w:rPr>
                      <w:rFonts w:hint="eastAsia"/>
                      <w:color w:val="auto"/>
                      <w:sz w:val="18"/>
                      <w:szCs w:val="18"/>
                      <w:highlight w:val="none"/>
                    </w:rPr>
                    <w:t>排放控制标准要求。</w:t>
                  </w:r>
                </w:p>
              </w:tc>
              <w:tc>
                <w:tcPr>
                  <w:tcW w:w="1963" w:type="dxa"/>
                  <w:tcBorders>
                    <w:top w:val="single" w:color="auto" w:sz="4" w:space="0"/>
                    <w:left w:val="single" w:color="auto" w:sz="4" w:space="0"/>
                    <w:bottom w:val="single" w:color="auto" w:sz="12" w:space="0"/>
                    <w:right w:val="single" w:color="auto" w:sz="4" w:space="0"/>
                  </w:tcBorders>
                  <w:vAlign w:val="center"/>
                </w:tcPr>
                <w:p w14:paraId="4FD1FFBD">
                  <w:pPr>
                    <w:wordWrap w:val="0"/>
                    <w:jc w:val="center"/>
                    <w:rPr>
                      <w:color w:val="auto"/>
                      <w:kern w:val="0"/>
                      <w:sz w:val="18"/>
                      <w:szCs w:val="18"/>
                      <w:highlight w:val="none"/>
                    </w:rPr>
                  </w:pPr>
                  <w:r>
                    <w:rPr>
                      <w:rFonts w:hint="eastAsia"/>
                      <w:color w:val="auto"/>
                      <w:kern w:val="0"/>
                      <w:sz w:val="18"/>
                      <w:szCs w:val="18"/>
                      <w:highlight w:val="none"/>
                    </w:rPr>
                    <w:t>本项目为</w:t>
                  </w:r>
                  <w:r>
                    <w:rPr>
                      <w:rFonts w:hint="eastAsia"/>
                      <w:color w:val="auto"/>
                      <w:kern w:val="0"/>
                      <w:sz w:val="18"/>
                      <w:szCs w:val="18"/>
                      <w:highlight w:val="none"/>
                      <w:lang w:val="en-US" w:eastAsia="zh-CN"/>
                    </w:rPr>
                    <w:t>高档纺织面料生产线技术改造项目</w:t>
                  </w:r>
                  <w:r>
                    <w:rPr>
                      <w:rFonts w:hint="eastAsia"/>
                      <w:color w:val="auto"/>
                      <w:kern w:val="0"/>
                      <w:sz w:val="18"/>
                      <w:szCs w:val="18"/>
                      <w:highlight w:val="none"/>
                    </w:rPr>
                    <w:t>，企业不在源头替代的</w:t>
                  </w:r>
                  <w:r>
                    <w:rPr>
                      <w:color w:val="auto"/>
                      <w:kern w:val="0"/>
                      <w:sz w:val="18"/>
                      <w:szCs w:val="18"/>
                      <w:highlight w:val="none"/>
                    </w:rPr>
                    <w:t>3130</w:t>
                  </w:r>
                  <w:r>
                    <w:rPr>
                      <w:rFonts w:hint="eastAsia"/>
                      <w:color w:val="auto"/>
                      <w:kern w:val="0"/>
                      <w:sz w:val="18"/>
                      <w:szCs w:val="18"/>
                      <w:highlight w:val="none"/>
                    </w:rPr>
                    <w:t>家企业名单内</w:t>
                  </w:r>
                </w:p>
              </w:tc>
              <w:tc>
                <w:tcPr>
                  <w:tcW w:w="887" w:type="dxa"/>
                  <w:tcBorders>
                    <w:top w:val="single" w:color="auto" w:sz="4" w:space="0"/>
                    <w:left w:val="single" w:color="auto" w:sz="4" w:space="0"/>
                    <w:bottom w:val="single" w:color="auto" w:sz="12" w:space="0"/>
                  </w:tcBorders>
                  <w:vAlign w:val="center"/>
                </w:tcPr>
                <w:p w14:paraId="10FC07B3">
                  <w:pPr>
                    <w:jc w:val="center"/>
                    <w:rPr>
                      <w:color w:val="auto"/>
                      <w:sz w:val="18"/>
                      <w:szCs w:val="18"/>
                      <w:highlight w:val="none"/>
                    </w:rPr>
                  </w:pPr>
                  <w:r>
                    <w:rPr>
                      <w:rFonts w:hint="eastAsia"/>
                      <w:color w:val="auto"/>
                      <w:sz w:val="18"/>
                      <w:szCs w:val="18"/>
                      <w:highlight w:val="none"/>
                    </w:rPr>
                    <w:t>符合</w:t>
                  </w:r>
                </w:p>
              </w:tc>
            </w:tr>
          </w:tbl>
          <w:p w14:paraId="4B765B19">
            <w:pPr>
              <w:spacing w:line="360" w:lineRule="auto"/>
              <w:ind w:firstLine="420" w:firstLineChars="200"/>
              <w:rPr>
                <w:color w:val="auto"/>
                <w:szCs w:val="21"/>
                <w:highlight w:val="none"/>
              </w:rPr>
            </w:pPr>
            <w:r>
              <w:rPr>
                <w:rFonts w:hint="eastAsia"/>
                <w:color w:val="auto"/>
                <w:szCs w:val="21"/>
                <w:highlight w:val="none"/>
              </w:rPr>
              <w:t>综上所述，本项目符合《省大气办关于印发</w:t>
            </w:r>
            <w:r>
              <w:rPr>
                <w:rFonts w:hint="eastAsia"/>
                <w:color w:val="auto"/>
                <w:szCs w:val="21"/>
                <w:highlight w:val="none"/>
                <w:lang w:val="en-US" w:eastAsia="zh-CN"/>
              </w:rPr>
              <w:t>〈</w:t>
            </w:r>
            <w:r>
              <w:rPr>
                <w:rFonts w:hint="eastAsia"/>
                <w:color w:val="auto"/>
                <w:szCs w:val="21"/>
                <w:highlight w:val="none"/>
              </w:rPr>
              <w:t>江苏省挥发性有机物清洁原料替代工作方案</w:t>
            </w:r>
            <w:r>
              <w:rPr>
                <w:rFonts w:hint="eastAsia"/>
                <w:color w:val="auto"/>
                <w:szCs w:val="21"/>
                <w:highlight w:val="none"/>
                <w:lang w:val="en-US" w:eastAsia="zh-CN"/>
              </w:rPr>
              <w:t>〉</w:t>
            </w:r>
            <w:r>
              <w:rPr>
                <w:rFonts w:hint="eastAsia"/>
                <w:color w:val="auto"/>
                <w:szCs w:val="21"/>
                <w:highlight w:val="none"/>
              </w:rPr>
              <w:t>的通知》（苏大气办</w:t>
            </w:r>
            <w:r>
              <w:rPr>
                <w:rFonts w:hint="eastAsia"/>
                <w:color w:val="auto"/>
                <w:szCs w:val="21"/>
                <w:highlight w:val="none"/>
                <w:lang w:eastAsia="zh-CN"/>
              </w:rPr>
              <w:t>〔</w:t>
            </w:r>
            <w:r>
              <w:rPr>
                <w:color w:val="auto"/>
                <w:szCs w:val="21"/>
                <w:highlight w:val="none"/>
              </w:rPr>
              <w:t>2021</w:t>
            </w:r>
            <w:r>
              <w:rPr>
                <w:rFonts w:hint="eastAsia"/>
                <w:color w:val="auto"/>
                <w:szCs w:val="21"/>
                <w:highlight w:val="none"/>
                <w:lang w:eastAsia="zh-CN"/>
              </w:rPr>
              <w:t>〕</w:t>
            </w:r>
            <w:r>
              <w:rPr>
                <w:color w:val="auto"/>
                <w:szCs w:val="21"/>
                <w:highlight w:val="none"/>
              </w:rPr>
              <w:t>2</w:t>
            </w:r>
            <w:r>
              <w:rPr>
                <w:rFonts w:hint="eastAsia"/>
                <w:color w:val="auto"/>
                <w:szCs w:val="21"/>
                <w:highlight w:val="none"/>
              </w:rPr>
              <w:t>号）的相关要求。</w:t>
            </w:r>
          </w:p>
          <w:p w14:paraId="423B552C">
            <w:pPr>
              <w:spacing w:line="360" w:lineRule="auto"/>
              <w:rPr>
                <w:b/>
                <w:snapToGrid w:val="0"/>
                <w:color w:val="auto"/>
                <w:szCs w:val="21"/>
                <w:highlight w:val="none"/>
              </w:rPr>
            </w:pPr>
            <w:r>
              <w:rPr>
                <w:b/>
                <w:snapToGrid w:val="0"/>
                <w:color w:val="auto"/>
                <w:szCs w:val="21"/>
                <w:highlight w:val="none"/>
              </w:rPr>
              <w:t>12</w:t>
            </w:r>
            <w:r>
              <w:rPr>
                <w:rFonts w:hint="eastAsia"/>
                <w:b/>
                <w:snapToGrid w:val="0"/>
                <w:color w:val="auto"/>
                <w:szCs w:val="21"/>
                <w:highlight w:val="none"/>
              </w:rPr>
              <w:t>、《苏州市“十四五”生态环境保护规划》相符性分析</w:t>
            </w:r>
          </w:p>
          <w:p w14:paraId="561B6993">
            <w:pPr>
              <w:pStyle w:val="37"/>
              <w:tabs>
                <w:tab w:val="left" w:pos="1200"/>
              </w:tabs>
              <w:spacing w:before="0" w:line="240" w:lineRule="auto"/>
              <w:ind w:right="0"/>
              <w:rPr>
                <w:rFonts w:ascii="Times New Roman" w:hAnsi="Times New Roman" w:eastAsia="宋体"/>
                <w:b/>
                <w:bCs/>
                <w:color w:val="auto"/>
                <w:kern w:val="0"/>
                <w:sz w:val="21"/>
                <w:szCs w:val="21"/>
                <w:highlight w:val="none"/>
              </w:rPr>
            </w:pPr>
            <w:r>
              <w:rPr>
                <w:rFonts w:hint="eastAsia" w:ascii="Times New Roman" w:hAnsi="Times New Roman" w:eastAsia="宋体"/>
                <w:b/>
                <w:bCs/>
                <w:color w:val="auto"/>
                <w:kern w:val="0"/>
                <w:sz w:val="21"/>
                <w:szCs w:val="21"/>
                <w:highlight w:val="none"/>
              </w:rPr>
              <w:t>表</w:t>
            </w:r>
            <w:r>
              <w:rPr>
                <w:rFonts w:ascii="Times New Roman" w:hAnsi="Times New Roman" w:eastAsia="宋体"/>
                <w:b/>
                <w:bCs/>
                <w:color w:val="auto"/>
                <w:kern w:val="0"/>
                <w:sz w:val="21"/>
                <w:szCs w:val="21"/>
                <w:highlight w:val="none"/>
              </w:rPr>
              <w:t>1-1</w:t>
            </w:r>
            <w:r>
              <w:rPr>
                <w:rFonts w:hint="eastAsia" w:ascii="Times New Roman" w:hAnsi="Times New Roman" w:eastAsia="宋体"/>
                <w:b/>
                <w:bCs/>
                <w:color w:val="auto"/>
                <w:kern w:val="0"/>
                <w:sz w:val="21"/>
                <w:szCs w:val="21"/>
                <w:highlight w:val="none"/>
                <w:lang w:val="en-US" w:eastAsia="zh-CN"/>
              </w:rPr>
              <w:t>5</w:t>
            </w:r>
            <w:r>
              <w:rPr>
                <w:rFonts w:ascii="Times New Roman" w:hAnsi="Times New Roman" w:eastAsia="宋体"/>
                <w:b/>
                <w:bCs/>
                <w:color w:val="auto"/>
                <w:kern w:val="0"/>
                <w:sz w:val="21"/>
                <w:szCs w:val="21"/>
                <w:highlight w:val="none"/>
              </w:rPr>
              <w:t xml:space="preserve"> </w:t>
            </w:r>
            <w:r>
              <w:rPr>
                <w:rFonts w:hint="eastAsia" w:ascii="Times New Roman" w:hAnsi="Times New Roman" w:eastAsia="宋体"/>
                <w:b/>
                <w:bCs/>
                <w:color w:val="auto"/>
                <w:kern w:val="0"/>
                <w:sz w:val="21"/>
                <w:szCs w:val="21"/>
                <w:highlight w:val="none"/>
              </w:rPr>
              <w:t>《苏州市“十四五”生态环境保护规划》相符性分析</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76"/>
              <w:gridCol w:w="543"/>
              <w:gridCol w:w="4072"/>
              <w:gridCol w:w="1415"/>
              <w:gridCol w:w="606"/>
            </w:tblGrid>
            <w:tr w14:paraId="3B3C22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6" w:type="dxa"/>
                  <w:tcBorders>
                    <w:top w:val="single" w:color="auto" w:sz="12" w:space="0"/>
                    <w:bottom w:val="single" w:color="auto" w:sz="4" w:space="0"/>
                    <w:right w:val="single" w:color="auto" w:sz="4" w:space="0"/>
                  </w:tcBorders>
                  <w:vAlign w:val="center"/>
                </w:tcPr>
                <w:p w14:paraId="0636F119">
                  <w:pPr>
                    <w:spacing w:line="240" w:lineRule="exact"/>
                    <w:jc w:val="center"/>
                    <w:rPr>
                      <w:color w:val="auto"/>
                      <w:sz w:val="18"/>
                      <w:szCs w:val="18"/>
                      <w:highlight w:val="none"/>
                    </w:rPr>
                  </w:pPr>
                  <w:r>
                    <w:rPr>
                      <w:rFonts w:hint="eastAsia"/>
                      <w:color w:val="auto"/>
                      <w:sz w:val="18"/>
                      <w:szCs w:val="18"/>
                      <w:highlight w:val="none"/>
                    </w:rPr>
                    <w:t>重点任务</w:t>
                  </w:r>
                </w:p>
              </w:tc>
              <w:tc>
                <w:tcPr>
                  <w:tcW w:w="4615" w:type="dxa"/>
                  <w:gridSpan w:val="2"/>
                  <w:tcBorders>
                    <w:top w:val="single" w:color="auto" w:sz="12" w:space="0"/>
                    <w:left w:val="single" w:color="auto" w:sz="4" w:space="0"/>
                    <w:bottom w:val="single" w:color="auto" w:sz="4" w:space="0"/>
                    <w:right w:val="single" w:color="auto" w:sz="4" w:space="0"/>
                  </w:tcBorders>
                  <w:vAlign w:val="center"/>
                </w:tcPr>
                <w:p w14:paraId="573092C2">
                  <w:pPr>
                    <w:spacing w:line="240" w:lineRule="exact"/>
                    <w:jc w:val="center"/>
                    <w:rPr>
                      <w:color w:val="auto"/>
                      <w:sz w:val="18"/>
                      <w:szCs w:val="18"/>
                      <w:highlight w:val="none"/>
                    </w:rPr>
                  </w:pPr>
                  <w:r>
                    <w:rPr>
                      <w:rFonts w:hint="eastAsia"/>
                      <w:color w:val="auto"/>
                      <w:sz w:val="18"/>
                      <w:szCs w:val="18"/>
                      <w:highlight w:val="none"/>
                    </w:rPr>
                    <w:t>文件要求</w:t>
                  </w:r>
                </w:p>
              </w:tc>
              <w:tc>
                <w:tcPr>
                  <w:tcW w:w="1415" w:type="dxa"/>
                  <w:tcBorders>
                    <w:top w:val="single" w:color="auto" w:sz="12" w:space="0"/>
                    <w:left w:val="single" w:color="auto" w:sz="4" w:space="0"/>
                    <w:bottom w:val="single" w:color="auto" w:sz="4" w:space="0"/>
                    <w:right w:val="single" w:color="auto" w:sz="4" w:space="0"/>
                  </w:tcBorders>
                  <w:vAlign w:val="center"/>
                </w:tcPr>
                <w:p w14:paraId="1A34ACD6">
                  <w:pPr>
                    <w:spacing w:line="240" w:lineRule="exact"/>
                    <w:jc w:val="center"/>
                    <w:rPr>
                      <w:color w:val="auto"/>
                      <w:sz w:val="18"/>
                      <w:szCs w:val="18"/>
                      <w:highlight w:val="none"/>
                    </w:rPr>
                  </w:pPr>
                  <w:r>
                    <w:rPr>
                      <w:rFonts w:hint="eastAsia"/>
                      <w:color w:val="auto"/>
                      <w:sz w:val="18"/>
                      <w:szCs w:val="18"/>
                      <w:highlight w:val="none"/>
                    </w:rPr>
                    <w:t>本项目情况</w:t>
                  </w:r>
                </w:p>
              </w:tc>
              <w:tc>
                <w:tcPr>
                  <w:tcW w:w="606" w:type="dxa"/>
                  <w:tcBorders>
                    <w:top w:val="single" w:color="auto" w:sz="12" w:space="0"/>
                    <w:left w:val="single" w:color="auto" w:sz="4" w:space="0"/>
                    <w:bottom w:val="single" w:color="auto" w:sz="4" w:space="0"/>
                  </w:tcBorders>
                  <w:vAlign w:val="center"/>
                </w:tcPr>
                <w:p w14:paraId="7AE0705B">
                  <w:pPr>
                    <w:spacing w:line="240" w:lineRule="exact"/>
                    <w:jc w:val="center"/>
                    <w:rPr>
                      <w:color w:val="auto"/>
                      <w:sz w:val="18"/>
                      <w:szCs w:val="18"/>
                      <w:highlight w:val="none"/>
                    </w:rPr>
                  </w:pPr>
                  <w:r>
                    <w:rPr>
                      <w:rFonts w:hint="eastAsia"/>
                      <w:color w:val="auto"/>
                      <w:sz w:val="18"/>
                      <w:szCs w:val="18"/>
                      <w:highlight w:val="none"/>
                    </w:rPr>
                    <w:t>相符性</w:t>
                  </w:r>
                </w:p>
              </w:tc>
            </w:tr>
            <w:tr w14:paraId="55002A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6" w:type="dxa"/>
                  <w:vMerge w:val="restart"/>
                  <w:tcBorders>
                    <w:top w:val="single" w:color="auto" w:sz="4" w:space="0"/>
                    <w:bottom w:val="single" w:color="auto" w:sz="4" w:space="0"/>
                    <w:right w:val="single" w:color="auto" w:sz="4" w:space="0"/>
                  </w:tcBorders>
                  <w:vAlign w:val="center"/>
                </w:tcPr>
                <w:p w14:paraId="630B204E">
                  <w:pPr>
                    <w:spacing w:line="240" w:lineRule="exact"/>
                    <w:jc w:val="center"/>
                    <w:rPr>
                      <w:color w:val="auto"/>
                      <w:sz w:val="18"/>
                      <w:szCs w:val="18"/>
                      <w:highlight w:val="none"/>
                    </w:rPr>
                  </w:pPr>
                  <w:r>
                    <w:rPr>
                      <w:rFonts w:hint="eastAsia"/>
                      <w:color w:val="auto"/>
                      <w:sz w:val="18"/>
                      <w:szCs w:val="18"/>
                      <w:highlight w:val="none"/>
                    </w:rPr>
                    <w:t>推进产业结构绿色转型升级</w:t>
                  </w:r>
                </w:p>
              </w:tc>
              <w:tc>
                <w:tcPr>
                  <w:tcW w:w="543" w:type="dxa"/>
                  <w:tcBorders>
                    <w:top w:val="single" w:color="auto" w:sz="4" w:space="0"/>
                    <w:left w:val="single" w:color="auto" w:sz="4" w:space="0"/>
                    <w:bottom w:val="single" w:color="auto" w:sz="4" w:space="0"/>
                    <w:right w:val="single" w:color="auto" w:sz="4" w:space="0"/>
                  </w:tcBorders>
                  <w:vAlign w:val="center"/>
                </w:tcPr>
                <w:p w14:paraId="2EE3F323">
                  <w:pPr>
                    <w:spacing w:line="240" w:lineRule="exact"/>
                    <w:jc w:val="center"/>
                    <w:rPr>
                      <w:color w:val="auto"/>
                      <w:sz w:val="18"/>
                      <w:szCs w:val="18"/>
                      <w:highlight w:val="none"/>
                    </w:rPr>
                  </w:pPr>
                  <w:r>
                    <w:rPr>
                      <w:rFonts w:hint="eastAsia"/>
                      <w:color w:val="auto"/>
                      <w:sz w:val="18"/>
                      <w:szCs w:val="18"/>
                      <w:highlight w:val="none"/>
                    </w:rPr>
                    <w:t>推动传统产业绿色转型</w:t>
                  </w:r>
                </w:p>
              </w:tc>
              <w:tc>
                <w:tcPr>
                  <w:tcW w:w="4072" w:type="dxa"/>
                  <w:tcBorders>
                    <w:top w:val="single" w:color="auto" w:sz="4" w:space="0"/>
                    <w:left w:val="single" w:color="auto" w:sz="4" w:space="0"/>
                    <w:bottom w:val="single" w:color="auto" w:sz="4" w:space="0"/>
                    <w:right w:val="single" w:color="auto" w:sz="4" w:space="0"/>
                  </w:tcBorders>
                  <w:vAlign w:val="center"/>
                </w:tcPr>
                <w:p w14:paraId="1ADB1308">
                  <w:pPr>
                    <w:spacing w:line="240" w:lineRule="exact"/>
                    <w:jc w:val="center"/>
                    <w:rPr>
                      <w:color w:val="auto"/>
                      <w:sz w:val="18"/>
                      <w:szCs w:val="18"/>
                      <w:highlight w:val="none"/>
                    </w:rPr>
                  </w:pPr>
                  <w:r>
                    <w:rPr>
                      <w:rFonts w:hint="eastAsia"/>
                      <w:color w:val="auto"/>
                      <w:sz w:val="18"/>
                      <w:szCs w:val="18"/>
                      <w:highlight w:val="none"/>
                    </w:rPr>
                    <w:t>严格落实国家落后产能退出指导意见，依法淘汰落后产能和“两高”行业低效低端产能。深入开展化工产业安全环保整治提升工作，推进低端落后化工产能淘汰。推进印染企业集聚发展，继续加强“散乱污”企业关停取缔、整改提升，保持打击“地条钢”违法生产高压态势，严防“地条钢”死灰复燃。认真执行《〈长江经济带负面清单指南〉江苏省实施细则（试行）》，推动沿江钢铁、石化等重工业有序升级转移。全面促进清洁生产，依法在“双超双有高耗能”行业实施强制性清洁生产审核。在钢铁、石化、印染等重点行业培育一批绿色龙头企业，精准实施政府补贴、税收优惠、绿色金融、信用保护等激励政策，推动企业主动开展生产工艺、清洁用能、污染治理设施改造，引领带动各行业绿色发展水平提升。</w:t>
                  </w:r>
                </w:p>
              </w:tc>
              <w:tc>
                <w:tcPr>
                  <w:tcW w:w="1415" w:type="dxa"/>
                  <w:vMerge w:val="restart"/>
                  <w:tcBorders>
                    <w:top w:val="single" w:color="auto" w:sz="4" w:space="0"/>
                    <w:left w:val="single" w:color="auto" w:sz="4" w:space="0"/>
                    <w:bottom w:val="single" w:color="auto" w:sz="4" w:space="0"/>
                    <w:right w:val="single" w:color="auto" w:sz="4" w:space="0"/>
                  </w:tcBorders>
                  <w:vAlign w:val="center"/>
                </w:tcPr>
                <w:p w14:paraId="0A4783C6">
                  <w:pPr>
                    <w:spacing w:line="240" w:lineRule="exact"/>
                    <w:jc w:val="left"/>
                    <w:rPr>
                      <w:color w:val="auto"/>
                      <w:sz w:val="18"/>
                      <w:szCs w:val="18"/>
                      <w:highlight w:val="none"/>
                    </w:rPr>
                  </w:pPr>
                  <w:r>
                    <w:rPr>
                      <w:rFonts w:hint="eastAsia"/>
                      <w:color w:val="auto"/>
                      <w:sz w:val="18"/>
                      <w:szCs w:val="18"/>
                      <w:highlight w:val="none"/>
                    </w:rPr>
                    <w:t>企业不属于落后产业和“两高”行业低效低端产能企业，不属于长江经济带负面清单禁止的建设项目。</w:t>
                  </w:r>
                </w:p>
              </w:tc>
              <w:tc>
                <w:tcPr>
                  <w:tcW w:w="606" w:type="dxa"/>
                  <w:vMerge w:val="restart"/>
                  <w:tcBorders>
                    <w:top w:val="single" w:color="auto" w:sz="4" w:space="0"/>
                    <w:left w:val="single" w:color="auto" w:sz="4" w:space="0"/>
                    <w:bottom w:val="single" w:color="auto" w:sz="4" w:space="0"/>
                  </w:tcBorders>
                  <w:vAlign w:val="center"/>
                </w:tcPr>
                <w:p w14:paraId="68F1DCE9">
                  <w:pPr>
                    <w:spacing w:line="240" w:lineRule="exact"/>
                    <w:jc w:val="center"/>
                    <w:rPr>
                      <w:color w:val="auto"/>
                      <w:sz w:val="18"/>
                      <w:szCs w:val="18"/>
                      <w:highlight w:val="none"/>
                    </w:rPr>
                  </w:pPr>
                  <w:r>
                    <w:rPr>
                      <w:rFonts w:hint="eastAsia"/>
                      <w:color w:val="auto"/>
                      <w:sz w:val="18"/>
                      <w:szCs w:val="18"/>
                      <w:highlight w:val="none"/>
                    </w:rPr>
                    <w:t>符合</w:t>
                  </w:r>
                </w:p>
              </w:tc>
            </w:tr>
            <w:tr w14:paraId="2DF32A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6" w:type="dxa"/>
                  <w:vMerge w:val="continue"/>
                  <w:tcBorders>
                    <w:top w:val="single" w:color="auto" w:sz="4" w:space="0"/>
                    <w:bottom w:val="single" w:color="auto" w:sz="4" w:space="0"/>
                    <w:right w:val="single" w:color="auto" w:sz="4" w:space="0"/>
                  </w:tcBorders>
                  <w:vAlign w:val="center"/>
                </w:tcPr>
                <w:p w14:paraId="3293E97B">
                  <w:pPr>
                    <w:spacing w:line="240" w:lineRule="exact"/>
                    <w:jc w:val="center"/>
                    <w:rPr>
                      <w:color w:val="auto"/>
                      <w:sz w:val="18"/>
                      <w:szCs w:val="18"/>
                      <w:highlight w:val="none"/>
                    </w:rPr>
                  </w:pPr>
                </w:p>
              </w:tc>
              <w:tc>
                <w:tcPr>
                  <w:tcW w:w="543" w:type="dxa"/>
                  <w:tcBorders>
                    <w:top w:val="single" w:color="auto" w:sz="4" w:space="0"/>
                    <w:left w:val="single" w:color="auto" w:sz="4" w:space="0"/>
                    <w:bottom w:val="single" w:color="auto" w:sz="4" w:space="0"/>
                    <w:right w:val="single" w:color="auto" w:sz="4" w:space="0"/>
                  </w:tcBorders>
                  <w:vAlign w:val="center"/>
                </w:tcPr>
                <w:p w14:paraId="77EA1A82">
                  <w:pPr>
                    <w:spacing w:line="240" w:lineRule="exact"/>
                    <w:jc w:val="center"/>
                    <w:rPr>
                      <w:color w:val="auto"/>
                      <w:sz w:val="18"/>
                      <w:szCs w:val="18"/>
                      <w:highlight w:val="none"/>
                    </w:rPr>
                  </w:pPr>
                  <w:r>
                    <w:rPr>
                      <w:rFonts w:hint="eastAsia"/>
                      <w:color w:val="auto"/>
                      <w:sz w:val="18"/>
                      <w:szCs w:val="18"/>
                      <w:highlight w:val="none"/>
                    </w:rPr>
                    <w:t>大力培育绿色低碳产业体系</w:t>
                  </w:r>
                </w:p>
              </w:tc>
              <w:tc>
                <w:tcPr>
                  <w:tcW w:w="4072" w:type="dxa"/>
                  <w:tcBorders>
                    <w:top w:val="single" w:color="auto" w:sz="4" w:space="0"/>
                    <w:left w:val="single" w:color="auto" w:sz="4" w:space="0"/>
                    <w:bottom w:val="single" w:color="auto" w:sz="4" w:space="0"/>
                    <w:right w:val="single" w:color="auto" w:sz="4" w:space="0"/>
                  </w:tcBorders>
                  <w:vAlign w:val="center"/>
                </w:tcPr>
                <w:p w14:paraId="1EB05C61">
                  <w:pPr>
                    <w:spacing w:line="240" w:lineRule="exact"/>
                    <w:jc w:val="center"/>
                    <w:rPr>
                      <w:color w:val="auto"/>
                      <w:sz w:val="18"/>
                      <w:szCs w:val="18"/>
                      <w:highlight w:val="none"/>
                    </w:rPr>
                  </w:pPr>
                  <w:r>
                    <w:rPr>
                      <w:rFonts w:hint="eastAsia"/>
                      <w:color w:val="auto"/>
                      <w:sz w:val="18"/>
                      <w:szCs w:val="18"/>
                      <w:highlight w:val="none"/>
                    </w:rPr>
                    <w:t>提高先进制造业集群绿色发展水平，重点发展高效节能装备、先进环保装备，扎实推进产业基础再造工程，推动生态环保产业与</w:t>
                  </w:r>
                  <w:r>
                    <w:rPr>
                      <w:color w:val="auto"/>
                      <w:sz w:val="18"/>
                      <w:szCs w:val="18"/>
                      <w:highlight w:val="none"/>
                    </w:rPr>
                    <w:t>5G</w:t>
                  </w:r>
                  <w:r>
                    <w:rPr>
                      <w:rFonts w:hint="eastAsia"/>
                      <w:color w:val="auto"/>
                      <w:sz w:val="18"/>
                      <w:szCs w:val="18"/>
                      <w:highlight w:val="none"/>
                    </w:rPr>
                    <w:t>、人工智能、区块链等创新技术融合发展，构建自主可控、安全高效的绿色产业链。深入开展园区循环化改造，推进生态工业园区建设，建立健全循环链接的产业体系。到</w:t>
                  </w:r>
                  <w:r>
                    <w:rPr>
                      <w:color w:val="auto"/>
                      <w:sz w:val="18"/>
                      <w:szCs w:val="18"/>
                      <w:highlight w:val="none"/>
                    </w:rPr>
                    <w:t>2025</w:t>
                  </w:r>
                  <w:r>
                    <w:rPr>
                      <w:rFonts w:hint="eastAsia"/>
                      <w:color w:val="auto"/>
                      <w:sz w:val="18"/>
                      <w:szCs w:val="18"/>
                      <w:highlight w:val="none"/>
                    </w:rPr>
                    <w:t>年，将苏州市打造成为节能环保产业发展高地。大力发展生态农业和智慧农业。</w:t>
                  </w:r>
                </w:p>
              </w:tc>
              <w:tc>
                <w:tcPr>
                  <w:tcW w:w="1415" w:type="dxa"/>
                  <w:vMerge w:val="continue"/>
                  <w:tcBorders>
                    <w:top w:val="single" w:color="auto" w:sz="4" w:space="0"/>
                    <w:left w:val="single" w:color="auto" w:sz="4" w:space="0"/>
                    <w:bottom w:val="single" w:color="auto" w:sz="4" w:space="0"/>
                    <w:right w:val="single" w:color="auto" w:sz="4" w:space="0"/>
                  </w:tcBorders>
                  <w:vAlign w:val="center"/>
                </w:tcPr>
                <w:p w14:paraId="5D189259">
                  <w:pPr>
                    <w:spacing w:line="240" w:lineRule="exact"/>
                    <w:jc w:val="left"/>
                    <w:rPr>
                      <w:color w:val="auto"/>
                      <w:sz w:val="18"/>
                      <w:szCs w:val="18"/>
                      <w:highlight w:val="none"/>
                    </w:rPr>
                  </w:pPr>
                </w:p>
              </w:tc>
              <w:tc>
                <w:tcPr>
                  <w:tcW w:w="606" w:type="dxa"/>
                  <w:vMerge w:val="continue"/>
                  <w:tcBorders>
                    <w:top w:val="single" w:color="auto" w:sz="4" w:space="0"/>
                    <w:left w:val="single" w:color="auto" w:sz="4" w:space="0"/>
                    <w:bottom w:val="single" w:color="auto" w:sz="4" w:space="0"/>
                  </w:tcBorders>
                  <w:vAlign w:val="center"/>
                </w:tcPr>
                <w:p w14:paraId="76D1B25A">
                  <w:pPr>
                    <w:spacing w:line="240" w:lineRule="exact"/>
                    <w:jc w:val="center"/>
                    <w:rPr>
                      <w:color w:val="auto"/>
                      <w:sz w:val="18"/>
                      <w:szCs w:val="18"/>
                      <w:highlight w:val="none"/>
                    </w:rPr>
                  </w:pPr>
                </w:p>
              </w:tc>
            </w:tr>
            <w:tr w14:paraId="7BEEB9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6" w:type="dxa"/>
                  <w:vMerge w:val="restart"/>
                  <w:tcBorders>
                    <w:top w:val="single" w:color="auto" w:sz="4" w:space="0"/>
                    <w:bottom w:val="single" w:color="auto" w:sz="4" w:space="0"/>
                    <w:right w:val="single" w:color="auto" w:sz="4" w:space="0"/>
                  </w:tcBorders>
                  <w:vAlign w:val="center"/>
                </w:tcPr>
                <w:p w14:paraId="36A6E8B6">
                  <w:pPr>
                    <w:spacing w:line="240" w:lineRule="exact"/>
                    <w:jc w:val="center"/>
                    <w:rPr>
                      <w:color w:val="auto"/>
                      <w:sz w:val="18"/>
                      <w:szCs w:val="18"/>
                      <w:highlight w:val="none"/>
                    </w:rPr>
                  </w:pPr>
                  <w:r>
                    <w:rPr>
                      <w:rFonts w:hint="eastAsia"/>
                      <w:color w:val="auto"/>
                      <w:sz w:val="18"/>
                      <w:szCs w:val="18"/>
                      <w:highlight w:val="none"/>
                    </w:rPr>
                    <w:t>加大</w:t>
                  </w:r>
                  <w:r>
                    <w:rPr>
                      <w:color w:val="auto"/>
                      <w:sz w:val="18"/>
                      <w:szCs w:val="18"/>
                      <w:highlight w:val="none"/>
                    </w:rPr>
                    <w:t>VOCs</w:t>
                  </w:r>
                  <w:r>
                    <w:rPr>
                      <w:rFonts w:hint="eastAsia"/>
                      <w:color w:val="auto"/>
                      <w:sz w:val="18"/>
                      <w:szCs w:val="18"/>
                      <w:highlight w:val="none"/>
                    </w:rPr>
                    <w:t>治理力度</w:t>
                  </w:r>
                </w:p>
              </w:tc>
              <w:tc>
                <w:tcPr>
                  <w:tcW w:w="543" w:type="dxa"/>
                  <w:tcBorders>
                    <w:top w:val="single" w:color="auto" w:sz="4" w:space="0"/>
                    <w:left w:val="single" w:color="auto" w:sz="4" w:space="0"/>
                    <w:bottom w:val="single" w:color="auto" w:sz="4" w:space="0"/>
                    <w:right w:val="single" w:color="auto" w:sz="4" w:space="0"/>
                  </w:tcBorders>
                  <w:vAlign w:val="center"/>
                </w:tcPr>
                <w:p w14:paraId="1864D872">
                  <w:pPr>
                    <w:spacing w:line="240" w:lineRule="exact"/>
                    <w:jc w:val="center"/>
                    <w:rPr>
                      <w:color w:val="auto"/>
                      <w:sz w:val="18"/>
                      <w:szCs w:val="18"/>
                      <w:highlight w:val="none"/>
                    </w:rPr>
                  </w:pPr>
                  <w:r>
                    <w:rPr>
                      <w:rFonts w:hint="eastAsia"/>
                      <w:color w:val="auto"/>
                      <w:sz w:val="18"/>
                      <w:szCs w:val="18"/>
                      <w:highlight w:val="none"/>
                    </w:rPr>
                    <w:t>分类实施原材料绿色化替代</w:t>
                  </w:r>
                </w:p>
              </w:tc>
              <w:tc>
                <w:tcPr>
                  <w:tcW w:w="4072" w:type="dxa"/>
                  <w:tcBorders>
                    <w:top w:val="single" w:color="auto" w:sz="4" w:space="0"/>
                    <w:left w:val="single" w:color="auto" w:sz="4" w:space="0"/>
                    <w:bottom w:val="single" w:color="auto" w:sz="4" w:space="0"/>
                    <w:right w:val="single" w:color="auto" w:sz="4" w:space="0"/>
                  </w:tcBorders>
                  <w:vAlign w:val="center"/>
                </w:tcPr>
                <w:p w14:paraId="40EE5DC7">
                  <w:pPr>
                    <w:spacing w:line="240" w:lineRule="exact"/>
                    <w:jc w:val="center"/>
                    <w:rPr>
                      <w:color w:val="auto"/>
                      <w:sz w:val="18"/>
                      <w:szCs w:val="18"/>
                      <w:highlight w:val="none"/>
                    </w:rPr>
                  </w:pPr>
                  <w:r>
                    <w:rPr>
                      <w:rFonts w:hint="eastAsia"/>
                      <w:color w:val="auto"/>
                      <w:sz w:val="18"/>
                      <w:szCs w:val="18"/>
                      <w:highlight w:val="none"/>
                    </w:rPr>
                    <w:t>按照国家、省清洁原料替代要求，在技术成熟领域持续推进使用低</w:t>
                  </w:r>
                  <w:r>
                    <w:rPr>
                      <w:color w:val="auto"/>
                      <w:sz w:val="18"/>
                      <w:szCs w:val="18"/>
                      <w:highlight w:val="none"/>
                    </w:rPr>
                    <w:t>VOCs</w:t>
                  </w:r>
                  <w:r>
                    <w:rPr>
                      <w:rFonts w:hint="eastAsia"/>
                      <w:color w:val="auto"/>
                      <w:sz w:val="18"/>
                      <w:szCs w:val="18"/>
                      <w:highlight w:val="none"/>
                    </w:rPr>
                    <w:t>含量的涂料、油墨、胶粘剂、清洗剂和其他低（无）</w:t>
                  </w:r>
                  <w:r>
                    <w:rPr>
                      <w:color w:val="auto"/>
                      <w:sz w:val="18"/>
                      <w:szCs w:val="18"/>
                      <w:highlight w:val="none"/>
                    </w:rPr>
                    <w:t>VOCs</w:t>
                  </w:r>
                  <w:r>
                    <w:rPr>
                      <w:rFonts w:hint="eastAsia"/>
                      <w:color w:val="auto"/>
                      <w:sz w:val="18"/>
                      <w:szCs w:val="18"/>
                      <w:highlight w:val="none"/>
                    </w:rPr>
                    <w:t>含量、低反应活性的原辅材料，提高木质家具、工程机械制造、汽车制造行业低挥发性有机物含量涂料产品使用比例，在技术尚未全部成熟领域开展替代试点，从源头减少</w:t>
                  </w:r>
                  <w:r>
                    <w:rPr>
                      <w:color w:val="auto"/>
                      <w:sz w:val="18"/>
                      <w:szCs w:val="18"/>
                      <w:highlight w:val="none"/>
                    </w:rPr>
                    <w:t>VOCs</w:t>
                  </w:r>
                  <w:r>
                    <w:rPr>
                      <w:rFonts w:hint="eastAsia"/>
                      <w:color w:val="auto"/>
                      <w:sz w:val="18"/>
                      <w:szCs w:val="18"/>
                      <w:highlight w:val="none"/>
                    </w:rPr>
                    <w:t>产生。</w:t>
                  </w:r>
                </w:p>
              </w:tc>
              <w:tc>
                <w:tcPr>
                  <w:tcW w:w="1415" w:type="dxa"/>
                  <w:tcBorders>
                    <w:top w:val="single" w:color="auto" w:sz="4" w:space="0"/>
                    <w:left w:val="single" w:color="auto" w:sz="4" w:space="0"/>
                    <w:bottom w:val="single" w:color="auto" w:sz="4" w:space="0"/>
                    <w:right w:val="single" w:color="auto" w:sz="4" w:space="0"/>
                  </w:tcBorders>
                  <w:vAlign w:val="center"/>
                </w:tcPr>
                <w:p w14:paraId="70D67196">
                  <w:pPr>
                    <w:wordWrap w:val="0"/>
                    <w:topLinePunct/>
                    <w:spacing w:line="240" w:lineRule="exact"/>
                    <w:jc w:val="left"/>
                    <w:rPr>
                      <w:color w:val="auto"/>
                      <w:sz w:val="18"/>
                      <w:szCs w:val="18"/>
                      <w:highlight w:val="none"/>
                    </w:rPr>
                  </w:pPr>
                  <w:r>
                    <w:rPr>
                      <w:rFonts w:hint="eastAsia"/>
                      <w:color w:val="auto"/>
                      <w:sz w:val="18"/>
                      <w:szCs w:val="18"/>
                      <w:highlight w:val="none"/>
                    </w:rPr>
                    <w:t>企业不使用高</w:t>
                  </w:r>
                  <w:r>
                    <w:rPr>
                      <w:color w:val="auto"/>
                      <w:sz w:val="18"/>
                      <w:szCs w:val="18"/>
                      <w:highlight w:val="none"/>
                    </w:rPr>
                    <w:t>VOCs</w:t>
                  </w:r>
                  <w:r>
                    <w:rPr>
                      <w:rFonts w:hint="eastAsia"/>
                      <w:color w:val="auto"/>
                      <w:sz w:val="18"/>
                      <w:szCs w:val="18"/>
                      <w:highlight w:val="none"/>
                    </w:rPr>
                    <w:t>含量的涂料、油墨、胶粘剂、清洗剂。</w:t>
                  </w:r>
                </w:p>
              </w:tc>
              <w:tc>
                <w:tcPr>
                  <w:tcW w:w="606" w:type="dxa"/>
                  <w:tcBorders>
                    <w:top w:val="single" w:color="auto" w:sz="4" w:space="0"/>
                    <w:left w:val="single" w:color="auto" w:sz="4" w:space="0"/>
                    <w:bottom w:val="single" w:color="auto" w:sz="4" w:space="0"/>
                  </w:tcBorders>
                  <w:vAlign w:val="center"/>
                </w:tcPr>
                <w:p w14:paraId="02B8A6F1">
                  <w:pPr>
                    <w:spacing w:line="240" w:lineRule="exact"/>
                    <w:jc w:val="center"/>
                    <w:rPr>
                      <w:color w:val="auto"/>
                      <w:sz w:val="18"/>
                      <w:szCs w:val="18"/>
                      <w:highlight w:val="none"/>
                    </w:rPr>
                  </w:pPr>
                  <w:r>
                    <w:rPr>
                      <w:rFonts w:hint="eastAsia"/>
                      <w:color w:val="auto"/>
                      <w:sz w:val="18"/>
                      <w:szCs w:val="18"/>
                      <w:highlight w:val="none"/>
                    </w:rPr>
                    <w:t>符合</w:t>
                  </w:r>
                </w:p>
              </w:tc>
            </w:tr>
            <w:tr w14:paraId="3F4F65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6" w:type="dxa"/>
                  <w:vMerge w:val="continue"/>
                  <w:tcBorders>
                    <w:top w:val="single" w:color="auto" w:sz="4" w:space="0"/>
                    <w:bottom w:val="single" w:color="auto" w:sz="4" w:space="0"/>
                    <w:right w:val="single" w:color="auto" w:sz="4" w:space="0"/>
                  </w:tcBorders>
                  <w:vAlign w:val="center"/>
                </w:tcPr>
                <w:p w14:paraId="1177E360">
                  <w:pPr>
                    <w:spacing w:line="240" w:lineRule="exact"/>
                    <w:jc w:val="center"/>
                    <w:rPr>
                      <w:color w:val="auto"/>
                      <w:sz w:val="18"/>
                      <w:szCs w:val="18"/>
                      <w:highlight w:val="none"/>
                    </w:rPr>
                  </w:pPr>
                </w:p>
              </w:tc>
              <w:tc>
                <w:tcPr>
                  <w:tcW w:w="543" w:type="dxa"/>
                  <w:tcBorders>
                    <w:top w:val="single" w:color="auto" w:sz="4" w:space="0"/>
                    <w:left w:val="single" w:color="auto" w:sz="4" w:space="0"/>
                    <w:bottom w:val="single" w:color="auto" w:sz="4" w:space="0"/>
                    <w:right w:val="single" w:color="auto" w:sz="4" w:space="0"/>
                  </w:tcBorders>
                  <w:vAlign w:val="center"/>
                </w:tcPr>
                <w:p w14:paraId="6CBC7431">
                  <w:pPr>
                    <w:spacing w:line="240" w:lineRule="exact"/>
                    <w:jc w:val="center"/>
                    <w:rPr>
                      <w:color w:val="auto"/>
                      <w:sz w:val="18"/>
                      <w:szCs w:val="18"/>
                      <w:highlight w:val="none"/>
                    </w:rPr>
                  </w:pPr>
                  <w:r>
                    <w:rPr>
                      <w:rFonts w:hint="eastAsia"/>
                      <w:color w:val="auto"/>
                      <w:sz w:val="18"/>
                      <w:szCs w:val="18"/>
                      <w:highlight w:val="none"/>
                    </w:rPr>
                    <w:t>强化无组织排放管理</w:t>
                  </w:r>
                </w:p>
              </w:tc>
              <w:tc>
                <w:tcPr>
                  <w:tcW w:w="4072" w:type="dxa"/>
                  <w:tcBorders>
                    <w:top w:val="single" w:color="auto" w:sz="4" w:space="0"/>
                    <w:left w:val="single" w:color="auto" w:sz="4" w:space="0"/>
                    <w:bottom w:val="single" w:color="auto" w:sz="4" w:space="0"/>
                    <w:right w:val="single" w:color="auto" w:sz="4" w:space="0"/>
                  </w:tcBorders>
                  <w:vAlign w:val="center"/>
                </w:tcPr>
                <w:p w14:paraId="0D6F90E7">
                  <w:pPr>
                    <w:spacing w:line="240" w:lineRule="exact"/>
                    <w:jc w:val="center"/>
                    <w:rPr>
                      <w:color w:val="auto"/>
                      <w:sz w:val="18"/>
                      <w:szCs w:val="18"/>
                      <w:highlight w:val="none"/>
                    </w:rPr>
                  </w:pPr>
                  <w:r>
                    <w:rPr>
                      <w:rFonts w:hint="eastAsia"/>
                      <w:color w:val="auto"/>
                      <w:sz w:val="18"/>
                      <w:szCs w:val="18"/>
                      <w:highlight w:val="none"/>
                    </w:rPr>
                    <w:t>对企业含</w:t>
                  </w:r>
                  <w:r>
                    <w:rPr>
                      <w:color w:val="auto"/>
                      <w:sz w:val="18"/>
                      <w:szCs w:val="18"/>
                      <w:highlight w:val="none"/>
                    </w:rPr>
                    <w:t>VOCs</w:t>
                  </w:r>
                  <w:r>
                    <w:rPr>
                      <w:rFonts w:hint="eastAsia"/>
                      <w:color w:val="auto"/>
                      <w:sz w:val="18"/>
                      <w:szCs w:val="18"/>
                      <w:highlight w:val="none"/>
                    </w:rPr>
                    <w:t>物料储存、转移和输送、设备与管线组件泄漏、敞开液面逸散以及工艺过程等五类排放源加强管理，有效削减</w:t>
                  </w:r>
                  <w:r>
                    <w:rPr>
                      <w:color w:val="auto"/>
                      <w:sz w:val="18"/>
                      <w:szCs w:val="18"/>
                      <w:highlight w:val="none"/>
                    </w:rPr>
                    <w:t>VOCs</w:t>
                  </w:r>
                  <w:r>
                    <w:rPr>
                      <w:rFonts w:hint="eastAsia"/>
                      <w:color w:val="auto"/>
                      <w:sz w:val="18"/>
                      <w:szCs w:val="18"/>
                      <w:highlight w:val="none"/>
                    </w:rPr>
                    <w:t>无组织排放。按照“应收尽收、分质收集”的原则，优先采用密闭集气罩收集废气，提高废气收集率。加强非正常工况排放控制，规范化工装置开停工及维检修流程。指导企业制定</w:t>
                  </w:r>
                  <w:r>
                    <w:rPr>
                      <w:color w:val="auto"/>
                      <w:sz w:val="18"/>
                      <w:szCs w:val="18"/>
                      <w:highlight w:val="none"/>
                    </w:rPr>
                    <w:t>VOCs</w:t>
                  </w:r>
                  <w:r>
                    <w:rPr>
                      <w:rFonts w:hint="eastAsia"/>
                      <w:color w:val="auto"/>
                      <w:sz w:val="18"/>
                      <w:szCs w:val="18"/>
                      <w:highlight w:val="none"/>
                    </w:rPr>
                    <w:t>无组织排放控制规程，按期开展泄漏检测与修复工作，及时修复泄漏源。</w:t>
                  </w:r>
                </w:p>
              </w:tc>
              <w:tc>
                <w:tcPr>
                  <w:tcW w:w="1415" w:type="dxa"/>
                  <w:tcBorders>
                    <w:top w:val="single" w:color="auto" w:sz="4" w:space="0"/>
                    <w:left w:val="single" w:color="auto" w:sz="4" w:space="0"/>
                    <w:bottom w:val="single" w:color="auto" w:sz="4" w:space="0"/>
                    <w:right w:val="single" w:color="auto" w:sz="4" w:space="0"/>
                  </w:tcBorders>
                  <w:vAlign w:val="center"/>
                </w:tcPr>
                <w:p w14:paraId="5D7FF9D9">
                  <w:pPr>
                    <w:spacing w:line="240" w:lineRule="exact"/>
                    <w:jc w:val="left"/>
                    <w:rPr>
                      <w:color w:val="auto"/>
                      <w:sz w:val="18"/>
                      <w:szCs w:val="18"/>
                      <w:highlight w:val="none"/>
                    </w:rPr>
                  </w:pPr>
                  <w:r>
                    <w:rPr>
                      <w:rFonts w:hint="eastAsia"/>
                      <w:color w:val="auto"/>
                      <w:sz w:val="18"/>
                      <w:szCs w:val="18"/>
                      <w:highlight w:val="none"/>
                    </w:rPr>
                    <w:t>本项目</w:t>
                  </w:r>
                  <w:r>
                    <w:rPr>
                      <w:rFonts w:hint="eastAsia"/>
                      <w:color w:val="auto"/>
                      <w:sz w:val="18"/>
                      <w:szCs w:val="18"/>
                      <w:highlight w:val="none"/>
                      <w:lang w:val="en-US" w:eastAsia="zh-CN"/>
                    </w:rPr>
                    <w:t>含</w:t>
                  </w:r>
                  <w:r>
                    <w:rPr>
                      <w:color w:val="auto"/>
                      <w:sz w:val="18"/>
                      <w:szCs w:val="18"/>
                      <w:highlight w:val="none"/>
                    </w:rPr>
                    <w:t>VOCs</w:t>
                  </w:r>
                  <w:r>
                    <w:rPr>
                      <w:rFonts w:hint="eastAsia"/>
                      <w:color w:val="auto"/>
                      <w:sz w:val="18"/>
                      <w:szCs w:val="18"/>
                      <w:highlight w:val="none"/>
                    </w:rPr>
                    <w:t>物料</w:t>
                  </w:r>
                  <w:r>
                    <w:rPr>
                      <w:rFonts w:hint="eastAsia"/>
                      <w:color w:val="auto"/>
                      <w:sz w:val="18"/>
                      <w:szCs w:val="18"/>
                      <w:highlight w:val="none"/>
                      <w:lang w:val="en-US" w:eastAsia="zh-CN"/>
                    </w:rPr>
                    <w:t>储存在密闭容器中，使用过程中设置集气罩收集挥发出的有机废气，接入二级活性碳吸附装置处理后，通过1根35m高排气筒DA001有组织排放</w:t>
                  </w:r>
                  <w:r>
                    <w:rPr>
                      <w:rFonts w:hint="eastAsia"/>
                      <w:color w:val="auto"/>
                      <w:sz w:val="18"/>
                      <w:szCs w:val="18"/>
                      <w:highlight w:val="none"/>
                    </w:rPr>
                    <w:t>。</w:t>
                  </w:r>
                </w:p>
              </w:tc>
              <w:tc>
                <w:tcPr>
                  <w:tcW w:w="606" w:type="dxa"/>
                  <w:tcBorders>
                    <w:top w:val="single" w:color="auto" w:sz="4" w:space="0"/>
                    <w:left w:val="single" w:color="auto" w:sz="4" w:space="0"/>
                    <w:bottom w:val="single" w:color="auto" w:sz="4" w:space="0"/>
                  </w:tcBorders>
                  <w:vAlign w:val="center"/>
                </w:tcPr>
                <w:p w14:paraId="6CA34A04">
                  <w:pPr>
                    <w:spacing w:line="240" w:lineRule="exact"/>
                    <w:jc w:val="center"/>
                    <w:rPr>
                      <w:color w:val="auto"/>
                      <w:sz w:val="18"/>
                      <w:szCs w:val="18"/>
                      <w:highlight w:val="none"/>
                    </w:rPr>
                  </w:pPr>
                  <w:r>
                    <w:rPr>
                      <w:rFonts w:hint="eastAsia"/>
                      <w:color w:val="auto"/>
                      <w:sz w:val="18"/>
                      <w:szCs w:val="18"/>
                      <w:highlight w:val="none"/>
                    </w:rPr>
                    <w:t>符合</w:t>
                  </w:r>
                </w:p>
              </w:tc>
            </w:tr>
            <w:tr w14:paraId="1BA2D4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6" w:type="dxa"/>
                  <w:vMerge w:val="continue"/>
                  <w:tcBorders>
                    <w:top w:val="single" w:color="auto" w:sz="4" w:space="0"/>
                    <w:bottom w:val="single" w:color="auto" w:sz="12" w:space="0"/>
                    <w:right w:val="single" w:color="auto" w:sz="4" w:space="0"/>
                  </w:tcBorders>
                  <w:vAlign w:val="center"/>
                </w:tcPr>
                <w:p w14:paraId="19808A5C">
                  <w:pPr>
                    <w:spacing w:line="240" w:lineRule="exact"/>
                    <w:jc w:val="center"/>
                    <w:rPr>
                      <w:color w:val="auto"/>
                      <w:sz w:val="18"/>
                      <w:szCs w:val="18"/>
                      <w:highlight w:val="none"/>
                    </w:rPr>
                  </w:pPr>
                </w:p>
              </w:tc>
              <w:tc>
                <w:tcPr>
                  <w:tcW w:w="543" w:type="dxa"/>
                  <w:tcBorders>
                    <w:top w:val="single" w:color="auto" w:sz="4" w:space="0"/>
                    <w:left w:val="single" w:color="auto" w:sz="4" w:space="0"/>
                    <w:bottom w:val="single" w:color="auto" w:sz="12" w:space="0"/>
                    <w:right w:val="single" w:color="auto" w:sz="4" w:space="0"/>
                  </w:tcBorders>
                  <w:vAlign w:val="center"/>
                </w:tcPr>
                <w:p w14:paraId="04A928D4">
                  <w:pPr>
                    <w:spacing w:line="240" w:lineRule="exact"/>
                    <w:jc w:val="center"/>
                    <w:rPr>
                      <w:color w:val="auto"/>
                      <w:sz w:val="18"/>
                      <w:szCs w:val="18"/>
                      <w:highlight w:val="none"/>
                    </w:rPr>
                  </w:pPr>
                  <w:r>
                    <w:rPr>
                      <w:rFonts w:hint="eastAsia"/>
                      <w:color w:val="auto"/>
                      <w:sz w:val="18"/>
                      <w:szCs w:val="18"/>
                      <w:highlight w:val="none"/>
                    </w:rPr>
                    <w:t>深入实施精细化管控</w:t>
                  </w:r>
                </w:p>
              </w:tc>
              <w:tc>
                <w:tcPr>
                  <w:tcW w:w="4072" w:type="dxa"/>
                  <w:tcBorders>
                    <w:top w:val="single" w:color="auto" w:sz="4" w:space="0"/>
                    <w:left w:val="single" w:color="auto" w:sz="4" w:space="0"/>
                    <w:bottom w:val="single" w:color="auto" w:sz="12" w:space="0"/>
                    <w:right w:val="single" w:color="auto" w:sz="4" w:space="0"/>
                  </w:tcBorders>
                  <w:vAlign w:val="center"/>
                </w:tcPr>
                <w:p w14:paraId="46BABFAE">
                  <w:pPr>
                    <w:spacing w:line="240" w:lineRule="exact"/>
                    <w:jc w:val="center"/>
                    <w:rPr>
                      <w:color w:val="auto"/>
                      <w:sz w:val="18"/>
                      <w:szCs w:val="18"/>
                      <w:highlight w:val="none"/>
                    </w:rPr>
                  </w:pPr>
                  <w:r>
                    <w:rPr>
                      <w:rFonts w:hint="eastAsia"/>
                      <w:color w:val="auto"/>
                      <w:sz w:val="18"/>
                      <w:szCs w:val="18"/>
                      <w:highlight w:val="none"/>
                    </w:rPr>
                    <w:t>深化石化、化工、工业涂装、包装印刷、油品储运销售等重点行业</w:t>
                  </w:r>
                  <w:r>
                    <w:rPr>
                      <w:color w:val="auto"/>
                      <w:sz w:val="18"/>
                      <w:szCs w:val="18"/>
                      <w:highlight w:val="none"/>
                    </w:rPr>
                    <w:t>VOCs</w:t>
                  </w:r>
                  <w:r>
                    <w:rPr>
                      <w:rFonts w:hint="eastAsia"/>
                      <w:color w:val="auto"/>
                      <w:sz w:val="18"/>
                      <w:szCs w:val="18"/>
                      <w:highlight w:val="none"/>
                    </w:rPr>
                    <w:t>深度治理和重点集群整治，实施</w:t>
                  </w:r>
                  <w:r>
                    <w:rPr>
                      <w:color w:val="auto"/>
                      <w:sz w:val="18"/>
                      <w:szCs w:val="18"/>
                      <w:highlight w:val="none"/>
                    </w:rPr>
                    <w:t>VOCs</w:t>
                  </w:r>
                  <w:r>
                    <w:rPr>
                      <w:rFonts w:hint="eastAsia"/>
                      <w:color w:val="auto"/>
                      <w:sz w:val="18"/>
                      <w:szCs w:val="18"/>
                      <w:highlight w:val="none"/>
                    </w:rPr>
                    <w:t>达标区和重点化工企业</w:t>
                  </w:r>
                  <w:r>
                    <w:rPr>
                      <w:color w:val="auto"/>
                      <w:sz w:val="18"/>
                      <w:szCs w:val="18"/>
                      <w:highlight w:val="none"/>
                    </w:rPr>
                    <w:t>VOCs</w:t>
                  </w:r>
                  <w:r>
                    <w:rPr>
                      <w:rFonts w:hint="eastAsia"/>
                      <w:color w:val="auto"/>
                      <w:sz w:val="18"/>
                      <w:szCs w:val="18"/>
                      <w:highlight w:val="none"/>
                    </w:rPr>
                    <w:t>达标示范工程，逐步取消石化、化工、工业涂装、包装印刷等企业非必要废气排放系统旁路。针对存在突出问题的工业园区、企业集群、重点管控企业制定整改方案，做到措施精准、时限明确、责任到人，适时推进整治成效后评估，到</w:t>
                  </w:r>
                  <w:r>
                    <w:rPr>
                      <w:color w:val="auto"/>
                      <w:sz w:val="18"/>
                      <w:szCs w:val="18"/>
                      <w:highlight w:val="none"/>
                    </w:rPr>
                    <w:t>2025</w:t>
                  </w:r>
                  <w:r>
                    <w:rPr>
                      <w:rFonts w:hint="eastAsia"/>
                      <w:color w:val="auto"/>
                      <w:sz w:val="18"/>
                      <w:szCs w:val="18"/>
                      <w:highlight w:val="none"/>
                    </w:rPr>
                    <w:t>年，实现市级及以上工业园区整治提升全覆盖。推进工业园区建立健全监测预警监控体系，开展工业园区常态化走航监测、异常因子排查溯源等。推进工业园区和企业集群建设</w:t>
                  </w:r>
                  <w:r>
                    <w:rPr>
                      <w:color w:val="auto"/>
                      <w:sz w:val="18"/>
                      <w:szCs w:val="18"/>
                      <w:highlight w:val="none"/>
                    </w:rPr>
                    <w:t>VOCs</w:t>
                  </w:r>
                  <w:r>
                    <w:rPr>
                      <w:rFonts w:hint="eastAsia"/>
                      <w:color w:val="auto"/>
                      <w:sz w:val="18"/>
                      <w:szCs w:val="18"/>
                      <w:highlight w:val="none"/>
                    </w:rPr>
                    <w:t>“绿岛”项目，统筹规划建设一批集中涂装中心、活性炭集中处理中心、溶剂回收中心等，实现</w:t>
                  </w:r>
                  <w:r>
                    <w:rPr>
                      <w:color w:val="auto"/>
                      <w:sz w:val="18"/>
                      <w:szCs w:val="18"/>
                      <w:highlight w:val="none"/>
                    </w:rPr>
                    <w:t>VOCs</w:t>
                  </w:r>
                  <w:r>
                    <w:rPr>
                      <w:rFonts w:hint="eastAsia"/>
                      <w:color w:val="auto"/>
                      <w:sz w:val="18"/>
                      <w:szCs w:val="18"/>
                      <w:highlight w:val="none"/>
                    </w:rPr>
                    <w:t>集中高效处理。</w:t>
                  </w:r>
                </w:p>
              </w:tc>
              <w:tc>
                <w:tcPr>
                  <w:tcW w:w="1415" w:type="dxa"/>
                  <w:tcBorders>
                    <w:top w:val="single" w:color="auto" w:sz="4" w:space="0"/>
                    <w:left w:val="single" w:color="auto" w:sz="4" w:space="0"/>
                    <w:bottom w:val="single" w:color="auto" w:sz="12" w:space="0"/>
                    <w:right w:val="single" w:color="auto" w:sz="4" w:space="0"/>
                  </w:tcBorders>
                  <w:vAlign w:val="center"/>
                </w:tcPr>
                <w:p w14:paraId="588E9D62">
                  <w:pPr>
                    <w:wordWrap w:val="0"/>
                    <w:spacing w:line="240" w:lineRule="exact"/>
                    <w:rPr>
                      <w:color w:val="auto"/>
                      <w:sz w:val="18"/>
                      <w:szCs w:val="18"/>
                      <w:highlight w:val="none"/>
                    </w:rPr>
                  </w:pPr>
                  <w:r>
                    <w:rPr>
                      <w:rFonts w:hint="eastAsia"/>
                      <w:bCs/>
                      <w:color w:val="auto"/>
                      <w:sz w:val="18"/>
                      <w:szCs w:val="18"/>
                      <w:highlight w:val="none"/>
                    </w:rPr>
                    <w:t>本项目</w:t>
                  </w:r>
                  <w:r>
                    <w:rPr>
                      <w:rFonts w:hint="eastAsia"/>
                      <w:color w:val="auto"/>
                      <w:sz w:val="18"/>
                      <w:szCs w:val="18"/>
                      <w:highlight w:val="none"/>
                    </w:rPr>
                    <w:t>不属于石化、化工、工业涂装、包装印刷、油品储运销售等重点行业。</w:t>
                  </w:r>
                </w:p>
              </w:tc>
              <w:tc>
                <w:tcPr>
                  <w:tcW w:w="606" w:type="dxa"/>
                  <w:tcBorders>
                    <w:top w:val="single" w:color="auto" w:sz="4" w:space="0"/>
                    <w:left w:val="single" w:color="auto" w:sz="4" w:space="0"/>
                    <w:bottom w:val="single" w:color="auto" w:sz="12" w:space="0"/>
                  </w:tcBorders>
                  <w:vAlign w:val="center"/>
                </w:tcPr>
                <w:p w14:paraId="7AFCE811">
                  <w:pPr>
                    <w:spacing w:line="240" w:lineRule="exact"/>
                    <w:jc w:val="center"/>
                    <w:rPr>
                      <w:color w:val="auto"/>
                      <w:sz w:val="18"/>
                      <w:szCs w:val="18"/>
                      <w:highlight w:val="none"/>
                    </w:rPr>
                  </w:pPr>
                  <w:r>
                    <w:rPr>
                      <w:rFonts w:hint="eastAsia"/>
                      <w:color w:val="auto"/>
                      <w:sz w:val="18"/>
                      <w:szCs w:val="18"/>
                      <w:highlight w:val="none"/>
                    </w:rPr>
                    <w:t>符合</w:t>
                  </w:r>
                </w:p>
              </w:tc>
            </w:tr>
          </w:tbl>
          <w:p w14:paraId="0515CF14">
            <w:pPr>
              <w:spacing w:line="360" w:lineRule="auto"/>
              <w:rPr>
                <w:rFonts w:hint="eastAsia" w:eastAsia="宋体"/>
                <w:b/>
                <w:snapToGrid w:val="0"/>
                <w:color w:val="auto"/>
                <w:szCs w:val="21"/>
                <w:highlight w:val="none"/>
                <w:lang w:val="en-US" w:eastAsia="zh-CN"/>
              </w:rPr>
            </w:pPr>
            <w:r>
              <w:rPr>
                <w:b/>
                <w:snapToGrid w:val="0"/>
                <w:color w:val="auto"/>
                <w:szCs w:val="21"/>
                <w:highlight w:val="none"/>
              </w:rPr>
              <w:t>1</w:t>
            </w:r>
            <w:r>
              <w:rPr>
                <w:rFonts w:hint="eastAsia"/>
                <w:b/>
                <w:snapToGrid w:val="0"/>
                <w:color w:val="auto"/>
                <w:szCs w:val="21"/>
                <w:highlight w:val="none"/>
                <w:lang w:val="en-US" w:eastAsia="zh-CN"/>
              </w:rPr>
              <w:t>3</w:t>
            </w:r>
            <w:r>
              <w:rPr>
                <w:rFonts w:hint="eastAsia"/>
                <w:b/>
                <w:snapToGrid w:val="0"/>
                <w:color w:val="auto"/>
                <w:szCs w:val="21"/>
                <w:highlight w:val="none"/>
              </w:rPr>
              <w:t>、</w:t>
            </w:r>
            <w:r>
              <w:rPr>
                <w:rFonts w:hint="eastAsia"/>
                <w:b/>
                <w:snapToGrid w:val="0"/>
                <w:color w:val="auto"/>
                <w:szCs w:val="21"/>
                <w:highlight w:val="none"/>
                <w:lang w:eastAsia="zh-CN"/>
              </w:rPr>
              <w:t>《</w:t>
            </w:r>
            <w:r>
              <w:rPr>
                <w:rFonts w:hint="eastAsia"/>
                <w:b/>
                <w:snapToGrid w:val="0"/>
                <w:color w:val="auto"/>
                <w:szCs w:val="21"/>
                <w:highlight w:val="none"/>
              </w:rPr>
              <w:t>省生态环境厅关于进一步做好建设项目环评审批工作的通知》(苏环办</w:t>
            </w:r>
            <w:r>
              <w:rPr>
                <w:rFonts w:hint="eastAsia"/>
                <w:b/>
                <w:snapToGrid w:val="0"/>
                <w:color w:val="auto"/>
                <w:szCs w:val="21"/>
                <w:highlight w:val="none"/>
                <w:lang w:eastAsia="zh-CN"/>
              </w:rPr>
              <w:t>〔</w:t>
            </w:r>
            <w:r>
              <w:rPr>
                <w:rFonts w:hint="eastAsia"/>
                <w:b/>
                <w:snapToGrid w:val="0"/>
                <w:color w:val="auto"/>
                <w:szCs w:val="21"/>
                <w:highlight w:val="none"/>
              </w:rPr>
              <w:t>2019</w:t>
            </w:r>
            <w:r>
              <w:rPr>
                <w:rFonts w:hint="eastAsia"/>
                <w:b/>
                <w:snapToGrid w:val="0"/>
                <w:color w:val="auto"/>
                <w:szCs w:val="21"/>
                <w:highlight w:val="none"/>
                <w:lang w:eastAsia="zh-CN"/>
              </w:rPr>
              <w:t>〕</w:t>
            </w:r>
            <w:r>
              <w:rPr>
                <w:rFonts w:hint="eastAsia"/>
                <w:b/>
                <w:snapToGrid w:val="0"/>
                <w:color w:val="auto"/>
                <w:szCs w:val="21"/>
                <w:highlight w:val="none"/>
              </w:rPr>
              <w:t>36号)相符性</w:t>
            </w:r>
            <w:r>
              <w:rPr>
                <w:rFonts w:hint="eastAsia"/>
                <w:b/>
                <w:snapToGrid w:val="0"/>
                <w:color w:val="auto"/>
                <w:szCs w:val="21"/>
                <w:highlight w:val="none"/>
                <w:lang w:val="en-US" w:eastAsia="zh-CN"/>
              </w:rPr>
              <w:t>分析</w:t>
            </w:r>
          </w:p>
          <w:p w14:paraId="457A9991">
            <w:pPr>
              <w:spacing w:line="360" w:lineRule="auto"/>
              <w:ind w:firstLine="420" w:firstLineChars="200"/>
              <w:rPr>
                <w:rFonts w:hint="eastAsia" w:eastAsia="宋体"/>
                <w:b/>
                <w:snapToGrid w:val="0"/>
                <w:color w:val="auto"/>
                <w:szCs w:val="21"/>
                <w:highlight w:val="none"/>
                <w:lang w:eastAsia="zh-CN"/>
              </w:rPr>
            </w:pPr>
            <w:r>
              <w:rPr>
                <w:rFonts w:hint="eastAsia"/>
                <w:b w:val="0"/>
                <w:bCs/>
                <w:snapToGrid w:val="0"/>
                <w:color w:val="auto"/>
                <w:szCs w:val="21"/>
                <w:highlight w:val="none"/>
              </w:rPr>
              <w:t>本项目属于C1751化纤织造加工，对照《</w:t>
            </w:r>
            <w:r>
              <w:rPr>
                <w:rFonts w:hint="eastAsia"/>
                <w:b w:val="0"/>
                <w:bCs/>
                <w:snapToGrid w:val="0"/>
                <w:color w:val="auto"/>
                <w:szCs w:val="21"/>
                <w:highlight w:val="none"/>
                <w:lang w:val="en-US" w:eastAsia="zh-CN"/>
              </w:rPr>
              <w:t>省</w:t>
            </w:r>
            <w:r>
              <w:rPr>
                <w:rFonts w:hint="eastAsia"/>
                <w:b w:val="0"/>
                <w:bCs/>
                <w:snapToGrid w:val="0"/>
                <w:color w:val="auto"/>
                <w:szCs w:val="21"/>
                <w:highlight w:val="none"/>
              </w:rPr>
              <w:t>生态环境厅关于进一步做好建设项目环评审批工作的通知》</w:t>
            </w:r>
            <w:r>
              <w:rPr>
                <w:rFonts w:hint="eastAsia"/>
                <w:b w:val="0"/>
                <w:bCs/>
                <w:snapToGrid w:val="0"/>
                <w:color w:val="auto"/>
                <w:szCs w:val="21"/>
                <w:highlight w:val="none"/>
                <w:lang w:eastAsia="zh-CN"/>
              </w:rPr>
              <w:t>（</w:t>
            </w:r>
            <w:r>
              <w:rPr>
                <w:rFonts w:hint="eastAsia"/>
                <w:b w:val="0"/>
                <w:bCs/>
                <w:snapToGrid w:val="0"/>
                <w:color w:val="auto"/>
                <w:szCs w:val="21"/>
                <w:highlight w:val="none"/>
              </w:rPr>
              <w:t>苏环办</w:t>
            </w:r>
            <w:r>
              <w:rPr>
                <w:rFonts w:hint="eastAsia"/>
                <w:b w:val="0"/>
                <w:bCs/>
                <w:snapToGrid w:val="0"/>
                <w:color w:val="auto"/>
                <w:szCs w:val="21"/>
                <w:highlight w:val="none"/>
                <w:lang w:eastAsia="zh-CN"/>
              </w:rPr>
              <w:t>〔</w:t>
            </w:r>
            <w:r>
              <w:rPr>
                <w:rFonts w:hint="eastAsia"/>
                <w:b w:val="0"/>
                <w:bCs/>
                <w:snapToGrid w:val="0"/>
                <w:color w:val="auto"/>
                <w:szCs w:val="21"/>
                <w:highlight w:val="none"/>
              </w:rPr>
              <w:t>2019</w:t>
            </w:r>
            <w:r>
              <w:rPr>
                <w:rFonts w:hint="eastAsia"/>
                <w:b w:val="0"/>
                <w:bCs/>
                <w:snapToGrid w:val="0"/>
                <w:color w:val="auto"/>
                <w:szCs w:val="21"/>
                <w:highlight w:val="none"/>
                <w:lang w:eastAsia="zh-CN"/>
              </w:rPr>
              <w:t>〕</w:t>
            </w:r>
            <w:r>
              <w:rPr>
                <w:rFonts w:hint="eastAsia"/>
                <w:b w:val="0"/>
                <w:bCs/>
                <w:snapToGrid w:val="0"/>
                <w:color w:val="auto"/>
                <w:szCs w:val="21"/>
                <w:highlight w:val="none"/>
              </w:rPr>
              <w:t>36号</w:t>
            </w:r>
            <w:r>
              <w:rPr>
                <w:rFonts w:hint="eastAsia"/>
                <w:b w:val="0"/>
                <w:bCs/>
                <w:snapToGrid w:val="0"/>
                <w:color w:val="auto"/>
                <w:szCs w:val="21"/>
                <w:highlight w:val="none"/>
                <w:lang w:eastAsia="zh-CN"/>
              </w:rPr>
              <w:t>）</w:t>
            </w:r>
            <w:r>
              <w:rPr>
                <w:rFonts w:hint="eastAsia"/>
                <w:b w:val="0"/>
                <w:bCs/>
                <w:snapToGrid w:val="0"/>
                <w:color w:val="auto"/>
                <w:szCs w:val="21"/>
                <w:highlight w:val="none"/>
              </w:rPr>
              <w:t>，本项目不属于五个不批之内，不属于生产和使用高VOCs含量的溶剂型涂料、油墨、胶粘剂等项目。因此，本项目与《</w:t>
            </w:r>
            <w:r>
              <w:rPr>
                <w:rFonts w:hint="eastAsia"/>
                <w:b w:val="0"/>
                <w:bCs/>
                <w:snapToGrid w:val="0"/>
                <w:color w:val="auto"/>
                <w:szCs w:val="21"/>
                <w:highlight w:val="none"/>
                <w:lang w:val="en-US" w:eastAsia="zh-CN"/>
              </w:rPr>
              <w:t>省</w:t>
            </w:r>
            <w:r>
              <w:rPr>
                <w:rFonts w:hint="eastAsia"/>
                <w:b w:val="0"/>
                <w:bCs/>
                <w:snapToGrid w:val="0"/>
                <w:color w:val="auto"/>
                <w:szCs w:val="21"/>
                <w:highlight w:val="none"/>
              </w:rPr>
              <w:t>生态环境厅关于进一步做好建设项目环评审批工作的通知》(苏环办</w:t>
            </w:r>
            <w:r>
              <w:rPr>
                <w:rFonts w:hint="eastAsia"/>
                <w:b w:val="0"/>
                <w:bCs/>
                <w:snapToGrid w:val="0"/>
                <w:color w:val="auto"/>
                <w:szCs w:val="21"/>
                <w:highlight w:val="none"/>
                <w:lang w:eastAsia="zh-CN"/>
              </w:rPr>
              <w:t>〔</w:t>
            </w:r>
            <w:r>
              <w:rPr>
                <w:rFonts w:hint="eastAsia"/>
                <w:b w:val="0"/>
                <w:bCs/>
                <w:snapToGrid w:val="0"/>
                <w:color w:val="auto"/>
                <w:szCs w:val="21"/>
                <w:highlight w:val="none"/>
              </w:rPr>
              <w:t>2019</w:t>
            </w:r>
            <w:r>
              <w:rPr>
                <w:rFonts w:hint="eastAsia"/>
                <w:b w:val="0"/>
                <w:bCs/>
                <w:snapToGrid w:val="0"/>
                <w:color w:val="auto"/>
                <w:szCs w:val="21"/>
                <w:highlight w:val="none"/>
                <w:lang w:eastAsia="zh-CN"/>
              </w:rPr>
              <w:t>〕</w:t>
            </w:r>
            <w:r>
              <w:rPr>
                <w:rFonts w:hint="eastAsia"/>
                <w:b w:val="0"/>
                <w:bCs/>
                <w:snapToGrid w:val="0"/>
                <w:color w:val="auto"/>
                <w:szCs w:val="21"/>
                <w:highlight w:val="none"/>
              </w:rPr>
              <w:t>36号)相符。</w:t>
            </w:r>
          </w:p>
          <w:p w14:paraId="3FCF84A6">
            <w:pPr>
              <w:spacing w:line="360" w:lineRule="auto"/>
              <w:rPr>
                <w:rFonts w:hint="eastAsia"/>
                <w:b/>
                <w:snapToGrid w:val="0"/>
                <w:color w:val="auto"/>
                <w:szCs w:val="21"/>
                <w:highlight w:val="none"/>
                <w:lang w:val="en-US" w:eastAsia="zh-CN"/>
              </w:rPr>
            </w:pPr>
            <w:r>
              <w:rPr>
                <w:b/>
                <w:snapToGrid w:val="0"/>
                <w:color w:val="auto"/>
                <w:szCs w:val="21"/>
                <w:highlight w:val="none"/>
              </w:rPr>
              <w:t>1</w:t>
            </w:r>
            <w:r>
              <w:rPr>
                <w:rFonts w:hint="eastAsia"/>
                <w:b/>
                <w:snapToGrid w:val="0"/>
                <w:color w:val="auto"/>
                <w:szCs w:val="21"/>
                <w:highlight w:val="none"/>
                <w:lang w:val="en-US" w:eastAsia="zh-CN"/>
              </w:rPr>
              <w:t>4</w:t>
            </w:r>
            <w:r>
              <w:rPr>
                <w:rFonts w:hint="eastAsia"/>
                <w:b/>
                <w:snapToGrid w:val="0"/>
                <w:color w:val="auto"/>
                <w:szCs w:val="21"/>
                <w:highlight w:val="none"/>
              </w:rPr>
              <w:t>、</w:t>
            </w:r>
            <w:r>
              <w:rPr>
                <w:rFonts w:hint="eastAsia"/>
                <w:b/>
                <w:snapToGrid w:val="0"/>
                <w:color w:val="auto"/>
                <w:szCs w:val="21"/>
                <w:highlight w:val="none"/>
                <w:lang w:eastAsia="zh-CN"/>
              </w:rPr>
              <w:t>《</w:t>
            </w:r>
            <w:r>
              <w:rPr>
                <w:rFonts w:hint="eastAsia"/>
                <w:b/>
                <w:snapToGrid w:val="0"/>
                <w:color w:val="auto"/>
                <w:szCs w:val="21"/>
                <w:highlight w:val="none"/>
              </w:rPr>
              <w:t>省生态环境厅关于进一步</w:t>
            </w:r>
            <w:r>
              <w:rPr>
                <w:rFonts w:hint="eastAsia"/>
                <w:b/>
                <w:snapToGrid w:val="0"/>
                <w:color w:val="auto"/>
                <w:szCs w:val="21"/>
                <w:highlight w:val="none"/>
                <w:lang w:val="en-US" w:eastAsia="zh-CN"/>
              </w:rPr>
              <w:t>加强</w:t>
            </w:r>
            <w:r>
              <w:rPr>
                <w:rFonts w:hint="eastAsia"/>
                <w:b/>
                <w:snapToGrid w:val="0"/>
                <w:color w:val="auto"/>
                <w:szCs w:val="21"/>
                <w:highlight w:val="none"/>
              </w:rPr>
              <w:t>建设项目环评审批</w:t>
            </w:r>
            <w:r>
              <w:rPr>
                <w:rFonts w:hint="eastAsia"/>
                <w:b/>
                <w:snapToGrid w:val="0"/>
                <w:color w:val="auto"/>
                <w:szCs w:val="21"/>
                <w:highlight w:val="none"/>
                <w:lang w:val="en-US" w:eastAsia="zh-CN"/>
              </w:rPr>
              <w:t>和服务</w:t>
            </w:r>
            <w:r>
              <w:rPr>
                <w:rFonts w:hint="eastAsia"/>
                <w:b/>
                <w:snapToGrid w:val="0"/>
                <w:color w:val="auto"/>
                <w:szCs w:val="21"/>
                <w:highlight w:val="none"/>
              </w:rPr>
              <w:t>工作的</w:t>
            </w:r>
            <w:r>
              <w:rPr>
                <w:rFonts w:hint="eastAsia"/>
                <w:b/>
                <w:snapToGrid w:val="0"/>
                <w:color w:val="auto"/>
                <w:szCs w:val="21"/>
                <w:highlight w:val="none"/>
                <w:lang w:val="en-US" w:eastAsia="zh-CN"/>
              </w:rPr>
              <w:t>指导意见</w:t>
            </w:r>
            <w:r>
              <w:rPr>
                <w:rFonts w:hint="eastAsia"/>
                <w:b/>
                <w:snapToGrid w:val="0"/>
                <w:color w:val="auto"/>
                <w:szCs w:val="21"/>
                <w:highlight w:val="none"/>
              </w:rPr>
              <w:t>》(苏环办</w:t>
            </w:r>
            <w:r>
              <w:rPr>
                <w:rFonts w:hint="eastAsia"/>
                <w:b/>
                <w:snapToGrid w:val="0"/>
                <w:color w:val="auto"/>
                <w:szCs w:val="21"/>
                <w:highlight w:val="none"/>
                <w:lang w:eastAsia="zh-CN"/>
              </w:rPr>
              <w:t>〔</w:t>
            </w:r>
            <w:r>
              <w:rPr>
                <w:rFonts w:hint="eastAsia"/>
                <w:b/>
                <w:snapToGrid w:val="0"/>
                <w:color w:val="auto"/>
                <w:szCs w:val="21"/>
                <w:highlight w:val="none"/>
              </w:rPr>
              <w:t>20</w:t>
            </w:r>
            <w:r>
              <w:rPr>
                <w:rFonts w:hint="eastAsia"/>
                <w:b/>
                <w:snapToGrid w:val="0"/>
                <w:color w:val="auto"/>
                <w:szCs w:val="21"/>
                <w:highlight w:val="none"/>
                <w:lang w:val="en-US" w:eastAsia="zh-CN"/>
              </w:rPr>
              <w:t>20</w:t>
            </w:r>
            <w:r>
              <w:rPr>
                <w:rFonts w:hint="eastAsia"/>
                <w:b/>
                <w:snapToGrid w:val="0"/>
                <w:color w:val="auto"/>
                <w:szCs w:val="21"/>
                <w:highlight w:val="none"/>
                <w:lang w:eastAsia="zh-CN"/>
              </w:rPr>
              <w:t>〕</w:t>
            </w:r>
            <w:r>
              <w:rPr>
                <w:rFonts w:hint="eastAsia"/>
                <w:b/>
                <w:snapToGrid w:val="0"/>
                <w:color w:val="auto"/>
                <w:szCs w:val="21"/>
                <w:highlight w:val="none"/>
                <w:lang w:val="en-US" w:eastAsia="zh-CN"/>
              </w:rPr>
              <w:t>225</w:t>
            </w:r>
            <w:r>
              <w:rPr>
                <w:rFonts w:hint="eastAsia"/>
                <w:b/>
                <w:snapToGrid w:val="0"/>
                <w:color w:val="auto"/>
                <w:szCs w:val="21"/>
                <w:highlight w:val="none"/>
              </w:rPr>
              <w:t>号)相符性</w:t>
            </w:r>
            <w:r>
              <w:rPr>
                <w:rFonts w:hint="eastAsia"/>
                <w:b/>
                <w:snapToGrid w:val="0"/>
                <w:color w:val="auto"/>
                <w:szCs w:val="21"/>
                <w:highlight w:val="none"/>
                <w:lang w:val="en-US" w:eastAsia="zh-CN"/>
              </w:rPr>
              <w:t>分析</w:t>
            </w:r>
          </w:p>
          <w:p w14:paraId="3BB73FD1">
            <w:pPr>
              <w:spacing w:line="360" w:lineRule="auto"/>
              <w:ind w:firstLine="420" w:firstLineChars="200"/>
              <w:rPr>
                <w:rFonts w:hint="eastAsia" w:eastAsia="宋体"/>
                <w:b/>
                <w:snapToGrid w:val="0"/>
                <w:color w:val="auto"/>
                <w:szCs w:val="21"/>
                <w:highlight w:val="none"/>
                <w:lang w:eastAsia="zh-CN"/>
              </w:rPr>
            </w:pPr>
            <w:r>
              <w:rPr>
                <w:rFonts w:hint="eastAsia"/>
                <w:b w:val="0"/>
                <w:bCs/>
                <w:snapToGrid w:val="0"/>
                <w:color w:val="auto"/>
                <w:szCs w:val="21"/>
                <w:highlight w:val="none"/>
              </w:rPr>
              <w:t>本项目属于C1751化纤织造加工，对照《省生态环境厅关于进一步加强建设项目环评审批和服务工作的指导意见》(苏环办</w:t>
            </w:r>
            <w:r>
              <w:rPr>
                <w:rFonts w:hint="eastAsia"/>
                <w:b w:val="0"/>
                <w:bCs/>
                <w:snapToGrid w:val="0"/>
                <w:color w:val="auto"/>
                <w:szCs w:val="21"/>
                <w:highlight w:val="none"/>
                <w:lang w:eastAsia="zh-CN"/>
              </w:rPr>
              <w:t>〔</w:t>
            </w:r>
            <w:r>
              <w:rPr>
                <w:rFonts w:hint="eastAsia"/>
                <w:b w:val="0"/>
                <w:bCs/>
                <w:snapToGrid w:val="0"/>
                <w:color w:val="auto"/>
                <w:szCs w:val="21"/>
                <w:highlight w:val="none"/>
              </w:rPr>
              <w:t>2020</w:t>
            </w:r>
            <w:r>
              <w:rPr>
                <w:rFonts w:hint="eastAsia"/>
                <w:b w:val="0"/>
                <w:bCs/>
                <w:snapToGrid w:val="0"/>
                <w:color w:val="auto"/>
                <w:szCs w:val="21"/>
                <w:highlight w:val="none"/>
                <w:lang w:eastAsia="zh-CN"/>
              </w:rPr>
              <w:t>〕</w:t>
            </w:r>
            <w:r>
              <w:rPr>
                <w:rFonts w:hint="eastAsia"/>
                <w:b w:val="0"/>
                <w:bCs/>
                <w:snapToGrid w:val="0"/>
                <w:color w:val="auto"/>
                <w:szCs w:val="21"/>
                <w:highlight w:val="none"/>
              </w:rPr>
              <w:t>225号)，本项目不属于不</w:t>
            </w:r>
            <w:r>
              <w:rPr>
                <w:rFonts w:hint="eastAsia"/>
                <w:b w:val="0"/>
                <w:bCs/>
                <w:snapToGrid w:val="0"/>
                <w:color w:val="auto"/>
                <w:szCs w:val="21"/>
                <w:highlight w:val="none"/>
                <w:lang w:val="en-US" w:eastAsia="zh-CN"/>
              </w:rPr>
              <w:t>得审批项目</w:t>
            </w:r>
            <w:r>
              <w:rPr>
                <w:rFonts w:hint="eastAsia"/>
                <w:b w:val="0"/>
                <w:bCs/>
                <w:snapToGrid w:val="0"/>
                <w:color w:val="auto"/>
                <w:szCs w:val="21"/>
                <w:highlight w:val="none"/>
              </w:rPr>
              <w:t>，不属于</w:t>
            </w:r>
            <w:r>
              <w:rPr>
                <w:rFonts w:hint="eastAsia"/>
                <w:b w:val="0"/>
                <w:bCs/>
                <w:snapToGrid w:val="0"/>
                <w:color w:val="auto"/>
                <w:szCs w:val="21"/>
                <w:highlight w:val="none"/>
                <w:lang w:val="en-US" w:eastAsia="zh-CN"/>
              </w:rPr>
              <w:t>重点行业</w:t>
            </w:r>
            <w:r>
              <w:rPr>
                <w:rFonts w:hint="eastAsia"/>
                <w:b w:val="0"/>
                <w:bCs/>
                <w:snapToGrid w:val="0"/>
                <w:color w:val="auto"/>
                <w:szCs w:val="21"/>
                <w:highlight w:val="none"/>
              </w:rPr>
              <w:t>。因此，本项目与《省生态环境厅关于进一步加强建设项目环评审批和服务工作的指导意见》(苏环办</w:t>
            </w:r>
            <w:r>
              <w:rPr>
                <w:rFonts w:hint="eastAsia"/>
                <w:b w:val="0"/>
                <w:bCs/>
                <w:snapToGrid w:val="0"/>
                <w:color w:val="auto"/>
                <w:szCs w:val="21"/>
                <w:highlight w:val="none"/>
                <w:lang w:eastAsia="zh-CN"/>
              </w:rPr>
              <w:t>〔</w:t>
            </w:r>
            <w:r>
              <w:rPr>
                <w:rFonts w:hint="eastAsia"/>
                <w:b w:val="0"/>
                <w:bCs/>
                <w:snapToGrid w:val="0"/>
                <w:color w:val="auto"/>
                <w:szCs w:val="21"/>
                <w:highlight w:val="none"/>
              </w:rPr>
              <w:t>2020</w:t>
            </w:r>
            <w:r>
              <w:rPr>
                <w:rFonts w:hint="eastAsia"/>
                <w:b w:val="0"/>
                <w:bCs/>
                <w:snapToGrid w:val="0"/>
                <w:color w:val="auto"/>
                <w:szCs w:val="21"/>
                <w:highlight w:val="none"/>
                <w:lang w:eastAsia="zh-CN"/>
              </w:rPr>
              <w:t>〕</w:t>
            </w:r>
            <w:r>
              <w:rPr>
                <w:rFonts w:hint="eastAsia"/>
                <w:b w:val="0"/>
                <w:bCs/>
                <w:snapToGrid w:val="0"/>
                <w:color w:val="auto"/>
                <w:szCs w:val="21"/>
                <w:highlight w:val="none"/>
              </w:rPr>
              <w:t>225号)相符。</w:t>
            </w:r>
          </w:p>
          <w:p w14:paraId="4C0E93BE">
            <w:pPr>
              <w:spacing w:line="360" w:lineRule="auto"/>
              <w:rPr>
                <w:b/>
                <w:snapToGrid w:val="0"/>
                <w:color w:val="auto"/>
                <w:szCs w:val="21"/>
                <w:highlight w:val="none"/>
              </w:rPr>
            </w:pPr>
            <w:r>
              <w:rPr>
                <w:rFonts w:hint="eastAsia"/>
                <w:b/>
                <w:snapToGrid w:val="0"/>
                <w:color w:val="auto"/>
                <w:szCs w:val="21"/>
                <w:highlight w:val="none"/>
                <w:lang w:val="en-US" w:eastAsia="zh-CN"/>
              </w:rPr>
              <w:t>15、</w:t>
            </w:r>
            <w:r>
              <w:rPr>
                <w:rFonts w:hint="eastAsia"/>
                <w:b/>
                <w:snapToGrid w:val="0"/>
                <w:color w:val="auto"/>
                <w:szCs w:val="21"/>
                <w:highlight w:val="none"/>
              </w:rPr>
              <w:t>《全面实行排污许可制实施方案》（环环评</w:t>
            </w:r>
            <w:r>
              <w:rPr>
                <w:rFonts w:hint="eastAsia"/>
                <w:b/>
                <w:snapToGrid w:val="0"/>
                <w:color w:val="auto"/>
                <w:szCs w:val="21"/>
                <w:highlight w:val="none"/>
                <w:lang w:eastAsia="zh-CN"/>
              </w:rPr>
              <w:t>〔</w:t>
            </w:r>
            <w:r>
              <w:rPr>
                <w:rFonts w:hint="eastAsia"/>
                <w:b/>
                <w:snapToGrid w:val="0"/>
                <w:color w:val="auto"/>
                <w:szCs w:val="21"/>
                <w:highlight w:val="none"/>
              </w:rPr>
              <w:t>2024</w:t>
            </w:r>
            <w:r>
              <w:rPr>
                <w:rFonts w:hint="eastAsia"/>
                <w:b/>
                <w:snapToGrid w:val="0"/>
                <w:color w:val="auto"/>
                <w:szCs w:val="21"/>
                <w:highlight w:val="none"/>
                <w:lang w:eastAsia="zh-CN"/>
              </w:rPr>
              <w:t>〕</w:t>
            </w:r>
            <w:r>
              <w:rPr>
                <w:rFonts w:hint="eastAsia"/>
                <w:b/>
                <w:snapToGrid w:val="0"/>
                <w:color w:val="auto"/>
                <w:szCs w:val="21"/>
                <w:highlight w:val="none"/>
              </w:rPr>
              <w:t>79号）相符性分析</w:t>
            </w:r>
          </w:p>
          <w:p w14:paraId="123DF8DB">
            <w:pPr>
              <w:pStyle w:val="37"/>
              <w:tabs>
                <w:tab w:val="left" w:pos="1200"/>
              </w:tabs>
              <w:spacing w:before="0" w:line="240" w:lineRule="auto"/>
              <w:ind w:right="0"/>
              <w:rPr>
                <w:rFonts w:ascii="Times New Roman" w:hAnsi="Times New Roman" w:eastAsia="宋体"/>
                <w:b/>
                <w:bCs/>
                <w:color w:val="auto"/>
                <w:kern w:val="0"/>
                <w:sz w:val="21"/>
                <w:szCs w:val="21"/>
                <w:highlight w:val="none"/>
              </w:rPr>
            </w:pPr>
            <w:r>
              <w:rPr>
                <w:rFonts w:hint="eastAsia" w:ascii="Times New Roman" w:hAnsi="Times New Roman" w:eastAsia="宋体"/>
                <w:b/>
                <w:bCs/>
                <w:color w:val="auto"/>
                <w:kern w:val="0"/>
                <w:sz w:val="21"/>
                <w:szCs w:val="21"/>
                <w:highlight w:val="none"/>
              </w:rPr>
              <w:t>表</w:t>
            </w:r>
            <w:r>
              <w:rPr>
                <w:rFonts w:ascii="Times New Roman" w:hAnsi="Times New Roman" w:eastAsia="宋体"/>
                <w:b/>
                <w:bCs/>
                <w:color w:val="auto"/>
                <w:kern w:val="0"/>
                <w:sz w:val="21"/>
                <w:szCs w:val="21"/>
                <w:highlight w:val="none"/>
              </w:rPr>
              <w:t>1-1</w:t>
            </w:r>
            <w:r>
              <w:rPr>
                <w:rFonts w:hint="eastAsia" w:ascii="Times New Roman" w:hAnsi="Times New Roman" w:eastAsia="宋体"/>
                <w:b/>
                <w:bCs/>
                <w:color w:val="auto"/>
                <w:kern w:val="0"/>
                <w:sz w:val="21"/>
                <w:szCs w:val="21"/>
                <w:highlight w:val="none"/>
                <w:lang w:val="en-US" w:eastAsia="zh-CN"/>
              </w:rPr>
              <w:t>6</w:t>
            </w:r>
            <w:r>
              <w:rPr>
                <w:rFonts w:ascii="Times New Roman" w:hAnsi="Times New Roman" w:eastAsia="宋体"/>
                <w:b/>
                <w:bCs/>
                <w:color w:val="auto"/>
                <w:kern w:val="0"/>
                <w:sz w:val="21"/>
                <w:szCs w:val="21"/>
                <w:highlight w:val="none"/>
              </w:rPr>
              <w:t xml:space="preserve"> </w:t>
            </w:r>
            <w:r>
              <w:rPr>
                <w:rFonts w:hint="eastAsia" w:ascii="Times New Roman" w:hAnsi="Times New Roman" w:eastAsia="宋体"/>
                <w:b/>
                <w:bCs/>
                <w:color w:val="auto"/>
                <w:kern w:val="0"/>
                <w:sz w:val="21"/>
                <w:szCs w:val="21"/>
                <w:highlight w:val="none"/>
                <w:lang w:val="en-US" w:eastAsia="zh-CN"/>
              </w:rPr>
              <w:t xml:space="preserve"> </w:t>
            </w:r>
            <w:r>
              <w:rPr>
                <w:rFonts w:hint="eastAsia" w:ascii="Times New Roman" w:hAnsi="Times New Roman" w:eastAsia="宋体"/>
                <w:b/>
                <w:bCs/>
                <w:color w:val="auto"/>
                <w:kern w:val="0"/>
                <w:sz w:val="21"/>
                <w:szCs w:val="21"/>
                <w:highlight w:val="none"/>
              </w:rPr>
              <w:t>《全面实行排污许可制实施方案》相符性分析</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76"/>
              <w:gridCol w:w="543"/>
              <w:gridCol w:w="4548"/>
              <w:gridCol w:w="939"/>
              <w:gridCol w:w="606"/>
            </w:tblGrid>
            <w:tr w14:paraId="79970C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182" w:type="dxa"/>
                  <w:gridSpan w:val="3"/>
                  <w:tcBorders>
                    <w:tl2br w:val="nil"/>
                    <w:tr2bl w:val="nil"/>
                  </w:tcBorders>
                  <w:vAlign w:val="center"/>
                </w:tcPr>
                <w:p w14:paraId="27130D31">
                  <w:pPr>
                    <w:spacing w:line="240" w:lineRule="exact"/>
                    <w:jc w:val="center"/>
                    <w:rPr>
                      <w:color w:val="auto"/>
                      <w:sz w:val="18"/>
                      <w:szCs w:val="18"/>
                      <w:highlight w:val="none"/>
                    </w:rPr>
                  </w:pPr>
                  <w:r>
                    <w:rPr>
                      <w:rFonts w:hint="eastAsia"/>
                      <w:color w:val="auto"/>
                      <w:sz w:val="18"/>
                      <w:szCs w:val="18"/>
                      <w:highlight w:val="none"/>
                    </w:rPr>
                    <w:t>文件要求</w:t>
                  </w:r>
                </w:p>
              </w:tc>
              <w:tc>
                <w:tcPr>
                  <w:tcW w:w="1013" w:type="dxa"/>
                  <w:tcBorders>
                    <w:tl2br w:val="nil"/>
                    <w:tr2bl w:val="nil"/>
                  </w:tcBorders>
                  <w:vAlign w:val="center"/>
                </w:tcPr>
                <w:p w14:paraId="400B3F3C">
                  <w:pPr>
                    <w:spacing w:line="240" w:lineRule="exact"/>
                    <w:jc w:val="center"/>
                    <w:rPr>
                      <w:color w:val="auto"/>
                      <w:sz w:val="18"/>
                      <w:szCs w:val="18"/>
                      <w:highlight w:val="none"/>
                    </w:rPr>
                  </w:pPr>
                  <w:r>
                    <w:rPr>
                      <w:rFonts w:hint="eastAsia"/>
                      <w:color w:val="auto"/>
                      <w:sz w:val="18"/>
                      <w:szCs w:val="18"/>
                      <w:highlight w:val="none"/>
                    </w:rPr>
                    <w:t>本项目情况</w:t>
                  </w:r>
                </w:p>
              </w:tc>
              <w:tc>
                <w:tcPr>
                  <w:tcW w:w="645" w:type="dxa"/>
                  <w:tcBorders>
                    <w:tl2br w:val="nil"/>
                    <w:tr2bl w:val="nil"/>
                  </w:tcBorders>
                  <w:vAlign w:val="center"/>
                </w:tcPr>
                <w:p w14:paraId="65DC035E">
                  <w:pPr>
                    <w:spacing w:line="240" w:lineRule="exact"/>
                    <w:jc w:val="center"/>
                    <w:rPr>
                      <w:color w:val="auto"/>
                      <w:sz w:val="18"/>
                      <w:szCs w:val="18"/>
                      <w:highlight w:val="none"/>
                    </w:rPr>
                  </w:pPr>
                  <w:r>
                    <w:rPr>
                      <w:rFonts w:hint="eastAsia"/>
                      <w:color w:val="auto"/>
                      <w:sz w:val="18"/>
                      <w:szCs w:val="18"/>
                      <w:highlight w:val="none"/>
                    </w:rPr>
                    <w:t>相符性</w:t>
                  </w:r>
                </w:p>
              </w:tc>
            </w:tr>
            <w:tr w14:paraId="499C3F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vMerge w:val="restart"/>
                  <w:tcBorders>
                    <w:tl2br w:val="nil"/>
                    <w:tr2bl w:val="nil"/>
                  </w:tcBorders>
                  <w:vAlign w:val="center"/>
                </w:tcPr>
                <w:p w14:paraId="2ED460DE">
                  <w:pPr>
                    <w:spacing w:line="240" w:lineRule="exact"/>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落实以排污许可制为核心的固定污染源监管制度</w:t>
                  </w:r>
                </w:p>
              </w:tc>
              <w:tc>
                <w:tcPr>
                  <w:tcW w:w="576" w:type="dxa"/>
                  <w:tcBorders>
                    <w:tl2br w:val="nil"/>
                    <w:tr2bl w:val="nil"/>
                  </w:tcBorders>
                  <w:vAlign w:val="center"/>
                </w:tcPr>
                <w:p w14:paraId="623CEDD7">
                  <w:pPr>
                    <w:spacing w:line="240" w:lineRule="exact"/>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深化环境影响评价制度衔接</w:t>
                  </w:r>
                </w:p>
              </w:tc>
              <w:tc>
                <w:tcPr>
                  <w:tcW w:w="4993" w:type="dxa"/>
                  <w:tcBorders>
                    <w:tl2br w:val="nil"/>
                    <w:tr2bl w:val="nil"/>
                  </w:tcBorders>
                  <w:vAlign w:val="center"/>
                </w:tcPr>
                <w:p w14:paraId="0E179252">
                  <w:pPr>
                    <w:spacing w:line="240" w:lineRule="exact"/>
                    <w:jc w:val="center"/>
                    <w:rPr>
                      <w:color w:val="auto"/>
                      <w:sz w:val="18"/>
                      <w:szCs w:val="18"/>
                      <w:highlight w:val="none"/>
                    </w:rPr>
                  </w:pPr>
                  <w:r>
                    <w:rPr>
                      <w:rFonts w:hint="eastAsia"/>
                      <w:color w:val="auto"/>
                      <w:sz w:val="18"/>
                      <w:szCs w:val="18"/>
                      <w:highlight w:val="none"/>
                    </w:rPr>
                    <w:t>统筹建设项目环境影响评价和排污许可协同改革，完善与排污许可制度相适应的污染影响类项目环评管理体系。制修订环境影响评价技术导则，统一污染物排放量核算方法。修订《建设项目环境影响评价分类管理名录》，协调固定污染源分类管理类别。深化生态环境分区管控、产业园区规划环境影响评价、建设项目环境影响评价与排污许可制度的改革联动，将环境影响评价文件及批复中关于污染物排放种类、浓度、排放量、排放方式及特殊监管要求纳入排污许可证。优化排污登记表内容，适应环境影响评价改革需求。</w:t>
                  </w:r>
                </w:p>
              </w:tc>
              <w:tc>
                <w:tcPr>
                  <w:tcW w:w="1013" w:type="dxa"/>
                  <w:vMerge w:val="restart"/>
                  <w:tcBorders>
                    <w:tl2br w:val="nil"/>
                    <w:tr2bl w:val="nil"/>
                  </w:tcBorders>
                  <w:vAlign w:val="center"/>
                </w:tcPr>
                <w:p w14:paraId="553AA628">
                  <w:pPr>
                    <w:spacing w:line="240" w:lineRule="exact"/>
                    <w:jc w:val="left"/>
                    <w:rPr>
                      <w:rFonts w:hint="default" w:eastAsia="宋体"/>
                      <w:color w:val="auto"/>
                      <w:sz w:val="18"/>
                      <w:szCs w:val="18"/>
                      <w:highlight w:val="none"/>
                      <w:lang w:val="en-US" w:eastAsia="zh-CN"/>
                    </w:rPr>
                  </w:pPr>
                  <w:r>
                    <w:rPr>
                      <w:rFonts w:hint="eastAsia"/>
                      <w:color w:val="auto"/>
                      <w:sz w:val="18"/>
                      <w:szCs w:val="18"/>
                      <w:highlight w:val="none"/>
                      <w:lang w:val="en-US" w:eastAsia="zh-CN"/>
                    </w:rPr>
                    <w:t>项目建成后，</w:t>
                  </w:r>
                  <w:r>
                    <w:rPr>
                      <w:rFonts w:hint="eastAsia"/>
                      <w:color w:val="auto"/>
                      <w:sz w:val="18"/>
                      <w:szCs w:val="18"/>
                      <w:highlight w:val="none"/>
                    </w:rPr>
                    <w:t>将环境影响评价文件及批复中关于污染物排放种类、浓度、排放量、排放方式及特殊监管要求纳入排污许可证</w:t>
                  </w:r>
                  <w:r>
                    <w:rPr>
                      <w:rFonts w:hint="eastAsia"/>
                      <w:color w:val="auto"/>
                      <w:sz w:val="18"/>
                      <w:szCs w:val="18"/>
                      <w:highlight w:val="none"/>
                      <w:lang w:eastAsia="zh-CN"/>
                    </w:rPr>
                    <w:t>，</w:t>
                  </w:r>
                  <w:r>
                    <w:rPr>
                      <w:rFonts w:hint="eastAsia"/>
                      <w:color w:val="auto"/>
                      <w:sz w:val="18"/>
                      <w:szCs w:val="18"/>
                      <w:highlight w:val="none"/>
                      <w:lang w:val="en-US" w:eastAsia="zh-CN"/>
                    </w:rPr>
                    <w:t>按照要求变更排污许可证。</w:t>
                  </w:r>
                </w:p>
              </w:tc>
              <w:tc>
                <w:tcPr>
                  <w:tcW w:w="645" w:type="dxa"/>
                  <w:vMerge w:val="restart"/>
                  <w:tcBorders>
                    <w:tl2br w:val="nil"/>
                    <w:tr2bl w:val="nil"/>
                  </w:tcBorders>
                  <w:vAlign w:val="center"/>
                </w:tcPr>
                <w:p w14:paraId="3DC59DF8">
                  <w:pPr>
                    <w:spacing w:line="240" w:lineRule="exact"/>
                    <w:jc w:val="center"/>
                    <w:rPr>
                      <w:color w:val="auto"/>
                      <w:sz w:val="18"/>
                      <w:szCs w:val="18"/>
                      <w:highlight w:val="none"/>
                    </w:rPr>
                  </w:pPr>
                  <w:r>
                    <w:rPr>
                      <w:rFonts w:hint="eastAsia"/>
                      <w:color w:val="auto"/>
                      <w:sz w:val="18"/>
                      <w:szCs w:val="18"/>
                      <w:highlight w:val="none"/>
                    </w:rPr>
                    <w:t>符合</w:t>
                  </w:r>
                </w:p>
              </w:tc>
            </w:tr>
            <w:tr w14:paraId="17022F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13" w:type="dxa"/>
                  <w:vMerge w:val="continue"/>
                  <w:tcBorders>
                    <w:tl2br w:val="nil"/>
                    <w:tr2bl w:val="nil"/>
                  </w:tcBorders>
                  <w:vAlign w:val="center"/>
                </w:tcPr>
                <w:p w14:paraId="47A07137">
                  <w:pPr>
                    <w:spacing w:line="240" w:lineRule="exact"/>
                    <w:jc w:val="center"/>
                    <w:rPr>
                      <w:color w:val="auto"/>
                      <w:sz w:val="18"/>
                      <w:szCs w:val="18"/>
                      <w:highlight w:val="none"/>
                    </w:rPr>
                  </w:pPr>
                </w:p>
              </w:tc>
              <w:tc>
                <w:tcPr>
                  <w:tcW w:w="576" w:type="dxa"/>
                  <w:tcBorders>
                    <w:tl2br w:val="nil"/>
                    <w:tr2bl w:val="nil"/>
                  </w:tcBorders>
                  <w:vAlign w:val="center"/>
                </w:tcPr>
                <w:p w14:paraId="787B6407">
                  <w:pPr>
                    <w:spacing w:line="240" w:lineRule="exact"/>
                    <w:jc w:val="center"/>
                    <w:rPr>
                      <w:color w:val="auto"/>
                      <w:sz w:val="18"/>
                      <w:szCs w:val="18"/>
                      <w:highlight w:val="none"/>
                    </w:rPr>
                  </w:pPr>
                  <w:r>
                    <w:rPr>
                      <w:rFonts w:hint="eastAsia"/>
                      <w:color w:val="auto"/>
                      <w:sz w:val="18"/>
                      <w:szCs w:val="18"/>
                      <w:highlight w:val="none"/>
                    </w:rPr>
                    <w:t>推进总量控制制度衔接</w:t>
                  </w:r>
                </w:p>
              </w:tc>
              <w:tc>
                <w:tcPr>
                  <w:tcW w:w="4993" w:type="dxa"/>
                  <w:tcBorders>
                    <w:tl2br w:val="nil"/>
                    <w:tr2bl w:val="nil"/>
                  </w:tcBorders>
                  <w:vAlign w:val="center"/>
                </w:tcPr>
                <w:p w14:paraId="56493E7B">
                  <w:pPr>
                    <w:spacing w:line="240" w:lineRule="exact"/>
                    <w:jc w:val="center"/>
                    <w:rPr>
                      <w:rFonts w:hint="eastAsia" w:eastAsia="宋体"/>
                      <w:color w:val="auto"/>
                      <w:sz w:val="18"/>
                      <w:szCs w:val="18"/>
                      <w:highlight w:val="none"/>
                      <w:lang w:eastAsia="zh-CN"/>
                    </w:rPr>
                  </w:pPr>
                  <w:r>
                    <w:rPr>
                      <w:rFonts w:hint="eastAsia"/>
                      <w:color w:val="auto"/>
                      <w:sz w:val="18"/>
                      <w:szCs w:val="18"/>
                      <w:highlight w:val="none"/>
                    </w:rPr>
                    <w:t>制修订污染物许可排放量核算方法，对达标区和非达标区排污单位分类施策，推动环境质量不达标地区通过提高排放标准或者加严许可排放量等措施，实施更为严格的污染物排放总量控制。首次核发排污许可证的许可排放量应根据总量控制指标、环境影响评价文件及其批复的污染物排放量等依法合理确定。加强污染源自动监控管理，完善自动监测管理规范，强化自动监测数据分析应用，推进污染物排放量执法监管。将排污许可证作为排污权的确认凭证、排污交易的管理载体。排污单位实施的减排工程措施及主要污染物削减量应在排污许可证中进行记载</w:t>
                  </w:r>
                  <w:r>
                    <w:rPr>
                      <w:rFonts w:hint="eastAsia"/>
                      <w:color w:val="auto"/>
                      <w:sz w:val="18"/>
                      <w:szCs w:val="18"/>
                      <w:highlight w:val="none"/>
                      <w:lang w:eastAsia="zh-CN"/>
                    </w:rPr>
                    <w:t>。</w:t>
                  </w:r>
                </w:p>
              </w:tc>
              <w:tc>
                <w:tcPr>
                  <w:tcW w:w="1013" w:type="dxa"/>
                  <w:vMerge w:val="continue"/>
                  <w:tcBorders>
                    <w:tl2br w:val="nil"/>
                    <w:tr2bl w:val="nil"/>
                  </w:tcBorders>
                  <w:vAlign w:val="center"/>
                </w:tcPr>
                <w:p w14:paraId="42146638">
                  <w:pPr>
                    <w:spacing w:line="240" w:lineRule="exact"/>
                    <w:jc w:val="left"/>
                    <w:rPr>
                      <w:color w:val="auto"/>
                      <w:sz w:val="18"/>
                      <w:szCs w:val="18"/>
                      <w:highlight w:val="none"/>
                    </w:rPr>
                  </w:pPr>
                </w:p>
              </w:tc>
              <w:tc>
                <w:tcPr>
                  <w:tcW w:w="645" w:type="dxa"/>
                  <w:vMerge w:val="continue"/>
                  <w:tcBorders>
                    <w:tl2br w:val="nil"/>
                    <w:tr2bl w:val="nil"/>
                  </w:tcBorders>
                  <w:vAlign w:val="center"/>
                </w:tcPr>
                <w:p w14:paraId="566FD88B">
                  <w:pPr>
                    <w:spacing w:line="240" w:lineRule="exact"/>
                    <w:jc w:val="center"/>
                    <w:rPr>
                      <w:color w:val="auto"/>
                      <w:sz w:val="18"/>
                      <w:szCs w:val="18"/>
                      <w:highlight w:val="none"/>
                    </w:rPr>
                  </w:pPr>
                </w:p>
              </w:tc>
            </w:tr>
          </w:tbl>
          <w:p w14:paraId="755A32AE">
            <w:pPr>
              <w:pStyle w:val="35"/>
              <w:rPr>
                <w:rFonts w:hint="default" w:ascii="Times New Roman" w:eastAsia="宋体" w:cs="Times New Roman"/>
                <w:color w:val="auto"/>
                <w:highlight w:val="none"/>
                <w:lang w:val="en-US" w:eastAsia="zh-CN"/>
              </w:rPr>
            </w:pPr>
          </w:p>
        </w:tc>
      </w:tr>
    </w:tbl>
    <w:p w14:paraId="076801E8">
      <w:pPr>
        <w:spacing w:line="360" w:lineRule="auto"/>
        <w:rPr>
          <w:rFonts w:eastAsia="黑体"/>
          <w:color w:val="000000"/>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7567D1F1">
      <w:pPr>
        <w:pStyle w:val="22"/>
        <w:jc w:val="center"/>
        <w:outlineLvl w:val="0"/>
        <w:rPr>
          <w:rFonts w:ascii="黑体" w:hAnsi="黑体" w:eastAsia="黑体"/>
          <w:snapToGrid w:val="0"/>
          <w:color w:val="000000"/>
          <w:sz w:val="30"/>
          <w:szCs w:val="30"/>
        </w:rPr>
      </w:pPr>
      <w:bookmarkStart w:id="62" w:name="_Toc23973"/>
      <w:r>
        <w:rPr>
          <w:rFonts w:hint="eastAsia" w:ascii="黑体" w:hAnsi="黑体" w:eastAsia="黑体"/>
          <w:snapToGrid w:val="0"/>
          <w:color w:val="000000"/>
          <w:sz w:val="30"/>
          <w:szCs w:val="30"/>
        </w:rPr>
        <w:t>二、建设项目工程分析</w:t>
      </w:r>
      <w:bookmarkEnd w:id="62"/>
    </w:p>
    <w:tbl>
      <w:tblPr>
        <w:tblStyle w:val="26"/>
        <w:tblW w:w="85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4"/>
        <w:gridCol w:w="7911"/>
      </w:tblGrid>
      <w:tr w14:paraId="7E482C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58" w:hRule="atLeast"/>
          <w:jc w:val="center"/>
        </w:trPr>
        <w:tc>
          <w:tcPr>
            <w:tcW w:w="604" w:type="dxa"/>
            <w:tcBorders>
              <w:top w:val="single" w:color="auto" w:sz="8" w:space="0"/>
            </w:tcBorders>
            <w:vAlign w:val="center"/>
          </w:tcPr>
          <w:p w14:paraId="6CDCB69D">
            <w:pPr>
              <w:pStyle w:val="22"/>
              <w:adjustRightInd w:val="0"/>
              <w:snapToGrid w:val="0"/>
              <w:spacing w:before="0" w:beforeAutospacing="0" w:after="0" w:afterAutospacing="0"/>
              <w:jc w:val="center"/>
              <w:rPr>
                <w:rFonts w:ascii="Times New Roman" w:hAnsi="Times New Roman"/>
                <w:color w:val="auto"/>
                <w:sz w:val="21"/>
                <w:szCs w:val="21"/>
              </w:rPr>
            </w:pPr>
            <w:r>
              <w:rPr>
                <w:rFonts w:hint="eastAsia" w:ascii="Times New Roman" w:hAnsi="Times New Roman"/>
                <w:color w:val="auto"/>
                <w:sz w:val="21"/>
                <w:szCs w:val="21"/>
              </w:rPr>
              <w:t>建设内容</w:t>
            </w:r>
          </w:p>
        </w:tc>
        <w:tc>
          <w:tcPr>
            <w:tcW w:w="7911" w:type="dxa"/>
            <w:tcBorders>
              <w:top w:val="single" w:color="auto" w:sz="8" w:space="0"/>
            </w:tcBorders>
            <w:vAlign w:val="top"/>
          </w:tcPr>
          <w:p w14:paraId="45A7BA76">
            <w:pPr>
              <w:overflowPunct w:val="0"/>
              <w:adjustRightInd w:val="0"/>
              <w:snapToGrid w:val="0"/>
              <w:spacing w:beforeLines="50" w:line="360" w:lineRule="auto"/>
              <w:jc w:val="left"/>
              <w:rPr>
                <w:b/>
                <w:bCs/>
                <w:snapToGrid w:val="0"/>
                <w:color w:val="auto"/>
                <w:spacing w:val="-2"/>
                <w:kern w:val="0"/>
                <w:szCs w:val="21"/>
              </w:rPr>
            </w:pPr>
            <w:r>
              <w:rPr>
                <w:b/>
                <w:bCs/>
                <w:snapToGrid w:val="0"/>
                <w:color w:val="auto"/>
                <w:spacing w:val="-2"/>
                <w:kern w:val="0"/>
                <w:szCs w:val="21"/>
              </w:rPr>
              <w:t>1</w:t>
            </w:r>
            <w:r>
              <w:rPr>
                <w:rFonts w:hint="eastAsia"/>
                <w:b/>
                <w:bCs/>
                <w:snapToGrid w:val="0"/>
                <w:color w:val="auto"/>
                <w:spacing w:val="-2"/>
                <w:kern w:val="0"/>
                <w:szCs w:val="21"/>
              </w:rPr>
              <w:t>、项目由来</w:t>
            </w:r>
          </w:p>
          <w:p w14:paraId="3273530E">
            <w:pPr>
              <w:overflowPunct w:val="0"/>
              <w:adjustRightInd w:val="0"/>
              <w:snapToGrid w:val="0"/>
              <w:spacing w:line="360" w:lineRule="auto"/>
              <w:ind w:firstLine="412" w:firstLineChars="200"/>
              <w:jc w:val="left"/>
              <w:rPr>
                <w:rFonts w:hint="eastAsia" w:cs="Calibri"/>
                <w:snapToGrid w:val="0"/>
                <w:color w:val="auto"/>
                <w:spacing w:val="-2"/>
                <w:kern w:val="0"/>
                <w:szCs w:val="21"/>
                <w:lang w:eastAsia="zh-CN"/>
              </w:rPr>
            </w:pPr>
            <w:r>
              <w:rPr>
                <w:rFonts w:hint="eastAsia" w:cs="Calibri"/>
                <w:snapToGrid w:val="0"/>
                <w:color w:val="auto"/>
                <w:spacing w:val="-2"/>
                <w:kern w:val="0"/>
                <w:szCs w:val="21"/>
              </w:rPr>
              <w:t>吴江区喷水织造行业长期以来受到高水耗、高能耗、高污染等问题的困扰，成为制约吴江纺织业绿色低碳循环发展的关键问题。为了解决这一问题，</w:t>
            </w:r>
            <w:r>
              <w:rPr>
                <w:rFonts w:hint="eastAsia" w:cs="Calibri"/>
                <w:snapToGrid w:val="0"/>
                <w:color w:val="auto"/>
                <w:spacing w:val="-2"/>
                <w:kern w:val="0"/>
                <w:szCs w:val="21"/>
                <w:lang w:val="en-US" w:eastAsia="zh-CN"/>
              </w:rPr>
              <w:t>吴江</w:t>
            </w:r>
            <w:r>
              <w:rPr>
                <w:rFonts w:hint="eastAsia" w:cs="Calibri"/>
                <w:snapToGrid w:val="0"/>
                <w:color w:val="auto"/>
                <w:spacing w:val="-2"/>
                <w:kern w:val="0"/>
                <w:szCs w:val="21"/>
              </w:rPr>
              <w:t>区正式颁布了《吴江区加快推动突出生态环境问题整改工作方案》</w:t>
            </w:r>
            <w:r>
              <w:rPr>
                <w:rFonts w:hint="eastAsia" w:cs="Calibri"/>
                <w:snapToGrid w:val="0"/>
                <w:color w:val="auto"/>
                <w:spacing w:val="-2"/>
                <w:kern w:val="0"/>
                <w:szCs w:val="21"/>
                <w:lang w:eastAsia="zh-CN"/>
              </w:rPr>
              <w:t>（</w:t>
            </w:r>
            <w:r>
              <w:rPr>
                <w:rFonts w:hint="eastAsia" w:cs="Calibri"/>
                <w:snapToGrid w:val="0"/>
                <w:color w:val="auto"/>
                <w:spacing w:val="-2"/>
                <w:kern w:val="0"/>
                <w:szCs w:val="21"/>
                <w:lang w:val="en-US" w:eastAsia="zh-CN"/>
              </w:rPr>
              <w:t>吴办〔2022〕90号</w:t>
            </w:r>
            <w:r>
              <w:rPr>
                <w:rFonts w:hint="eastAsia" w:cs="Calibri"/>
                <w:snapToGrid w:val="0"/>
                <w:color w:val="auto"/>
                <w:spacing w:val="-2"/>
                <w:kern w:val="0"/>
                <w:szCs w:val="21"/>
                <w:lang w:eastAsia="zh-CN"/>
              </w:rPr>
              <w:t>），</w:t>
            </w:r>
            <w:r>
              <w:rPr>
                <w:rFonts w:hint="eastAsia" w:cs="Calibri"/>
                <w:snapToGrid w:val="0"/>
                <w:color w:val="auto"/>
                <w:spacing w:val="-2"/>
                <w:kern w:val="0"/>
                <w:szCs w:val="21"/>
              </w:rPr>
              <w:t>旨在通过两年时间的努力，彻底解决突出的生态环境问题。</w:t>
            </w:r>
            <w:r>
              <w:rPr>
                <w:rFonts w:hint="eastAsia" w:cs="Calibri"/>
                <w:snapToGrid w:val="0"/>
                <w:color w:val="auto"/>
                <w:spacing w:val="-2"/>
                <w:kern w:val="0"/>
                <w:szCs w:val="21"/>
                <w:lang w:val="en-US" w:eastAsia="zh-CN"/>
              </w:rPr>
              <w:t>并于</w:t>
            </w:r>
            <w:r>
              <w:rPr>
                <w:rFonts w:hint="eastAsia" w:cs="Calibri"/>
                <w:snapToGrid w:val="0"/>
                <w:color w:val="auto"/>
                <w:spacing w:val="-2"/>
                <w:kern w:val="0"/>
                <w:szCs w:val="21"/>
              </w:rPr>
              <w:t>2022年年底成立了吴江区突出生态环境问题整改工作专班，</w:t>
            </w:r>
            <w:r>
              <w:rPr>
                <w:rFonts w:hint="eastAsia" w:cs="Calibri"/>
                <w:snapToGrid w:val="0"/>
                <w:color w:val="auto"/>
                <w:spacing w:val="-2"/>
                <w:kern w:val="0"/>
                <w:szCs w:val="21"/>
                <w:lang w:val="en-US" w:eastAsia="zh-CN"/>
              </w:rPr>
              <w:t>发布了</w:t>
            </w:r>
            <w:r>
              <w:rPr>
                <w:rFonts w:hint="eastAsia" w:cs="Calibri"/>
                <w:snapToGrid w:val="0"/>
                <w:color w:val="auto"/>
                <w:spacing w:val="-2"/>
                <w:kern w:val="0"/>
                <w:szCs w:val="21"/>
              </w:rPr>
              <w:t>《吴江区喷水织造行业（含污水处理厂、站）整治提升行动工作指引》</w:t>
            </w:r>
            <w:r>
              <w:rPr>
                <w:rFonts w:hint="eastAsia" w:cs="Calibri"/>
                <w:snapToGrid w:val="0"/>
                <w:color w:val="auto"/>
                <w:spacing w:val="-2"/>
                <w:kern w:val="0"/>
                <w:szCs w:val="21"/>
                <w:lang w:eastAsia="zh-CN"/>
              </w:rPr>
              <w:t>（</w:t>
            </w:r>
            <w:r>
              <w:rPr>
                <w:rFonts w:hint="eastAsia" w:cs="Calibri"/>
                <w:snapToGrid w:val="0"/>
                <w:color w:val="auto"/>
                <w:spacing w:val="-2"/>
                <w:kern w:val="0"/>
                <w:szCs w:val="21"/>
                <w:lang w:val="en-US" w:eastAsia="zh-CN"/>
              </w:rPr>
              <w:t>喷组〔2023〕2号</w:t>
            </w:r>
            <w:r>
              <w:rPr>
                <w:rFonts w:hint="eastAsia" w:cs="Calibri"/>
                <w:snapToGrid w:val="0"/>
                <w:color w:val="auto"/>
                <w:spacing w:val="-2"/>
                <w:kern w:val="0"/>
                <w:szCs w:val="21"/>
                <w:lang w:eastAsia="zh-CN"/>
              </w:rPr>
              <w:t>），</w:t>
            </w:r>
            <w:r>
              <w:rPr>
                <w:rFonts w:hint="eastAsia" w:cs="Calibri"/>
                <w:snapToGrid w:val="0"/>
                <w:color w:val="auto"/>
                <w:spacing w:val="-2"/>
                <w:kern w:val="0"/>
                <w:szCs w:val="21"/>
              </w:rPr>
              <w:t>对喷水织造行业进行全面的整治提升专项行动</w:t>
            </w:r>
            <w:r>
              <w:rPr>
                <w:rFonts w:hint="eastAsia" w:cs="Calibri"/>
                <w:snapToGrid w:val="0"/>
                <w:color w:val="auto"/>
                <w:spacing w:val="-2"/>
                <w:kern w:val="0"/>
                <w:szCs w:val="21"/>
                <w:lang w:eastAsia="zh-CN"/>
              </w:rPr>
              <w:t>。</w:t>
            </w:r>
          </w:p>
          <w:p w14:paraId="11B1CD8D">
            <w:pPr>
              <w:overflowPunct w:val="0"/>
              <w:adjustRightInd w:val="0"/>
              <w:snapToGrid w:val="0"/>
              <w:spacing w:line="360" w:lineRule="auto"/>
              <w:ind w:firstLine="412" w:firstLineChars="200"/>
              <w:jc w:val="left"/>
              <w:rPr>
                <w:rFonts w:hint="eastAsia" w:cs="Calibri"/>
                <w:snapToGrid w:val="0"/>
                <w:color w:val="auto"/>
                <w:spacing w:val="-2"/>
                <w:kern w:val="0"/>
                <w:szCs w:val="21"/>
                <w:lang w:val="en-US" w:eastAsia="zh-CN"/>
              </w:rPr>
            </w:pPr>
            <w:r>
              <w:rPr>
                <w:rFonts w:hint="eastAsia" w:cs="Calibri"/>
                <w:snapToGrid w:val="0"/>
                <w:color w:val="auto"/>
                <w:spacing w:val="-2"/>
                <w:kern w:val="0"/>
                <w:szCs w:val="21"/>
                <w:lang w:val="en-US" w:eastAsia="zh-CN"/>
              </w:rPr>
              <w:t>2023年，吴江区</w:t>
            </w:r>
            <w:r>
              <w:rPr>
                <w:rFonts w:hint="eastAsia" w:cs="Calibri"/>
                <w:snapToGrid w:val="0"/>
                <w:color w:val="auto"/>
                <w:spacing w:val="-2"/>
                <w:kern w:val="0"/>
                <w:szCs w:val="21"/>
              </w:rPr>
              <w:t>编制了《吴江区2023年喷水织造企业整治提升规范化要求(试行)》</w:t>
            </w:r>
            <w:r>
              <w:rPr>
                <w:rFonts w:hint="eastAsia" w:cs="Calibri"/>
                <w:snapToGrid w:val="0"/>
                <w:color w:val="auto"/>
                <w:spacing w:val="-2"/>
                <w:kern w:val="0"/>
                <w:szCs w:val="21"/>
                <w:lang w:eastAsia="zh-CN"/>
              </w:rPr>
              <w:t>，</w:t>
            </w:r>
            <w:r>
              <w:rPr>
                <w:rFonts w:hint="eastAsia" w:cs="Calibri"/>
                <w:snapToGrid w:val="0"/>
                <w:color w:val="auto"/>
                <w:spacing w:val="-2"/>
                <w:kern w:val="0"/>
                <w:szCs w:val="21"/>
                <w:lang w:val="en-US" w:eastAsia="zh-CN"/>
              </w:rPr>
              <w:t>区突出生态环境问题</w:t>
            </w:r>
            <w:r>
              <w:rPr>
                <w:rFonts w:hint="eastAsia" w:cs="Calibri"/>
                <w:snapToGrid w:val="0"/>
                <w:color w:val="auto"/>
                <w:spacing w:val="-2"/>
                <w:kern w:val="0"/>
                <w:szCs w:val="21"/>
                <w:lang w:eastAsia="zh-CN"/>
              </w:rPr>
              <w:t>整改工作专班</w:t>
            </w:r>
            <w:r>
              <w:rPr>
                <w:rFonts w:hint="eastAsia" w:cs="Calibri"/>
                <w:snapToGrid w:val="0"/>
                <w:color w:val="auto"/>
                <w:spacing w:val="-2"/>
                <w:kern w:val="0"/>
                <w:szCs w:val="21"/>
                <w:lang w:val="en-US" w:eastAsia="zh-CN"/>
              </w:rPr>
              <w:t>对照该要求实施了企业现场评定打分制度。同时，还发布了</w:t>
            </w:r>
            <w:r>
              <w:rPr>
                <w:rFonts w:hint="eastAsia" w:cs="Calibri"/>
                <w:snapToGrid w:val="0"/>
                <w:color w:val="auto"/>
                <w:spacing w:val="-2"/>
                <w:kern w:val="0"/>
                <w:szCs w:val="21"/>
                <w:lang w:eastAsia="zh-CN"/>
              </w:rPr>
              <w:t>《</w:t>
            </w:r>
            <w:r>
              <w:rPr>
                <w:rFonts w:hint="eastAsia" w:cs="Calibri"/>
                <w:snapToGrid w:val="0"/>
                <w:color w:val="auto"/>
                <w:spacing w:val="-2"/>
                <w:kern w:val="0"/>
                <w:szCs w:val="21"/>
              </w:rPr>
              <w:t>吴江区喷水织机更新管理要求(试行)</w:t>
            </w:r>
            <w:r>
              <w:rPr>
                <w:rFonts w:hint="eastAsia" w:cs="Calibri"/>
                <w:snapToGrid w:val="0"/>
                <w:color w:val="auto"/>
                <w:spacing w:val="-2"/>
                <w:kern w:val="0"/>
                <w:szCs w:val="21"/>
                <w:lang w:eastAsia="zh-CN"/>
              </w:rPr>
              <w:t>》（</w:t>
            </w:r>
            <w:r>
              <w:rPr>
                <w:rFonts w:hint="eastAsia" w:cs="Calibri"/>
                <w:snapToGrid w:val="0"/>
                <w:color w:val="auto"/>
                <w:spacing w:val="-2"/>
                <w:kern w:val="0"/>
                <w:szCs w:val="21"/>
                <w:lang w:val="en-US" w:eastAsia="zh-CN"/>
              </w:rPr>
              <w:t>吴环专班〔2023〕8号</w:t>
            </w:r>
            <w:r>
              <w:rPr>
                <w:rFonts w:hint="eastAsia" w:cs="Calibri"/>
                <w:snapToGrid w:val="0"/>
                <w:color w:val="auto"/>
                <w:spacing w:val="-2"/>
                <w:kern w:val="0"/>
                <w:szCs w:val="21"/>
                <w:lang w:eastAsia="zh-CN"/>
              </w:rPr>
              <w:t>），</w:t>
            </w:r>
            <w:r>
              <w:rPr>
                <w:rFonts w:hint="eastAsia" w:cs="Calibri"/>
                <w:snapToGrid w:val="0"/>
                <w:color w:val="auto"/>
                <w:spacing w:val="-2"/>
                <w:kern w:val="0"/>
                <w:szCs w:val="21"/>
                <w:lang w:val="en-US" w:eastAsia="zh-CN"/>
              </w:rPr>
              <w:t>该要求明确：“第三条 区镇在完成年度任务的基础上，超额完成的部分可作为区镇申请增加的依据台数，区工作专班定期通报各地完成进展情况，可作为属地或部门对项目立项依据。第四条 喷水织造项目立项，由现有织造企业或新办企业提出书面申请，须经属地政府同意，符合区突出生态环境问题整改工作专班定期通报的评分情况，可办理相关审批手续。第五条 现有织造企业必须是综合评价得分达到80分及以上。评分标准由区突出生态环境问题整改工作专班印发，属地进行预评价后报工作专班现场核实评价。”</w:t>
            </w:r>
          </w:p>
          <w:p w14:paraId="74BCA924">
            <w:pPr>
              <w:overflowPunct w:val="0"/>
              <w:adjustRightInd w:val="0"/>
              <w:snapToGrid w:val="0"/>
              <w:spacing w:line="360" w:lineRule="auto"/>
              <w:ind w:firstLine="412" w:firstLineChars="200"/>
              <w:jc w:val="left"/>
              <w:rPr>
                <w:rFonts w:hint="default" w:cs="Calibri"/>
                <w:snapToGrid w:val="0"/>
                <w:color w:val="auto"/>
                <w:spacing w:val="-2"/>
                <w:kern w:val="0"/>
                <w:szCs w:val="21"/>
                <w:lang w:val="en-US" w:eastAsia="zh-CN"/>
              </w:rPr>
            </w:pPr>
            <w:r>
              <w:rPr>
                <w:rFonts w:hint="eastAsia" w:cs="Calibri"/>
                <w:snapToGrid w:val="0"/>
                <w:color w:val="auto"/>
                <w:spacing w:val="-2"/>
                <w:kern w:val="0"/>
                <w:szCs w:val="21"/>
                <w:lang w:val="en-US" w:eastAsia="zh-CN"/>
              </w:rPr>
              <w:t>根据《吴江区加快推动突出生态环境问题整改工作方案》（吴办〔2022〕90号）等相关文件可知：“喷织企业整治并通过验收后，可以办理立项和环评，区整改专班出具验收通过企业名单，由区行政审批局、盛泽镇、平望镇等负责项目立项。”</w:t>
            </w:r>
          </w:p>
          <w:p w14:paraId="5CA62FF2">
            <w:pPr>
              <w:overflowPunct w:val="0"/>
              <w:adjustRightInd w:val="0"/>
              <w:snapToGrid w:val="0"/>
              <w:spacing w:line="360" w:lineRule="auto"/>
              <w:ind w:firstLine="412" w:firstLineChars="200"/>
              <w:jc w:val="left"/>
              <w:rPr>
                <w:rFonts w:hint="eastAsia" w:cs="Calibri"/>
                <w:snapToGrid w:val="0"/>
                <w:color w:val="auto"/>
                <w:spacing w:val="-2"/>
                <w:kern w:val="0"/>
                <w:szCs w:val="21"/>
              </w:rPr>
            </w:pPr>
            <w:r>
              <w:rPr>
                <w:rFonts w:hint="eastAsia" w:cs="Calibri"/>
                <w:snapToGrid w:val="0"/>
                <w:color w:val="auto"/>
                <w:spacing w:val="-2"/>
                <w:kern w:val="0"/>
                <w:szCs w:val="21"/>
                <w:lang w:val="en-US" w:eastAsia="zh-CN"/>
              </w:rPr>
              <w:t>根据</w:t>
            </w:r>
            <w:r>
              <w:rPr>
                <w:rFonts w:hint="eastAsia" w:cs="Calibri"/>
                <w:snapToGrid w:val="0"/>
                <w:color w:val="auto"/>
                <w:spacing w:val="-2"/>
                <w:kern w:val="0"/>
                <w:szCs w:val="21"/>
              </w:rPr>
              <w:t>桃源镇喷水织造企业完善行政审批手续申请表</w:t>
            </w:r>
            <w:r>
              <w:rPr>
                <w:rFonts w:hint="eastAsia" w:cs="Calibri"/>
                <w:snapToGrid w:val="0"/>
                <w:color w:val="auto"/>
                <w:spacing w:val="-2"/>
                <w:kern w:val="0"/>
                <w:szCs w:val="21"/>
                <w:lang w:val="en-US" w:eastAsia="zh-CN"/>
              </w:rPr>
              <w:t>可知，吴江市国悦纺织品有限公司顺利通过了区突出生态环境问题整改工作专班验收，吸纳吴江市福昆纺织有限公司喷水织机台数136台，核查得分为80分，故可办理喷水织造项目立项和环评</w:t>
            </w:r>
            <w:r>
              <w:rPr>
                <w:rFonts w:hint="eastAsia" w:cs="Calibri"/>
                <w:snapToGrid w:val="0"/>
                <w:color w:val="auto"/>
                <w:spacing w:val="-2"/>
                <w:kern w:val="0"/>
                <w:szCs w:val="21"/>
              </w:rPr>
              <w:t>手续。</w:t>
            </w:r>
          </w:p>
          <w:p w14:paraId="5E237759">
            <w:pPr>
              <w:widowControl w:val="0"/>
              <w:wordWrap/>
              <w:overflowPunct w:val="0"/>
              <w:adjustRightInd w:val="0"/>
              <w:snapToGrid w:val="0"/>
              <w:spacing w:line="360" w:lineRule="auto"/>
              <w:ind w:firstLine="412" w:firstLineChars="200"/>
              <w:jc w:val="left"/>
              <w:textAlignment w:val="auto"/>
              <w:rPr>
                <w:rFonts w:hint="eastAsia" w:cs="Calibri"/>
                <w:snapToGrid w:val="0"/>
                <w:color w:val="auto"/>
                <w:spacing w:val="-2"/>
                <w:kern w:val="0"/>
                <w:szCs w:val="21"/>
              </w:rPr>
            </w:pPr>
            <w:r>
              <w:rPr>
                <w:rFonts w:hint="eastAsia" w:cs="Calibri"/>
                <w:snapToGrid w:val="0"/>
                <w:color w:val="auto"/>
                <w:spacing w:val="-2"/>
                <w:kern w:val="0"/>
                <w:szCs w:val="21"/>
                <w:lang w:val="en-US" w:eastAsia="zh-CN"/>
              </w:rPr>
              <w:t>在上述背景下，吴江市国悦纺织品有限公司于2025年9月2日</w:t>
            </w:r>
            <w:r>
              <w:rPr>
                <w:rFonts w:hint="eastAsia" w:cs="Calibri"/>
                <w:snapToGrid w:val="0"/>
                <w:color w:val="auto"/>
                <w:spacing w:val="-2"/>
                <w:kern w:val="0"/>
                <w:szCs w:val="21"/>
              </w:rPr>
              <w:t>获得</w:t>
            </w:r>
            <w:r>
              <w:rPr>
                <w:rFonts w:hint="eastAsia" w:cs="Calibri"/>
                <w:snapToGrid w:val="0"/>
                <w:color w:val="auto"/>
                <w:spacing w:val="-2"/>
                <w:kern w:val="0"/>
                <w:szCs w:val="21"/>
                <w:lang w:eastAsia="zh-CN"/>
              </w:rPr>
              <w:t>苏州市吴江区数据局</w:t>
            </w:r>
            <w:r>
              <w:rPr>
                <w:rFonts w:hint="eastAsia" w:cs="Calibri"/>
                <w:snapToGrid w:val="0"/>
                <w:color w:val="auto"/>
                <w:spacing w:val="-2"/>
                <w:kern w:val="0"/>
                <w:szCs w:val="21"/>
              </w:rPr>
              <w:t>备案，备案证号为</w:t>
            </w:r>
            <w:r>
              <w:rPr>
                <w:rFonts w:hint="eastAsia" w:cs="Calibri"/>
                <w:snapToGrid w:val="0"/>
                <w:color w:val="auto"/>
                <w:spacing w:val="-2"/>
                <w:kern w:val="0"/>
                <w:szCs w:val="21"/>
                <w:lang w:eastAsia="zh-CN"/>
              </w:rPr>
              <w:t>吴数据备〔2025〕440号</w:t>
            </w:r>
            <w:r>
              <w:rPr>
                <w:rFonts w:hint="eastAsia" w:cs="Calibri"/>
                <w:snapToGrid w:val="0"/>
                <w:color w:val="auto"/>
                <w:spacing w:val="-2"/>
                <w:kern w:val="0"/>
                <w:szCs w:val="21"/>
              </w:rPr>
              <w:t>，项目代码</w:t>
            </w:r>
            <w:r>
              <w:rPr>
                <w:rFonts w:hint="eastAsia" w:cs="Calibri"/>
                <w:snapToGrid w:val="0"/>
                <w:color w:val="auto"/>
                <w:spacing w:val="-2"/>
                <w:kern w:val="0"/>
                <w:szCs w:val="21"/>
                <w:lang w:eastAsia="zh-CN"/>
              </w:rPr>
              <w:t>2501-320509-89-02-572078</w:t>
            </w:r>
            <w:r>
              <w:rPr>
                <w:rFonts w:hint="eastAsia" w:cs="Calibri"/>
                <w:snapToGrid w:val="0"/>
                <w:color w:val="auto"/>
                <w:spacing w:val="-2"/>
                <w:kern w:val="0"/>
                <w:szCs w:val="21"/>
              </w:rPr>
              <w:t>。</w:t>
            </w:r>
            <w:r>
              <w:rPr>
                <w:rFonts w:hint="eastAsia" w:cs="Calibri"/>
                <w:snapToGrid w:val="0"/>
                <w:color w:val="auto"/>
                <w:spacing w:val="-2"/>
                <w:kern w:val="0"/>
                <w:szCs w:val="21"/>
                <w:lang w:val="en-US" w:eastAsia="zh-CN"/>
              </w:rPr>
              <w:t>该项目</w:t>
            </w:r>
            <w:r>
              <w:rPr>
                <w:rFonts w:hint="eastAsia" w:cs="Calibri"/>
                <w:snapToGrid w:val="0"/>
                <w:color w:val="auto"/>
                <w:spacing w:val="-2"/>
                <w:kern w:val="0"/>
                <w:szCs w:val="21"/>
              </w:rPr>
              <w:t>投资</w:t>
            </w:r>
            <w:r>
              <w:rPr>
                <w:rFonts w:hint="eastAsia" w:cs="Calibri"/>
                <w:snapToGrid w:val="0"/>
                <w:color w:val="auto"/>
                <w:spacing w:val="-2"/>
                <w:kern w:val="0"/>
                <w:szCs w:val="21"/>
                <w:lang w:val="en-US" w:eastAsia="zh-CN"/>
              </w:rPr>
              <w:t>1500</w:t>
            </w:r>
            <w:r>
              <w:rPr>
                <w:rFonts w:hint="eastAsia" w:cs="Calibri"/>
                <w:snapToGrid w:val="0"/>
                <w:color w:val="auto"/>
                <w:spacing w:val="-2"/>
                <w:kern w:val="0"/>
                <w:szCs w:val="21"/>
              </w:rPr>
              <w:t>万元，利用位于苏州市</w:t>
            </w:r>
            <w:r>
              <w:rPr>
                <w:rFonts w:hint="eastAsia" w:cs="Calibri"/>
                <w:snapToGrid w:val="0"/>
                <w:color w:val="auto"/>
                <w:spacing w:val="-2"/>
                <w:kern w:val="0"/>
                <w:szCs w:val="21"/>
                <w:lang w:eastAsia="zh-CN"/>
              </w:rPr>
              <w:t>吴江区桃源镇澄源村</w:t>
            </w:r>
            <w:r>
              <w:rPr>
                <w:rFonts w:hint="eastAsia" w:cs="Calibri"/>
                <w:snapToGrid w:val="0"/>
                <w:color w:val="auto"/>
                <w:spacing w:val="-2"/>
                <w:kern w:val="0"/>
                <w:szCs w:val="21"/>
              </w:rPr>
              <w:t>自有</w:t>
            </w:r>
            <w:r>
              <w:rPr>
                <w:rFonts w:hint="eastAsia" w:cs="Calibri"/>
                <w:snapToGrid w:val="0"/>
                <w:color w:val="auto"/>
                <w:spacing w:val="-2"/>
                <w:kern w:val="0"/>
                <w:szCs w:val="21"/>
                <w:lang w:val="en-US" w:eastAsia="zh-CN"/>
              </w:rPr>
              <w:t>土地</w:t>
            </w:r>
            <w:r>
              <w:rPr>
                <w:rFonts w:hint="eastAsia" w:cs="Calibri"/>
                <w:snapToGrid w:val="0"/>
                <w:color w:val="auto"/>
                <w:spacing w:val="-2"/>
                <w:kern w:val="0"/>
                <w:szCs w:val="21"/>
              </w:rPr>
              <w:t>，建设</w:t>
            </w:r>
            <w:r>
              <w:rPr>
                <w:rFonts w:hint="eastAsia" w:cs="Calibri"/>
                <w:snapToGrid w:val="0"/>
                <w:color w:val="auto"/>
                <w:spacing w:val="-2"/>
                <w:kern w:val="0"/>
                <w:szCs w:val="21"/>
                <w:lang w:val="en-US" w:eastAsia="zh-CN"/>
              </w:rPr>
              <w:t>高档纺织面料生产线技术改造项目</w:t>
            </w:r>
            <w:r>
              <w:rPr>
                <w:rFonts w:hint="eastAsia" w:cs="Calibri"/>
                <w:snapToGrid w:val="0"/>
                <w:color w:val="auto"/>
                <w:spacing w:val="-2"/>
                <w:kern w:val="0"/>
                <w:szCs w:val="21"/>
              </w:rPr>
              <w:t>。</w:t>
            </w:r>
          </w:p>
          <w:p w14:paraId="4DCEB479">
            <w:pPr>
              <w:widowControl w:val="0"/>
              <w:wordWrap/>
              <w:overflowPunct w:val="0"/>
              <w:adjustRightInd w:val="0"/>
              <w:snapToGrid w:val="0"/>
              <w:spacing w:line="360" w:lineRule="auto"/>
              <w:ind w:firstLine="412" w:firstLineChars="200"/>
              <w:jc w:val="left"/>
              <w:textAlignment w:val="auto"/>
              <w:rPr>
                <w:rFonts w:cs="Calibri"/>
                <w:snapToGrid w:val="0"/>
                <w:color w:val="auto"/>
                <w:spacing w:val="-2"/>
                <w:kern w:val="0"/>
                <w:szCs w:val="21"/>
              </w:rPr>
            </w:pPr>
            <w:r>
              <w:rPr>
                <w:rFonts w:hint="eastAsia" w:cs="Calibri"/>
                <w:snapToGrid w:val="0"/>
                <w:color w:val="auto"/>
                <w:spacing w:val="-2"/>
                <w:kern w:val="0"/>
                <w:szCs w:val="21"/>
              </w:rPr>
              <w:t>根据《建设项目环境影响评价分类管理名录》（</w:t>
            </w:r>
            <w:r>
              <w:rPr>
                <w:rFonts w:cs="Calibri"/>
                <w:snapToGrid w:val="0"/>
                <w:color w:val="auto"/>
                <w:spacing w:val="-2"/>
                <w:kern w:val="0"/>
                <w:szCs w:val="21"/>
              </w:rPr>
              <w:t>2021</w:t>
            </w:r>
            <w:r>
              <w:rPr>
                <w:rFonts w:hint="eastAsia" w:cs="Calibri"/>
                <w:snapToGrid w:val="0"/>
                <w:color w:val="auto"/>
                <w:spacing w:val="-2"/>
                <w:kern w:val="0"/>
                <w:szCs w:val="21"/>
              </w:rPr>
              <w:t>年版），本项目属于“十四、纺织业</w:t>
            </w:r>
            <w:r>
              <w:rPr>
                <w:rFonts w:cs="Calibri"/>
                <w:snapToGrid w:val="0"/>
                <w:color w:val="auto"/>
                <w:spacing w:val="-2"/>
                <w:kern w:val="0"/>
                <w:szCs w:val="21"/>
              </w:rPr>
              <w:t xml:space="preserve">17 </w:t>
            </w:r>
            <w:r>
              <w:rPr>
                <w:rFonts w:hint="eastAsia" w:cs="Calibri"/>
                <w:snapToGrid w:val="0"/>
                <w:color w:val="auto"/>
                <w:spacing w:val="-2"/>
                <w:kern w:val="0"/>
                <w:szCs w:val="21"/>
              </w:rPr>
              <w:t>化纤织造及印染精加工</w:t>
            </w:r>
            <w:r>
              <w:rPr>
                <w:rFonts w:cs="Calibri"/>
                <w:snapToGrid w:val="0"/>
                <w:color w:val="auto"/>
                <w:spacing w:val="-2"/>
                <w:kern w:val="0"/>
                <w:szCs w:val="21"/>
              </w:rPr>
              <w:t>175</w:t>
            </w:r>
            <w:r>
              <w:rPr>
                <w:rFonts w:hint="eastAsia" w:cs="Calibri"/>
                <w:snapToGrid w:val="0"/>
                <w:color w:val="auto"/>
                <w:spacing w:val="-2"/>
                <w:kern w:val="0"/>
                <w:szCs w:val="21"/>
              </w:rPr>
              <w:t>中</w:t>
            </w:r>
            <w:r>
              <w:rPr>
                <w:rFonts w:cs="Calibri"/>
                <w:snapToGrid w:val="0"/>
                <w:color w:val="auto"/>
                <w:spacing w:val="-2"/>
                <w:kern w:val="0"/>
                <w:szCs w:val="21"/>
              </w:rPr>
              <w:t xml:space="preserve"> </w:t>
            </w:r>
            <w:r>
              <w:rPr>
                <w:rFonts w:hint="eastAsia" w:cs="Calibri"/>
                <w:snapToGrid w:val="0"/>
                <w:color w:val="auto"/>
                <w:spacing w:val="-2"/>
                <w:kern w:val="0"/>
                <w:szCs w:val="21"/>
              </w:rPr>
              <w:t>有喷水织造工艺的”，需编制建设项目环境影响评价报告表。根据《中华人民共和国环境保护法》、《中华人民共和国环境影响评价法》和《建设项目环境保护管理条例》的有关规定和要求，</w:t>
            </w:r>
            <w:r>
              <w:rPr>
                <w:rFonts w:hint="eastAsia" w:cs="Calibri"/>
                <w:snapToGrid w:val="0"/>
                <w:color w:val="auto"/>
                <w:spacing w:val="-2"/>
                <w:kern w:val="0"/>
                <w:szCs w:val="21"/>
                <w:lang w:val="en-US" w:eastAsia="zh-CN"/>
              </w:rPr>
              <w:t>吴江市国悦纺织品有限公司</w:t>
            </w:r>
            <w:r>
              <w:rPr>
                <w:rFonts w:hint="eastAsia" w:cs="Calibri"/>
                <w:snapToGrid w:val="0"/>
                <w:color w:val="auto"/>
                <w:spacing w:val="-2"/>
                <w:kern w:val="0"/>
                <w:szCs w:val="21"/>
              </w:rPr>
              <w:t>委托我公司承担本项目的环境影响评价工作。在前期资料收集、现场勘探的基础上，调查了解项目所在地自然与社会环境状况、相关规划和有关技术资料，对项目进行环境质量现状分析、影响分析等，结合国家相关法律法规、政策和标准，在此基础上编写了环境影响报告表。</w:t>
            </w:r>
          </w:p>
          <w:p w14:paraId="237605AE">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2</w:t>
            </w:r>
            <w:r>
              <w:rPr>
                <w:rFonts w:hint="eastAsia"/>
                <w:b/>
                <w:bCs/>
                <w:snapToGrid w:val="0"/>
                <w:color w:val="auto"/>
                <w:spacing w:val="-2"/>
                <w:kern w:val="0"/>
                <w:szCs w:val="21"/>
              </w:rPr>
              <w:t>、产品方案</w:t>
            </w:r>
          </w:p>
          <w:p w14:paraId="54340E4C">
            <w:pPr>
              <w:overflowPunct w:val="0"/>
              <w:adjustRightInd w:val="0"/>
              <w:snapToGrid w:val="0"/>
              <w:spacing w:line="360" w:lineRule="auto"/>
              <w:ind w:firstLine="412" w:firstLineChars="200"/>
              <w:jc w:val="left"/>
              <w:rPr>
                <w:rFonts w:hint="eastAsia" w:cs="Calibri"/>
                <w:snapToGrid w:val="0"/>
                <w:color w:val="auto"/>
                <w:spacing w:val="-2"/>
                <w:kern w:val="0"/>
                <w:szCs w:val="21"/>
              </w:rPr>
            </w:pPr>
            <w:r>
              <w:rPr>
                <w:rFonts w:hint="eastAsia" w:cs="Calibri"/>
                <w:snapToGrid w:val="0"/>
                <w:color w:val="auto"/>
                <w:spacing w:val="-2"/>
                <w:kern w:val="0"/>
                <w:szCs w:val="21"/>
                <w:lang w:val="en-US" w:eastAsia="zh-CN"/>
              </w:rPr>
              <w:t>苏州市吴江区桃源镇人民政府和苏州市吴江区数据局于2025年7月2日出具了情况说明：“为推动我镇喷水织造企业环评手续的办理，在不新增现有区域产能的前提下，对现已备案的43家喷水织造企业的纺织产能进行明确：允许保留喷水织机台数为专班明确的保留的台数，对于喷水织机台数保持不变的企业，按照原自查报告的纺织产能进行认定；对于喷水织机台数有变动的企业，按照原自查报告的纺织产能对应机台数变化进行同比例增减认定。经核实，43家喷水织造企业现共保留喷水织机9823台，纺织产能82079万米，不突破区域总产能</w:t>
            </w:r>
            <w:r>
              <w:rPr>
                <w:rFonts w:hint="eastAsia" w:cs="Calibri"/>
                <w:snapToGrid w:val="0"/>
                <w:color w:val="auto"/>
                <w:spacing w:val="-2"/>
                <w:kern w:val="0"/>
                <w:szCs w:val="21"/>
              </w:rPr>
              <w:t>。</w:t>
            </w:r>
            <w:r>
              <w:rPr>
                <w:rFonts w:hint="eastAsia" w:cs="Calibri"/>
                <w:snapToGrid w:val="0"/>
                <w:color w:val="auto"/>
                <w:spacing w:val="-2"/>
                <w:kern w:val="0"/>
                <w:szCs w:val="21"/>
                <w:lang w:val="en-US" w:eastAsia="zh-CN"/>
              </w:rPr>
              <w:t>”，本项目吸纳吴江市福昆纺织有限公司产能指标，故根据此情况说明，本项目产能为1088万米/年，</w:t>
            </w:r>
            <w:r>
              <w:rPr>
                <w:rFonts w:hint="eastAsia" w:cs="Calibri"/>
                <w:snapToGrid w:val="0"/>
                <w:color w:val="auto"/>
                <w:spacing w:val="-2"/>
                <w:kern w:val="0"/>
                <w:szCs w:val="21"/>
              </w:rPr>
              <w:t>产品方案见</w:t>
            </w:r>
            <w:r>
              <w:rPr>
                <w:rFonts w:hint="eastAsia" w:cs="Calibri"/>
                <w:snapToGrid w:val="0"/>
                <w:color w:val="auto"/>
                <w:spacing w:val="-2"/>
                <w:kern w:val="0"/>
                <w:szCs w:val="21"/>
                <w:lang w:val="en-US" w:eastAsia="zh-CN"/>
              </w:rPr>
              <w:t>下</w:t>
            </w:r>
            <w:r>
              <w:rPr>
                <w:rFonts w:hint="eastAsia" w:cs="Calibri"/>
                <w:snapToGrid w:val="0"/>
                <w:color w:val="auto"/>
                <w:spacing w:val="-2"/>
                <w:kern w:val="0"/>
                <w:szCs w:val="21"/>
              </w:rPr>
              <w:t>表。</w:t>
            </w:r>
          </w:p>
          <w:p w14:paraId="4598B075">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 xml:space="preserve">2-1  </w:t>
            </w:r>
            <w:r>
              <w:rPr>
                <w:rFonts w:hint="eastAsia"/>
                <w:b/>
                <w:snapToGrid w:val="0"/>
                <w:color w:val="auto"/>
                <w:szCs w:val="21"/>
              </w:rPr>
              <w:t>本项目产品方案一览表</w:t>
            </w:r>
          </w:p>
          <w:tbl>
            <w:tblPr>
              <w:tblStyle w:val="26"/>
              <w:tblW w:w="770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91"/>
              <w:gridCol w:w="1458"/>
              <w:gridCol w:w="1680"/>
              <w:gridCol w:w="2385"/>
              <w:gridCol w:w="1200"/>
              <w:gridCol w:w="592"/>
            </w:tblGrid>
            <w:tr w14:paraId="6BFE08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515" w:hRule="atLeast"/>
                <w:tblHeader/>
                <w:jc w:val="center"/>
              </w:trPr>
              <w:tc>
                <w:tcPr>
                  <w:tcW w:w="391" w:type="dxa"/>
                  <w:tcBorders>
                    <w:tl2br w:val="nil"/>
                    <w:tr2bl w:val="nil"/>
                  </w:tcBorders>
                  <w:vAlign w:val="center"/>
                </w:tcPr>
                <w:p w14:paraId="03E8320C">
                  <w:pPr>
                    <w:pStyle w:val="54"/>
                    <w:spacing w:beforeLines="0"/>
                    <w:rPr>
                      <w:color w:val="auto"/>
                      <w:sz w:val="18"/>
                      <w:szCs w:val="18"/>
                    </w:rPr>
                  </w:pPr>
                  <w:r>
                    <w:rPr>
                      <w:rFonts w:hint="eastAsia"/>
                      <w:color w:val="auto"/>
                      <w:sz w:val="18"/>
                      <w:szCs w:val="18"/>
                    </w:rPr>
                    <w:t>序号</w:t>
                  </w:r>
                </w:p>
              </w:tc>
              <w:tc>
                <w:tcPr>
                  <w:tcW w:w="1458" w:type="dxa"/>
                  <w:tcBorders>
                    <w:tl2br w:val="nil"/>
                    <w:tr2bl w:val="nil"/>
                  </w:tcBorders>
                  <w:vAlign w:val="center"/>
                </w:tcPr>
                <w:p w14:paraId="588B9DB7">
                  <w:pPr>
                    <w:pStyle w:val="54"/>
                    <w:spacing w:beforeLines="0"/>
                    <w:rPr>
                      <w:color w:val="auto"/>
                      <w:sz w:val="18"/>
                      <w:szCs w:val="18"/>
                    </w:rPr>
                  </w:pPr>
                  <w:r>
                    <w:rPr>
                      <w:rFonts w:hint="eastAsia"/>
                      <w:color w:val="auto"/>
                      <w:sz w:val="18"/>
                      <w:szCs w:val="18"/>
                    </w:rPr>
                    <w:t>产品名称</w:t>
                  </w:r>
                </w:p>
              </w:tc>
              <w:tc>
                <w:tcPr>
                  <w:tcW w:w="1680" w:type="dxa"/>
                  <w:tcBorders>
                    <w:tl2br w:val="nil"/>
                    <w:tr2bl w:val="nil"/>
                  </w:tcBorders>
                  <w:vAlign w:val="center"/>
                </w:tcPr>
                <w:p w14:paraId="6D715330">
                  <w:pPr>
                    <w:pStyle w:val="54"/>
                    <w:spacing w:beforeLines="0"/>
                    <w:rPr>
                      <w:color w:val="auto"/>
                      <w:sz w:val="18"/>
                      <w:szCs w:val="18"/>
                    </w:rPr>
                  </w:pPr>
                  <w:r>
                    <w:rPr>
                      <w:rFonts w:hint="eastAsia"/>
                      <w:color w:val="auto"/>
                      <w:sz w:val="18"/>
                      <w:szCs w:val="18"/>
                    </w:rPr>
                    <w:t>规格参数</w:t>
                  </w:r>
                </w:p>
              </w:tc>
              <w:tc>
                <w:tcPr>
                  <w:tcW w:w="2385" w:type="dxa"/>
                  <w:tcBorders>
                    <w:tl2br w:val="nil"/>
                    <w:tr2bl w:val="nil"/>
                  </w:tcBorders>
                  <w:vAlign w:val="center"/>
                </w:tcPr>
                <w:p w14:paraId="78B58C92">
                  <w:pPr>
                    <w:pStyle w:val="54"/>
                    <w:spacing w:beforeLines="0"/>
                    <w:rPr>
                      <w:color w:val="auto"/>
                      <w:sz w:val="18"/>
                      <w:szCs w:val="18"/>
                    </w:rPr>
                  </w:pPr>
                  <w:r>
                    <w:rPr>
                      <w:rFonts w:hint="eastAsia"/>
                      <w:color w:val="auto"/>
                      <w:sz w:val="18"/>
                      <w:szCs w:val="18"/>
                    </w:rPr>
                    <w:t>年设计能力</w:t>
                  </w:r>
                  <w:r>
                    <w:rPr>
                      <w:color w:val="auto"/>
                      <w:sz w:val="18"/>
                      <w:szCs w:val="18"/>
                    </w:rPr>
                    <w:t xml:space="preserve"> </w:t>
                  </w:r>
                  <w:r>
                    <w:rPr>
                      <w:rFonts w:hint="eastAsia"/>
                      <w:color w:val="auto"/>
                      <w:sz w:val="18"/>
                      <w:szCs w:val="18"/>
                    </w:rPr>
                    <w:t>万米</w:t>
                  </w:r>
                  <w:r>
                    <w:rPr>
                      <w:color w:val="auto"/>
                      <w:sz w:val="18"/>
                      <w:szCs w:val="18"/>
                    </w:rPr>
                    <w:t>/a</w:t>
                  </w:r>
                </w:p>
              </w:tc>
              <w:tc>
                <w:tcPr>
                  <w:tcW w:w="1200" w:type="dxa"/>
                  <w:tcBorders>
                    <w:tl2br w:val="nil"/>
                    <w:tr2bl w:val="nil"/>
                  </w:tcBorders>
                  <w:vAlign w:val="center"/>
                </w:tcPr>
                <w:p w14:paraId="27F8E9A1">
                  <w:pPr>
                    <w:pStyle w:val="54"/>
                    <w:spacing w:beforeLines="0"/>
                    <w:rPr>
                      <w:color w:val="auto"/>
                      <w:sz w:val="18"/>
                      <w:szCs w:val="18"/>
                    </w:rPr>
                  </w:pPr>
                  <w:r>
                    <w:rPr>
                      <w:rFonts w:hint="eastAsia"/>
                      <w:color w:val="auto"/>
                      <w:sz w:val="18"/>
                      <w:szCs w:val="18"/>
                    </w:rPr>
                    <w:t>年运行时数</w:t>
                  </w:r>
                  <w:r>
                    <w:rPr>
                      <w:color w:val="auto"/>
                      <w:sz w:val="18"/>
                      <w:szCs w:val="18"/>
                    </w:rPr>
                    <w:t>h</w:t>
                  </w:r>
                </w:p>
              </w:tc>
              <w:tc>
                <w:tcPr>
                  <w:tcW w:w="592" w:type="dxa"/>
                  <w:tcBorders>
                    <w:tl2br w:val="nil"/>
                    <w:tr2bl w:val="nil"/>
                  </w:tcBorders>
                  <w:vAlign w:val="center"/>
                </w:tcPr>
                <w:p w14:paraId="60D072A5">
                  <w:pPr>
                    <w:pStyle w:val="54"/>
                    <w:spacing w:beforeLines="0"/>
                    <w:rPr>
                      <w:color w:val="auto"/>
                      <w:sz w:val="18"/>
                      <w:szCs w:val="18"/>
                    </w:rPr>
                  </w:pPr>
                  <w:r>
                    <w:rPr>
                      <w:rFonts w:hint="eastAsia"/>
                      <w:color w:val="auto"/>
                      <w:sz w:val="18"/>
                      <w:szCs w:val="18"/>
                    </w:rPr>
                    <w:t>备注</w:t>
                  </w:r>
                </w:p>
              </w:tc>
            </w:tr>
            <w:tr w14:paraId="11092C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391" w:type="dxa"/>
                  <w:tcBorders>
                    <w:tl2br w:val="nil"/>
                    <w:tr2bl w:val="nil"/>
                  </w:tcBorders>
                  <w:vAlign w:val="center"/>
                </w:tcPr>
                <w:p w14:paraId="53A270E1">
                  <w:pPr>
                    <w:pStyle w:val="54"/>
                    <w:spacing w:beforeLines="0"/>
                    <w:rPr>
                      <w:rFonts w:hint="eastAsia" w:eastAsia="宋体"/>
                      <w:color w:val="auto"/>
                      <w:sz w:val="18"/>
                      <w:szCs w:val="18"/>
                      <w:lang w:val="en-US" w:eastAsia="zh-CN"/>
                    </w:rPr>
                  </w:pPr>
                </w:p>
              </w:tc>
              <w:tc>
                <w:tcPr>
                  <w:tcW w:w="1458" w:type="dxa"/>
                  <w:tcBorders>
                    <w:tl2br w:val="nil"/>
                    <w:tr2bl w:val="nil"/>
                  </w:tcBorders>
                  <w:vAlign w:val="center"/>
                </w:tcPr>
                <w:p w14:paraId="552FB00F">
                  <w:pPr>
                    <w:pStyle w:val="56"/>
                    <w:adjustRightInd w:val="0"/>
                    <w:snapToGrid w:val="0"/>
                    <w:spacing w:beforeLines="0"/>
                    <w:rPr>
                      <w:rFonts w:hint="eastAsia"/>
                      <w:color w:val="auto"/>
                      <w:sz w:val="18"/>
                      <w:szCs w:val="18"/>
                    </w:rPr>
                  </w:pPr>
                  <w:r>
                    <w:rPr>
                      <w:rFonts w:hint="eastAsia"/>
                      <w:color w:val="auto"/>
                      <w:sz w:val="18"/>
                      <w:szCs w:val="18"/>
                      <w:lang w:val="en-US" w:eastAsia="zh-CN"/>
                    </w:rPr>
                    <w:t>高档纺织面料</w:t>
                  </w:r>
                </w:p>
              </w:tc>
              <w:tc>
                <w:tcPr>
                  <w:tcW w:w="1680" w:type="dxa"/>
                  <w:tcBorders>
                    <w:tl2br w:val="nil"/>
                    <w:tr2bl w:val="nil"/>
                  </w:tcBorders>
                  <w:vAlign w:val="center"/>
                </w:tcPr>
                <w:p w14:paraId="543E0136">
                  <w:pPr>
                    <w:pStyle w:val="56"/>
                    <w:adjustRightInd w:val="0"/>
                    <w:snapToGrid w:val="0"/>
                    <w:spacing w:beforeLines="0"/>
                    <w:rPr>
                      <w:rFonts w:hint="eastAsia"/>
                      <w:color w:val="auto"/>
                      <w:sz w:val="18"/>
                      <w:szCs w:val="18"/>
                    </w:rPr>
                  </w:pPr>
                  <w:r>
                    <w:rPr>
                      <w:rFonts w:hint="eastAsia"/>
                      <w:color w:val="auto"/>
                      <w:sz w:val="18"/>
                      <w:szCs w:val="18"/>
                    </w:rPr>
                    <w:t>万米布均重</w:t>
                  </w:r>
                  <w:r>
                    <w:rPr>
                      <w:rFonts w:hint="eastAsia"/>
                      <w:color w:val="auto"/>
                      <w:sz w:val="18"/>
                      <w:szCs w:val="18"/>
                      <w:lang w:val="en-US" w:eastAsia="zh-CN"/>
                    </w:rPr>
                    <w:t>2.55</w:t>
                  </w:r>
                  <w:r>
                    <w:rPr>
                      <w:rFonts w:hint="eastAsia"/>
                      <w:color w:val="auto"/>
                      <w:sz w:val="18"/>
                      <w:szCs w:val="18"/>
                    </w:rPr>
                    <w:t>t</w:t>
                  </w:r>
                </w:p>
              </w:tc>
              <w:tc>
                <w:tcPr>
                  <w:tcW w:w="2385" w:type="dxa"/>
                  <w:tcBorders>
                    <w:tl2br w:val="nil"/>
                    <w:tr2bl w:val="nil"/>
                  </w:tcBorders>
                  <w:vAlign w:val="center"/>
                </w:tcPr>
                <w:p w14:paraId="50394320">
                  <w:pPr>
                    <w:pStyle w:val="54"/>
                    <w:spacing w:beforeLines="0"/>
                    <w:rPr>
                      <w:rFonts w:hint="default" w:eastAsia="宋体"/>
                      <w:color w:val="auto"/>
                      <w:sz w:val="18"/>
                      <w:szCs w:val="18"/>
                      <w:lang w:val="en-US" w:eastAsia="zh-CN"/>
                    </w:rPr>
                  </w:pPr>
                  <w:r>
                    <w:rPr>
                      <w:rFonts w:hint="eastAsia"/>
                      <w:color w:val="auto"/>
                      <w:sz w:val="18"/>
                      <w:szCs w:val="18"/>
                      <w:lang w:val="en-US" w:eastAsia="zh-CN"/>
                    </w:rPr>
                    <w:t>1088</w:t>
                  </w:r>
                </w:p>
              </w:tc>
              <w:tc>
                <w:tcPr>
                  <w:tcW w:w="1200" w:type="dxa"/>
                  <w:tcBorders>
                    <w:tl2br w:val="nil"/>
                    <w:tr2bl w:val="nil"/>
                  </w:tcBorders>
                  <w:vAlign w:val="center"/>
                </w:tcPr>
                <w:p w14:paraId="557822EE">
                  <w:pPr>
                    <w:pStyle w:val="54"/>
                    <w:spacing w:beforeLines="0"/>
                    <w:rPr>
                      <w:color w:val="auto"/>
                      <w:sz w:val="18"/>
                      <w:szCs w:val="18"/>
                    </w:rPr>
                  </w:pPr>
                  <w:r>
                    <w:rPr>
                      <w:rFonts w:hint="eastAsia"/>
                      <w:color w:val="auto"/>
                      <w:sz w:val="18"/>
                      <w:szCs w:val="18"/>
                      <w:lang w:eastAsia="zh-CN"/>
                    </w:rPr>
                    <w:t>8</w:t>
                  </w:r>
                  <w:r>
                    <w:rPr>
                      <w:rFonts w:hint="eastAsia"/>
                      <w:color w:val="auto"/>
                      <w:sz w:val="18"/>
                      <w:szCs w:val="18"/>
                      <w:lang w:val="en-US" w:eastAsia="zh-CN"/>
                    </w:rPr>
                    <w:t>7</w:t>
                  </w:r>
                  <w:r>
                    <w:rPr>
                      <w:rFonts w:hint="eastAsia"/>
                      <w:color w:val="auto"/>
                      <w:sz w:val="18"/>
                      <w:szCs w:val="18"/>
                      <w:lang w:eastAsia="zh-CN"/>
                    </w:rPr>
                    <w:t>60</w:t>
                  </w:r>
                </w:p>
              </w:tc>
              <w:tc>
                <w:tcPr>
                  <w:tcW w:w="592" w:type="dxa"/>
                  <w:tcBorders>
                    <w:tl2br w:val="nil"/>
                    <w:tr2bl w:val="nil"/>
                  </w:tcBorders>
                  <w:vAlign w:val="center"/>
                </w:tcPr>
                <w:p w14:paraId="14234324">
                  <w:pPr>
                    <w:pStyle w:val="56"/>
                    <w:adjustRightInd w:val="0"/>
                    <w:snapToGrid w:val="0"/>
                    <w:spacing w:beforeLines="0"/>
                    <w:rPr>
                      <w:color w:val="auto"/>
                      <w:sz w:val="18"/>
                      <w:szCs w:val="18"/>
                    </w:rPr>
                  </w:pPr>
                  <w:r>
                    <w:rPr>
                      <w:color w:val="auto"/>
                      <w:sz w:val="18"/>
                      <w:szCs w:val="18"/>
                    </w:rPr>
                    <w:t>/</w:t>
                  </w:r>
                </w:p>
              </w:tc>
            </w:tr>
          </w:tbl>
          <w:p w14:paraId="0D64F6A0">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3</w:t>
            </w:r>
            <w:r>
              <w:rPr>
                <w:rFonts w:hint="eastAsia"/>
                <w:b/>
                <w:bCs/>
                <w:snapToGrid w:val="0"/>
                <w:color w:val="auto"/>
                <w:spacing w:val="-2"/>
                <w:kern w:val="0"/>
                <w:szCs w:val="21"/>
              </w:rPr>
              <w:t>、工程内容</w:t>
            </w:r>
          </w:p>
          <w:p w14:paraId="6A26080D">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 xml:space="preserve">2-2  </w:t>
            </w:r>
            <w:r>
              <w:rPr>
                <w:rFonts w:hint="eastAsia"/>
                <w:b/>
                <w:snapToGrid w:val="0"/>
                <w:color w:val="auto"/>
                <w:szCs w:val="21"/>
              </w:rPr>
              <w:t>本项目工程内容一览表</w:t>
            </w:r>
          </w:p>
          <w:tbl>
            <w:tblPr>
              <w:tblStyle w:val="26"/>
              <w:tblW w:w="775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99"/>
              <w:gridCol w:w="654"/>
              <w:gridCol w:w="834"/>
              <w:gridCol w:w="4147"/>
              <w:gridCol w:w="1725"/>
            </w:tblGrid>
            <w:tr w14:paraId="2DB439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399" w:type="dxa"/>
                  <w:vMerge w:val="restart"/>
                  <w:tcBorders>
                    <w:top w:val="single" w:color="auto" w:sz="12" w:space="0"/>
                    <w:bottom w:val="single" w:color="auto" w:sz="4" w:space="0"/>
                    <w:right w:val="single" w:color="auto" w:sz="4" w:space="0"/>
                  </w:tcBorders>
                  <w:vAlign w:val="center"/>
                </w:tcPr>
                <w:p w14:paraId="42C6ADF3">
                  <w:pPr>
                    <w:spacing w:line="240" w:lineRule="exact"/>
                    <w:jc w:val="center"/>
                    <w:rPr>
                      <w:color w:val="auto"/>
                      <w:sz w:val="18"/>
                      <w:szCs w:val="18"/>
                    </w:rPr>
                  </w:pPr>
                  <w:r>
                    <w:rPr>
                      <w:rFonts w:hint="eastAsia"/>
                      <w:color w:val="auto"/>
                      <w:sz w:val="18"/>
                      <w:szCs w:val="18"/>
                    </w:rPr>
                    <w:t>类别</w:t>
                  </w:r>
                </w:p>
              </w:tc>
              <w:tc>
                <w:tcPr>
                  <w:tcW w:w="1488" w:type="dxa"/>
                  <w:gridSpan w:val="2"/>
                  <w:tcBorders>
                    <w:top w:val="single" w:color="auto" w:sz="12" w:space="0"/>
                    <w:left w:val="single" w:color="auto" w:sz="4" w:space="0"/>
                    <w:bottom w:val="single" w:color="auto" w:sz="4" w:space="0"/>
                    <w:right w:val="single" w:color="auto" w:sz="4" w:space="0"/>
                  </w:tcBorders>
                  <w:vAlign w:val="center"/>
                </w:tcPr>
                <w:p w14:paraId="28A0A6E5">
                  <w:pPr>
                    <w:spacing w:line="240" w:lineRule="exact"/>
                    <w:jc w:val="center"/>
                    <w:rPr>
                      <w:color w:val="auto"/>
                      <w:sz w:val="18"/>
                      <w:szCs w:val="18"/>
                    </w:rPr>
                  </w:pPr>
                  <w:r>
                    <w:rPr>
                      <w:rFonts w:hint="eastAsia"/>
                      <w:color w:val="auto"/>
                      <w:sz w:val="18"/>
                      <w:szCs w:val="18"/>
                    </w:rPr>
                    <w:t>建设名称</w:t>
                  </w:r>
                </w:p>
              </w:tc>
              <w:tc>
                <w:tcPr>
                  <w:tcW w:w="4147" w:type="dxa"/>
                  <w:tcBorders>
                    <w:top w:val="single" w:color="auto" w:sz="12" w:space="0"/>
                    <w:left w:val="single" w:color="auto" w:sz="4" w:space="0"/>
                    <w:bottom w:val="single" w:color="auto" w:sz="4" w:space="0"/>
                    <w:right w:val="single" w:color="auto" w:sz="4" w:space="0"/>
                  </w:tcBorders>
                  <w:vAlign w:val="center"/>
                </w:tcPr>
                <w:p w14:paraId="33F8F7FE">
                  <w:pPr>
                    <w:spacing w:line="240" w:lineRule="exact"/>
                    <w:jc w:val="center"/>
                    <w:rPr>
                      <w:color w:val="auto"/>
                      <w:sz w:val="18"/>
                      <w:szCs w:val="18"/>
                    </w:rPr>
                  </w:pPr>
                  <w:r>
                    <w:rPr>
                      <w:rFonts w:hint="eastAsia"/>
                      <w:color w:val="auto"/>
                      <w:sz w:val="18"/>
                      <w:szCs w:val="18"/>
                      <w:lang w:val="en-US" w:eastAsia="zh-CN"/>
                    </w:rPr>
                    <w:t>全厂</w:t>
                  </w:r>
                  <w:r>
                    <w:rPr>
                      <w:rFonts w:hint="eastAsia"/>
                      <w:color w:val="auto"/>
                      <w:sz w:val="18"/>
                      <w:szCs w:val="18"/>
                    </w:rPr>
                    <w:t>设计能力</w:t>
                  </w:r>
                </w:p>
              </w:tc>
              <w:tc>
                <w:tcPr>
                  <w:tcW w:w="1725" w:type="dxa"/>
                  <w:tcBorders>
                    <w:top w:val="single" w:color="auto" w:sz="12" w:space="0"/>
                    <w:left w:val="single" w:color="auto" w:sz="4" w:space="0"/>
                    <w:bottom w:val="single" w:color="auto" w:sz="4" w:space="0"/>
                  </w:tcBorders>
                  <w:vAlign w:val="center"/>
                </w:tcPr>
                <w:p w14:paraId="20D9D487">
                  <w:pPr>
                    <w:spacing w:line="240" w:lineRule="exact"/>
                    <w:jc w:val="center"/>
                    <w:rPr>
                      <w:color w:val="auto"/>
                      <w:sz w:val="18"/>
                      <w:szCs w:val="18"/>
                    </w:rPr>
                  </w:pPr>
                  <w:r>
                    <w:rPr>
                      <w:rFonts w:hint="eastAsia"/>
                      <w:color w:val="auto"/>
                      <w:sz w:val="18"/>
                      <w:szCs w:val="18"/>
                    </w:rPr>
                    <w:t>备注</w:t>
                  </w:r>
                </w:p>
              </w:tc>
            </w:tr>
            <w:tr w14:paraId="1ACBA0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99" w:type="dxa"/>
                  <w:vMerge w:val="restart"/>
                  <w:tcBorders>
                    <w:top w:val="single" w:color="auto" w:sz="4" w:space="0"/>
                    <w:right w:val="single" w:color="auto" w:sz="4" w:space="0"/>
                  </w:tcBorders>
                  <w:vAlign w:val="center"/>
                </w:tcPr>
                <w:p w14:paraId="463CF1C4">
                  <w:pPr>
                    <w:spacing w:line="240" w:lineRule="exact"/>
                    <w:jc w:val="center"/>
                    <w:rPr>
                      <w:color w:val="auto"/>
                      <w:sz w:val="18"/>
                      <w:szCs w:val="18"/>
                    </w:rPr>
                  </w:pPr>
                  <w:r>
                    <w:rPr>
                      <w:rFonts w:hint="eastAsia"/>
                      <w:color w:val="auto"/>
                      <w:sz w:val="18"/>
                      <w:szCs w:val="18"/>
                    </w:rPr>
                    <w:t>主体工程</w:t>
                  </w:r>
                </w:p>
              </w:tc>
              <w:tc>
                <w:tcPr>
                  <w:tcW w:w="1488" w:type="dxa"/>
                  <w:gridSpan w:val="2"/>
                  <w:tcBorders>
                    <w:top w:val="single" w:color="auto" w:sz="4" w:space="0"/>
                    <w:left w:val="single" w:color="auto" w:sz="4" w:space="0"/>
                    <w:bottom w:val="single" w:color="auto" w:sz="4" w:space="0"/>
                    <w:right w:val="single" w:color="auto" w:sz="4" w:space="0"/>
                  </w:tcBorders>
                  <w:vAlign w:val="center"/>
                </w:tcPr>
                <w:p w14:paraId="007DB561">
                  <w:pPr>
                    <w:spacing w:line="240" w:lineRule="exact"/>
                    <w:jc w:val="center"/>
                    <w:rPr>
                      <w:color w:val="auto"/>
                      <w:sz w:val="18"/>
                      <w:szCs w:val="18"/>
                    </w:rPr>
                  </w:pPr>
                  <w:r>
                    <w:rPr>
                      <w:rFonts w:hint="eastAsia"/>
                      <w:color w:val="auto"/>
                      <w:sz w:val="18"/>
                      <w:szCs w:val="18"/>
                      <w:lang w:val="en-US" w:eastAsia="zh-CN"/>
                    </w:rPr>
                    <w:t>生产</w:t>
                  </w:r>
                  <w:r>
                    <w:rPr>
                      <w:rFonts w:hint="eastAsia"/>
                      <w:color w:val="auto"/>
                      <w:sz w:val="18"/>
                      <w:szCs w:val="18"/>
                    </w:rPr>
                    <w:t>车间</w:t>
                  </w:r>
                </w:p>
              </w:tc>
              <w:tc>
                <w:tcPr>
                  <w:tcW w:w="4147" w:type="dxa"/>
                  <w:tcBorders>
                    <w:top w:val="single" w:color="auto" w:sz="4" w:space="0"/>
                    <w:left w:val="single" w:color="auto" w:sz="4" w:space="0"/>
                    <w:bottom w:val="single" w:color="auto" w:sz="4" w:space="0"/>
                    <w:right w:val="single" w:color="auto" w:sz="4" w:space="0"/>
                  </w:tcBorders>
                  <w:vAlign w:val="center"/>
                </w:tcPr>
                <w:p w14:paraId="7A0D3618">
                  <w:pPr>
                    <w:spacing w:line="240" w:lineRule="exact"/>
                    <w:jc w:val="center"/>
                    <w:rPr>
                      <w:color w:val="auto"/>
                      <w:sz w:val="18"/>
                      <w:szCs w:val="18"/>
                    </w:rPr>
                  </w:pPr>
                  <w:r>
                    <w:rPr>
                      <w:rFonts w:hint="eastAsia"/>
                      <w:color w:val="auto"/>
                      <w:sz w:val="18"/>
                      <w:szCs w:val="18"/>
                    </w:rPr>
                    <w:t>建筑面积</w:t>
                  </w:r>
                  <w:r>
                    <w:rPr>
                      <w:rFonts w:hint="eastAsia"/>
                      <w:color w:val="auto"/>
                      <w:sz w:val="18"/>
                      <w:szCs w:val="18"/>
                      <w:lang w:val="en-US" w:eastAsia="zh-CN"/>
                    </w:rPr>
                    <w:t>31000</w:t>
                  </w:r>
                  <w:r>
                    <w:rPr>
                      <w:color w:val="auto"/>
                      <w:sz w:val="18"/>
                      <w:szCs w:val="18"/>
                    </w:rPr>
                    <w:t>m</w:t>
                  </w:r>
                  <w:r>
                    <w:rPr>
                      <w:color w:val="auto"/>
                      <w:sz w:val="18"/>
                      <w:szCs w:val="18"/>
                      <w:vertAlign w:val="superscript"/>
                    </w:rPr>
                    <w:t>2</w:t>
                  </w:r>
                </w:p>
              </w:tc>
              <w:tc>
                <w:tcPr>
                  <w:tcW w:w="1725" w:type="dxa"/>
                  <w:tcBorders>
                    <w:top w:val="single" w:color="auto" w:sz="4" w:space="0"/>
                    <w:left w:val="single" w:color="auto" w:sz="4" w:space="0"/>
                    <w:bottom w:val="single" w:color="auto" w:sz="4" w:space="0"/>
                  </w:tcBorders>
                  <w:vAlign w:val="center"/>
                </w:tcPr>
                <w:p w14:paraId="5A9A322B">
                  <w:pPr>
                    <w:spacing w:line="240" w:lineRule="exact"/>
                    <w:jc w:val="center"/>
                    <w:rPr>
                      <w:rFonts w:hint="eastAsia" w:eastAsia="宋体"/>
                      <w:color w:val="auto"/>
                      <w:sz w:val="18"/>
                      <w:szCs w:val="18"/>
                      <w:lang w:val="en-US" w:eastAsia="zh-CN"/>
                    </w:rPr>
                  </w:pPr>
                  <w:r>
                    <w:rPr>
                      <w:rFonts w:hint="eastAsia"/>
                      <w:color w:val="auto"/>
                      <w:sz w:val="18"/>
                      <w:szCs w:val="18"/>
                      <w:lang w:val="en-US" w:eastAsia="zh-CN"/>
                    </w:rPr>
                    <w:t>待建</w:t>
                  </w:r>
                  <w:r>
                    <w:rPr>
                      <w:rFonts w:hint="eastAsia"/>
                      <w:color w:val="auto"/>
                      <w:sz w:val="18"/>
                      <w:szCs w:val="18"/>
                    </w:rPr>
                    <w:t>，共</w:t>
                  </w:r>
                  <w:r>
                    <w:rPr>
                      <w:rFonts w:hint="eastAsia"/>
                      <w:color w:val="auto"/>
                      <w:sz w:val="18"/>
                      <w:szCs w:val="18"/>
                      <w:lang w:val="en-US" w:eastAsia="zh-CN"/>
                    </w:rPr>
                    <w:t>5</w:t>
                  </w:r>
                  <w:r>
                    <w:rPr>
                      <w:rFonts w:hint="eastAsia"/>
                      <w:color w:val="auto"/>
                      <w:sz w:val="18"/>
                      <w:szCs w:val="18"/>
                    </w:rPr>
                    <w:t>层，全部为</w:t>
                  </w:r>
                  <w:r>
                    <w:rPr>
                      <w:rFonts w:hint="eastAsia"/>
                      <w:color w:val="auto"/>
                      <w:sz w:val="18"/>
                      <w:szCs w:val="18"/>
                      <w:lang w:val="en-US" w:eastAsia="zh-CN"/>
                    </w:rPr>
                    <w:t>生产</w:t>
                  </w:r>
                  <w:r>
                    <w:rPr>
                      <w:rFonts w:hint="eastAsia"/>
                      <w:color w:val="auto"/>
                      <w:sz w:val="18"/>
                      <w:szCs w:val="18"/>
                    </w:rPr>
                    <w:t>车间</w:t>
                  </w:r>
                  <w:r>
                    <w:rPr>
                      <w:rFonts w:hint="eastAsia"/>
                      <w:color w:val="auto"/>
                      <w:sz w:val="18"/>
                      <w:szCs w:val="18"/>
                      <w:lang w:eastAsia="zh-CN"/>
                    </w:rPr>
                    <w:t>。</w:t>
                  </w:r>
                </w:p>
              </w:tc>
            </w:tr>
            <w:tr w14:paraId="7D82C0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99" w:type="dxa"/>
                  <w:vMerge w:val="continue"/>
                  <w:tcBorders>
                    <w:right w:val="single" w:color="auto" w:sz="4" w:space="0"/>
                  </w:tcBorders>
                  <w:vAlign w:val="center"/>
                </w:tcPr>
                <w:p w14:paraId="148B4987">
                  <w:pPr>
                    <w:spacing w:line="240" w:lineRule="exact"/>
                    <w:jc w:val="center"/>
                    <w:rPr>
                      <w:color w:val="auto"/>
                      <w:sz w:val="18"/>
                      <w:szCs w:val="18"/>
                    </w:rPr>
                  </w:pPr>
                </w:p>
              </w:tc>
              <w:tc>
                <w:tcPr>
                  <w:tcW w:w="1488" w:type="dxa"/>
                  <w:gridSpan w:val="2"/>
                  <w:tcBorders>
                    <w:top w:val="single" w:color="auto" w:sz="4" w:space="0"/>
                    <w:left w:val="single" w:color="auto" w:sz="4" w:space="0"/>
                    <w:bottom w:val="single" w:color="auto" w:sz="4" w:space="0"/>
                    <w:right w:val="single" w:color="auto" w:sz="4" w:space="0"/>
                  </w:tcBorders>
                  <w:vAlign w:val="center"/>
                </w:tcPr>
                <w:p w14:paraId="25FF82F5">
                  <w:pPr>
                    <w:spacing w:line="240" w:lineRule="exact"/>
                    <w:jc w:val="center"/>
                    <w:rPr>
                      <w:color w:val="auto"/>
                      <w:sz w:val="18"/>
                      <w:szCs w:val="18"/>
                    </w:rPr>
                  </w:pPr>
                  <w:r>
                    <w:rPr>
                      <w:rFonts w:hint="eastAsia"/>
                      <w:color w:val="auto"/>
                      <w:sz w:val="18"/>
                      <w:szCs w:val="18"/>
                      <w:lang w:val="en-US" w:eastAsia="zh-CN"/>
                    </w:rPr>
                    <w:t>原辅料</w:t>
                  </w:r>
                  <w:r>
                    <w:rPr>
                      <w:rFonts w:hint="eastAsia"/>
                      <w:color w:val="auto"/>
                      <w:sz w:val="18"/>
                      <w:szCs w:val="18"/>
                    </w:rPr>
                    <w:t>仓库</w:t>
                  </w:r>
                </w:p>
              </w:tc>
              <w:tc>
                <w:tcPr>
                  <w:tcW w:w="4147" w:type="dxa"/>
                  <w:tcBorders>
                    <w:top w:val="single" w:color="auto" w:sz="4" w:space="0"/>
                    <w:left w:val="single" w:color="auto" w:sz="4" w:space="0"/>
                    <w:bottom w:val="single" w:color="auto" w:sz="4" w:space="0"/>
                    <w:right w:val="single" w:color="auto" w:sz="4" w:space="0"/>
                  </w:tcBorders>
                  <w:vAlign w:val="center"/>
                </w:tcPr>
                <w:p w14:paraId="6310A5BB">
                  <w:pPr>
                    <w:spacing w:line="240" w:lineRule="exact"/>
                    <w:jc w:val="center"/>
                    <w:rPr>
                      <w:color w:val="auto"/>
                      <w:sz w:val="18"/>
                      <w:szCs w:val="18"/>
                    </w:rPr>
                  </w:pPr>
                  <w:r>
                    <w:rPr>
                      <w:rFonts w:hint="eastAsia"/>
                      <w:color w:val="auto"/>
                      <w:sz w:val="18"/>
                      <w:szCs w:val="18"/>
                    </w:rPr>
                    <w:t>建筑面积</w:t>
                  </w:r>
                  <w:r>
                    <w:rPr>
                      <w:rFonts w:hint="eastAsia"/>
                      <w:color w:val="auto"/>
                      <w:sz w:val="18"/>
                      <w:szCs w:val="18"/>
                      <w:lang w:val="en-US" w:eastAsia="zh-CN"/>
                    </w:rPr>
                    <w:t>1000</w:t>
                  </w:r>
                  <w:r>
                    <w:rPr>
                      <w:color w:val="auto"/>
                      <w:sz w:val="18"/>
                      <w:szCs w:val="18"/>
                    </w:rPr>
                    <w:t>m</w:t>
                  </w:r>
                  <w:r>
                    <w:rPr>
                      <w:color w:val="auto"/>
                      <w:sz w:val="18"/>
                      <w:szCs w:val="18"/>
                      <w:vertAlign w:val="superscript"/>
                    </w:rPr>
                    <w:t>2</w:t>
                  </w:r>
                </w:p>
              </w:tc>
              <w:tc>
                <w:tcPr>
                  <w:tcW w:w="1725" w:type="dxa"/>
                  <w:tcBorders>
                    <w:top w:val="single" w:color="auto" w:sz="4" w:space="0"/>
                    <w:left w:val="single" w:color="auto" w:sz="4" w:space="0"/>
                    <w:bottom w:val="single" w:color="auto" w:sz="4" w:space="0"/>
                  </w:tcBorders>
                  <w:vAlign w:val="center"/>
                </w:tcPr>
                <w:p w14:paraId="1F5CE58A">
                  <w:pPr>
                    <w:spacing w:line="240" w:lineRule="exact"/>
                    <w:jc w:val="center"/>
                    <w:rPr>
                      <w:rFonts w:hint="default" w:eastAsia="宋体"/>
                      <w:color w:val="auto"/>
                      <w:sz w:val="18"/>
                      <w:szCs w:val="18"/>
                      <w:lang w:val="en-US" w:eastAsia="zh-CN"/>
                    </w:rPr>
                  </w:pPr>
                  <w:r>
                    <w:rPr>
                      <w:rFonts w:hint="eastAsia"/>
                      <w:color w:val="auto"/>
                      <w:sz w:val="18"/>
                      <w:szCs w:val="18"/>
                      <w:lang w:val="en-US" w:eastAsia="zh-CN"/>
                    </w:rPr>
                    <w:t>待建</w:t>
                  </w:r>
                  <w:r>
                    <w:rPr>
                      <w:rFonts w:hint="eastAsia"/>
                      <w:color w:val="auto"/>
                      <w:sz w:val="18"/>
                      <w:szCs w:val="18"/>
                    </w:rPr>
                    <w:t>，</w:t>
                  </w:r>
                  <w:r>
                    <w:rPr>
                      <w:rFonts w:hint="eastAsia"/>
                      <w:color w:val="auto"/>
                      <w:sz w:val="18"/>
                      <w:szCs w:val="18"/>
                      <w:lang w:val="en-US" w:eastAsia="zh-CN"/>
                    </w:rPr>
                    <w:t>位于生产车间2层</w:t>
                  </w:r>
                  <w:r>
                    <w:rPr>
                      <w:rFonts w:hint="eastAsia"/>
                      <w:color w:val="auto"/>
                      <w:sz w:val="18"/>
                      <w:szCs w:val="18"/>
                    </w:rPr>
                    <w:t>，</w:t>
                  </w:r>
                  <w:r>
                    <w:rPr>
                      <w:rFonts w:hint="eastAsia"/>
                      <w:color w:val="auto"/>
                      <w:sz w:val="18"/>
                      <w:szCs w:val="18"/>
                      <w:lang w:val="en-US" w:eastAsia="zh-CN"/>
                    </w:rPr>
                    <w:t>位于南侧</w:t>
                  </w:r>
                </w:p>
              </w:tc>
            </w:tr>
            <w:tr w14:paraId="156FFC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99" w:type="dxa"/>
                  <w:vMerge w:val="continue"/>
                  <w:tcBorders>
                    <w:bottom w:val="single" w:color="auto" w:sz="4" w:space="0"/>
                    <w:right w:val="single" w:color="auto" w:sz="4" w:space="0"/>
                  </w:tcBorders>
                  <w:vAlign w:val="center"/>
                </w:tcPr>
                <w:p w14:paraId="03789822">
                  <w:pPr>
                    <w:spacing w:line="240" w:lineRule="exact"/>
                    <w:jc w:val="center"/>
                    <w:rPr>
                      <w:color w:val="auto"/>
                      <w:sz w:val="18"/>
                      <w:szCs w:val="18"/>
                    </w:rPr>
                  </w:pPr>
                </w:p>
              </w:tc>
              <w:tc>
                <w:tcPr>
                  <w:tcW w:w="1488" w:type="dxa"/>
                  <w:gridSpan w:val="2"/>
                  <w:tcBorders>
                    <w:top w:val="single" w:color="auto" w:sz="4" w:space="0"/>
                    <w:left w:val="single" w:color="auto" w:sz="4" w:space="0"/>
                    <w:bottom w:val="single" w:color="auto" w:sz="4" w:space="0"/>
                    <w:right w:val="single" w:color="auto" w:sz="4" w:space="0"/>
                  </w:tcBorders>
                  <w:vAlign w:val="center"/>
                </w:tcPr>
                <w:p w14:paraId="2E796B36">
                  <w:pPr>
                    <w:spacing w:line="240" w:lineRule="exact"/>
                    <w:jc w:val="center"/>
                    <w:rPr>
                      <w:rFonts w:hint="default"/>
                      <w:color w:val="auto"/>
                      <w:sz w:val="18"/>
                      <w:szCs w:val="18"/>
                      <w:lang w:val="en-US" w:eastAsia="zh-CN"/>
                    </w:rPr>
                  </w:pPr>
                  <w:r>
                    <w:rPr>
                      <w:rFonts w:hint="eastAsia"/>
                      <w:color w:val="auto"/>
                      <w:sz w:val="18"/>
                      <w:szCs w:val="18"/>
                      <w:lang w:val="en-US" w:eastAsia="zh-CN"/>
                    </w:rPr>
                    <w:t>成品仓库</w:t>
                  </w:r>
                </w:p>
              </w:tc>
              <w:tc>
                <w:tcPr>
                  <w:tcW w:w="4147" w:type="dxa"/>
                  <w:tcBorders>
                    <w:top w:val="single" w:color="auto" w:sz="4" w:space="0"/>
                    <w:left w:val="single" w:color="auto" w:sz="4" w:space="0"/>
                    <w:bottom w:val="single" w:color="auto" w:sz="4" w:space="0"/>
                    <w:right w:val="single" w:color="auto" w:sz="4" w:space="0"/>
                  </w:tcBorders>
                  <w:vAlign w:val="center"/>
                </w:tcPr>
                <w:p w14:paraId="055D5274">
                  <w:pPr>
                    <w:spacing w:line="240" w:lineRule="exact"/>
                    <w:jc w:val="center"/>
                    <w:rPr>
                      <w:rFonts w:hint="eastAsia"/>
                      <w:color w:val="auto"/>
                      <w:sz w:val="18"/>
                      <w:szCs w:val="18"/>
                    </w:rPr>
                  </w:pPr>
                  <w:r>
                    <w:rPr>
                      <w:rFonts w:hint="eastAsia"/>
                      <w:color w:val="auto"/>
                      <w:sz w:val="18"/>
                      <w:szCs w:val="18"/>
                    </w:rPr>
                    <w:t>建筑面积</w:t>
                  </w:r>
                  <w:r>
                    <w:rPr>
                      <w:rFonts w:hint="eastAsia" w:ascii="Times New Roman" w:eastAsia="宋体"/>
                      <w:color w:val="auto"/>
                      <w:sz w:val="18"/>
                      <w:szCs w:val="18"/>
                      <w:lang w:val="en-US" w:eastAsia="zh-CN"/>
                    </w:rPr>
                    <w:t>1000</w:t>
                  </w:r>
                  <w:r>
                    <w:rPr>
                      <w:color w:val="auto"/>
                      <w:sz w:val="18"/>
                      <w:szCs w:val="18"/>
                    </w:rPr>
                    <w:t>m</w:t>
                  </w:r>
                  <w:r>
                    <w:rPr>
                      <w:color w:val="auto"/>
                      <w:sz w:val="18"/>
                      <w:szCs w:val="18"/>
                      <w:vertAlign w:val="superscript"/>
                    </w:rPr>
                    <w:t>2</w:t>
                  </w:r>
                </w:p>
              </w:tc>
              <w:tc>
                <w:tcPr>
                  <w:tcW w:w="1725" w:type="dxa"/>
                  <w:tcBorders>
                    <w:top w:val="single" w:color="auto" w:sz="4" w:space="0"/>
                    <w:left w:val="single" w:color="auto" w:sz="4" w:space="0"/>
                    <w:bottom w:val="single" w:color="auto" w:sz="4" w:space="0"/>
                  </w:tcBorders>
                  <w:vAlign w:val="center"/>
                </w:tcPr>
                <w:p w14:paraId="20F06ED3">
                  <w:pPr>
                    <w:spacing w:line="240" w:lineRule="exact"/>
                    <w:jc w:val="center"/>
                    <w:rPr>
                      <w:rFonts w:hint="eastAsia"/>
                      <w:color w:val="auto"/>
                      <w:sz w:val="18"/>
                      <w:szCs w:val="18"/>
                      <w:lang w:val="en-US" w:eastAsia="zh-CN"/>
                    </w:rPr>
                  </w:pPr>
                  <w:r>
                    <w:rPr>
                      <w:rFonts w:hint="eastAsia"/>
                      <w:color w:val="auto"/>
                      <w:sz w:val="18"/>
                      <w:szCs w:val="18"/>
                      <w:lang w:val="en-US" w:eastAsia="zh-CN"/>
                    </w:rPr>
                    <w:t>待建，位于生产车间2层，位于南侧</w:t>
                  </w:r>
                </w:p>
              </w:tc>
            </w:tr>
            <w:tr w14:paraId="0E2167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99" w:type="dxa"/>
                  <w:vMerge w:val="restart"/>
                  <w:tcBorders>
                    <w:top w:val="single" w:color="auto" w:sz="4" w:space="0"/>
                    <w:bottom w:val="single" w:color="auto" w:sz="4" w:space="0"/>
                    <w:right w:val="single" w:color="auto" w:sz="4" w:space="0"/>
                  </w:tcBorders>
                  <w:vAlign w:val="center"/>
                </w:tcPr>
                <w:p w14:paraId="40007AAD">
                  <w:pPr>
                    <w:spacing w:line="240" w:lineRule="exact"/>
                    <w:jc w:val="center"/>
                    <w:rPr>
                      <w:color w:val="auto"/>
                      <w:sz w:val="18"/>
                      <w:szCs w:val="18"/>
                    </w:rPr>
                  </w:pPr>
                  <w:r>
                    <w:rPr>
                      <w:rFonts w:hint="eastAsia"/>
                      <w:color w:val="auto"/>
                      <w:sz w:val="18"/>
                      <w:szCs w:val="18"/>
                    </w:rPr>
                    <w:t>公用工程</w:t>
                  </w:r>
                </w:p>
              </w:tc>
              <w:tc>
                <w:tcPr>
                  <w:tcW w:w="1488" w:type="dxa"/>
                  <w:gridSpan w:val="2"/>
                  <w:tcBorders>
                    <w:top w:val="single" w:color="auto" w:sz="4" w:space="0"/>
                    <w:left w:val="single" w:color="auto" w:sz="4" w:space="0"/>
                    <w:bottom w:val="single" w:color="auto" w:sz="4" w:space="0"/>
                    <w:right w:val="single" w:color="auto" w:sz="4" w:space="0"/>
                  </w:tcBorders>
                  <w:vAlign w:val="center"/>
                </w:tcPr>
                <w:p w14:paraId="5A8849EC">
                  <w:pPr>
                    <w:spacing w:line="240" w:lineRule="exact"/>
                    <w:jc w:val="center"/>
                    <w:rPr>
                      <w:color w:val="auto"/>
                      <w:sz w:val="18"/>
                      <w:szCs w:val="18"/>
                    </w:rPr>
                  </w:pPr>
                  <w:r>
                    <w:rPr>
                      <w:rFonts w:hint="eastAsia"/>
                      <w:color w:val="auto"/>
                      <w:sz w:val="18"/>
                      <w:szCs w:val="18"/>
                    </w:rPr>
                    <w:t>给水系统</w:t>
                  </w:r>
                </w:p>
              </w:tc>
              <w:tc>
                <w:tcPr>
                  <w:tcW w:w="4147" w:type="dxa"/>
                  <w:tcBorders>
                    <w:top w:val="single" w:color="auto" w:sz="4" w:space="0"/>
                    <w:left w:val="single" w:color="auto" w:sz="4" w:space="0"/>
                    <w:bottom w:val="single" w:color="auto" w:sz="4" w:space="0"/>
                    <w:right w:val="single" w:color="auto" w:sz="4" w:space="0"/>
                  </w:tcBorders>
                  <w:vAlign w:val="center"/>
                </w:tcPr>
                <w:p w14:paraId="4BD33AA5">
                  <w:pPr>
                    <w:spacing w:line="240" w:lineRule="exact"/>
                    <w:jc w:val="center"/>
                    <w:rPr>
                      <w:color w:val="auto"/>
                      <w:sz w:val="18"/>
                      <w:szCs w:val="18"/>
                    </w:rPr>
                  </w:pPr>
                  <w:r>
                    <w:rPr>
                      <w:rFonts w:hint="eastAsia"/>
                      <w:color w:val="auto"/>
                      <w:sz w:val="18"/>
                      <w:szCs w:val="18"/>
                      <w:lang w:val="en-US" w:eastAsia="zh-CN"/>
                    </w:rPr>
                    <w:t>912.5</w:t>
                  </w:r>
                  <w:r>
                    <w:rPr>
                      <w:color w:val="auto"/>
                      <w:sz w:val="18"/>
                      <w:szCs w:val="18"/>
                    </w:rPr>
                    <w:t>m</w:t>
                  </w:r>
                  <w:r>
                    <w:rPr>
                      <w:color w:val="auto"/>
                      <w:sz w:val="18"/>
                      <w:szCs w:val="18"/>
                      <w:vertAlign w:val="superscript"/>
                    </w:rPr>
                    <w:t>3</w:t>
                  </w:r>
                  <w:r>
                    <w:rPr>
                      <w:color w:val="auto"/>
                      <w:sz w:val="18"/>
                      <w:szCs w:val="18"/>
                    </w:rPr>
                    <w:t>/a</w:t>
                  </w:r>
                </w:p>
              </w:tc>
              <w:tc>
                <w:tcPr>
                  <w:tcW w:w="1725" w:type="dxa"/>
                  <w:tcBorders>
                    <w:top w:val="single" w:color="auto" w:sz="4" w:space="0"/>
                    <w:left w:val="single" w:color="auto" w:sz="4" w:space="0"/>
                    <w:bottom w:val="single" w:color="auto" w:sz="4" w:space="0"/>
                  </w:tcBorders>
                  <w:vAlign w:val="center"/>
                </w:tcPr>
                <w:p w14:paraId="7C5A635B">
                  <w:pPr>
                    <w:spacing w:line="240" w:lineRule="exact"/>
                    <w:jc w:val="center"/>
                    <w:rPr>
                      <w:color w:val="auto"/>
                      <w:sz w:val="18"/>
                      <w:szCs w:val="18"/>
                    </w:rPr>
                  </w:pPr>
                  <w:r>
                    <w:rPr>
                      <w:rFonts w:hint="eastAsia"/>
                      <w:color w:val="auto"/>
                      <w:sz w:val="18"/>
                      <w:szCs w:val="18"/>
                    </w:rPr>
                    <w:t>由区域给水管网供水</w:t>
                  </w:r>
                </w:p>
              </w:tc>
            </w:tr>
            <w:tr w14:paraId="2F13C6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99" w:type="dxa"/>
                  <w:vMerge w:val="continue"/>
                  <w:tcBorders>
                    <w:top w:val="single" w:color="auto" w:sz="4" w:space="0"/>
                    <w:bottom w:val="single" w:color="auto" w:sz="4" w:space="0"/>
                    <w:right w:val="single" w:color="auto" w:sz="4" w:space="0"/>
                  </w:tcBorders>
                  <w:vAlign w:val="center"/>
                </w:tcPr>
                <w:p w14:paraId="34441A87">
                  <w:pPr>
                    <w:spacing w:line="240" w:lineRule="exact"/>
                    <w:jc w:val="center"/>
                    <w:rPr>
                      <w:color w:val="auto"/>
                      <w:sz w:val="18"/>
                      <w:szCs w:val="18"/>
                    </w:rPr>
                  </w:pPr>
                </w:p>
              </w:tc>
              <w:tc>
                <w:tcPr>
                  <w:tcW w:w="1488" w:type="dxa"/>
                  <w:gridSpan w:val="2"/>
                  <w:vMerge w:val="restart"/>
                  <w:tcBorders>
                    <w:top w:val="single" w:color="auto" w:sz="4" w:space="0"/>
                    <w:left w:val="single" w:color="auto" w:sz="4" w:space="0"/>
                    <w:bottom w:val="single" w:color="auto" w:sz="4" w:space="0"/>
                    <w:right w:val="single" w:color="auto" w:sz="4" w:space="0"/>
                  </w:tcBorders>
                  <w:vAlign w:val="center"/>
                </w:tcPr>
                <w:p w14:paraId="4AAA7913">
                  <w:pPr>
                    <w:spacing w:line="240" w:lineRule="exact"/>
                    <w:jc w:val="center"/>
                    <w:rPr>
                      <w:color w:val="auto"/>
                      <w:sz w:val="18"/>
                      <w:szCs w:val="18"/>
                    </w:rPr>
                  </w:pPr>
                  <w:r>
                    <w:rPr>
                      <w:rFonts w:hint="eastAsia"/>
                      <w:color w:val="auto"/>
                      <w:sz w:val="18"/>
                      <w:szCs w:val="18"/>
                    </w:rPr>
                    <w:t>排水系统</w:t>
                  </w:r>
                </w:p>
              </w:tc>
              <w:tc>
                <w:tcPr>
                  <w:tcW w:w="4147" w:type="dxa"/>
                  <w:tcBorders>
                    <w:top w:val="single" w:color="auto" w:sz="4" w:space="0"/>
                    <w:left w:val="single" w:color="auto" w:sz="4" w:space="0"/>
                    <w:bottom w:val="single" w:color="auto" w:sz="4" w:space="0"/>
                    <w:right w:val="single" w:color="auto" w:sz="4" w:space="0"/>
                  </w:tcBorders>
                  <w:vAlign w:val="center"/>
                </w:tcPr>
                <w:p w14:paraId="2C229D70">
                  <w:pPr>
                    <w:spacing w:line="240" w:lineRule="exact"/>
                    <w:jc w:val="center"/>
                    <w:rPr>
                      <w:rFonts w:hint="default" w:eastAsia="宋体"/>
                      <w:color w:val="auto"/>
                      <w:sz w:val="18"/>
                      <w:szCs w:val="18"/>
                      <w:lang w:val="en-US" w:eastAsia="zh-CN"/>
                    </w:rPr>
                  </w:pPr>
                  <w:r>
                    <w:rPr>
                      <w:rFonts w:hint="eastAsia"/>
                      <w:color w:val="auto"/>
                      <w:sz w:val="18"/>
                      <w:szCs w:val="18"/>
                    </w:rPr>
                    <w:t>生活污水</w:t>
                  </w:r>
                  <w:r>
                    <w:rPr>
                      <w:rFonts w:hint="eastAsia"/>
                      <w:color w:val="auto"/>
                      <w:sz w:val="18"/>
                      <w:szCs w:val="18"/>
                      <w:lang w:val="en-US" w:eastAsia="zh-CN"/>
                    </w:rPr>
                    <w:t>775.6</w:t>
                  </w:r>
                  <w:r>
                    <w:rPr>
                      <w:color w:val="auto"/>
                      <w:sz w:val="18"/>
                      <w:szCs w:val="18"/>
                    </w:rPr>
                    <w:t>m</w:t>
                  </w:r>
                  <w:r>
                    <w:rPr>
                      <w:color w:val="auto"/>
                      <w:sz w:val="18"/>
                      <w:szCs w:val="18"/>
                      <w:vertAlign w:val="superscript"/>
                    </w:rPr>
                    <w:t>3</w:t>
                  </w:r>
                  <w:r>
                    <w:rPr>
                      <w:color w:val="auto"/>
                      <w:sz w:val="18"/>
                      <w:szCs w:val="18"/>
                    </w:rPr>
                    <w:t>/a</w:t>
                  </w:r>
                  <w:r>
                    <w:rPr>
                      <w:rFonts w:hint="eastAsia"/>
                      <w:color w:val="auto"/>
                      <w:sz w:val="18"/>
                      <w:szCs w:val="18"/>
                      <w:lang w:eastAsia="zh-CN"/>
                    </w:rPr>
                    <w:t>，</w:t>
                  </w:r>
                  <w:r>
                    <w:rPr>
                      <w:rFonts w:hint="eastAsia"/>
                      <w:color w:val="auto"/>
                      <w:sz w:val="18"/>
                      <w:szCs w:val="18"/>
                      <w:lang w:val="en-US" w:eastAsia="zh-CN"/>
                    </w:rPr>
                    <w:t>抽运至苏州市吴江桃源生活污水处理有限公司处理</w:t>
                  </w:r>
                </w:p>
              </w:tc>
              <w:tc>
                <w:tcPr>
                  <w:tcW w:w="1725" w:type="dxa"/>
                  <w:tcBorders>
                    <w:top w:val="single" w:color="auto" w:sz="4" w:space="0"/>
                    <w:left w:val="single" w:color="auto" w:sz="4" w:space="0"/>
                    <w:bottom w:val="single" w:color="auto" w:sz="4" w:space="0"/>
                  </w:tcBorders>
                  <w:vAlign w:val="center"/>
                </w:tcPr>
                <w:p w14:paraId="361148A8">
                  <w:pPr>
                    <w:spacing w:line="240" w:lineRule="exact"/>
                    <w:jc w:val="center"/>
                    <w:rPr>
                      <w:color w:val="auto"/>
                      <w:sz w:val="18"/>
                      <w:szCs w:val="18"/>
                    </w:rPr>
                  </w:pPr>
                  <w:r>
                    <w:rPr>
                      <w:rFonts w:hint="eastAsia"/>
                      <w:color w:val="auto"/>
                      <w:sz w:val="18"/>
                      <w:szCs w:val="18"/>
                      <w:lang w:eastAsia="zh-CN"/>
                    </w:rPr>
                    <w:t>生活污水抽运</w:t>
                  </w:r>
                  <w:r>
                    <w:rPr>
                      <w:rFonts w:hint="eastAsia"/>
                      <w:color w:val="auto"/>
                      <w:sz w:val="18"/>
                      <w:szCs w:val="18"/>
                    </w:rPr>
                    <w:t>至</w:t>
                  </w:r>
                  <w:r>
                    <w:rPr>
                      <w:rFonts w:hint="eastAsia"/>
                      <w:color w:val="auto"/>
                      <w:sz w:val="18"/>
                      <w:szCs w:val="18"/>
                      <w:lang w:eastAsia="zh-CN"/>
                    </w:rPr>
                    <w:t>苏州市吴江桃源生活污水处理有限公司</w:t>
                  </w:r>
                  <w:r>
                    <w:rPr>
                      <w:rFonts w:hint="eastAsia"/>
                      <w:color w:val="auto"/>
                      <w:sz w:val="18"/>
                      <w:szCs w:val="18"/>
                    </w:rPr>
                    <w:t>处理</w:t>
                  </w:r>
                </w:p>
              </w:tc>
            </w:tr>
            <w:tr w14:paraId="571B48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99" w:type="dxa"/>
                  <w:vMerge w:val="continue"/>
                  <w:tcBorders>
                    <w:top w:val="single" w:color="auto" w:sz="4" w:space="0"/>
                    <w:bottom w:val="single" w:color="auto" w:sz="4" w:space="0"/>
                    <w:right w:val="single" w:color="auto" w:sz="4" w:space="0"/>
                  </w:tcBorders>
                  <w:vAlign w:val="center"/>
                </w:tcPr>
                <w:p w14:paraId="741CF000">
                  <w:pPr>
                    <w:spacing w:line="240" w:lineRule="exact"/>
                    <w:jc w:val="center"/>
                    <w:rPr>
                      <w:color w:val="auto"/>
                      <w:sz w:val="18"/>
                      <w:szCs w:val="18"/>
                    </w:rPr>
                  </w:pPr>
                </w:p>
              </w:tc>
              <w:tc>
                <w:tcPr>
                  <w:tcW w:w="1488" w:type="dxa"/>
                  <w:gridSpan w:val="2"/>
                  <w:vMerge w:val="continue"/>
                  <w:tcBorders>
                    <w:top w:val="single" w:color="auto" w:sz="4" w:space="0"/>
                    <w:left w:val="single" w:color="auto" w:sz="4" w:space="0"/>
                    <w:bottom w:val="single" w:color="auto" w:sz="4" w:space="0"/>
                    <w:right w:val="single" w:color="auto" w:sz="4" w:space="0"/>
                  </w:tcBorders>
                  <w:vAlign w:val="center"/>
                </w:tcPr>
                <w:p w14:paraId="50DB4DBE">
                  <w:pPr>
                    <w:spacing w:line="240" w:lineRule="exact"/>
                    <w:jc w:val="center"/>
                    <w:rPr>
                      <w:color w:val="auto"/>
                      <w:sz w:val="18"/>
                      <w:szCs w:val="18"/>
                    </w:rPr>
                  </w:pPr>
                </w:p>
              </w:tc>
              <w:tc>
                <w:tcPr>
                  <w:tcW w:w="4147" w:type="dxa"/>
                  <w:tcBorders>
                    <w:top w:val="single" w:color="auto" w:sz="4" w:space="0"/>
                    <w:left w:val="single" w:color="auto" w:sz="4" w:space="0"/>
                    <w:bottom w:val="single" w:color="auto" w:sz="4" w:space="0"/>
                    <w:right w:val="single" w:color="auto" w:sz="4" w:space="0"/>
                  </w:tcBorders>
                  <w:vAlign w:val="center"/>
                </w:tcPr>
                <w:p w14:paraId="431890D6">
                  <w:pPr>
                    <w:spacing w:line="240" w:lineRule="exact"/>
                    <w:jc w:val="center"/>
                    <w:rPr>
                      <w:color w:val="auto"/>
                      <w:sz w:val="18"/>
                      <w:szCs w:val="18"/>
                    </w:rPr>
                  </w:pPr>
                  <w:r>
                    <w:rPr>
                      <w:rFonts w:hint="eastAsia"/>
                      <w:color w:val="auto"/>
                      <w:sz w:val="18"/>
                      <w:szCs w:val="18"/>
                      <w:lang w:val="en-US" w:eastAsia="zh-CN"/>
                    </w:rPr>
                    <w:t>生产</w:t>
                  </w:r>
                  <w:r>
                    <w:rPr>
                      <w:rFonts w:hint="eastAsia"/>
                      <w:color w:val="auto"/>
                      <w:sz w:val="18"/>
                      <w:szCs w:val="18"/>
                    </w:rPr>
                    <w:t>废水</w:t>
                  </w:r>
                  <w:r>
                    <w:rPr>
                      <w:rFonts w:hint="eastAsia"/>
                      <w:color w:val="auto"/>
                      <w:sz w:val="18"/>
                      <w:szCs w:val="18"/>
                      <w:lang w:val="en-US" w:eastAsia="zh-CN"/>
                    </w:rPr>
                    <w:t>接管</w:t>
                  </w:r>
                  <w:r>
                    <w:rPr>
                      <w:rFonts w:hint="eastAsia"/>
                      <w:color w:val="auto"/>
                      <w:sz w:val="18"/>
                      <w:szCs w:val="18"/>
                    </w:rPr>
                    <w:t>量</w:t>
                  </w:r>
                  <w:r>
                    <w:rPr>
                      <w:rFonts w:hint="eastAsia"/>
                      <w:color w:val="auto"/>
                      <w:sz w:val="18"/>
                      <w:szCs w:val="18"/>
                      <w:lang w:val="en-US" w:eastAsia="zh-CN"/>
                    </w:rPr>
                    <w:t>173740</w:t>
                  </w:r>
                  <w:r>
                    <w:rPr>
                      <w:color w:val="auto"/>
                      <w:sz w:val="18"/>
                      <w:szCs w:val="18"/>
                    </w:rPr>
                    <w:t>m</w:t>
                  </w:r>
                  <w:r>
                    <w:rPr>
                      <w:color w:val="auto"/>
                      <w:sz w:val="18"/>
                      <w:szCs w:val="18"/>
                      <w:vertAlign w:val="superscript"/>
                    </w:rPr>
                    <w:t>3</w:t>
                  </w:r>
                  <w:r>
                    <w:rPr>
                      <w:color w:val="auto"/>
                      <w:sz w:val="18"/>
                      <w:szCs w:val="18"/>
                    </w:rPr>
                    <w:t>/a</w:t>
                  </w:r>
                  <w:r>
                    <w:rPr>
                      <w:rFonts w:hint="eastAsia"/>
                      <w:color w:val="auto"/>
                      <w:sz w:val="18"/>
                      <w:szCs w:val="18"/>
                      <w:lang w:val="en-US" w:eastAsia="zh-CN"/>
                    </w:rPr>
                    <w:t>，本项目生产废水直接</w:t>
                  </w:r>
                  <w:r>
                    <w:rPr>
                      <w:rFonts w:hint="eastAsia"/>
                      <w:color w:val="auto"/>
                      <w:sz w:val="18"/>
                      <w:szCs w:val="18"/>
                    </w:rPr>
                    <w:t>接管至苏州市桃源富乡污水处理有限公司处理后</w:t>
                  </w:r>
                  <w:r>
                    <w:rPr>
                      <w:rFonts w:hint="eastAsia"/>
                      <w:color w:val="auto"/>
                      <w:sz w:val="18"/>
                      <w:szCs w:val="18"/>
                      <w:lang w:val="en-US" w:eastAsia="zh-CN"/>
                    </w:rPr>
                    <w:t>76%</w:t>
                  </w:r>
                  <w:r>
                    <w:rPr>
                      <w:rFonts w:hint="eastAsia"/>
                      <w:color w:val="auto"/>
                      <w:sz w:val="18"/>
                      <w:szCs w:val="18"/>
                    </w:rPr>
                    <w:t>回用</w:t>
                  </w:r>
                  <w:r>
                    <w:rPr>
                      <w:rFonts w:hint="eastAsia"/>
                      <w:color w:val="auto"/>
                      <w:sz w:val="18"/>
                      <w:szCs w:val="18"/>
                      <w:lang w:eastAsia="zh-CN"/>
                    </w:rPr>
                    <w:t>，</w:t>
                  </w:r>
                  <w:r>
                    <w:rPr>
                      <w:rFonts w:hint="eastAsia"/>
                      <w:color w:val="auto"/>
                      <w:sz w:val="18"/>
                      <w:szCs w:val="18"/>
                      <w:lang w:val="en-US" w:eastAsia="zh-CN"/>
                    </w:rPr>
                    <w:t>其余达标排入鳑鲏港</w:t>
                  </w:r>
                </w:p>
              </w:tc>
              <w:tc>
                <w:tcPr>
                  <w:tcW w:w="1725" w:type="dxa"/>
                  <w:tcBorders>
                    <w:top w:val="single" w:color="auto" w:sz="4" w:space="0"/>
                    <w:left w:val="single" w:color="auto" w:sz="4" w:space="0"/>
                    <w:bottom w:val="single" w:color="auto" w:sz="4" w:space="0"/>
                  </w:tcBorders>
                  <w:vAlign w:val="center"/>
                </w:tcPr>
                <w:p w14:paraId="6D7D7AB7">
                  <w:pPr>
                    <w:spacing w:line="240" w:lineRule="exact"/>
                    <w:jc w:val="center"/>
                    <w:rPr>
                      <w:color w:val="auto"/>
                      <w:sz w:val="18"/>
                      <w:szCs w:val="18"/>
                    </w:rPr>
                  </w:pPr>
                  <w:r>
                    <w:rPr>
                      <w:color w:val="auto"/>
                      <w:sz w:val="18"/>
                      <w:szCs w:val="18"/>
                    </w:rPr>
                    <w:t>/</w:t>
                  </w:r>
                </w:p>
              </w:tc>
            </w:tr>
            <w:tr w14:paraId="5306B5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99" w:type="dxa"/>
                  <w:vMerge w:val="continue"/>
                  <w:tcBorders>
                    <w:top w:val="single" w:color="auto" w:sz="4" w:space="0"/>
                    <w:bottom w:val="single" w:color="auto" w:sz="4" w:space="0"/>
                    <w:right w:val="single" w:color="auto" w:sz="4" w:space="0"/>
                  </w:tcBorders>
                  <w:vAlign w:val="center"/>
                </w:tcPr>
                <w:p w14:paraId="1CCD9595">
                  <w:pPr>
                    <w:spacing w:line="240" w:lineRule="exact"/>
                    <w:jc w:val="center"/>
                    <w:rPr>
                      <w:color w:val="auto"/>
                      <w:sz w:val="18"/>
                      <w:szCs w:val="18"/>
                    </w:rPr>
                  </w:pPr>
                </w:p>
              </w:tc>
              <w:tc>
                <w:tcPr>
                  <w:tcW w:w="1488" w:type="dxa"/>
                  <w:gridSpan w:val="2"/>
                  <w:tcBorders>
                    <w:top w:val="single" w:color="auto" w:sz="4" w:space="0"/>
                    <w:left w:val="single" w:color="auto" w:sz="4" w:space="0"/>
                    <w:bottom w:val="single" w:color="auto" w:sz="4" w:space="0"/>
                    <w:right w:val="single" w:color="auto" w:sz="4" w:space="0"/>
                  </w:tcBorders>
                  <w:vAlign w:val="center"/>
                </w:tcPr>
                <w:p w14:paraId="0B32D678">
                  <w:pPr>
                    <w:spacing w:line="240" w:lineRule="exact"/>
                    <w:jc w:val="center"/>
                    <w:rPr>
                      <w:color w:val="auto"/>
                      <w:sz w:val="18"/>
                      <w:szCs w:val="18"/>
                    </w:rPr>
                  </w:pPr>
                  <w:r>
                    <w:rPr>
                      <w:rFonts w:hint="eastAsia"/>
                      <w:color w:val="auto"/>
                      <w:sz w:val="18"/>
                      <w:szCs w:val="18"/>
                    </w:rPr>
                    <w:t>供电系统</w:t>
                  </w:r>
                </w:p>
              </w:tc>
              <w:tc>
                <w:tcPr>
                  <w:tcW w:w="4147" w:type="dxa"/>
                  <w:tcBorders>
                    <w:top w:val="single" w:color="auto" w:sz="4" w:space="0"/>
                    <w:left w:val="single" w:color="auto" w:sz="4" w:space="0"/>
                    <w:bottom w:val="single" w:color="auto" w:sz="4" w:space="0"/>
                    <w:right w:val="single" w:color="auto" w:sz="4" w:space="0"/>
                  </w:tcBorders>
                  <w:vAlign w:val="center"/>
                </w:tcPr>
                <w:p w14:paraId="5505B1DD">
                  <w:pPr>
                    <w:spacing w:line="240" w:lineRule="exact"/>
                    <w:jc w:val="center"/>
                    <w:rPr>
                      <w:color w:val="auto"/>
                      <w:sz w:val="18"/>
                      <w:szCs w:val="18"/>
                    </w:rPr>
                  </w:pPr>
                  <w:r>
                    <w:rPr>
                      <w:rFonts w:hint="eastAsia"/>
                      <w:color w:val="auto"/>
                      <w:sz w:val="18"/>
                      <w:szCs w:val="18"/>
                      <w:lang w:val="en-US" w:eastAsia="zh-CN"/>
                    </w:rPr>
                    <w:t>800</w:t>
                  </w:r>
                  <w:r>
                    <w:rPr>
                      <w:rFonts w:hint="eastAsia"/>
                      <w:color w:val="auto"/>
                      <w:sz w:val="18"/>
                      <w:szCs w:val="18"/>
                    </w:rPr>
                    <w:t>万千瓦时</w:t>
                  </w:r>
                  <w:r>
                    <w:rPr>
                      <w:color w:val="auto"/>
                      <w:sz w:val="18"/>
                      <w:szCs w:val="18"/>
                    </w:rPr>
                    <w:t>/</w:t>
                  </w:r>
                  <w:r>
                    <w:rPr>
                      <w:rFonts w:hint="eastAsia"/>
                      <w:color w:val="auto"/>
                      <w:sz w:val="18"/>
                      <w:szCs w:val="18"/>
                    </w:rPr>
                    <w:t>年</w:t>
                  </w:r>
                </w:p>
              </w:tc>
              <w:tc>
                <w:tcPr>
                  <w:tcW w:w="1725" w:type="dxa"/>
                  <w:tcBorders>
                    <w:top w:val="single" w:color="auto" w:sz="4" w:space="0"/>
                    <w:left w:val="single" w:color="auto" w:sz="4" w:space="0"/>
                    <w:bottom w:val="single" w:color="auto" w:sz="4" w:space="0"/>
                  </w:tcBorders>
                  <w:vAlign w:val="center"/>
                </w:tcPr>
                <w:p w14:paraId="7B26C871">
                  <w:pPr>
                    <w:spacing w:line="240" w:lineRule="exact"/>
                    <w:jc w:val="center"/>
                    <w:rPr>
                      <w:color w:val="auto"/>
                      <w:sz w:val="18"/>
                      <w:szCs w:val="18"/>
                    </w:rPr>
                  </w:pPr>
                  <w:r>
                    <w:rPr>
                      <w:rFonts w:hint="eastAsia"/>
                      <w:color w:val="auto"/>
                      <w:sz w:val="18"/>
                      <w:szCs w:val="18"/>
                    </w:rPr>
                    <w:t>由区域电网供电</w:t>
                  </w:r>
                </w:p>
              </w:tc>
            </w:tr>
            <w:tr w14:paraId="289C03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99" w:type="dxa"/>
                  <w:vMerge w:val="restart"/>
                  <w:tcBorders>
                    <w:top w:val="single" w:color="auto" w:sz="4" w:space="0"/>
                    <w:right w:val="single" w:color="auto" w:sz="4" w:space="0"/>
                  </w:tcBorders>
                  <w:vAlign w:val="center"/>
                </w:tcPr>
                <w:p w14:paraId="0189C011">
                  <w:pPr>
                    <w:spacing w:line="240" w:lineRule="exact"/>
                    <w:jc w:val="center"/>
                    <w:rPr>
                      <w:color w:val="auto"/>
                      <w:sz w:val="18"/>
                      <w:szCs w:val="18"/>
                    </w:rPr>
                  </w:pPr>
                  <w:r>
                    <w:rPr>
                      <w:rFonts w:hint="eastAsia"/>
                      <w:color w:val="auto"/>
                      <w:sz w:val="18"/>
                      <w:szCs w:val="18"/>
                    </w:rPr>
                    <w:t>环保工程</w:t>
                  </w:r>
                </w:p>
              </w:tc>
              <w:tc>
                <w:tcPr>
                  <w:tcW w:w="1488" w:type="dxa"/>
                  <w:gridSpan w:val="2"/>
                  <w:tcBorders>
                    <w:top w:val="single" w:color="auto" w:sz="4" w:space="0"/>
                    <w:left w:val="single" w:color="auto" w:sz="4" w:space="0"/>
                    <w:bottom w:val="single" w:color="auto" w:sz="4" w:space="0"/>
                    <w:right w:val="single" w:color="auto" w:sz="4" w:space="0"/>
                  </w:tcBorders>
                  <w:vAlign w:val="center"/>
                </w:tcPr>
                <w:p w14:paraId="2473767E">
                  <w:pPr>
                    <w:spacing w:line="240" w:lineRule="exact"/>
                    <w:jc w:val="center"/>
                    <w:rPr>
                      <w:rFonts w:hint="eastAsia" w:eastAsia="宋体"/>
                      <w:color w:val="auto"/>
                      <w:sz w:val="18"/>
                      <w:szCs w:val="18"/>
                      <w:lang w:val="en-US" w:eastAsia="zh-CN"/>
                    </w:rPr>
                  </w:pPr>
                  <w:r>
                    <w:rPr>
                      <w:rFonts w:hint="eastAsia"/>
                      <w:color w:val="auto"/>
                      <w:sz w:val="18"/>
                      <w:szCs w:val="18"/>
                      <w:lang w:val="en-US" w:eastAsia="zh-CN"/>
                    </w:rPr>
                    <w:t>废气</w:t>
                  </w:r>
                </w:p>
              </w:tc>
              <w:tc>
                <w:tcPr>
                  <w:tcW w:w="4147" w:type="dxa"/>
                  <w:tcBorders>
                    <w:top w:val="single" w:color="auto" w:sz="4" w:space="0"/>
                    <w:left w:val="single" w:color="auto" w:sz="4" w:space="0"/>
                    <w:bottom w:val="single" w:color="auto" w:sz="4" w:space="0"/>
                    <w:right w:val="single" w:color="auto" w:sz="4" w:space="0"/>
                  </w:tcBorders>
                  <w:vAlign w:val="center"/>
                </w:tcPr>
                <w:p w14:paraId="71652854">
                  <w:pPr>
                    <w:spacing w:line="240" w:lineRule="exact"/>
                    <w:jc w:val="center"/>
                    <w:rPr>
                      <w:rFonts w:hint="default"/>
                      <w:color w:val="auto"/>
                      <w:sz w:val="18"/>
                      <w:szCs w:val="18"/>
                      <w:lang w:val="en-US" w:eastAsia="zh-CN"/>
                    </w:rPr>
                  </w:pPr>
                  <w:r>
                    <w:rPr>
                      <w:rFonts w:hint="eastAsia"/>
                      <w:color w:val="auto"/>
                      <w:sz w:val="18"/>
                      <w:szCs w:val="18"/>
                      <w:lang w:val="en-US" w:eastAsia="zh-CN"/>
                    </w:rPr>
                    <w:t>加弹废气、复合废气通过集气罩收集，收集效率90%，接入二级活性炭吸附装置处理，处理效率90%，通过35m高排气筒排放。风机风量5000m</w:t>
                  </w:r>
                  <w:r>
                    <w:rPr>
                      <w:rFonts w:hint="eastAsia"/>
                      <w:color w:val="auto"/>
                      <w:sz w:val="18"/>
                      <w:szCs w:val="18"/>
                      <w:vertAlign w:val="superscript"/>
                      <w:lang w:val="en-US" w:eastAsia="zh-CN"/>
                    </w:rPr>
                    <w:t>3</w:t>
                  </w:r>
                  <w:r>
                    <w:rPr>
                      <w:rFonts w:hint="eastAsia"/>
                      <w:color w:val="auto"/>
                      <w:sz w:val="18"/>
                      <w:szCs w:val="18"/>
                      <w:lang w:val="en-US" w:eastAsia="zh-CN"/>
                    </w:rPr>
                    <w:t>/h。</w:t>
                  </w:r>
                </w:p>
              </w:tc>
              <w:tc>
                <w:tcPr>
                  <w:tcW w:w="1725" w:type="dxa"/>
                  <w:tcBorders>
                    <w:top w:val="single" w:color="auto" w:sz="4" w:space="0"/>
                    <w:left w:val="single" w:color="auto" w:sz="4" w:space="0"/>
                    <w:bottom w:val="single" w:color="auto" w:sz="4" w:space="0"/>
                  </w:tcBorders>
                  <w:vAlign w:val="center"/>
                </w:tcPr>
                <w:p w14:paraId="225A51EE">
                  <w:pPr>
                    <w:spacing w:line="240" w:lineRule="exact"/>
                    <w:jc w:val="center"/>
                    <w:rPr>
                      <w:rFonts w:hint="default" w:eastAsia="宋体"/>
                      <w:color w:val="auto"/>
                      <w:sz w:val="18"/>
                      <w:szCs w:val="18"/>
                      <w:lang w:val="en-US" w:eastAsia="zh-CN"/>
                    </w:rPr>
                  </w:pPr>
                  <w:r>
                    <w:rPr>
                      <w:rFonts w:hint="eastAsia"/>
                      <w:color w:val="auto"/>
                      <w:sz w:val="18"/>
                      <w:szCs w:val="18"/>
                      <w:lang w:val="en-US" w:eastAsia="zh-CN"/>
                    </w:rPr>
                    <w:t>用于废气处理</w:t>
                  </w:r>
                </w:p>
              </w:tc>
            </w:tr>
            <w:tr w14:paraId="43C4D6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99" w:type="dxa"/>
                  <w:vMerge w:val="continue"/>
                  <w:tcBorders>
                    <w:right w:val="single" w:color="auto" w:sz="4" w:space="0"/>
                  </w:tcBorders>
                  <w:vAlign w:val="center"/>
                </w:tcPr>
                <w:p w14:paraId="1EB6F76D">
                  <w:pPr>
                    <w:spacing w:line="240" w:lineRule="exact"/>
                    <w:jc w:val="center"/>
                    <w:rPr>
                      <w:color w:val="auto"/>
                      <w:sz w:val="18"/>
                      <w:szCs w:val="18"/>
                    </w:rPr>
                  </w:pPr>
                </w:p>
              </w:tc>
              <w:tc>
                <w:tcPr>
                  <w:tcW w:w="654" w:type="dxa"/>
                  <w:vMerge w:val="restart"/>
                  <w:tcBorders>
                    <w:top w:val="single" w:color="auto" w:sz="4" w:space="0"/>
                    <w:left w:val="single" w:color="auto" w:sz="4" w:space="0"/>
                    <w:bottom w:val="single" w:color="auto" w:sz="4" w:space="0"/>
                    <w:right w:val="single" w:color="auto" w:sz="4" w:space="0"/>
                  </w:tcBorders>
                  <w:vAlign w:val="center"/>
                </w:tcPr>
                <w:p w14:paraId="3931AD3B">
                  <w:pPr>
                    <w:spacing w:line="240" w:lineRule="exact"/>
                    <w:jc w:val="center"/>
                    <w:rPr>
                      <w:color w:val="auto"/>
                      <w:sz w:val="18"/>
                      <w:szCs w:val="18"/>
                    </w:rPr>
                  </w:pPr>
                  <w:r>
                    <w:rPr>
                      <w:rFonts w:hint="eastAsia"/>
                      <w:color w:val="auto"/>
                      <w:sz w:val="18"/>
                      <w:szCs w:val="18"/>
                    </w:rPr>
                    <w:t>废水</w:t>
                  </w:r>
                </w:p>
              </w:tc>
              <w:tc>
                <w:tcPr>
                  <w:tcW w:w="834" w:type="dxa"/>
                  <w:tcBorders>
                    <w:top w:val="single" w:color="auto" w:sz="4" w:space="0"/>
                    <w:left w:val="single" w:color="auto" w:sz="4" w:space="0"/>
                    <w:bottom w:val="single" w:color="auto" w:sz="4" w:space="0"/>
                    <w:right w:val="single" w:color="auto" w:sz="4" w:space="0"/>
                  </w:tcBorders>
                  <w:vAlign w:val="center"/>
                </w:tcPr>
                <w:p w14:paraId="141FCF09">
                  <w:pPr>
                    <w:spacing w:line="240" w:lineRule="exact"/>
                    <w:jc w:val="center"/>
                    <w:rPr>
                      <w:color w:val="auto"/>
                      <w:sz w:val="18"/>
                      <w:szCs w:val="18"/>
                    </w:rPr>
                  </w:pPr>
                  <w:r>
                    <w:rPr>
                      <w:rFonts w:hint="eastAsia"/>
                      <w:color w:val="auto"/>
                      <w:sz w:val="18"/>
                      <w:szCs w:val="18"/>
                    </w:rPr>
                    <w:t>生活污水</w:t>
                  </w:r>
                </w:p>
              </w:tc>
              <w:tc>
                <w:tcPr>
                  <w:tcW w:w="4147" w:type="dxa"/>
                  <w:tcBorders>
                    <w:top w:val="single" w:color="auto" w:sz="4" w:space="0"/>
                    <w:left w:val="single" w:color="auto" w:sz="4" w:space="0"/>
                    <w:bottom w:val="single" w:color="auto" w:sz="4" w:space="0"/>
                    <w:right w:val="single" w:color="auto" w:sz="4" w:space="0"/>
                  </w:tcBorders>
                  <w:vAlign w:val="center"/>
                </w:tcPr>
                <w:p w14:paraId="26DFF99C">
                  <w:pPr>
                    <w:spacing w:line="240" w:lineRule="exact"/>
                    <w:jc w:val="center"/>
                    <w:rPr>
                      <w:rFonts w:hint="default"/>
                      <w:color w:val="auto"/>
                      <w:lang w:val="en-US"/>
                    </w:rPr>
                  </w:pPr>
                  <w:r>
                    <w:rPr>
                      <w:rFonts w:hint="eastAsia"/>
                      <w:color w:val="auto"/>
                      <w:sz w:val="18"/>
                      <w:szCs w:val="18"/>
                    </w:rPr>
                    <w:t>生活污水</w:t>
                  </w:r>
                  <w:r>
                    <w:rPr>
                      <w:rFonts w:hint="eastAsia"/>
                      <w:color w:val="auto"/>
                      <w:sz w:val="18"/>
                      <w:szCs w:val="18"/>
                      <w:lang w:val="en-US" w:eastAsia="zh-CN"/>
                    </w:rPr>
                    <w:t>775.6</w:t>
                  </w:r>
                  <w:r>
                    <w:rPr>
                      <w:color w:val="auto"/>
                      <w:sz w:val="18"/>
                      <w:szCs w:val="18"/>
                    </w:rPr>
                    <w:t>m</w:t>
                  </w:r>
                  <w:r>
                    <w:rPr>
                      <w:color w:val="auto"/>
                      <w:sz w:val="18"/>
                      <w:szCs w:val="18"/>
                      <w:vertAlign w:val="superscript"/>
                    </w:rPr>
                    <w:t>3</w:t>
                  </w:r>
                  <w:r>
                    <w:rPr>
                      <w:color w:val="auto"/>
                      <w:sz w:val="18"/>
                      <w:szCs w:val="18"/>
                    </w:rPr>
                    <w:t>/a</w:t>
                  </w:r>
                  <w:r>
                    <w:rPr>
                      <w:rFonts w:hint="eastAsia"/>
                      <w:color w:val="auto"/>
                      <w:sz w:val="18"/>
                      <w:szCs w:val="18"/>
                      <w:lang w:eastAsia="zh-CN"/>
                    </w:rPr>
                    <w:t>，</w:t>
                  </w:r>
                  <w:r>
                    <w:rPr>
                      <w:rFonts w:hint="eastAsia"/>
                      <w:color w:val="auto"/>
                      <w:sz w:val="18"/>
                      <w:szCs w:val="18"/>
                      <w:lang w:val="en-US" w:eastAsia="zh-CN"/>
                    </w:rPr>
                    <w:t>抽运至苏州市吴江桃源生活污水处理有限公司处理</w:t>
                  </w:r>
                </w:p>
              </w:tc>
              <w:tc>
                <w:tcPr>
                  <w:tcW w:w="1725" w:type="dxa"/>
                  <w:tcBorders>
                    <w:top w:val="single" w:color="auto" w:sz="4" w:space="0"/>
                    <w:left w:val="single" w:color="auto" w:sz="4" w:space="0"/>
                    <w:bottom w:val="single" w:color="auto" w:sz="4" w:space="0"/>
                  </w:tcBorders>
                  <w:vAlign w:val="center"/>
                </w:tcPr>
                <w:p w14:paraId="4134FF70">
                  <w:pPr>
                    <w:spacing w:line="240" w:lineRule="exact"/>
                    <w:jc w:val="center"/>
                    <w:rPr>
                      <w:color w:val="auto"/>
                      <w:sz w:val="18"/>
                      <w:szCs w:val="18"/>
                    </w:rPr>
                  </w:pPr>
                  <w:r>
                    <w:rPr>
                      <w:rFonts w:hint="eastAsia"/>
                      <w:color w:val="auto"/>
                      <w:sz w:val="18"/>
                      <w:szCs w:val="18"/>
                      <w:lang w:eastAsia="zh-CN"/>
                    </w:rPr>
                    <w:t>生活污水抽运</w:t>
                  </w:r>
                  <w:r>
                    <w:rPr>
                      <w:rFonts w:hint="eastAsia"/>
                      <w:color w:val="auto"/>
                      <w:sz w:val="18"/>
                      <w:szCs w:val="18"/>
                    </w:rPr>
                    <w:t>至</w:t>
                  </w:r>
                  <w:r>
                    <w:rPr>
                      <w:rFonts w:hint="eastAsia"/>
                      <w:color w:val="auto"/>
                      <w:sz w:val="18"/>
                      <w:szCs w:val="18"/>
                      <w:lang w:eastAsia="zh-CN"/>
                    </w:rPr>
                    <w:t>苏州市吴江桃源生活污水处理有限公司</w:t>
                  </w:r>
                  <w:r>
                    <w:rPr>
                      <w:rFonts w:hint="eastAsia"/>
                      <w:color w:val="auto"/>
                      <w:sz w:val="18"/>
                      <w:szCs w:val="18"/>
                    </w:rPr>
                    <w:t>处理</w:t>
                  </w:r>
                </w:p>
              </w:tc>
            </w:tr>
            <w:tr w14:paraId="15E3E2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99" w:type="dxa"/>
                  <w:vMerge w:val="continue"/>
                  <w:tcBorders>
                    <w:right w:val="single" w:color="auto" w:sz="4" w:space="0"/>
                  </w:tcBorders>
                  <w:vAlign w:val="center"/>
                </w:tcPr>
                <w:p w14:paraId="266E29B1">
                  <w:pPr>
                    <w:spacing w:line="240" w:lineRule="exact"/>
                    <w:jc w:val="center"/>
                    <w:rPr>
                      <w:color w:val="auto"/>
                      <w:sz w:val="18"/>
                      <w:szCs w:val="18"/>
                    </w:rPr>
                  </w:pPr>
                </w:p>
              </w:tc>
              <w:tc>
                <w:tcPr>
                  <w:tcW w:w="654" w:type="dxa"/>
                  <w:vMerge w:val="continue"/>
                  <w:tcBorders>
                    <w:top w:val="single" w:color="auto" w:sz="4" w:space="0"/>
                    <w:left w:val="single" w:color="auto" w:sz="4" w:space="0"/>
                    <w:bottom w:val="single" w:color="auto" w:sz="4" w:space="0"/>
                    <w:right w:val="single" w:color="auto" w:sz="4" w:space="0"/>
                  </w:tcBorders>
                  <w:vAlign w:val="center"/>
                </w:tcPr>
                <w:p w14:paraId="79A0EC7F">
                  <w:pPr>
                    <w:spacing w:line="240" w:lineRule="exact"/>
                    <w:jc w:val="center"/>
                    <w:rPr>
                      <w:color w:val="auto"/>
                      <w:sz w:val="18"/>
                      <w:szCs w:val="18"/>
                    </w:rPr>
                  </w:pPr>
                </w:p>
              </w:tc>
              <w:tc>
                <w:tcPr>
                  <w:tcW w:w="834" w:type="dxa"/>
                  <w:tcBorders>
                    <w:top w:val="single" w:color="auto" w:sz="4" w:space="0"/>
                    <w:left w:val="single" w:color="auto" w:sz="4" w:space="0"/>
                    <w:bottom w:val="single" w:color="auto" w:sz="4" w:space="0"/>
                    <w:right w:val="single" w:color="auto" w:sz="4" w:space="0"/>
                  </w:tcBorders>
                  <w:vAlign w:val="center"/>
                </w:tcPr>
                <w:p w14:paraId="4467DF34">
                  <w:pPr>
                    <w:spacing w:line="240" w:lineRule="exact"/>
                    <w:jc w:val="center"/>
                    <w:rPr>
                      <w:rFonts w:hint="eastAsia" w:eastAsia="宋体"/>
                      <w:color w:val="auto"/>
                      <w:sz w:val="18"/>
                      <w:szCs w:val="18"/>
                      <w:lang w:eastAsia="zh-CN"/>
                    </w:rPr>
                  </w:pPr>
                  <w:r>
                    <w:rPr>
                      <w:rFonts w:hint="eastAsia"/>
                      <w:color w:val="auto"/>
                      <w:sz w:val="18"/>
                      <w:szCs w:val="18"/>
                      <w:lang w:eastAsia="zh-CN"/>
                    </w:rPr>
                    <w:t>生产废水</w:t>
                  </w:r>
                </w:p>
              </w:tc>
              <w:tc>
                <w:tcPr>
                  <w:tcW w:w="4147" w:type="dxa"/>
                  <w:tcBorders>
                    <w:top w:val="single" w:color="auto" w:sz="4" w:space="0"/>
                    <w:left w:val="single" w:color="auto" w:sz="4" w:space="0"/>
                    <w:bottom w:val="single" w:color="auto" w:sz="4" w:space="0"/>
                    <w:right w:val="single" w:color="auto" w:sz="4" w:space="0"/>
                  </w:tcBorders>
                  <w:vAlign w:val="center"/>
                </w:tcPr>
                <w:p w14:paraId="41A30A36">
                  <w:pPr>
                    <w:spacing w:line="240" w:lineRule="exact"/>
                    <w:jc w:val="center"/>
                    <w:rPr>
                      <w:color w:val="auto"/>
                    </w:rPr>
                  </w:pPr>
                  <w:r>
                    <w:rPr>
                      <w:rFonts w:hint="eastAsia"/>
                      <w:color w:val="auto"/>
                      <w:sz w:val="18"/>
                      <w:szCs w:val="18"/>
                      <w:lang w:val="en-US" w:eastAsia="zh-CN"/>
                    </w:rPr>
                    <w:t>生产</w:t>
                  </w:r>
                  <w:r>
                    <w:rPr>
                      <w:rFonts w:hint="eastAsia"/>
                      <w:color w:val="auto"/>
                      <w:sz w:val="18"/>
                      <w:szCs w:val="18"/>
                    </w:rPr>
                    <w:t>废水</w:t>
                  </w:r>
                  <w:r>
                    <w:rPr>
                      <w:rFonts w:hint="eastAsia"/>
                      <w:color w:val="auto"/>
                      <w:sz w:val="18"/>
                      <w:szCs w:val="18"/>
                      <w:lang w:val="en-US" w:eastAsia="zh-CN"/>
                    </w:rPr>
                    <w:t>接管</w:t>
                  </w:r>
                  <w:r>
                    <w:rPr>
                      <w:rFonts w:hint="eastAsia"/>
                      <w:color w:val="auto"/>
                      <w:sz w:val="18"/>
                      <w:szCs w:val="18"/>
                    </w:rPr>
                    <w:t>量</w:t>
                  </w:r>
                  <w:r>
                    <w:rPr>
                      <w:rFonts w:hint="eastAsia"/>
                      <w:color w:val="auto"/>
                      <w:sz w:val="18"/>
                      <w:szCs w:val="18"/>
                      <w:lang w:val="en-US" w:eastAsia="zh-CN"/>
                    </w:rPr>
                    <w:t>173740</w:t>
                  </w:r>
                  <w:r>
                    <w:rPr>
                      <w:color w:val="auto"/>
                      <w:sz w:val="18"/>
                      <w:szCs w:val="18"/>
                    </w:rPr>
                    <w:t>m</w:t>
                  </w:r>
                  <w:r>
                    <w:rPr>
                      <w:color w:val="auto"/>
                      <w:sz w:val="18"/>
                      <w:szCs w:val="18"/>
                      <w:vertAlign w:val="superscript"/>
                    </w:rPr>
                    <w:t>3</w:t>
                  </w:r>
                  <w:r>
                    <w:rPr>
                      <w:color w:val="auto"/>
                      <w:sz w:val="18"/>
                      <w:szCs w:val="18"/>
                    </w:rPr>
                    <w:t>/a</w:t>
                  </w:r>
                  <w:r>
                    <w:rPr>
                      <w:rFonts w:hint="eastAsia"/>
                      <w:color w:val="auto"/>
                      <w:sz w:val="18"/>
                      <w:szCs w:val="18"/>
                      <w:lang w:val="en-US" w:eastAsia="zh-CN"/>
                    </w:rPr>
                    <w:t>，本项目生产废水直接</w:t>
                  </w:r>
                  <w:r>
                    <w:rPr>
                      <w:rFonts w:hint="eastAsia"/>
                      <w:color w:val="auto"/>
                      <w:sz w:val="18"/>
                      <w:szCs w:val="18"/>
                    </w:rPr>
                    <w:t>接管至苏州市桃源富乡污水处理有限公司处理后</w:t>
                  </w:r>
                  <w:r>
                    <w:rPr>
                      <w:rFonts w:hint="eastAsia"/>
                      <w:color w:val="auto"/>
                      <w:sz w:val="18"/>
                      <w:szCs w:val="18"/>
                      <w:lang w:val="en-US" w:eastAsia="zh-CN"/>
                    </w:rPr>
                    <w:t>76%</w:t>
                  </w:r>
                  <w:r>
                    <w:rPr>
                      <w:rFonts w:hint="eastAsia"/>
                      <w:color w:val="auto"/>
                      <w:sz w:val="18"/>
                      <w:szCs w:val="18"/>
                    </w:rPr>
                    <w:t>回用</w:t>
                  </w:r>
                  <w:r>
                    <w:rPr>
                      <w:rFonts w:hint="eastAsia"/>
                      <w:color w:val="auto"/>
                      <w:sz w:val="18"/>
                      <w:szCs w:val="18"/>
                      <w:lang w:eastAsia="zh-CN"/>
                    </w:rPr>
                    <w:t>，</w:t>
                  </w:r>
                  <w:r>
                    <w:rPr>
                      <w:rFonts w:hint="eastAsia"/>
                      <w:color w:val="auto"/>
                      <w:sz w:val="18"/>
                      <w:szCs w:val="18"/>
                      <w:lang w:val="en-US" w:eastAsia="zh-CN"/>
                    </w:rPr>
                    <w:t>其余达标排入鳑鲏港</w:t>
                  </w:r>
                </w:p>
              </w:tc>
              <w:tc>
                <w:tcPr>
                  <w:tcW w:w="1725" w:type="dxa"/>
                  <w:tcBorders>
                    <w:top w:val="single" w:color="auto" w:sz="4" w:space="0"/>
                    <w:left w:val="single" w:color="auto" w:sz="4" w:space="0"/>
                    <w:bottom w:val="single" w:color="auto" w:sz="4" w:space="0"/>
                  </w:tcBorders>
                  <w:vAlign w:val="center"/>
                </w:tcPr>
                <w:p w14:paraId="12448986">
                  <w:pPr>
                    <w:jc w:val="center"/>
                    <w:rPr>
                      <w:color w:val="auto"/>
                      <w:sz w:val="18"/>
                      <w:szCs w:val="18"/>
                    </w:rPr>
                  </w:pPr>
                  <w:r>
                    <w:rPr>
                      <w:color w:val="auto"/>
                      <w:sz w:val="18"/>
                      <w:szCs w:val="18"/>
                    </w:rPr>
                    <w:t>/</w:t>
                  </w:r>
                </w:p>
              </w:tc>
            </w:tr>
            <w:tr w14:paraId="037D4F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99" w:type="dxa"/>
                  <w:vMerge w:val="continue"/>
                  <w:tcBorders>
                    <w:right w:val="single" w:color="auto" w:sz="4" w:space="0"/>
                  </w:tcBorders>
                  <w:vAlign w:val="center"/>
                </w:tcPr>
                <w:p w14:paraId="7BD7B122">
                  <w:pPr>
                    <w:spacing w:line="240" w:lineRule="exact"/>
                    <w:jc w:val="center"/>
                    <w:rPr>
                      <w:color w:val="auto"/>
                      <w:sz w:val="18"/>
                      <w:szCs w:val="18"/>
                    </w:rPr>
                  </w:pPr>
                </w:p>
              </w:tc>
              <w:tc>
                <w:tcPr>
                  <w:tcW w:w="654" w:type="dxa"/>
                  <w:tcBorders>
                    <w:top w:val="single" w:color="auto" w:sz="4" w:space="0"/>
                    <w:left w:val="single" w:color="auto" w:sz="4" w:space="0"/>
                    <w:bottom w:val="single" w:color="auto" w:sz="4" w:space="0"/>
                    <w:right w:val="single" w:color="auto" w:sz="4" w:space="0"/>
                  </w:tcBorders>
                  <w:vAlign w:val="center"/>
                </w:tcPr>
                <w:p w14:paraId="0DEC4ACF">
                  <w:pPr>
                    <w:spacing w:line="240" w:lineRule="exact"/>
                    <w:jc w:val="center"/>
                    <w:rPr>
                      <w:color w:val="auto"/>
                      <w:sz w:val="18"/>
                      <w:szCs w:val="18"/>
                    </w:rPr>
                  </w:pPr>
                  <w:r>
                    <w:rPr>
                      <w:rFonts w:hint="eastAsia"/>
                      <w:color w:val="auto"/>
                      <w:sz w:val="18"/>
                      <w:szCs w:val="18"/>
                    </w:rPr>
                    <w:t>噪声</w:t>
                  </w:r>
                </w:p>
              </w:tc>
              <w:tc>
                <w:tcPr>
                  <w:tcW w:w="834" w:type="dxa"/>
                  <w:tcBorders>
                    <w:top w:val="single" w:color="auto" w:sz="4" w:space="0"/>
                    <w:left w:val="single" w:color="auto" w:sz="4" w:space="0"/>
                    <w:bottom w:val="single" w:color="auto" w:sz="4" w:space="0"/>
                    <w:right w:val="single" w:color="auto" w:sz="4" w:space="0"/>
                  </w:tcBorders>
                  <w:vAlign w:val="center"/>
                </w:tcPr>
                <w:p w14:paraId="35C16568">
                  <w:pPr>
                    <w:spacing w:line="240" w:lineRule="exact"/>
                    <w:jc w:val="center"/>
                    <w:rPr>
                      <w:color w:val="auto"/>
                      <w:sz w:val="18"/>
                      <w:szCs w:val="18"/>
                    </w:rPr>
                  </w:pPr>
                  <w:r>
                    <w:rPr>
                      <w:rFonts w:hint="eastAsia"/>
                      <w:color w:val="auto"/>
                      <w:sz w:val="18"/>
                      <w:szCs w:val="18"/>
                    </w:rPr>
                    <w:t>隔声、减震</w:t>
                  </w:r>
                </w:p>
              </w:tc>
              <w:tc>
                <w:tcPr>
                  <w:tcW w:w="4147" w:type="dxa"/>
                  <w:tcBorders>
                    <w:top w:val="single" w:color="auto" w:sz="4" w:space="0"/>
                    <w:left w:val="single" w:color="auto" w:sz="4" w:space="0"/>
                    <w:bottom w:val="single" w:color="auto" w:sz="4" w:space="0"/>
                    <w:right w:val="single" w:color="auto" w:sz="4" w:space="0"/>
                  </w:tcBorders>
                  <w:vAlign w:val="center"/>
                </w:tcPr>
                <w:p w14:paraId="78C95542">
                  <w:pPr>
                    <w:overflowPunct w:val="0"/>
                    <w:adjustRightInd w:val="0"/>
                    <w:snapToGrid w:val="0"/>
                    <w:spacing w:beforeLines="20" w:afterLines="20"/>
                    <w:jc w:val="center"/>
                    <w:rPr>
                      <w:color w:val="auto"/>
                      <w:sz w:val="18"/>
                      <w:szCs w:val="18"/>
                    </w:rPr>
                  </w:pPr>
                  <w:r>
                    <w:rPr>
                      <w:rFonts w:hint="eastAsia"/>
                      <w:snapToGrid w:val="0"/>
                      <w:color w:val="auto"/>
                      <w:kern w:val="0"/>
                      <w:sz w:val="18"/>
                      <w:szCs w:val="18"/>
                    </w:rPr>
                    <w:t>隔声量≥</w:t>
                  </w:r>
                  <w:r>
                    <w:rPr>
                      <w:snapToGrid w:val="0"/>
                      <w:color w:val="auto"/>
                      <w:kern w:val="0"/>
                      <w:sz w:val="18"/>
                      <w:szCs w:val="18"/>
                    </w:rPr>
                    <w:t>25</w:t>
                  </w:r>
                  <w:r>
                    <w:rPr>
                      <w:rFonts w:eastAsia="Times New Roman"/>
                      <w:snapToGrid w:val="0"/>
                      <w:color w:val="auto"/>
                      <w:kern w:val="0"/>
                      <w:sz w:val="18"/>
                      <w:szCs w:val="18"/>
                    </w:rPr>
                    <w:t>dB</w:t>
                  </w:r>
                  <w:r>
                    <w:rPr>
                      <w:rFonts w:hint="eastAsia"/>
                      <w:snapToGrid w:val="0"/>
                      <w:color w:val="auto"/>
                      <w:kern w:val="0"/>
                      <w:sz w:val="18"/>
                      <w:szCs w:val="18"/>
                    </w:rPr>
                    <w:t>（</w:t>
                  </w:r>
                  <w:r>
                    <w:rPr>
                      <w:snapToGrid w:val="0"/>
                      <w:color w:val="auto"/>
                      <w:kern w:val="0"/>
                      <w:sz w:val="18"/>
                      <w:szCs w:val="18"/>
                    </w:rPr>
                    <w:t>A</w:t>
                  </w:r>
                  <w:r>
                    <w:rPr>
                      <w:rFonts w:hint="eastAsia"/>
                      <w:snapToGrid w:val="0"/>
                      <w:color w:val="auto"/>
                      <w:kern w:val="0"/>
                      <w:sz w:val="18"/>
                      <w:szCs w:val="18"/>
                    </w:rPr>
                    <w:t>）</w:t>
                  </w:r>
                </w:p>
              </w:tc>
              <w:tc>
                <w:tcPr>
                  <w:tcW w:w="1725" w:type="dxa"/>
                  <w:tcBorders>
                    <w:top w:val="single" w:color="auto" w:sz="4" w:space="0"/>
                    <w:left w:val="single" w:color="auto" w:sz="4" w:space="0"/>
                    <w:bottom w:val="single" w:color="auto" w:sz="4" w:space="0"/>
                  </w:tcBorders>
                  <w:vAlign w:val="center"/>
                </w:tcPr>
                <w:p w14:paraId="3122B1B3">
                  <w:pPr>
                    <w:overflowPunct w:val="0"/>
                    <w:adjustRightInd w:val="0"/>
                    <w:snapToGrid w:val="0"/>
                    <w:spacing w:beforeLines="20" w:afterLines="20"/>
                    <w:jc w:val="center"/>
                    <w:rPr>
                      <w:color w:val="auto"/>
                      <w:sz w:val="18"/>
                      <w:szCs w:val="18"/>
                    </w:rPr>
                  </w:pPr>
                  <w:r>
                    <w:rPr>
                      <w:rFonts w:hint="eastAsia"/>
                      <w:snapToGrid w:val="0"/>
                      <w:color w:val="auto"/>
                      <w:kern w:val="0"/>
                      <w:sz w:val="18"/>
                      <w:szCs w:val="18"/>
                    </w:rPr>
                    <w:t>采用减震、隔声、设置绿化带</w:t>
                  </w:r>
                </w:p>
              </w:tc>
            </w:tr>
            <w:tr w14:paraId="5D7832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99" w:type="dxa"/>
                  <w:vMerge w:val="continue"/>
                  <w:tcBorders>
                    <w:right w:val="single" w:color="auto" w:sz="4" w:space="0"/>
                  </w:tcBorders>
                  <w:vAlign w:val="center"/>
                </w:tcPr>
                <w:p w14:paraId="0953E303">
                  <w:pPr>
                    <w:spacing w:line="240" w:lineRule="exact"/>
                    <w:jc w:val="center"/>
                    <w:rPr>
                      <w:color w:val="auto"/>
                      <w:sz w:val="18"/>
                      <w:szCs w:val="18"/>
                    </w:rPr>
                  </w:pPr>
                </w:p>
              </w:tc>
              <w:tc>
                <w:tcPr>
                  <w:tcW w:w="654" w:type="dxa"/>
                  <w:vMerge w:val="restart"/>
                  <w:tcBorders>
                    <w:top w:val="single" w:color="auto" w:sz="4" w:space="0"/>
                    <w:left w:val="single" w:color="auto" w:sz="4" w:space="0"/>
                    <w:bottom w:val="single" w:color="auto" w:sz="4" w:space="0"/>
                    <w:right w:val="single" w:color="auto" w:sz="4" w:space="0"/>
                  </w:tcBorders>
                  <w:vAlign w:val="center"/>
                </w:tcPr>
                <w:p w14:paraId="3A066D90">
                  <w:pPr>
                    <w:spacing w:line="240" w:lineRule="exact"/>
                    <w:jc w:val="center"/>
                    <w:rPr>
                      <w:color w:val="auto"/>
                      <w:sz w:val="18"/>
                      <w:szCs w:val="18"/>
                    </w:rPr>
                  </w:pPr>
                  <w:r>
                    <w:rPr>
                      <w:rFonts w:hint="eastAsia"/>
                      <w:color w:val="auto"/>
                      <w:sz w:val="18"/>
                      <w:szCs w:val="18"/>
                    </w:rPr>
                    <w:t>固废</w:t>
                  </w:r>
                </w:p>
              </w:tc>
              <w:tc>
                <w:tcPr>
                  <w:tcW w:w="834" w:type="dxa"/>
                  <w:tcBorders>
                    <w:top w:val="single" w:color="auto" w:sz="4" w:space="0"/>
                    <w:left w:val="single" w:color="auto" w:sz="4" w:space="0"/>
                    <w:bottom w:val="single" w:color="auto" w:sz="4" w:space="0"/>
                    <w:right w:val="single" w:color="auto" w:sz="4" w:space="0"/>
                  </w:tcBorders>
                  <w:vAlign w:val="center"/>
                </w:tcPr>
                <w:p w14:paraId="0E9B46EB">
                  <w:pPr>
                    <w:spacing w:line="240" w:lineRule="exact"/>
                    <w:jc w:val="center"/>
                    <w:rPr>
                      <w:color w:val="auto"/>
                      <w:sz w:val="18"/>
                      <w:szCs w:val="18"/>
                    </w:rPr>
                  </w:pPr>
                  <w:r>
                    <w:rPr>
                      <w:rFonts w:hint="eastAsia"/>
                      <w:color w:val="auto"/>
                      <w:sz w:val="18"/>
                      <w:szCs w:val="18"/>
                    </w:rPr>
                    <w:t>危废仓库</w:t>
                  </w:r>
                </w:p>
              </w:tc>
              <w:tc>
                <w:tcPr>
                  <w:tcW w:w="4147" w:type="dxa"/>
                  <w:tcBorders>
                    <w:top w:val="single" w:color="auto" w:sz="4" w:space="0"/>
                    <w:left w:val="single" w:color="auto" w:sz="4" w:space="0"/>
                    <w:bottom w:val="single" w:color="auto" w:sz="4" w:space="0"/>
                    <w:right w:val="single" w:color="auto" w:sz="4" w:space="0"/>
                  </w:tcBorders>
                  <w:vAlign w:val="center"/>
                </w:tcPr>
                <w:p w14:paraId="0B9D68F5">
                  <w:pPr>
                    <w:spacing w:line="240" w:lineRule="exact"/>
                    <w:jc w:val="center"/>
                    <w:rPr>
                      <w:color w:val="auto"/>
                      <w:sz w:val="18"/>
                      <w:szCs w:val="18"/>
                    </w:rPr>
                  </w:pPr>
                  <w:r>
                    <w:rPr>
                      <w:rFonts w:hint="eastAsia"/>
                      <w:color w:val="auto"/>
                      <w:sz w:val="18"/>
                      <w:szCs w:val="18"/>
                      <w:lang w:val="en-US" w:eastAsia="zh-CN"/>
                    </w:rPr>
                    <w:t>20</w:t>
                  </w:r>
                  <w:r>
                    <w:rPr>
                      <w:color w:val="auto"/>
                      <w:sz w:val="18"/>
                      <w:szCs w:val="18"/>
                    </w:rPr>
                    <w:t>m</w:t>
                  </w:r>
                  <w:r>
                    <w:rPr>
                      <w:color w:val="auto"/>
                      <w:sz w:val="18"/>
                      <w:szCs w:val="18"/>
                      <w:vertAlign w:val="superscript"/>
                    </w:rPr>
                    <w:t>2</w:t>
                  </w:r>
                </w:p>
              </w:tc>
              <w:tc>
                <w:tcPr>
                  <w:tcW w:w="1725" w:type="dxa"/>
                  <w:tcBorders>
                    <w:top w:val="single" w:color="auto" w:sz="4" w:space="0"/>
                    <w:left w:val="single" w:color="auto" w:sz="4" w:space="0"/>
                    <w:bottom w:val="single" w:color="auto" w:sz="4" w:space="0"/>
                  </w:tcBorders>
                  <w:vAlign w:val="center"/>
                </w:tcPr>
                <w:p w14:paraId="4549CC2E">
                  <w:pPr>
                    <w:spacing w:line="240" w:lineRule="exact"/>
                    <w:jc w:val="center"/>
                    <w:rPr>
                      <w:rFonts w:hint="eastAsia" w:eastAsia="宋体"/>
                      <w:color w:val="auto"/>
                      <w:sz w:val="18"/>
                      <w:szCs w:val="18"/>
                      <w:lang w:eastAsia="zh-CN"/>
                    </w:rPr>
                  </w:pPr>
                  <w:r>
                    <w:rPr>
                      <w:rFonts w:hint="eastAsia"/>
                      <w:color w:val="auto"/>
                      <w:sz w:val="18"/>
                      <w:szCs w:val="18"/>
                      <w:lang w:val="en-US" w:eastAsia="zh-CN"/>
                    </w:rPr>
                    <w:t>位于生产车间2层南侧，待建</w:t>
                  </w:r>
                </w:p>
              </w:tc>
            </w:tr>
            <w:tr w14:paraId="45C714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99" w:type="dxa"/>
                  <w:vMerge w:val="continue"/>
                  <w:tcBorders>
                    <w:bottom w:val="single" w:color="auto" w:sz="12" w:space="0"/>
                    <w:right w:val="single" w:color="auto" w:sz="4" w:space="0"/>
                  </w:tcBorders>
                  <w:vAlign w:val="center"/>
                </w:tcPr>
                <w:p w14:paraId="032DFB0E">
                  <w:pPr>
                    <w:spacing w:line="240" w:lineRule="exact"/>
                    <w:jc w:val="center"/>
                    <w:rPr>
                      <w:color w:val="auto"/>
                      <w:sz w:val="18"/>
                      <w:szCs w:val="18"/>
                    </w:rPr>
                  </w:pPr>
                </w:p>
              </w:tc>
              <w:tc>
                <w:tcPr>
                  <w:tcW w:w="654" w:type="dxa"/>
                  <w:vMerge w:val="continue"/>
                  <w:tcBorders>
                    <w:top w:val="single" w:color="auto" w:sz="4" w:space="0"/>
                    <w:left w:val="single" w:color="auto" w:sz="4" w:space="0"/>
                    <w:bottom w:val="single" w:color="auto" w:sz="12" w:space="0"/>
                    <w:right w:val="single" w:color="auto" w:sz="4" w:space="0"/>
                  </w:tcBorders>
                  <w:vAlign w:val="center"/>
                </w:tcPr>
                <w:p w14:paraId="0B0B484B">
                  <w:pPr>
                    <w:spacing w:line="240" w:lineRule="exact"/>
                    <w:jc w:val="center"/>
                    <w:rPr>
                      <w:color w:val="auto"/>
                      <w:sz w:val="18"/>
                      <w:szCs w:val="18"/>
                    </w:rPr>
                  </w:pPr>
                </w:p>
              </w:tc>
              <w:tc>
                <w:tcPr>
                  <w:tcW w:w="834" w:type="dxa"/>
                  <w:tcBorders>
                    <w:top w:val="single" w:color="auto" w:sz="4" w:space="0"/>
                    <w:left w:val="single" w:color="auto" w:sz="4" w:space="0"/>
                    <w:bottom w:val="single" w:color="auto" w:sz="12" w:space="0"/>
                    <w:right w:val="single" w:color="auto" w:sz="4" w:space="0"/>
                  </w:tcBorders>
                  <w:vAlign w:val="center"/>
                </w:tcPr>
                <w:p w14:paraId="546B9ED4">
                  <w:pPr>
                    <w:spacing w:line="240" w:lineRule="exact"/>
                    <w:jc w:val="center"/>
                    <w:rPr>
                      <w:color w:val="auto"/>
                      <w:sz w:val="18"/>
                      <w:szCs w:val="18"/>
                    </w:rPr>
                  </w:pPr>
                  <w:r>
                    <w:rPr>
                      <w:rFonts w:hint="eastAsia"/>
                      <w:color w:val="auto"/>
                      <w:sz w:val="18"/>
                      <w:szCs w:val="18"/>
                    </w:rPr>
                    <w:t>一般固废仓库</w:t>
                  </w:r>
                </w:p>
              </w:tc>
              <w:tc>
                <w:tcPr>
                  <w:tcW w:w="4147" w:type="dxa"/>
                  <w:tcBorders>
                    <w:top w:val="single" w:color="auto" w:sz="4" w:space="0"/>
                    <w:left w:val="single" w:color="auto" w:sz="4" w:space="0"/>
                    <w:bottom w:val="single" w:color="auto" w:sz="12" w:space="0"/>
                    <w:right w:val="single" w:color="auto" w:sz="4" w:space="0"/>
                  </w:tcBorders>
                  <w:vAlign w:val="center"/>
                </w:tcPr>
                <w:p w14:paraId="33207808">
                  <w:pPr>
                    <w:spacing w:line="240" w:lineRule="exact"/>
                    <w:jc w:val="center"/>
                    <w:rPr>
                      <w:color w:val="auto"/>
                      <w:sz w:val="18"/>
                      <w:szCs w:val="18"/>
                    </w:rPr>
                  </w:pPr>
                  <w:r>
                    <w:rPr>
                      <w:rFonts w:hint="eastAsia"/>
                      <w:color w:val="auto"/>
                      <w:sz w:val="18"/>
                      <w:szCs w:val="18"/>
                      <w:lang w:val="en-US" w:eastAsia="zh-CN"/>
                    </w:rPr>
                    <w:t>2</w:t>
                  </w:r>
                  <w:r>
                    <w:rPr>
                      <w:color w:val="auto"/>
                      <w:sz w:val="18"/>
                      <w:szCs w:val="18"/>
                    </w:rPr>
                    <w:t>0m</w:t>
                  </w:r>
                  <w:r>
                    <w:rPr>
                      <w:color w:val="auto"/>
                      <w:sz w:val="18"/>
                      <w:szCs w:val="18"/>
                      <w:vertAlign w:val="superscript"/>
                    </w:rPr>
                    <w:t>2</w:t>
                  </w:r>
                </w:p>
              </w:tc>
              <w:tc>
                <w:tcPr>
                  <w:tcW w:w="1725" w:type="dxa"/>
                  <w:tcBorders>
                    <w:top w:val="single" w:color="auto" w:sz="4" w:space="0"/>
                    <w:left w:val="single" w:color="auto" w:sz="4" w:space="0"/>
                    <w:bottom w:val="single" w:color="auto" w:sz="12" w:space="0"/>
                  </w:tcBorders>
                  <w:vAlign w:val="center"/>
                </w:tcPr>
                <w:p w14:paraId="162A4C81">
                  <w:pPr>
                    <w:spacing w:line="240" w:lineRule="exact"/>
                    <w:jc w:val="center"/>
                    <w:rPr>
                      <w:rFonts w:hint="eastAsia" w:eastAsia="宋体"/>
                      <w:color w:val="auto"/>
                      <w:sz w:val="18"/>
                      <w:szCs w:val="18"/>
                      <w:lang w:eastAsia="zh-CN"/>
                    </w:rPr>
                  </w:pPr>
                  <w:r>
                    <w:rPr>
                      <w:rFonts w:hint="eastAsia"/>
                      <w:color w:val="auto"/>
                      <w:sz w:val="18"/>
                      <w:szCs w:val="18"/>
                      <w:lang w:val="en-US" w:eastAsia="zh-CN"/>
                    </w:rPr>
                    <w:t>位于生产车间2层南侧，待建</w:t>
                  </w:r>
                </w:p>
              </w:tc>
            </w:tr>
          </w:tbl>
          <w:p w14:paraId="31D2FAEC">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4</w:t>
            </w:r>
            <w:r>
              <w:rPr>
                <w:rFonts w:hint="eastAsia"/>
                <w:b/>
                <w:bCs/>
                <w:snapToGrid w:val="0"/>
                <w:color w:val="auto"/>
                <w:spacing w:val="-2"/>
                <w:kern w:val="0"/>
                <w:szCs w:val="21"/>
              </w:rPr>
              <w:t>、设备清单</w:t>
            </w:r>
          </w:p>
          <w:p w14:paraId="339575EA">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 xml:space="preserve">2-3 </w:t>
            </w:r>
            <w:r>
              <w:rPr>
                <w:rFonts w:hint="eastAsia"/>
                <w:b/>
                <w:snapToGrid w:val="0"/>
                <w:color w:val="auto"/>
                <w:szCs w:val="21"/>
              </w:rPr>
              <w:t>项目主要设备一览表</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59"/>
              <w:gridCol w:w="1820"/>
              <w:gridCol w:w="1388"/>
              <w:gridCol w:w="1501"/>
              <w:gridCol w:w="1407"/>
              <w:gridCol w:w="920"/>
            </w:tblGrid>
            <w:tr w14:paraId="48C1B9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748" w:hRule="atLeast"/>
                <w:jc w:val="center"/>
              </w:trPr>
              <w:tc>
                <w:tcPr>
                  <w:tcW w:w="659" w:type="dxa"/>
                  <w:tcBorders>
                    <w:tl2br w:val="nil"/>
                    <w:tr2bl w:val="nil"/>
                  </w:tcBorders>
                  <w:vAlign w:val="center"/>
                </w:tcPr>
                <w:p w14:paraId="67676EFD">
                  <w:pPr>
                    <w:pStyle w:val="56"/>
                    <w:spacing w:beforeLines="0"/>
                    <w:rPr>
                      <w:color w:val="auto"/>
                      <w:sz w:val="18"/>
                      <w:szCs w:val="18"/>
                    </w:rPr>
                  </w:pPr>
                  <w:r>
                    <w:rPr>
                      <w:rFonts w:hint="eastAsia" w:ascii="宋体" w:hAnsi="宋体" w:cs="宋体"/>
                      <w:color w:val="auto"/>
                      <w:sz w:val="18"/>
                      <w:szCs w:val="18"/>
                    </w:rPr>
                    <w:t>序号</w:t>
                  </w:r>
                </w:p>
              </w:tc>
              <w:tc>
                <w:tcPr>
                  <w:tcW w:w="1820" w:type="dxa"/>
                  <w:tcBorders>
                    <w:tl2br w:val="nil"/>
                    <w:tr2bl w:val="nil"/>
                  </w:tcBorders>
                  <w:vAlign w:val="center"/>
                </w:tcPr>
                <w:p w14:paraId="0AAB943B">
                  <w:pPr>
                    <w:pStyle w:val="56"/>
                    <w:spacing w:beforeLines="0"/>
                    <w:rPr>
                      <w:color w:val="auto"/>
                      <w:sz w:val="18"/>
                      <w:szCs w:val="18"/>
                    </w:rPr>
                  </w:pPr>
                  <w:r>
                    <w:rPr>
                      <w:rFonts w:hint="eastAsia" w:ascii="宋体" w:hAnsi="宋体" w:cs="宋体"/>
                      <w:color w:val="auto"/>
                      <w:sz w:val="18"/>
                      <w:szCs w:val="18"/>
                    </w:rPr>
                    <w:t>设备名称</w:t>
                  </w:r>
                </w:p>
              </w:tc>
              <w:tc>
                <w:tcPr>
                  <w:tcW w:w="1388" w:type="dxa"/>
                  <w:tcBorders>
                    <w:tl2br w:val="nil"/>
                    <w:tr2bl w:val="nil"/>
                  </w:tcBorders>
                  <w:vAlign w:val="center"/>
                </w:tcPr>
                <w:p w14:paraId="74D545C3">
                  <w:pPr>
                    <w:pStyle w:val="56"/>
                    <w:spacing w:beforeLines="0"/>
                    <w:rPr>
                      <w:color w:val="auto"/>
                      <w:sz w:val="18"/>
                      <w:szCs w:val="18"/>
                    </w:rPr>
                  </w:pPr>
                  <w:r>
                    <w:rPr>
                      <w:rFonts w:hint="eastAsia" w:ascii="宋体" w:hAnsi="宋体" w:cs="宋体"/>
                      <w:color w:val="auto"/>
                      <w:sz w:val="18"/>
                      <w:szCs w:val="18"/>
                    </w:rPr>
                    <w:t>规格型号</w:t>
                  </w:r>
                </w:p>
              </w:tc>
              <w:tc>
                <w:tcPr>
                  <w:tcW w:w="1501" w:type="dxa"/>
                  <w:tcBorders>
                    <w:tl2br w:val="nil"/>
                    <w:tr2bl w:val="nil"/>
                  </w:tcBorders>
                  <w:vAlign w:val="center"/>
                </w:tcPr>
                <w:p w14:paraId="5593669F">
                  <w:pPr>
                    <w:pStyle w:val="56"/>
                    <w:spacing w:beforeLines="0"/>
                    <w:rPr>
                      <w:rFonts w:ascii="宋体" w:cs="宋体"/>
                      <w:color w:val="auto"/>
                      <w:sz w:val="18"/>
                      <w:szCs w:val="18"/>
                    </w:rPr>
                  </w:pPr>
                  <w:r>
                    <w:rPr>
                      <w:rFonts w:hint="eastAsia" w:ascii="宋体" w:hAnsi="宋体" w:cs="宋体"/>
                      <w:color w:val="auto"/>
                      <w:sz w:val="18"/>
                      <w:szCs w:val="18"/>
                    </w:rPr>
                    <w:t>安装位置</w:t>
                  </w:r>
                </w:p>
              </w:tc>
              <w:tc>
                <w:tcPr>
                  <w:tcW w:w="1407" w:type="dxa"/>
                  <w:tcBorders>
                    <w:tl2br w:val="nil"/>
                    <w:tr2bl w:val="nil"/>
                  </w:tcBorders>
                  <w:vAlign w:val="center"/>
                </w:tcPr>
                <w:p w14:paraId="2850C60C">
                  <w:pPr>
                    <w:pStyle w:val="56"/>
                    <w:spacing w:beforeLines="0"/>
                    <w:rPr>
                      <w:rFonts w:ascii="宋体" w:cs="宋体"/>
                      <w:color w:val="auto"/>
                      <w:sz w:val="18"/>
                      <w:szCs w:val="18"/>
                    </w:rPr>
                  </w:pPr>
                  <w:r>
                    <w:rPr>
                      <w:rFonts w:hint="eastAsia" w:ascii="宋体" w:hAnsi="宋体" w:cs="宋体"/>
                      <w:color w:val="auto"/>
                      <w:sz w:val="18"/>
                      <w:szCs w:val="18"/>
                    </w:rPr>
                    <w:t>工段</w:t>
                  </w:r>
                  <w:r>
                    <w:rPr>
                      <w:rFonts w:ascii="宋体" w:hAnsi="宋体" w:cs="宋体"/>
                      <w:color w:val="auto"/>
                      <w:sz w:val="18"/>
                      <w:szCs w:val="18"/>
                    </w:rPr>
                    <w:t>/</w:t>
                  </w:r>
                  <w:r>
                    <w:rPr>
                      <w:rFonts w:hint="eastAsia" w:ascii="宋体" w:hAnsi="宋体" w:cs="宋体"/>
                      <w:color w:val="auto"/>
                      <w:sz w:val="18"/>
                      <w:szCs w:val="18"/>
                    </w:rPr>
                    <w:t>用途</w:t>
                  </w:r>
                </w:p>
              </w:tc>
              <w:tc>
                <w:tcPr>
                  <w:tcW w:w="920" w:type="dxa"/>
                  <w:tcBorders>
                    <w:tl2br w:val="nil"/>
                    <w:tr2bl w:val="nil"/>
                  </w:tcBorders>
                  <w:vAlign w:val="center"/>
                </w:tcPr>
                <w:p w14:paraId="6CD396F9">
                  <w:pPr>
                    <w:pStyle w:val="56"/>
                    <w:spacing w:beforeLines="0"/>
                    <w:rPr>
                      <w:color w:val="auto"/>
                      <w:sz w:val="18"/>
                      <w:szCs w:val="18"/>
                    </w:rPr>
                  </w:pPr>
                  <w:r>
                    <w:rPr>
                      <w:rFonts w:hint="eastAsia" w:ascii="宋体" w:hAnsi="宋体" w:cs="宋体"/>
                      <w:color w:val="auto"/>
                      <w:sz w:val="18"/>
                      <w:szCs w:val="18"/>
                      <w:lang w:val="en-US" w:eastAsia="zh-CN"/>
                    </w:rPr>
                    <w:t>全厂</w:t>
                  </w:r>
                  <w:r>
                    <w:rPr>
                      <w:rFonts w:hint="eastAsia" w:ascii="宋体" w:hAnsi="宋体" w:cs="宋体"/>
                      <w:color w:val="auto"/>
                      <w:sz w:val="18"/>
                      <w:szCs w:val="18"/>
                    </w:rPr>
                    <w:t>数量（台</w:t>
                  </w:r>
                  <w:r>
                    <w:rPr>
                      <w:color w:val="auto"/>
                      <w:sz w:val="18"/>
                      <w:szCs w:val="18"/>
                    </w:rPr>
                    <w:t>/</w:t>
                  </w:r>
                  <w:r>
                    <w:rPr>
                      <w:rFonts w:hint="eastAsia" w:ascii="宋体" w:hAnsi="宋体" w:cs="宋体"/>
                      <w:color w:val="auto"/>
                      <w:sz w:val="18"/>
                      <w:szCs w:val="18"/>
                    </w:rPr>
                    <w:t>套）</w:t>
                  </w:r>
                </w:p>
              </w:tc>
            </w:tr>
            <w:tr w14:paraId="63C39C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0" w:hRule="atLeast"/>
                <w:jc w:val="center"/>
              </w:trPr>
              <w:tc>
                <w:tcPr>
                  <w:tcW w:w="659" w:type="dxa"/>
                  <w:tcBorders>
                    <w:tl2br w:val="nil"/>
                    <w:tr2bl w:val="nil"/>
                  </w:tcBorders>
                  <w:vAlign w:val="center"/>
                </w:tcPr>
                <w:p w14:paraId="7DAF0AE9">
                  <w:pPr>
                    <w:widowControl/>
                    <w:jc w:val="center"/>
                    <w:rPr>
                      <w:rFonts w:hint="eastAsia"/>
                      <w:color w:val="auto"/>
                      <w:sz w:val="18"/>
                      <w:szCs w:val="18"/>
                      <w:lang w:val="en-US" w:eastAsia="zh-CN"/>
                    </w:rPr>
                  </w:pPr>
                  <w:r>
                    <w:rPr>
                      <w:rFonts w:hint="eastAsia"/>
                      <w:color w:val="auto"/>
                      <w:sz w:val="18"/>
                      <w:szCs w:val="18"/>
                      <w:lang w:val="en-US" w:eastAsia="zh-CN"/>
                    </w:rPr>
                    <w:t>1</w:t>
                  </w:r>
                </w:p>
              </w:tc>
              <w:tc>
                <w:tcPr>
                  <w:tcW w:w="1820" w:type="dxa"/>
                  <w:tcBorders>
                    <w:tl2br w:val="nil"/>
                    <w:tr2bl w:val="nil"/>
                  </w:tcBorders>
                  <w:vAlign w:val="center"/>
                </w:tcPr>
                <w:p w14:paraId="4E5AB9D0">
                  <w:pPr>
                    <w:widowControl/>
                    <w:jc w:val="center"/>
                    <w:rPr>
                      <w:rFonts w:hint="default"/>
                      <w:color w:val="auto"/>
                      <w:sz w:val="18"/>
                      <w:szCs w:val="18"/>
                      <w:lang w:val="en-US" w:eastAsia="zh-CN"/>
                    </w:rPr>
                  </w:pPr>
                  <w:r>
                    <w:rPr>
                      <w:rFonts w:hint="eastAsia"/>
                      <w:color w:val="auto"/>
                      <w:sz w:val="18"/>
                      <w:szCs w:val="18"/>
                      <w:lang w:val="en-US" w:eastAsia="zh-CN"/>
                    </w:rPr>
                    <w:t>先进加弹机</w:t>
                  </w:r>
                </w:p>
              </w:tc>
              <w:tc>
                <w:tcPr>
                  <w:tcW w:w="1388" w:type="dxa"/>
                  <w:tcBorders>
                    <w:tl2br w:val="nil"/>
                    <w:tr2bl w:val="nil"/>
                  </w:tcBorders>
                  <w:vAlign w:val="center"/>
                </w:tcPr>
                <w:p w14:paraId="1C5F659A">
                  <w:pPr>
                    <w:widowControl/>
                    <w:jc w:val="center"/>
                    <w:rPr>
                      <w:rFonts w:hint="default"/>
                      <w:color w:val="auto"/>
                      <w:sz w:val="18"/>
                      <w:szCs w:val="18"/>
                      <w:lang w:val="en-US" w:eastAsia="zh-CN"/>
                    </w:rPr>
                  </w:pPr>
                  <w:r>
                    <w:rPr>
                      <w:rFonts w:hint="eastAsia"/>
                      <w:color w:val="auto"/>
                      <w:sz w:val="18"/>
                      <w:szCs w:val="18"/>
                      <w:lang w:val="en-US" w:eastAsia="zh-CN"/>
                    </w:rPr>
                    <w:t>TTJK-800</w:t>
                  </w:r>
                </w:p>
              </w:tc>
              <w:tc>
                <w:tcPr>
                  <w:tcW w:w="1501" w:type="dxa"/>
                  <w:tcBorders>
                    <w:tl2br w:val="nil"/>
                    <w:tr2bl w:val="nil"/>
                  </w:tcBorders>
                  <w:vAlign w:val="center"/>
                </w:tcPr>
                <w:p w14:paraId="4F76C8B4">
                  <w:pPr>
                    <w:widowControl/>
                    <w:jc w:val="center"/>
                    <w:rPr>
                      <w:rFonts w:hint="eastAsia"/>
                      <w:color w:val="auto"/>
                      <w:sz w:val="18"/>
                      <w:szCs w:val="18"/>
                      <w:lang w:val="en-US" w:eastAsia="zh-CN"/>
                    </w:rPr>
                  </w:pPr>
                  <w:r>
                    <w:rPr>
                      <w:rFonts w:hint="eastAsia"/>
                      <w:color w:val="auto"/>
                      <w:sz w:val="18"/>
                      <w:szCs w:val="18"/>
                      <w:lang w:val="en-US" w:eastAsia="zh-CN"/>
                    </w:rPr>
                    <w:t>生产车间</w:t>
                  </w:r>
                </w:p>
              </w:tc>
              <w:tc>
                <w:tcPr>
                  <w:tcW w:w="1407" w:type="dxa"/>
                  <w:tcBorders>
                    <w:tl2br w:val="nil"/>
                    <w:tr2bl w:val="nil"/>
                  </w:tcBorders>
                  <w:vAlign w:val="center"/>
                </w:tcPr>
                <w:p w14:paraId="1F205453">
                  <w:pPr>
                    <w:widowControl/>
                    <w:jc w:val="center"/>
                    <w:rPr>
                      <w:rFonts w:hint="eastAsia"/>
                      <w:color w:val="auto"/>
                      <w:sz w:val="18"/>
                      <w:szCs w:val="18"/>
                      <w:lang w:val="en-US" w:eastAsia="zh-CN"/>
                    </w:rPr>
                  </w:pPr>
                  <w:r>
                    <w:rPr>
                      <w:rFonts w:hint="eastAsia"/>
                      <w:color w:val="auto"/>
                      <w:sz w:val="18"/>
                      <w:szCs w:val="18"/>
                      <w:lang w:val="en-US" w:eastAsia="zh-CN"/>
                    </w:rPr>
                    <w:t>加弹</w:t>
                  </w:r>
                </w:p>
              </w:tc>
              <w:tc>
                <w:tcPr>
                  <w:tcW w:w="920" w:type="dxa"/>
                  <w:tcBorders>
                    <w:tl2br w:val="nil"/>
                    <w:tr2bl w:val="nil"/>
                  </w:tcBorders>
                  <w:vAlign w:val="center"/>
                </w:tcPr>
                <w:p w14:paraId="49981687">
                  <w:pPr>
                    <w:widowControl/>
                    <w:jc w:val="center"/>
                    <w:rPr>
                      <w:rFonts w:hint="default"/>
                      <w:color w:val="auto"/>
                      <w:sz w:val="18"/>
                      <w:szCs w:val="18"/>
                      <w:lang w:val="en-US" w:eastAsia="zh-CN"/>
                    </w:rPr>
                  </w:pPr>
                  <w:r>
                    <w:rPr>
                      <w:rFonts w:hint="eastAsia"/>
                      <w:color w:val="auto"/>
                      <w:sz w:val="18"/>
                      <w:szCs w:val="18"/>
                      <w:lang w:val="en-US" w:eastAsia="zh-CN"/>
                    </w:rPr>
                    <w:t>20</w:t>
                  </w:r>
                </w:p>
              </w:tc>
            </w:tr>
            <w:tr w14:paraId="5052A3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0" w:hRule="atLeast"/>
                <w:jc w:val="center"/>
              </w:trPr>
              <w:tc>
                <w:tcPr>
                  <w:tcW w:w="659" w:type="dxa"/>
                  <w:tcBorders>
                    <w:tl2br w:val="nil"/>
                    <w:tr2bl w:val="nil"/>
                  </w:tcBorders>
                  <w:vAlign w:val="center"/>
                </w:tcPr>
                <w:p w14:paraId="6651253A">
                  <w:pPr>
                    <w:widowControl/>
                    <w:jc w:val="center"/>
                    <w:rPr>
                      <w:rFonts w:hint="eastAsia"/>
                      <w:color w:val="auto"/>
                      <w:sz w:val="18"/>
                      <w:szCs w:val="18"/>
                      <w:lang w:val="en-US" w:eastAsia="zh-CN"/>
                    </w:rPr>
                  </w:pPr>
                  <w:r>
                    <w:rPr>
                      <w:rFonts w:hint="eastAsia"/>
                      <w:color w:val="auto"/>
                      <w:sz w:val="18"/>
                      <w:szCs w:val="18"/>
                      <w:lang w:val="en-US" w:eastAsia="zh-CN"/>
                    </w:rPr>
                    <w:t>2</w:t>
                  </w:r>
                </w:p>
              </w:tc>
              <w:tc>
                <w:tcPr>
                  <w:tcW w:w="1820" w:type="dxa"/>
                  <w:tcBorders>
                    <w:tl2br w:val="nil"/>
                    <w:tr2bl w:val="nil"/>
                  </w:tcBorders>
                  <w:vAlign w:val="center"/>
                </w:tcPr>
                <w:p w14:paraId="42871420">
                  <w:pPr>
                    <w:widowControl/>
                    <w:jc w:val="center"/>
                    <w:rPr>
                      <w:rFonts w:hint="default"/>
                      <w:color w:val="auto"/>
                      <w:sz w:val="18"/>
                      <w:szCs w:val="18"/>
                      <w:lang w:val="en-US" w:eastAsia="zh-CN"/>
                    </w:rPr>
                  </w:pPr>
                  <w:r>
                    <w:rPr>
                      <w:rFonts w:hint="eastAsia"/>
                      <w:color w:val="auto"/>
                      <w:sz w:val="18"/>
                      <w:szCs w:val="18"/>
                      <w:lang w:val="en-US" w:eastAsia="zh-CN"/>
                    </w:rPr>
                    <w:t>高档喷气织机</w:t>
                  </w:r>
                </w:p>
              </w:tc>
              <w:tc>
                <w:tcPr>
                  <w:tcW w:w="1388" w:type="dxa"/>
                  <w:tcBorders>
                    <w:tl2br w:val="nil"/>
                    <w:tr2bl w:val="nil"/>
                  </w:tcBorders>
                  <w:vAlign w:val="center"/>
                </w:tcPr>
                <w:p w14:paraId="7F93E4ED">
                  <w:pPr>
                    <w:widowControl/>
                    <w:jc w:val="center"/>
                    <w:rPr>
                      <w:rFonts w:hint="default"/>
                      <w:color w:val="auto"/>
                      <w:sz w:val="18"/>
                      <w:szCs w:val="18"/>
                      <w:lang w:val="en-US" w:eastAsia="zh-CN"/>
                    </w:rPr>
                  </w:pPr>
                  <w:r>
                    <w:rPr>
                      <w:rFonts w:hint="eastAsia"/>
                      <w:color w:val="auto"/>
                      <w:sz w:val="18"/>
                      <w:szCs w:val="18"/>
                      <w:lang w:val="en-US" w:eastAsia="zh-CN"/>
                    </w:rPr>
                    <w:t>JW</w:t>
                  </w:r>
                </w:p>
              </w:tc>
              <w:tc>
                <w:tcPr>
                  <w:tcW w:w="1501" w:type="dxa"/>
                  <w:tcBorders>
                    <w:tl2br w:val="nil"/>
                    <w:tr2bl w:val="nil"/>
                  </w:tcBorders>
                  <w:vAlign w:val="center"/>
                </w:tcPr>
                <w:p w14:paraId="207F5228">
                  <w:pPr>
                    <w:widowControl/>
                    <w:jc w:val="center"/>
                    <w:rPr>
                      <w:rFonts w:hint="eastAsia"/>
                      <w:color w:val="auto"/>
                      <w:sz w:val="18"/>
                      <w:szCs w:val="18"/>
                      <w:lang w:val="en-US" w:eastAsia="zh-CN"/>
                    </w:rPr>
                  </w:pPr>
                  <w:r>
                    <w:rPr>
                      <w:rFonts w:hint="eastAsia"/>
                      <w:color w:val="auto"/>
                      <w:sz w:val="18"/>
                      <w:szCs w:val="18"/>
                      <w:lang w:val="en-US" w:eastAsia="zh-CN"/>
                    </w:rPr>
                    <w:t>生产车间</w:t>
                  </w:r>
                </w:p>
              </w:tc>
              <w:tc>
                <w:tcPr>
                  <w:tcW w:w="1407" w:type="dxa"/>
                  <w:tcBorders>
                    <w:tl2br w:val="nil"/>
                    <w:tr2bl w:val="nil"/>
                  </w:tcBorders>
                  <w:vAlign w:val="center"/>
                </w:tcPr>
                <w:p w14:paraId="74E46C22">
                  <w:pPr>
                    <w:widowControl/>
                    <w:jc w:val="center"/>
                    <w:rPr>
                      <w:rFonts w:hint="default"/>
                      <w:color w:val="auto"/>
                      <w:sz w:val="18"/>
                      <w:szCs w:val="18"/>
                      <w:lang w:val="en-US" w:eastAsia="zh-CN"/>
                    </w:rPr>
                  </w:pPr>
                  <w:r>
                    <w:rPr>
                      <w:rFonts w:hint="eastAsia"/>
                      <w:color w:val="auto"/>
                      <w:sz w:val="18"/>
                      <w:szCs w:val="18"/>
                      <w:lang w:val="en-US" w:eastAsia="zh-CN"/>
                    </w:rPr>
                    <w:t>喷气织造</w:t>
                  </w:r>
                </w:p>
              </w:tc>
              <w:tc>
                <w:tcPr>
                  <w:tcW w:w="920" w:type="dxa"/>
                  <w:tcBorders>
                    <w:tl2br w:val="nil"/>
                    <w:tr2bl w:val="nil"/>
                  </w:tcBorders>
                  <w:vAlign w:val="center"/>
                </w:tcPr>
                <w:p w14:paraId="453D2DEE">
                  <w:pPr>
                    <w:widowControl/>
                    <w:jc w:val="center"/>
                    <w:rPr>
                      <w:rFonts w:hint="default"/>
                      <w:color w:val="auto"/>
                      <w:sz w:val="18"/>
                      <w:szCs w:val="18"/>
                      <w:lang w:val="en-US" w:eastAsia="zh-CN"/>
                    </w:rPr>
                  </w:pPr>
                  <w:r>
                    <w:rPr>
                      <w:rFonts w:hint="eastAsia"/>
                      <w:color w:val="auto"/>
                      <w:sz w:val="18"/>
                      <w:szCs w:val="18"/>
                      <w:lang w:val="en-US" w:eastAsia="zh-CN"/>
                    </w:rPr>
                    <w:t>420</w:t>
                  </w:r>
                </w:p>
              </w:tc>
            </w:tr>
            <w:tr w14:paraId="3DE266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0" w:hRule="atLeast"/>
                <w:jc w:val="center"/>
              </w:trPr>
              <w:tc>
                <w:tcPr>
                  <w:tcW w:w="659" w:type="dxa"/>
                  <w:tcBorders>
                    <w:tl2br w:val="nil"/>
                    <w:tr2bl w:val="nil"/>
                  </w:tcBorders>
                  <w:vAlign w:val="center"/>
                </w:tcPr>
                <w:p w14:paraId="4DEBF1B7">
                  <w:pPr>
                    <w:widowControl/>
                    <w:jc w:val="center"/>
                    <w:rPr>
                      <w:rFonts w:hint="default"/>
                      <w:color w:val="auto"/>
                      <w:sz w:val="18"/>
                      <w:szCs w:val="18"/>
                      <w:lang w:val="en-US" w:eastAsia="zh-CN"/>
                    </w:rPr>
                  </w:pPr>
                  <w:r>
                    <w:rPr>
                      <w:rFonts w:hint="eastAsia"/>
                      <w:color w:val="auto"/>
                      <w:sz w:val="18"/>
                      <w:szCs w:val="18"/>
                      <w:lang w:val="en-US" w:eastAsia="zh-CN"/>
                    </w:rPr>
                    <w:t>3</w:t>
                  </w:r>
                </w:p>
              </w:tc>
              <w:tc>
                <w:tcPr>
                  <w:tcW w:w="1820" w:type="dxa"/>
                  <w:tcBorders>
                    <w:tl2br w:val="nil"/>
                    <w:tr2bl w:val="nil"/>
                  </w:tcBorders>
                  <w:vAlign w:val="center"/>
                </w:tcPr>
                <w:p w14:paraId="4B2E51AC">
                  <w:pPr>
                    <w:widowControl/>
                    <w:jc w:val="center"/>
                    <w:rPr>
                      <w:rFonts w:hint="default"/>
                      <w:color w:val="auto"/>
                      <w:sz w:val="18"/>
                      <w:szCs w:val="18"/>
                      <w:lang w:val="en-US" w:eastAsia="zh-CN"/>
                    </w:rPr>
                  </w:pPr>
                  <w:r>
                    <w:rPr>
                      <w:rFonts w:hint="eastAsia"/>
                      <w:color w:val="auto"/>
                      <w:sz w:val="18"/>
                      <w:szCs w:val="18"/>
                      <w:lang w:val="en-US" w:eastAsia="zh-CN"/>
                    </w:rPr>
                    <w:t>高效喷水织机</w:t>
                  </w:r>
                </w:p>
              </w:tc>
              <w:tc>
                <w:tcPr>
                  <w:tcW w:w="1388" w:type="dxa"/>
                  <w:tcBorders>
                    <w:tl2br w:val="nil"/>
                    <w:tr2bl w:val="nil"/>
                  </w:tcBorders>
                  <w:vAlign w:val="center"/>
                </w:tcPr>
                <w:p w14:paraId="67822312">
                  <w:pPr>
                    <w:widowControl/>
                    <w:jc w:val="center"/>
                    <w:rPr>
                      <w:rFonts w:hint="default"/>
                      <w:color w:val="auto"/>
                      <w:sz w:val="18"/>
                      <w:szCs w:val="18"/>
                      <w:lang w:val="en-US" w:eastAsia="zh-CN"/>
                    </w:rPr>
                  </w:pPr>
                  <w:r>
                    <w:rPr>
                      <w:rFonts w:hint="eastAsia"/>
                      <w:color w:val="auto"/>
                      <w:sz w:val="18"/>
                      <w:szCs w:val="18"/>
                      <w:lang w:val="en-US" w:eastAsia="zh-CN"/>
                    </w:rPr>
                    <w:t>408-210</w:t>
                  </w:r>
                </w:p>
              </w:tc>
              <w:tc>
                <w:tcPr>
                  <w:tcW w:w="1501" w:type="dxa"/>
                  <w:tcBorders>
                    <w:tl2br w:val="nil"/>
                    <w:tr2bl w:val="nil"/>
                  </w:tcBorders>
                  <w:vAlign w:val="center"/>
                </w:tcPr>
                <w:p w14:paraId="1C18EE8E">
                  <w:pPr>
                    <w:widowControl/>
                    <w:jc w:val="center"/>
                    <w:rPr>
                      <w:rFonts w:hint="eastAsia"/>
                      <w:color w:val="auto"/>
                      <w:sz w:val="18"/>
                      <w:szCs w:val="18"/>
                      <w:lang w:val="en-US" w:eastAsia="zh-CN"/>
                    </w:rPr>
                  </w:pPr>
                  <w:r>
                    <w:rPr>
                      <w:rFonts w:hint="eastAsia"/>
                      <w:color w:val="auto"/>
                      <w:sz w:val="18"/>
                      <w:szCs w:val="18"/>
                      <w:lang w:val="en-US" w:eastAsia="zh-CN"/>
                    </w:rPr>
                    <w:t>生产车间</w:t>
                  </w:r>
                </w:p>
              </w:tc>
              <w:tc>
                <w:tcPr>
                  <w:tcW w:w="1407" w:type="dxa"/>
                  <w:tcBorders>
                    <w:tl2br w:val="nil"/>
                    <w:tr2bl w:val="nil"/>
                  </w:tcBorders>
                  <w:vAlign w:val="center"/>
                </w:tcPr>
                <w:p w14:paraId="61F8185E">
                  <w:pPr>
                    <w:widowControl/>
                    <w:jc w:val="center"/>
                    <w:rPr>
                      <w:rFonts w:hint="default"/>
                      <w:color w:val="auto"/>
                      <w:sz w:val="18"/>
                      <w:szCs w:val="18"/>
                      <w:lang w:val="en-US" w:eastAsia="zh-CN"/>
                    </w:rPr>
                  </w:pPr>
                  <w:r>
                    <w:rPr>
                      <w:rFonts w:hint="eastAsia"/>
                      <w:color w:val="auto"/>
                      <w:sz w:val="18"/>
                      <w:szCs w:val="18"/>
                      <w:lang w:val="en-US" w:eastAsia="zh-CN"/>
                    </w:rPr>
                    <w:t>喷水织造</w:t>
                  </w:r>
                </w:p>
              </w:tc>
              <w:tc>
                <w:tcPr>
                  <w:tcW w:w="920" w:type="dxa"/>
                  <w:tcBorders>
                    <w:tl2br w:val="nil"/>
                    <w:tr2bl w:val="nil"/>
                  </w:tcBorders>
                  <w:vAlign w:val="center"/>
                </w:tcPr>
                <w:p w14:paraId="44A57719">
                  <w:pPr>
                    <w:widowControl/>
                    <w:jc w:val="center"/>
                    <w:rPr>
                      <w:rFonts w:hint="default"/>
                      <w:color w:val="auto"/>
                      <w:sz w:val="18"/>
                      <w:szCs w:val="18"/>
                      <w:lang w:val="en-US" w:eastAsia="zh-CN"/>
                    </w:rPr>
                  </w:pPr>
                  <w:r>
                    <w:rPr>
                      <w:rFonts w:hint="eastAsia"/>
                      <w:color w:val="auto"/>
                      <w:sz w:val="18"/>
                      <w:szCs w:val="18"/>
                      <w:lang w:val="en-US" w:eastAsia="zh-CN"/>
                    </w:rPr>
                    <w:t>136</w:t>
                  </w:r>
                </w:p>
              </w:tc>
            </w:tr>
            <w:tr w14:paraId="23E00C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47" w:hRule="atLeast"/>
                <w:jc w:val="center"/>
              </w:trPr>
              <w:tc>
                <w:tcPr>
                  <w:tcW w:w="659" w:type="dxa"/>
                  <w:tcBorders>
                    <w:tl2br w:val="nil"/>
                    <w:tr2bl w:val="nil"/>
                  </w:tcBorders>
                  <w:vAlign w:val="center"/>
                </w:tcPr>
                <w:p w14:paraId="58202F56">
                  <w:pPr>
                    <w:widowControl/>
                    <w:jc w:val="center"/>
                    <w:rPr>
                      <w:rFonts w:hint="default"/>
                      <w:color w:val="auto"/>
                      <w:sz w:val="18"/>
                      <w:szCs w:val="18"/>
                      <w:lang w:val="en-US" w:eastAsia="zh-CN"/>
                    </w:rPr>
                  </w:pPr>
                  <w:r>
                    <w:rPr>
                      <w:rFonts w:hint="eastAsia"/>
                      <w:color w:val="auto"/>
                      <w:sz w:val="18"/>
                      <w:szCs w:val="18"/>
                      <w:lang w:val="en-US" w:eastAsia="zh-CN"/>
                    </w:rPr>
                    <w:t>4</w:t>
                  </w:r>
                </w:p>
              </w:tc>
              <w:tc>
                <w:tcPr>
                  <w:tcW w:w="1820" w:type="dxa"/>
                  <w:tcBorders>
                    <w:tl2br w:val="nil"/>
                    <w:tr2bl w:val="nil"/>
                  </w:tcBorders>
                  <w:vAlign w:val="center"/>
                </w:tcPr>
                <w:p w14:paraId="5FB06C21">
                  <w:pPr>
                    <w:widowControl/>
                    <w:jc w:val="center"/>
                    <w:rPr>
                      <w:rFonts w:hint="default"/>
                      <w:color w:val="auto"/>
                      <w:sz w:val="18"/>
                      <w:szCs w:val="18"/>
                      <w:lang w:val="en-US" w:eastAsia="zh-CN"/>
                    </w:rPr>
                  </w:pPr>
                  <w:r>
                    <w:rPr>
                      <w:rFonts w:hint="eastAsia"/>
                      <w:color w:val="auto"/>
                      <w:sz w:val="18"/>
                      <w:szCs w:val="18"/>
                      <w:lang w:val="en-US" w:eastAsia="zh-CN"/>
                    </w:rPr>
                    <w:t>复合机</w:t>
                  </w:r>
                </w:p>
              </w:tc>
              <w:tc>
                <w:tcPr>
                  <w:tcW w:w="1388" w:type="dxa"/>
                  <w:tcBorders>
                    <w:tl2br w:val="nil"/>
                    <w:tr2bl w:val="nil"/>
                  </w:tcBorders>
                  <w:vAlign w:val="center"/>
                </w:tcPr>
                <w:p w14:paraId="2B9C0C35">
                  <w:pPr>
                    <w:widowControl/>
                    <w:jc w:val="center"/>
                    <w:rPr>
                      <w:rFonts w:hint="default"/>
                      <w:color w:val="auto"/>
                      <w:sz w:val="18"/>
                      <w:szCs w:val="18"/>
                      <w:lang w:val="en-US" w:eastAsia="zh-CN"/>
                    </w:rPr>
                  </w:pPr>
                  <w:r>
                    <w:rPr>
                      <w:rFonts w:hint="eastAsia"/>
                      <w:color w:val="auto"/>
                      <w:sz w:val="18"/>
                      <w:szCs w:val="18"/>
                      <w:lang w:val="en-US" w:eastAsia="zh-CN"/>
                    </w:rPr>
                    <w:t>ZN596</w:t>
                  </w:r>
                </w:p>
              </w:tc>
              <w:tc>
                <w:tcPr>
                  <w:tcW w:w="1501" w:type="dxa"/>
                  <w:tcBorders>
                    <w:tl2br w:val="nil"/>
                    <w:tr2bl w:val="nil"/>
                  </w:tcBorders>
                  <w:vAlign w:val="center"/>
                </w:tcPr>
                <w:p w14:paraId="40706709">
                  <w:pPr>
                    <w:widowControl/>
                    <w:jc w:val="center"/>
                    <w:rPr>
                      <w:rFonts w:hint="eastAsia"/>
                      <w:color w:val="auto"/>
                      <w:sz w:val="18"/>
                      <w:szCs w:val="18"/>
                      <w:lang w:val="en-US" w:eastAsia="zh-CN"/>
                    </w:rPr>
                  </w:pPr>
                  <w:r>
                    <w:rPr>
                      <w:rFonts w:hint="eastAsia"/>
                      <w:color w:val="auto"/>
                      <w:sz w:val="18"/>
                      <w:szCs w:val="18"/>
                      <w:lang w:val="en-US" w:eastAsia="zh-CN"/>
                    </w:rPr>
                    <w:t>生产车间</w:t>
                  </w:r>
                </w:p>
              </w:tc>
              <w:tc>
                <w:tcPr>
                  <w:tcW w:w="1407" w:type="dxa"/>
                  <w:tcBorders>
                    <w:tl2br w:val="nil"/>
                    <w:tr2bl w:val="nil"/>
                  </w:tcBorders>
                  <w:vAlign w:val="center"/>
                </w:tcPr>
                <w:p w14:paraId="2B00608B">
                  <w:pPr>
                    <w:widowControl/>
                    <w:jc w:val="center"/>
                    <w:rPr>
                      <w:rFonts w:hint="default"/>
                      <w:color w:val="auto"/>
                      <w:sz w:val="18"/>
                      <w:szCs w:val="18"/>
                      <w:lang w:val="en-US" w:eastAsia="zh-CN"/>
                    </w:rPr>
                  </w:pPr>
                  <w:r>
                    <w:rPr>
                      <w:rFonts w:hint="eastAsia"/>
                      <w:color w:val="auto"/>
                      <w:sz w:val="18"/>
                      <w:szCs w:val="18"/>
                      <w:lang w:val="en-US" w:eastAsia="zh-CN"/>
                    </w:rPr>
                    <w:t>复合</w:t>
                  </w:r>
                </w:p>
              </w:tc>
              <w:tc>
                <w:tcPr>
                  <w:tcW w:w="920" w:type="dxa"/>
                  <w:tcBorders>
                    <w:tl2br w:val="nil"/>
                    <w:tr2bl w:val="nil"/>
                  </w:tcBorders>
                  <w:vAlign w:val="center"/>
                </w:tcPr>
                <w:p w14:paraId="2BF230FE">
                  <w:pPr>
                    <w:widowControl/>
                    <w:jc w:val="center"/>
                    <w:rPr>
                      <w:rFonts w:hint="default"/>
                      <w:color w:val="auto"/>
                      <w:sz w:val="18"/>
                      <w:szCs w:val="18"/>
                      <w:lang w:val="en-US" w:eastAsia="zh-CN"/>
                    </w:rPr>
                  </w:pPr>
                  <w:r>
                    <w:rPr>
                      <w:rFonts w:hint="eastAsia"/>
                      <w:color w:val="auto"/>
                      <w:sz w:val="18"/>
                      <w:szCs w:val="18"/>
                      <w:lang w:val="en-US" w:eastAsia="zh-CN"/>
                    </w:rPr>
                    <w:t>10</w:t>
                  </w:r>
                </w:p>
              </w:tc>
            </w:tr>
            <w:tr w14:paraId="67C282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0" w:hRule="atLeast"/>
                <w:jc w:val="center"/>
              </w:trPr>
              <w:tc>
                <w:tcPr>
                  <w:tcW w:w="659" w:type="dxa"/>
                  <w:tcBorders>
                    <w:tl2br w:val="nil"/>
                    <w:tr2bl w:val="nil"/>
                  </w:tcBorders>
                  <w:vAlign w:val="center"/>
                </w:tcPr>
                <w:p w14:paraId="60A8381E">
                  <w:pPr>
                    <w:widowControl/>
                    <w:jc w:val="center"/>
                    <w:rPr>
                      <w:rFonts w:hint="default"/>
                      <w:color w:val="auto"/>
                      <w:sz w:val="18"/>
                      <w:szCs w:val="18"/>
                      <w:lang w:val="en-US" w:eastAsia="zh-CN"/>
                    </w:rPr>
                  </w:pPr>
                  <w:r>
                    <w:rPr>
                      <w:rFonts w:hint="eastAsia"/>
                      <w:color w:val="auto"/>
                      <w:sz w:val="18"/>
                      <w:szCs w:val="18"/>
                      <w:lang w:val="en-US" w:eastAsia="zh-CN"/>
                    </w:rPr>
                    <w:t>5</w:t>
                  </w:r>
                </w:p>
              </w:tc>
              <w:tc>
                <w:tcPr>
                  <w:tcW w:w="1820" w:type="dxa"/>
                  <w:tcBorders>
                    <w:tl2br w:val="nil"/>
                    <w:tr2bl w:val="nil"/>
                  </w:tcBorders>
                  <w:vAlign w:val="center"/>
                </w:tcPr>
                <w:p w14:paraId="28C2F579">
                  <w:pPr>
                    <w:widowControl/>
                    <w:jc w:val="center"/>
                    <w:rPr>
                      <w:rFonts w:hint="default"/>
                      <w:color w:val="auto"/>
                      <w:sz w:val="18"/>
                      <w:szCs w:val="18"/>
                      <w:lang w:val="en-US" w:eastAsia="zh-CN"/>
                    </w:rPr>
                  </w:pPr>
                  <w:r>
                    <w:rPr>
                      <w:rFonts w:hint="eastAsia"/>
                      <w:color w:val="auto"/>
                      <w:sz w:val="18"/>
                      <w:szCs w:val="18"/>
                      <w:lang w:val="en-US" w:eastAsia="zh-CN"/>
                    </w:rPr>
                    <w:t>定型机</w:t>
                  </w:r>
                </w:p>
              </w:tc>
              <w:tc>
                <w:tcPr>
                  <w:tcW w:w="1388" w:type="dxa"/>
                  <w:tcBorders>
                    <w:tl2br w:val="nil"/>
                    <w:tr2bl w:val="nil"/>
                  </w:tcBorders>
                  <w:vAlign w:val="center"/>
                </w:tcPr>
                <w:p w14:paraId="083CDD0D">
                  <w:pPr>
                    <w:widowControl/>
                    <w:jc w:val="center"/>
                    <w:rPr>
                      <w:rFonts w:hint="default"/>
                      <w:color w:val="auto"/>
                      <w:sz w:val="18"/>
                      <w:szCs w:val="18"/>
                      <w:lang w:val="en-US" w:eastAsia="zh-CN"/>
                    </w:rPr>
                  </w:pPr>
                  <w:r>
                    <w:rPr>
                      <w:rFonts w:hint="eastAsia"/>
                      <w:color w:val="auto"/>
                      <w:sz w:val="18"/>
                      <w:szCs w:val="18"/>
                      <w:lang w:val="en-US" w:eastAsia="zh-CN"/>
                    </w:rPr>
                    <w:t>HJX998-W</w:t>
                  </w:r>
                </w:p>
              </w:tc>
              <w:tc>
                <w:tcPr>
                  <w:tcW w:w="1501" w:type="dxa"/>
                  <w:tcBorders>
                    <w:tl2br w:val="nil"/>
                    <w:tr2bl w:val="nil"/>
                  </w:tcBorders>
                  <w:vAlign w:val="center"/>
                </w:tcPr>
                <w:p w14:paraId="02023037">
                  <w:pPr>
                    <w:widowControl/>
                    <w:jc w:val="center"/>
                    <w:rPr>
                      <w:rFonts w:hint="eastAsia"/>
                      <w:color w:val="auto"/>
                      <w:sz w:val="18"/>
                      <w:szCs w:val="18"/>
                      <w:lang w:val="en-US" w:eastAsia="zh-CN"/>
                    </w:rPr>
                  </w:pPr>
                  <w:r>
                    <w:rPr>
                      <w:rFonts w:hint="eastAsia"/>
                      <w:color w:val="auto"/>
                      <w:sz w:val="18"/>
                      <w:szCs w:val="18"/>
                      <w:lang w:val="en-US" w:eastAsia="zh-CN"/>
                    </w:rPr>
                    <w:t>生产车间</w:t>
                  </w:r>
                </w:p>
              </w:tc>
              <w:tc>
                <w:tcPr>
                  <w:tcW w:w="1407" w:type="dxa"/>
                  <w:tcBorders>
                    <w:tl2br w:val="nil"/>
                    <w:tr2bl w:val="nil"/>
                  </w:tcBorders>
                  <w:vAlign w:val="center"/>
                </w:tcPr>
                <w:p w14:paraId="7B0AFA90">
                  <w:pPr>
                    <w:widowControl/>
                    <w:jc w:val="center"/>
                    <w:rPr>
                      <w:rFonts w:hint="default"/>
                      <w:color w:val="auto"/>
                      <w:sz w:val="18"/>
                      <w:szCs w:val="18"/>
                      <w:lang w:val="en-US" w:eastAsia="zh-CN"/>
                    </w:rPr>
                  </w:pPr>
                  <w:r>
                    <w:rPr>
                      <w:rFonts w:hint="eastAsia"/>
                      <w:color w:val="auto"/>
                      <w:sz w:val="18"/>
                      <w:szCs w:val="18"/>
                      <w:lang w:val="en-US" w:eastAsia="zh-CN"/>
                    </w:rPr>
                    <w:t>定型除皱</w:t>
                  </w:r>
                </w:p>
              </w:tc>
              <w:tc>
                <w:tcPr>
                  <w:tcW w:w="920" w:type="dxa"/>
                  <w:tcBorders>
                    <w:tl2br w:val="nil"/>
                    <w:tr2bl w:val="nil"/>
                  </w:tcBorders>
                  <w:vAlign w:val="center"/>
                </w:tcPr>
                <w:p w14:paraId="72FD669F">
                  <w:pPr>
                    <w:widowControl/>
                    <w:jc w:val="center"/>
                    <w:rPr>
                      <w:rFonts w:hint="default"/>
                      <w:color w:val="auto"/>
                      <w:sz w:val="18"/>
                      <w:szCs w:val="18"/>
                      <w:lang w:val="en-US" w:eastAsia="zh-CN"/>
                    </w:rPr>
                  </w:pPr>
                  <w:r>
                    <w:rPr>
                      <w:rFonts w:hint="eastAsia"/>
                      <w:color w:val="auto"/>
                      <w:sz w:val="18"/>
                      <w:szCs w:val="18"/>
                      <w:lang w:val="en-US" w:eastAsia="zh-CN"/>
                    </w:rPr>
                    <w:t>3</w:t>
                  </w:r>
                </w:p>
              </w:tc>
            </w:tr>
            <w:tr w14:paraId="1ADF23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0" w:hRule="atLeast"/>
                <w:jc w:val="center"/>
              </w:trPr>
              <w:tc>
                <w:tcPr>
                  <w:tcW w:w="659" w:type="dxa"/>
                  <w:tcBorders>
                    <w:tl2br w:val="nil"/>
                    <w:tr2bl w:val="nil"/>
                  </w:tcBorders>
                  <w:vAlign w:val="center"/>
                </w:tcPr>
                <w:p w14:paraId="665FEEB9">
                  <w:pPr>
                    <w:widowControl/>
                    <w:jc w:val="center"/>
                    <w:rPr>
                      <w:rFonts w:hint="default"/>
                      <w:color w:val="auto"/>
                      <w:sz w:val="18"/>
                      <w:szCs w:val="18"/>
                      <w:lang w:val="en-US" w:eastAsia="zh-CN"/>
                    </w:rPr>
                  </w:pPr>
                  <w:r>
                    <w:rPr>
                      <w:rFonts w:hint="eastAsia"/>
                      <w:color w:val="auto"/>
                      <w:sz w:val="18"/>
                      <w:szCs w:val="18"/>
                      <w:lang w:val="en-US" w:eastAsia="zh-CN"/>
                    </w:rPr>
                    <w:t>6</w:t>
                  </w:r>
                </w:p>
              </w:tc>
              <w:tc>
                <w:tcPr>
                  <w:tcW w:w="1820" w:type="dxa"/>
                  <w:tcBorders>
                    <w:tl2br w:val="nil"/>
                    <w:tr2bl w:val="nil"/>
                  </w:tcBorders>
                  <w:vAlign w:val="center"/>
                </w:tcPr>
                <w:p w14:paraId="66AD9C2B">
                  <w:pPr>
                    <w:widowControl/>
                    <w:jc w:val="center"/>
                    <w:rPr>
                      <w:rFonts w:hint="default"/>
                      <w:color w:val="auto"/>
                      <w:sz w:val="18"/>
                      <w:szCs w:val="18"/>
                      <w:lang w:val="en-US" w:eastAsia="zh-CN"/>
                    </w:rPr>
                  </w:pPr>
                  <w:r>
                    <w:rPr>
                      <w:rFonts w:hint="eastAsia"/>
                      <w:color w:val="auto"/>
                      <w:sz w:val="18"/>
                      <w:szCs w:val="18"/>
                      <w:lang w:val="en-US" w:eastAsia="zh-CN"/>
                    </w:rPr>
                    <w:t>整经机</w:t>
                  </w:r>
                </w:p>
              </w:tc>
              <w:tc>
                <w:tcPr>
                  <w:tcW w:w="1388" w:type="dxa"/>
                  <w:tcBorders>
                    <w:tl2br w:val="nil"/>
                    <w:tr2bl w:val="nil"/>
                  </w:tcBorders>
                  <w:vAlign w:val="center"/>
                </w:tcPr>
                <w:p w14:paraId="34967040">
                  <w:pPr>
                    <w:widowControl/>
                    <w:jc w:val="center"/>
                    <w:rPr>
                      <w:rFonts w:hint="default"/>
                      <w:color w:val="auto"/>
                      <w:sz w:val="18"/>
                      <w:szCs w:val="18"/>
                      <w:lang w:val="en-US" w:eastAsia="zh-CN"/>
                    </w:rPr>
                  </w:pPr>
                  <w:r>
                    <w:rPr>
                      <w:rFonts w:hint="eastAsia"/>
                      <w:color w:val="auto"/>
                      <w:sz w:val="18"/>
                      <w:szCs w:val="18"/>
                      <w:lang w:val="en-US" w:eastAsia="zh-CN"/>
                    </w:rPr>
                    <w:t>SHGA125e</w:t>
                  </w:r>
                </w:p>
              </w:tc>
              <w:tc>
                <w:tcPr>
                  <w:tcW w:w="1501" w:type="dxa"/>
                  <w:tcBorders>
                    <w:tl2br w:val="nil"/>
                    <w:tr2bl w:val="nil"/>
                  </w:tcBorders>
                  <w:vAlign w:val="center"/>
                </w:tcPr>
                <w:p w14:paraId="59A0FE60">
                  <w:pPr>
                    <w:widowControl/>
                    <w:jc w:val="center"/>
                    <w:rPr>
                      <w:rFonts w:hint="eastAsia"/>
                      <w:color w:val="auto"/>
                      <w:sz w:val="18"/>
                      <w:szCs w:val="18"/>
                      <w:lang w:val="en-US" w:eastAsia="zh-CN"/>
                    </w:rPr>
                  </w:pPr>
                  <w:r>
                    <w:rPr>
                      <w:rFonts w:hint="eastAsia"/>
                      <w:color w:val="auto"/>
                      <w:sz w:val="18"/>
                      <w:szCs w:val="18"/>
                      <w:lang w:val="en-US" w:eastAsia="zh-CN"/>
                    </w:rPr>
                    <w:t>生产车间</w:t>
                  </w:r>
                </w:p>
              </w:tc>
              <w:tc>
                <w:tcPr>
                  <w:tcW w:w="1407" w:type="dxa"/>
                  <w:tcBorders>
                    <w:tl2br w:val="nil"/>
                    <w:tr2bl w:val="nil"/>
                  </w:tcBorders>
                  <w:vAlign w:val="center"/>
                </w:tcPr>
                <w:p w14:paraId="5E9EBE97">
                  <w:pPr>
                    <w:widowControl/>
                    <w:jc w:val="center"/>
                    <w:rPr>
                      <w:rFonts w:hint="default"/>
                      <w:color w:val="auto"/>
                      <w:sz w:val="18"/>
                      <w:szCs w:val="18"/>
                      <w:lang w:val="en-US" w:eastAsia="zh-CN"/>
                    </w:rPr>
                  </w:pPr>
                  <w:r>
                    <w:rPr>
                      <w:rFonts w:hint="eastAsia"/>
                      <w:color w:val="auto"/>
                      <w:sz w:val="18"/>
                      <w:szCs w:val="18"/>
                      <w:lang w:val="en-US" w:eastAsia="zh-CN"/>
                    </w:rPr>
                    <w:t>整经</w:t>
                  </w:r>
                </w:p>
              </w:tc>
              <w:tc>
                <w:tcPr>
                  <w:tcW w:w="920" w:type="dxa"/>
                  <w:tcBorders>
                    <w:tl2br w:val="nil"/>
                    <w:tr2bl w:val="nil"/>
                  </w:tcBorders>
                  <w:vAlign w:val="center"/>
                </w:tcPr>
                <w:p w14:paraId="64D21E81">
                  <w:pPr>
                    <w:widowControl/>
                    <w:jc w:val="center"/>
                    <w:rPr>
                      <w:rFonts w:hint="default"/>
                      <w:color w:val="auto"/>
                      <w:sz w:val="18"/>
                      <w:szCs w:val="18"/>
                      <w:lang w:val="en-US" w:eastAsia="zh-CN"/>
                    </w:rPr>
                  </w:pPr>
                  <w:r>
                    <w:rPr>
                      <w:rFonts w:hint="eastAsia"/>
                      <w:color w:val="auto"/>
                      <w:sz w:val="18"/>
                      <w:szCs w:val="18"/>
                      <w:lang w:val="en-US" w:eastAsia="zh-CN"/>
                    </w:rPr>
                    <w:t>1</w:t>
                  </w:r>
                </w:p>
              </w:tc>
            </w:tr>
            <w:tr w14:paraId="5BAE0F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0" w:hRule="atLeast"/>
                <w:jc w:val="center"/>
              </w:trPr>
              <w:tc>
                <w:tcPr>
                  <w:tcW w:w="659" w:type="dxa"/>
                  <w:tcBorders>
                    <w:tl2br w:val="nil"/>
                    <w:tr2bl w:val="nil"/>
                  </w:tcBorders>
                  <w:vAlign w:val="center"/>
                </w:tcPr>
                <w:p w14:paraId="3D28AF99">
                  <w:pPr>
                    <w:widowControl/>
                    <w:jc w:val="center"/>
                    <w:rPr>
                      <w:rFonts w:hint="default"/>
                      <w:color w:val="auto"/>
                      <w:sz w:val="18"/>
                      <w:szCs w:val="18"/>
                      <w:lang w:val="en-US" w:eastAsia="zh-CN"/>
                    </w:rPr>
                  </w:pPr>
                  <w:r>
                    <w:rPr>
                      <w:rFonts w:hint="eastAsia"/>
                      <w:color w:val="auto"/>
                      <w:sz w:val="18"/>
                      <w:szCs w:val="18"/>
                      <w:lang w:val="en-US" w:eastAsia="zh-CN"/>
                    </w:rPr>
                    <w:t>7</w:t>
                  </w:r>
                </w:p>
              </w:tc>
              <w:tc>
                <w:tcPr>
                  <w:tcW w:w="1820" w:type="dxa"/>
                  <w:tcBorders>
                    <w:tl2br w:val="nil"/>
                    <w:tr2bl w:val="nil"/>
                  </w:tcBorders>
                  <w:vAlign w:val="center"/>
                </w:tcPr>
                <w:p w14:paraId="76029BEA">
                  <w:pPr>
                    <w:widowControl/>
                    <w:jc w:val="center"/>
                    <w:rPr>
                      <w:rFonts w:hint="default"/>
                      <w:color w:val="auto"/>
                      <w:sz w:val="18"/>
                      <w:szCs w:val="18"/>
                      <w:lang w:val="en-US" w:eastAsia="zh-CN"/>
                    </w:rPr>
                  </w:pPr>
                  <w:r>
                    <w:rPr>
                      <w:rFonts w:hint="eastAsia"/>
                      <w:color w:val="auto"/>
                      <w:sz w:val="18"/>
                      <w:szCs w:val="18"/>
                      <w:lang w:val="en-US" w:eastAsia="zh-CN"/>
                    </w:rPr>
                    <w:t>穿综扒筘机</w:t>
                  </w:r>
                </w:p>
              </w:tc>
              <w:tc>
                <w:tcPr>
                  <w:tcW w:w="1388" w:type="dxa"/>
                  <w:tcBorders>
                    <w:tl2br w:val="nil"/>
                    <w:tr2bl w:val="nil"/>
                  </w:tcBorders>
                  <w:vAlign w:val="center"/>
                </w:tcPr>
                <w:p w14:paraId="07B3838F">
                  <w:pPr>
                    <w:widowControl/>
                    <w:jc w:val="center"/>
                    <w:rPr>
                      <w:rFonts w:hint="default"/>
                      <w:color w:val="auto"/>
                      <w:sz w:val="18"/>
                      <w:szCs w:val="18"/>
                      <w:lang w:val="en-US" w:eastAsia="zh-CN"/>
                    </w:rPr>
                  </w:pPr>
                  <w:r>
                    <w:rPr>
                      <w:rFonts w:hint="eastAsia"/>
                      <w:color w:val="auto"/>
                      <w:sz w:val="18"/>
                      <w:szCs w:val="18"/>
                      <w:lang w:val="en-US" w:eastAsia="zh-CN"/>
                    </w:rPr>
                    <w:t>JSE-32</w:t>
                  </w:r>
                </w:p>
              </w:tc>
              <w:tc>
                <w:tcPr>
                  <w:tcW w:w="1501" w:type="dxa"/>
                  <w:tcBorders>
                    <w:tl2br w:val="nil"/>
                    <w:tr2bl w:val="nil"/>
                  </w:tcBorders>
                  <w:vAlign w:val="center"/>
                </w:tcPr>
                <w:p w14:paraId="56EABF3C">
                  <w:pPr>
                    <w:widowControl/>
                    <w:jc w:val="center"/>
                    <w:rPr>
                      <w:rFonts w:hint="eastAsia"/>
                      <w:color w:val="auto"/>
                      <w:sz w:val="18"/>
                      <w:szCs w:val="18"/>
                      <w:lang w:val="en-US" w:eastAsia="zh-CN"/>
                    </w:rPr>
                  </w:pPr>
                  <w:r>
                    <w:rPr>
                      <w:rFonts w:hint="eastAsia"/>
                      <w:color w:val="auto"/>
                      <w:sz w:val="18"/>
                      <w:szCs w:val="18"/>
                      <w:lang w:val="en-US" w:eastAsia="zh-CN"/>
                    </w:rPr>
                    <w:t>生产车间</w:t>
                  </w:r>
                </w:p>
              </w:tc>
              <w:tc>
                <w:tcPr>
                  <w:tcW w:w="1407" w:type="dxa"/>
                  <w:tcBorders>
                    <w:tl2br w:val="nil"/>
                    <w:tr2bl w:val="nil"/>
                  </w:tcBorders>
                  <w:vAlign w:val="center"/>
                </w:tcPr>
                <w:p w14:paraId="6F25141E">
                  <w:pPr>
                    <w:widowControl/>
                    <w:jc w:val="center"/>
                    <w:rPr>
                      <w:rFonts w:hint="default"/>
                      <w:color w:val="auto"/>
                      <w:sz w:val="18"/>
                      <w:szCs w:val="18"/>
                      <w:lang w:val="en-US" w:eastAsia="zh-CN"/>
                    </w:rPr>
                  </w:pPr>
                  <w:r>
                    <w:rPr>
                      <w:rFonts w:hint="eastAsia"/>
                      <w:color w:val="auto"/>
                      <w:sz w:val="18"/>
                      <w:szCs w:val="18"/>
                      <w:lang w:val="en-US" w:eastAsia="zh-CN"/>
                    </w:rPr>
                    <w:t>穿综扒筘</w:t>
                  </w:r>
                </w:p>
              </w:tc>
              <w:tc>
                <w:tcPr>
                  <w:tcW w:w="920" w:type="dxa"/>
                  <w:tcBorders>
                    <w:tl2br w:val="nil"/>
                    <w:tr2bl w:val="nil"/>
                  </w:tcBorders>
                  <w:vAlign w:val="center"/>
                </w:tcPr>
                <w:p w14:paraId="2B1037E4">
                  <w:pPr>
                    <w:widowControl/>
                    <w:jc w:val="center"/>
                    <w:rPr>
                      <w:rFonts w:hint="default"/>
                      <w:color w:val="auto"/>
                      <w:sz w:val="18"/>
                      <w:szCs w:val="18"/>
                      <w:lang w:val="en-US" w:eastAsia="zh-CN"/>
                    </w:rPr>
                  </w:pPr>
                  <w:r>
                    <w:rPr>
                      <w:rFonts w:hint="eastAsia"/>
                      <w:color w:val="auto"/>
                      <w:sz w:val="18"/>
                      <w:szCs w:val="18"/>
                      <w:lang w:val="en-US" w:eastAsia="zh-CN"/>
                    </w:rPr>
                    <w:t>1</w:t>
                  </w:r>
                </w:p>
              </w:tc>
            </w:tr>
            <w:tr w14:paraId="0E5A3C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0" w:hRule="atLeast"/>
                <w:jc w:val="center"/>
              </w:trPr>
              <w:tc>
                <w:tcPr>
                  <w:tcW w:w="659" w:type="dxa"/>
                  <w:tcBorders>
                    <w:tl2br w:val="nil"/>
                    <w:tr2bl w:val="nil"/>
                  </w:tcBorders>
                  <w:vAlign w:val="center"/>
                </w:tcPr>
                <w:p w14:paraId="6477C332">
                  <w:pPr>
                    <w:widowControl/>
                    <w:jc w:val="center"/>
                    <w:rPr>
                      <w:rFonts w:hint="default"/>
                      <w:color w:val="auto"/>
                      <w:sz w:val="18"/>
                      <w:szCs w:val="18"/>
                      <w:lang w:val="en-US" w:eastAsia="zh-CN"/>
                    </w:rPr>
                  </w:pPr>
                  <w:r>
                    <w:rPr>
                      <w:rFonts w:hint="eastAsia"/>
                      <w:color w:val="auto"/>
                      <w:sz w:val="18"/>
                      <w:szCs w:val="18"/>
                      <w:lang w:val="en-US" w:eastAsia="zh-CN"/>
                    </w:rPr>
                    <w:t>8</w:t>
                  </w:r>
                </w:p>
              </w:tc>
              <w:tc>
                <w:tcPr>
                  <w:tcW w:w="1820" w:type="dxa"/>
                  <w:tcBorders>
                    <w:tl2br w:val="nil"/>
                    <w:tr2bl w:val="nil"/>
                  </w:tcBorders>
                  <w:vAlign w:val="center"/>
                </w:tcPr>
                <w:p w14:paraId="4BE0AEEE">
                  <w:pPr>
                    <w:widowControl/>
                    <w:jc w:val="center"/>
                    <w:rPr>
                      <w:rFonts w:hint="default"/>
                      <w:color w:val="auto"/>
                      <w:sz w:val="18"/>
                      <w:szCs w:val="18"/>
                      <w:lang w:val="en-US" w:eastAsia="zh-CN"/>
                    </w:rPr>
                  </w:pPr>
                  <w:r>
                    <w:rPr>
                      <w:rFonts w:hint="eastAsia"/>
                      <w:color w:val="auto"/>
                      <w:sz w:val="18"/>
                      <w:szCs w:val="18"/>
                      <w:lang w:val="en-US" w:eastAsia="zh-CN"/>
                    </w:rPr>
                    <w:t>打卷机</w:t>
                  </w:r>
                </w:p>
              </w:tc>
              <w:tc>
                <w:tcPr>
                  <w:tcW w:w="1388" w:type="dxa"/>
                  <w:tcBorders>
                    <w:tl2br w:val="nil"/>
                    <w:tr2bl w:val="nil"/>
                  </w:tcBorders>
                  <w:vAlign w:val="center"/>
                </w:tcPr>
                <w:p w14:paraId="480986C1">
                  <w:pPr>
                    <w:widowControl/>
                    <w:jc w:val="center"/>
                    <w:rPr>
                      <w:rFonts w:hint="default"/>
                      <w:color w:val="auto"/>
                      <w:sz w:val="18"/>
                      <w:szCs w:val="18"/>
                      <w:lang w:val="en-US" w:eastAsia="zh-CN"/>
                    </w:rPr>
                  </w:pPr>
                  <w:r>
                    <w:rPr>
                      <w:rFonts w:hint="eastAsia"/>
                      <w:color w:val="auto"/>
                      <w:sz w:val="18"/>
                      <w:szCs w:val="18"/>
                      <w:lang w:val="en-US" w:eastAsia="zh-CN"/>
                    </w:rPr>
                    <w:t>/</w:t>
                  </w:r>
                </w:p>
              </w:tc>
              <w:tc>
                <w:tcPr>
                  <w:tcW w:w="1501" w:type="dxa"/>
                  <w:tcBorders>
                    <w:tl2br w:val="nil"/>
                    <w:tr2bl w:val="nil"/>
                  </w:tcBorders>
                  <w:vAlign w:val="center"/>
                </w:tcPr>
                <w:p w14:paraId="18EF6BDC">
                  <w:pPr>
                    <w:widowControl/>
                    <w:jc w:val="center"/>
                    <w:rPr>
                      <w:rFonts w:hint="eastAsia"/>
                      <w:color w:val="auto"/>
                      <w:sz w:val="18"/>
                      <w:szCs w:val="18"/>
                      <w:lang w:val="en-US" w:eastAsia="zh-CN"/>
                    </w:rPr>
                  </w:pPr>
                  <w:r>
                    <w:rPr>
                      <w:rFonts w:hint="eastAsia"/>
                      <w:color w:val="auto"/>
                      <w:sz w:val="18"/>
                      <w:szCs w:val="18"/>
                      <w:lang w:val="en-US" w:eastAsia="zh-CN"/>
                    </w:rPr>
                    <w:t>生产车间</w:t>
                  </w:r>
                </w:p>
              </w:tc>
              <w:tc>
                <w:tcPr>
                  <w:tcW w:w="1407" w:type="dxa"/>
                  <w:tcBorders>
                    <w:tl2br w:val="nil"/>
                    <w:tr2bl w:val="nil"/>
                  </w:tcBorders>
                  <w:vAlign w:val="center"/>
                </w:tcPr>
                <w:p w14:paraId="45A37CBA">
                  <w:pPr>
                    <w:widowControl/>
                    <w:jc w:val="center"/>
                    <w:rPr>
                      <w:rFonts w:hint="default"/>
                      <w:color w:val="auto"/>
                      <w:sz w:val="18"/>
                      <w:szCs w:val="18"/>
                      <w:lang w:val="en-US" w:eastAsia="zh-CN"/>
                    </w:rPr>
                  </w:pPr>
                  <w:r>
                    <w:rPr>
                      <w:rFonts w:hint="eastAsia"/>
                      <w:color w:val="auto"/>
                      <w:sz w:val="18"/>
                      <w:szCs w:val="18"/>
                      <w:lang w:val="en-US" w:eastAsia="zh-CN"/>
                    </w:rPr>
                    <w:t>打卷</w:t>
                  </w:r>
                </w:p>
              </w:tc>
              <w:tc>
                <w:tcPr>
                  <w:tcW w:w="920" w:type="dxa"/>
                  <w:tcBorders>
                    <w:tl2br w:val="nil"/>
                    <w:tr2bl w:val="nil"/>
                  </w:tcBorders>
                  <w:vAlign w:val="center"/>
                </w:tcPr>
                <w:p w14:paraId="16238D0D">
                  <w:pPr>
                    <w:widowControl/>
                    <w:jc w:val="center"/>
                    <w:rPr>
                      <w:rFonts w:hint="default"/>
                      <w:color w:val="auto"/>
                      <w:sz w:val="18"/>
                      <w:szCs w:val="18"/>
                      <w:lang w:val="en-US" w:eastAsia="zh-CN"/>
                    </w:rPr>
                  </w:pPr>
                  <w:r>
                    <w:rPr>
                      <w:rFonts w:hint="eastAsia"/>
                      <w:color w:val="auto"/>
                      <w:sz w:val="18"/>
                      <w:szCs w:val="18"/>
                      <w:lang w:val="en-US" w:eastAsia="zh-CN"/>
                    </w:rPr>
                    <w:t>2</w:t>
                  </w:r>
                </w:p>
              </w:tc>
            </w:tr>
            <w:tr w14:paraId="53723D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0" w:hRule="atLeast"/>
                <w:jc w:val="center"/>
              </w:trPr>
              <w:tc>
                <w:tcPr>
                  <w:tcW w:w="659" w:type="dxa"/>
                  <w:tcBorders>
                    <w:tl2br w:val="nil"/>
                    <w:tr2bl w:val="nil"/>
                  </w:tcBorders>
                  <w:vAlign w:val="center"/>
                </w:tcPr>
                <w:p w14:paraId="2B1EC1FD">
                  <w:pPr>
                    <w:widowControl/>
                    <w:jc w:val="center"/>
                    <w:rPr>
                      <w:rFonts w:hint="default"/>
                      <w:color w:val="auto"/>
                      <w:sz w:val="18"/>
                      <w:szCs w:val="18"/>
                      <w:lang w:val="en-US" w:eastAsia="zh-CN"/>
                    </w:rPr>
                  </w:pPr>
                  <w:r>
                    <w:rPr>
                      <w:rFonts w:hint="eastAsia"/>
                      <w:color w:val="auto"/>
                      <w:sz w:val="18"/>
                      <w:szCs w:val="18"/>
                      <w:lang w:val="en-US" w:eastAsia="zh-CN"/>
                    </w:rPr>
                    <w:t>9</w:t>
                  </w:r>
                </w:p>
              </w:tc>
              <w:tc>
                <w:tcPr>
                  <w:tcW w:w="1820" w:type="dxa"/>
                  <w:tcBorders>
                    <w:tl2br w:val="nil"/>
                    <w:tr2bl w:val="nil"/>
                  </w:tcBorders>
                  <w:shd w:val="clear" w:color="auto" w:fill="auto"/>
                  <w:vAlign w:val="center"/>
                </w:tcPr>
                <w:p w14:paraId="6C18E36C">
                  <w:pPr>
                    <w:widowControl/>
                    <w:jc w:val="center"/>
                    <w:rPr>
                      <w:rFonts w:hint="default"/>
                      <w:color w:val="auto"/>
                      <w:sz w:val="18"/>
                      <w:szCs w:val="18"/>
                      <w:lang w:val="en-US" w:eastAsia="zh-CN"/>
                    </w:rPr>
                  </w:pPr>
                  <w:r>
                    <w:rPr>
                      <w:rFonts w:hint="eastAsia"/>
                      <w:color w:val="auto"/>
                      <w:sz w:val="18"/>
                      <w:szCs w:val="18"/>
                      <w:lang w:val="en-US" w:eastAsia="zh-CN"/>
                    </w:rPr>
                    <w:t>辅助设备</w:t>
                  </w:r>
                </w:p>
              </w:tc>
              <w:tc>
                <w:tcPr>
                  <w:tcW w:w="1388" w:type="dxa"/>
                  <w:tcBorders>
                    <w:tl2br w:val="nil"/>
                    <w:tr2bl w:val="nil"/>
                  </w:tcBorders>
                  <w:shd w:val="clear" w:color="auto" w:fill="auto"/>
                  <w:vAlign w:val="center"/>
                </w:tcPr>
                <w:p w14:paraId="62CD3316">
                  <w:pPr>
                    <w:widowControl/>
                    <w:jc w:val="center"/>
                    <w:rPr>
                      <w:rFonts w:hint="default"/>
                      <w:color w:val="auto"/>
                      <w:sz w:val="18"/>
                      <w:szCs w:val="18"/>
                      <w:lang w:val="en-US" w:eastAsia="zh-CN"/>
                    </w:rPr>
                  </w:pPr>
                  <w:r>
                    <w:rPr>
                      <w:rFonts w:hint="eastAsia"/>
                      <w:color w:val="auto"/>
                      <w:sz w:val="18"/>
                      <w:szCs w:val="18"/>
                      <w:lang w:val="en-US" w:eastAsia="zh-CN"/>
                    </w:rPr>
                    <w:t>/</w:t>
                  </w:r>
                </w:p>
              </w:tc>
              <w:tc>
                <w:tcPr>
                  <w:tcW w:w="1501" w:type="dxa"/>
                  <w:tcBorders>
                    <w:tl2br w:val="nil"/>
                    <w:tr2bl w:val="nil"/>
                  </w:tcBorders>
                  <w:shd w:val="clear" w:color="auto" w:fill="auto"/>
                  <w:vAlign w:val="center"/>
                </w:tcPr>
                <w:p w14:paraId="6A9F3407">
                  <w:pPr>
                    <w:widowControl/>
                    <w:jc w:val="center"/>
                    <w:rPr>
                      <w:rFonts w:hint="eastAsia"/>
                      <w:color w:val="auto"/>
                      <w:sz w:val="18"/>
                      <w:szCs w:val="18"/>
                      <w:lang w:val="en-US" w:eastAsia="zh-CN"/>
                    </w:rPr>
                  </w:pPr>
                  <w:r>
                    <w:rPr>
                      <w:rFonts w:hint="eastAsia"/>
                      <w:color w:val="auto"/>
                      <w:sz w:val="18"/>
                      <w:szCs w:val="18"/>
                      <w:lang w:val="en-US" w:eastAsia="zh-CN"/>
                    </w:rPr>
                    <w:t>生产车间</w:t>
                  </w:r>
                </w:p>
              </w:tc>
              <w:tc>
                <w:tcPr>
                  <w:tcW w:w="1407" w:type="dxa"/>
                  <w:tcBorders>
                    <w:tl2br w:val="nil"/>
                    <w:tr2bl w:val="nil"/>
                  </w:tcBorders>
                  <w:shd w:val="clear" w:color="auto" w:fill="auto"/>
                  <w:vAlign w:val="center"/>
                </w:tcPr>
                <w:p w14:paraId="77458DEB">
                  <w:pPr>
                    <w:widowControl/>
                    <w:jc w:val="center"/>
                    <w:rPr>
                      <w:rFonts w:hint="default"/>
                      <w:color w:val="auto"/>
                      <w:sz w:val="18"/>
                      <w:szCs w:val="18"/>
                      <w:lang w:val="en-US" w:eastAsia="zh-CN"/>
                    </w:rPr>
                  </w:pPr>
                  <w:r>
                    <w:rPr>
                      <w:rFonts w:hint="eastAsia"/>
                      <w:color w:val="auto"/>
                      <w:sz w:val="18"/>
                      <w:szCs w:val="18"/>
                      <w:lang w:val="en-US" w:eastAsia="zh-CN"/>
                    </w:rPr>
                    <w:t>辅助</w:t>
                  </w:r>
                </w:p>
              </w:tc>
              <w:tc>
                <w:tcPr>
                  <w:tcW w:w="920" w:type="dxa"/>
                  <w:tcBorders>
                    <w:tl2br w:val="nil"/>
                    <w:tr2bl w:val="nil"/>
                  </w:tcBorders>
                  <w:shd w:val="clear" w:color="auto" w:fill="auto"/>
                  <w:vAlign w:val="center"/>
                </w:tcPr>
                <w:p w14:paraId="46635309">
                  <w:pPr>
                    <w:widowControl/>
                    <w:jc w:val="center"/>
                    <w:rPr>
                      <w:rFonts w:hint="default"/>
                      <w:color w:val="auto"/>
                      <w:sz w:val="18"/>
                      <w:szCs w:val="18"/>
                      <w:lang w:val="en-US" w:eastAsia="zh-CN"/>
                    </w:rPr>
                  </w:pPr>
                  <w:r>
                    <w:rPr>
                      <w:rFonts w:hint="eastAsia"/>
                      <w:color w:val="auto"/>
                      <w:sz w:val="18"/>
                      <w:szCs w:val="18"/>
                      <w:lang w:val="en-US" w:eastAsia="zh-CN"/>
                    </w:rPr>
                    <w:t>40</w:t>
                  </w:r>
                </w:p>
              </w:tc>
            </w:tr>
          </w:tbl>
          <w:p w14:paraId="78897BD9">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5</w:t>
            </w:r>
            <w:r>
              <w:rPr>
                <w:rFonts w:hint="eastAsia"/>
                <w:b/>
                <w:bCs/>
                <w:snapToGrid w:val="0"/>
                <w:color w:val="auto"/>
                <w:spacing w:val="-2"/>
                <w:kern w:val="0"/>
                <w:szCs w:val="21"/>
              </w:rPr>
              <w:t>、原辅材料</w:t>
            </w:r>
          </w:p>
          <w:p w14:paraId="5D130076">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 xml:space="preserve">2-4  </w:t>
            </w:r>
            <w:r>
              <w:rPr>
                <w:rFonts w:hint="eastAsia"/>
                <w:b/>
                <w:snapToGrid w:val="0"/>
                <w:color w:val="auto"/>
                <w:szCs w:val="21"/>
              </w:rPr>
              <w:t>项目原辅材料一览表</w:t>
            </w:r>
          </w:p>
          <w:tbl>
            <w:tblPr>
              <w:tblStyle w:val="26"/>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123"/>
              <w:gridCol w:w="1631"/>
              <w:gridCol w:w="762"/>
              <w:gridCol w:w="1100"/>
              <w:gridCol w:w="1007"/>
              <w:gridCol w:w="1007"/>
              <w:gridCol w:w="1065"/>
            </w:tblGrid>
            <w:tr w14:paraId="102DFAA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505" w:hRule="atLeast"/>
              </w:trPr>
              <w:tc>
                <w:tcPr>
                  <w:tcW w:w="1293" w:type="dxa"/>
                  <w:tcBorders>
                    <w:tl2br w:val="nil"/>
                    <w:tr2bl w:val="nil"/>
                  </w:tcBorders>
                  <w:vAlign w:val="center"/>
                </w:tcPr>
                <w:p w14:paraId="70431E50">
                  <w:pPr>
                    <w:pStyle w:val="57"/>
                    <w:spacing w:beforeLines="0"/>
                    <w:rPr>
                      <w:color w:val="auto"/>
                      <w:sz w:val="18"/>
                      <w:szCs w:val="18"/>
                    </w:rPr>
                  </w:pPr>
                  <w:r>
                    <w:rPr>
                      <w:rFonts w:hint="eastAsia" w:ascii="宋体" w:hAnsi="宋体" w:cs="宋体"/>
                      <w:color w:val="auto"/>
                      <w:sz w:val="18"/>
                      <w:szCs w:val="18"/>
                    </w:rPr>
                    <w:t>名称</w:t>
                  </w:r>
                </w:p>
              </w:tc>
              <w:tc>
                <w:tcPr>
                  <w:tcW w:w="1878" w:type="dxa"/>
                  <w:tcBorders>
                    <w:tl2br w:val="nil"/>
                    <w:tr2bl w:val="nil"/>
                  </w:tcBorders>
                  <w:vAlign w:val="center"/>
                </w:tcPr>
                <w:p w14:paraId="3D540A4C">
                  <w:pPr>
                    <w:pStyle w:val="57"/>
                    <w:spacing w:beforeLines="0"/>
                    <w:rPr>
                      <w:color w:val="auto"/>
                      <w:sz w:val="18"/>
                      <w:szCs w:val="18"/>
                    </w:rPr>
                  </w:pPr>
                  <w:r>
                    <w:rPr>
                      <w:rFonts w:hint="eastAsia" w:ascii="宋体" w:hAnsi="宋体" w:cs="宋体"/>
                      <w:color w:val="auto"/>
                      <w:sz w:val="18"/>
                      <w:szCs w:val="18"/>
                    </w:rPr>
                    <w:t>重要组分</w:t>
                  </w:r>
                </w:p>
              </w:tc>
              <w:tc>
                <w:tcPr>
                  <w:tcW w:w="875" w:type="dxa"/>
                  <w:tcBorders>
                    <w:tl2br w:val="nil"/>
                    <w:tr2bl w:val="nil"/>
                  </w:tcBorders>
                  <w:vAlign w:val="center"/>
                </w:tcPr>
                <w:p w14:paraId="321C2BB5">
                  <w:pPr>
                    <w:pStyle w:val="57"/>
                    <w:spacing w:beforeLines="0"/>
                    <w:rPr>
                      <w:color w:val="auto"/>
                      <w:sz w:val="18"/>
                      <w:szCs w:val="18"/>
                    </w:rPr>
                  </w:pPr>
                  <w:r>
                    <w:rPr>
                      <w:rFonts w:hint="eastAsia" w:ascii="宋体" w:hAnsi="宋体" w:cs="宋体"/>
                      <w:color w:val="auto"/>
                      <w:sz w:val="18"/>
                      <w:szCs w:val="18"/>
                    </w:rPr>
                    <w:t>年用量</w:t>
                  </w:r>
                  <w:r>
                    <w:rPr>
                      <w:color w:val="auto"/>
                      <w:sz w:val="18"/>
                      <w:szCs w:val="18"/>
                    </w:rPr>
                    <w:t>t/a</w:t>
                  </w:r>
                </w:p>
              </w:tc>
              <w:tc>
                <w:tcPr>
                  <w:tcW w:w="1265" w:type="dxa"/>
                  <w:tcBorders>
                    <w:tl2br w:val="nil"/>
                    <w:tr2bl w:val="nil"/>
                  </w:tcBorders>
                  <w:vAlign w:val="center"/>
                </w:tcPr>
                <w:p w14:paraId="7781CE2E">
                  <w:pPr>
                    <w:pStyle w:val="57"/>
                    <w:spacing w:beforeLines="0"/>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rPr>
                    <w:t>最大储存量</w:t>
                  </w:r>
                  <w:r>
                    <w:rPr>
                      <w:rFonts w:hint="eastAsia" w:ascii="Times New Roman" w:hAnsi="Times New Roman" w:eastAsia="宋体" w:cs="Times New Roman"/>
                      <w:color w:val="auto"/>
                      <w:sz w:val="18"/>
                      <w:szCs w:val="18"/>
                      <w:lang w:val="en-US" w:eastAsia="zh-CN"/>
                    </w:rPr>
                    <w:t>t/a</w:t>
                  </w:r>
                </w:p>
              </w:tc>
              <w:tc>
                <w:tcPr>
                  <w:tcW w:w="1158" w:type="dxa"/>
                  <w:tcBorders>
                    <w:tl2br w:val="nil"/>
                    <w:tr2bl w:val="nil"/>
                  </w:tcBorders>
                  <w:vAlign w:val="center"/>
                </w:tcPr>
                <w:p w14:paraId="4019CC4D">
                  <w:pPr>
                    <w:pStyle w:val="57"/>
                    <w:spacing w:beforeLines="0"/>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规格</w:t>
                  </w:r>
                </w:p>
              </w:tc>
              <w:tc>
                <w:tcPr>
                  <w:tcW w:w="1158" w:type="dxa"/>
                  <w:tcBorders>
                    <w:tl2br w:val="nil"/>
                    <w:tr2bl w:val="nil"/>
                  </w:tcBorders>
                  <w:vAlign w:val="center"/>
                </w:tcPr>
                <w:p w14:paraId="48AA96F2">
                  <w:pPr>
                    <w:pStyle w:val="57"/>
                    <w:spacing w:beforeLines="0"/>
                    <w:rPr>
                      <w:color w:val="auto"/>
                      <w:sz w:val="18"/>
                      <w:szCs w:val="18"/>
                    </w:rPr>
                  </w:pPr>
                  <w:r>
                    <w:rPr>
                      <w:rFonts w:hint="eastAsia" w:ascii="宋体" w:hAnsi="宋体" w:cs="宋体"/>
                      <w:color w:val="auto"/>
                      <w:sz w:val="18"/>
                      <w:szCs w:val="18"/>
                    </w:rPr>
                    <w:t>储存位置</w:t>
                  </w:r>
                </w:p>
              </w:tc>
              <w:tc>
                <w:tcPr>
                  <w:tcW w:w="1226" w:type="dxa"/>
                  <w:tcBorders>
                    <w:tl2br w:val="nil"/>
                    <w:tr2bl w:val="nil"/>
                  </w:tcBorders>
                  <w:vAlign w:val="center"/>
                </w:tcPr>
                <w:p w14:paraId="3F0D381B">
                  <w:pPr>
                    <w:pStyle w:val="57"/>
                    <w:spacing w:beforeLines="0"/>
                    <w:rPr>
                      <w:color w:val="auto"/>
                      <w:sz w:val="18"/>
                      <w:szCs w:val="18"/>
                    </w:rPr>
                  </w:pPr>
                  <w:r>
                    <w:rPr>
                      <w:rFonts w:hint="eastAsia" w:ascii="宋体" w:hAnsi="宋体" w:cs="宋体"/>
                      <w:color w:val="auto"/>
                      <w:sz w:val="18"/>
                      <w:szCs w:val="18"/>
                    </w:rPr>
                    <w:t>来源及运输</w:t>
                  </w:r>
                </w:p>
              </w:tc>
            </w:tr>
            <w:tr w14:paraId="5C65BDD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90" w:hRule="atLeast"/>
              </w:trPr>
              <w:tc>
                <w:tcPr>
                  <w:tcW w:w="1293" w:type="dxa"/>
                  <w:tcBorders>
                    <w:tl2br w:val="nil"/>
                    <w:tr2bl w:val="nil"/>
                  </w:tcBorders>
                  <w:vAlign w:val="center"/>
                </w:tcPr>
                <w:p w14:paraId="62D78420">
                  <w:pPr>
                    <w:widowControl/>
                    <w:jc w:val="center"/>
                    <w:rPr>
                      <w:rFonts w:hint="default" w:eastAsia="宋体"/>
                      <w:color w:val="auto"/>
                      <w:sz w:val="18"/>
                      <w:szCs w:val="18"/>
                      <w:lang w:val="en-US" w:eastAsia="zh-CN"/>
                    </w:rPr>
                  </w:pPr>
                  <w:r>
                    <w:rPr>
                      <w:rFonts w:hint="eastAsia"/>
                      <w:color w:val="auto"/>
                      <w:sz w:val="18"/>
                      <w:szCs w:val="18"/>
                      <w:lang w:val="en-US" w:eastAsia="zh-CN"/>
                    </w:rPr>
                    <w:t>化纤丝</w:t>
                  </w:r>
                </w:p>
              </w:tc>
              <w:tc>
                <w:tcPr>
                  <w:tcW w:w="1878" w:type="dxa"/>
                  <w:tcBorders>
                    <w:tl2br w:val="nil"/>
                    <w:tr2bl w:val="nil"/>
                  </w:tcBorders>
                  <w:vAlign w:val="center"/>
                </w:tcPr>
                <w:p w14:paraId="4E28BA88">
                  <w:pPr>
                    <w:widowControl/>
                    <w:jc w:val="center"/>
                    <w:rPr>
                      <w:rFonts w:eastAsia="Times New Roman"/>
                      <w:color w:val="auto"/>
                      <w:sz w:val="18"/>
                      <w:szCs w:val="18"/>
                    </w:rPr>
                  </w:pPr>
                  <w:r>
                    <w:rPr>
                      <w:rFonts w:hint="eastAsia"/>
                      <w:color w:val="auto"/>
                      <w:sz w:val="18"/>
                      <w:szCs w:val="18"/>
                    </w:rPr>
                    <w:t>聚对苯二甲酸乙二醇酯</w:t>
                  </w:r>
                </w:p>
              </w:tc>
              <w:tc>
                <w:tcPr>
                  <w:tcW w:w="875" w:type="dxa"/>
                  <w:tcBorders>
                    <w:tl2br w:val="nil"/>
                    <w:tr2bl w:val="nil"/>
                  </w:tcBorders>
                  <w:vAlign w:val="center"/>
                </w:tcPr>
                <w:p w14:paraId="62999B86">
                  <w:pPr>
                    <w:pStyle w:val="57"/>
                    <w:spacing w:beforeLines="0"/>
                    <w:rPr>
                      <w:rFonts w:hint="default" w:eastAsia="宋体"/>
                      <w:color w:val="auto"/>
                      <w:sz w:val="18"/>
                      <w:szCs w:val="18"/>
                      <w:lang w:val="en-US" w:eastAsia="zh-CN"/>
                    </w:rPr>
                  </w:pPr>
                  <w:r>
                    <w:rPr>
                      <w:rFonts w:hint="default" w:eastAsia="宋体"/>
                      <w:color w:val="auto"/>
                      <w:sz w:val="18"/>
                      <w:szCs w:val="18"/>
                      <w:lang w:val="en-US" w:eastAsia="zh-CN"/>
                    </w:rPr>
                    <w:t>28</w:t>
                  </w:r>
                  <w:r>
                    <w:rPr>
                      <w:rFonts w:hint="eastAsia"/>
                      <w:color w:val="auto"/>
                      <w:sz w:val="18"/>
                      <w:szCs w:val="18"/>
                      <w:lang w:val="en-US" w:eastAsia="zh-CN"/>
                    </w:rPr>
                    <w:t>31</w:t>
                  </w:r>
                </w:p>
              </w:tc>
              <w:tc>
                <w:tcPr>
                  <w:tcW w:w="1265" w:type="dxa"/>
                  <w:tcBorders>
                    <w:tl2br w:val="nil"/>
                    <w:tr2bl w:val="nil"/>
                  </w:tcBorders>
                  <w:vAlign w:val="center"/>
                </w:tcPr>
                <w:p w14:paraId="4EEA271B">
                  <w:pPr>
                    <w:widowControl/>
                    <w:jc w:val="center"/>
                    <w:rPr>
                      <w:rFonts w:eastAsia="Times New Roman"/>
                      <w:color w:val="auto"/>
                      <w:sz w:val="18"/>
                      <w:szCs w:val="18"/>
                    </w:rPr>
                  </w:pPr>
                  <w:r>
                    <w:rPr>
                      <w:rFonts w:hint="eastAsia"/>
                      <w:color w:val="auto"/>
                      <w:kern w:val="0"/>
                      <w:sz w:val="18"/>
                      <w:szCs w:val="18"/>
                      <w:lang w:val="en-US" w:eastAsia="zh-CN"/>
                    </w:rPr>
                    <w:t>100</w:t>
                  </w:r>
                </w:p>
              </w:tc>
              <w:tc>
                <w:tcPr>
                  <w:tcW w:w="1158" w:type="dxa"/>
                  <w:tcBorders>
                    <w:tl2br w:val="nil"/>
                    <w:tr2bl w:val="nil"/>
                  </w:tcBorders>
                  <w:vAlign w:val="center"/>
                </w:tcPr>
                <w:p w14:paraId="3930B88E">
                  <w:pPr>
                    <w:widowControl/>
                    <w:jc w:val="center"/>
                    <w:rPr>
                      <w:rFonts w:hint="eastAsia"/>
                      <w:color w:val="auto"/>
                      <w:kern w:val="0"/>
                      <w:sz w:val="18"/>
                      <w:szCs w:val="18"/>
                      <w:lang w:val="en-US" w:eastAsia="zh-CN"/>
                    </w:rPr>
                  </w:pPr>
                  <w:r>
                    <w:rPr>
                      <w:rFonts w:hint="eastAsia"/>
                      <w:color w:val="auto"/>
                      <w:kern w:val="0"/>
                      <w:sz w:val="18"/>
                      <w:szCs w:val="18"/>
                      <w:lang w:val="en-US" w:eastAsia="zh-CN"/>
                    </w:rPr>
                    <w:t>50kg/箱</w:t>
                  </w:r>
                </w:p>
              </w:tc>
              <w:tc>
                <w:tcPr>
                  <w:tcW w:w="1158" w:type="dxa"/>
                  <w:tcBorders>
                    <w:tl2br w:val="nil"/>
                    <w:tr2bl w:val="nil"/>
                  </w:tcBorders>
                  <w:vAlign w:val="center"/>
                </w:tcPr>
                <w:p w14:paraId="1CCF01FE">
                  <w:pPr>
                    <w:pStyle w:val="57"/>
                    <w:spacing w:beforeLines="0"/>
                    <w:rPr>
                      <w:rFonts w:hint="eastAsia" w:ascii="宋体" w:hAnsi="宋体" w:cs="宋体"/>
                      <w:color w:val="auto"/>
                      <w:sz w:val="18"/>
                      <w:szCs w:val="18"/>
                    </w:rPr>
                  </w:pPr>
                  <w:r>
                    <w:rPr>
                      <w:rFonts w:hint="eastAsia" w:ascii="宋体" w:hAnsi="宋体" w:cs="宋体"/>
                      <w:color w:val="auto"/>
                      <w:sz w:val="18"/>
                      <w:szCs w:val="18"/>
                    </w:rPr>
                    <w:t>原辅料仓库</w:t>
                  </w:r>
                </w:p>
              </w:tc>
              <w:tc>
                <w:tcPr>
                  <w:tcW w:w="1226" w:type="dxa"/>
                  <w:tcBorders>
                    <w:tl2br w:val="nil"/>
                    <w:tr2bl w:val="nil"/>
                  </w:tcBorders>
                  <w:vAlign w:val="center"/>
                </w:tcPr>
                <w:p w14:paraId="5B01A577">
                  <w:pPr>
                    <w:pStyle w:val="57"/>
                    <w:spacing w:beforeLines="0"/>
                    <w:rPr>
                      <w:color w:val="auto"/>
                      <w:sz w:val="18"/>
                      <w:szCs w:val="18"/>
                    </w:rPr>
                  </w:pPr>
                  <w:r>
                    <w:rPr>
                      <w:rFonts w:hint="eastAsia" w:ascii="宋体" w:hAnsi="宋体" w:cs="宋体"/>
                      <w:color w:val="auto"/>
                      <w:sz w:val="18"/>
                      <w:szCs w:val="18"/>
                    </w:rPr>
                    <w:t>国产，陆运</w:t>
                  </w:r>
                </w:p>
              </w:tc>
            </w:tr>
            <w:tr w14:paraId="3849454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90" w:hRule="atLeast"/>
              </w:trPr>
              <w:tc>
                <w:tcPr>
                  <w:tcW w:w="1293" w:type="dxa"/>
                  <w:tcBorders>
                    <w:tl2br w:val="nil"/>
                    <w:tr2bl w:val="nil"/>
                  </w:tcBorders>
                  <w:vAlign w:val="center"/>
                </w:tcPr>
                <w:p w14:paraId="6EEE33CF">
                  <w:pPr>
                    <w:widowControl/>
                    <w:jc w:val="center"/>
                    <w:rPr>
                      <w:rFonts w:hint="eastAsia"/>
                      <w:color w:val="auto"/>
                      <w:sz w:val="18"/>
                      <w:szCs w:val="18"/>
                      <w:lang w:val="en-US" w:eastAsia="zh-CN"/>
                    </w:rPr>
                  </w:pPr>
                  <w:r>
                    <w:rPr>
                      <w:rFonts w:hint="eastAsia"/>
                      <w:color w:val="auto"/>
                      <w:sz w:val="18"/>
                      <w:szCs w:val="18"/>
                      <w:lang w:val="en-US" w:eastAsia="zh-CN"/>
                    </w:rPr>
                    <w:t>水性粘合剂TF-3901D</w:t>
                  </w:r>
                </w:p>
              </w:tc>
              <w:tc>
                <w:tcPr>
                  <w:tcW w:w="1878" w:type="dxa"/>
                  <w:tcBorders>
                    <w:tl2br w:val="nil"/>
                    <w:tr2bl w:val="nil"/>
                  </w:tcBorders>
                  <w:vAlign w:val="center"/>
                </w:tcPr>
                <w:p w14:paraId="6DBE56B5">
                  <w:pPr>
                    <w:widowControl/>
                    <w:jc w:val="center"/>
                    <w:rPr>
                      <w:rFonts w:hint="eastAsia"/>
                      <w:color w:val="auto"/>
                      <w:sz w:val="18"/>
                      <w:szCs w:val="18"/>
                      <w:lang w:val="en-US" w:eastAsia="zh-CN"/>
                    </w:rPr>
                  </w:pPr>
                  <w:r>
                    <w:rPr>
                      <w:rFonts w:hint="eastAsia"/>
                      <w:color w:val="auto"/>
                      <w:sz w:val="18"/>
                      <w:szCs w:val="18"/>
                      <w:lang w:val="en-US" w:eastAsia="zh-CN"/>
                    </w:rPr>
                    <w:t>聚氨酯24.5%-26%；</w:t>
                  </w:r>
                </w:p>
                <w:p w14:paraId="1C03B9F5">
                  <w:pPr>
                    <w:widowControl/>
                    <w:jc w:val="center"/>
                    <w:rPr>
                      <w:rFonts w:hint="default"/>
                      <w:color w:val="auto"/>
                      <w:sz w:val="18"/>
                      <w:szCs w:val="18"/>
                      <w:lang w:val="en-US" w:eastAsia="zh-CN"/>
                    </w:rPr>
                  </w:pPr>
                  <w:r>
                    <w:rPr>
                      <w:rFonts w:hint="eastAsia"/>
                      <w:color w:val="auto"/>
                      <w:sz w:val="18"/>
                      <w:szCs w:val="18"/>
                      <w:lang w:val="en-US" w:eastAsia="zh-CN"/>
                    </w:rPr>
                    <w:t>水74%-75.5%</w:t>
                  </w:r>
                </w:p>
              </w:tc>
              <w:tc>
                <w:tcPr>
                  <w:tcW w:w="875" w:type="dxa"/>
                  <w:tcBorders>
                    <w:tl2br w:val="nil"/>
                    <w:tr2bl w:val="nil"/>
                  </w:tcBorders>
                  <w:vAlign w:val="center"/>
                </w:tcPr>
                <w:p w14:paraId="36A85BD2">
                  <w:pPr>
                    <w:pStyle w:val="57"/>
                    <w:spacing w:beforeLines="0"/>
                    <w:rPr>
                      <w:rFonts w:hint="default"/>
                      <w:color w:val="auto"/>
                      <w:sz w:val="18"/>
                      <w:szCs w:val="18"/>
                      <w:lang w:val="en-US" w:eastAsia="zh-CN"/>
                    </w:rPr>
                  </w:pPr>
                  <w:r>
                    <w:rPr>
                      <w:rFonts w:hint="eastAsia"/>
                      <w:color w:val="auto"/>
                      <w:sz w:val="18"/>
                      <w:szCs w:val="18"/>
                      <w:lang w:val="en-US" w:eastAsia="zh-CN"/>
                    </w:rPr>
                    <w:t>300</w:t>
                  </w:r>
                </w:p>
              </w:tc>
              <w:tc>
                <w:tcPr>
                  <w:tcW w:w="1265" w:type="dxa"/>
                  <w:tcBorders>
                    <w:tl2br w:val="nil"/>
                    <w:tr2bl w:val="nil"/>
                  </w:tcBorders>
                  <w:vAlign w:val="center"/>
                </w:tcPr>
                <w:p w14:paraId="3E58059A">
                  <w:pPr>
                    <w:widowControl/>
                    <w:jc w:val="center"/>
                    <w:rPr>
                      <w:rFonts w:hint="default"/>
                      <w:color w:val="auto"/>
                      <w:kern w:val="0"/>
                      <w:sz w:val="18"/>
                      <w:szCs w:val="18"/>
                      <w:lang w:val="en-US" w:eastAsia="zh-CN"/>
                    </w:rPr>
                  </w:pPr>
                  <w:r>
                    <w:rPr>
                      <w:rFonts w:hint="eastAsia"/>
                      <w:color w:val="auto"/>
                      <w:kern w:val="0"/>
                      <w:sz w:val="18"/>
                      <w:szCs w:val="18"/>
                      <w:lang w:val="en-US" w:eastAsia="zh-CN"/>
                    </w:rPr>
                    <w:t>30</w:t>
                  </w:r>
                </w:p>
              </w:tc>
              <w:tc>
                <w:tcPr>
                  <w:tcW w:w="1158" w:type="dxa"/>
                  <w:tcBorders>
                    <w:tl2br w:val="nil"/>
                    <w:tr2bl w:val="nil"/>
                  </w:tcBorders>
                  <w:vAlign w:val="center"/>
                </w:tcPr>
                <w:p w14:paraId="09F41F11">
                  <w:pPr>
                    <w:widowControl/>
                    <w:jc w:val="center"/>
                    <w:rPr>
                      <w:rFonts w:hint="eastAsia"/>
                      <w:color w:val="auto"/>
                      <w:kern w:val="0"/>
                      <w:sz w:val="18"/>
                      <w:szCs w:val="18"/>
                      <w:lang w:val="en-US" w:eastAsia="zh-CN"/>
                    </w:rPr>
                  </w:pPr>
                  <w:r>
                    <w:rPr>
                      <w:rFonts w:hint="eastAsia"/>
                      <w:color w:val="auto"/>
                      <w:kern w:val="0"/>
                      <w:sz w:val="18"/>
                      <w:szCs w:val="18"/>
                      <w:lang w:val="en-US" w:eastAsia="zh-CN"/>
                    </w:rPr>
                    <w:t>10kg/桶</w:t>
                  </w:r>
                </w:p>
              </w:tc>
              <w:tc>
                <w:tcPr>
                  <w:tcW w:w="1158" w:type="dxa"/>
                  <w:tcBorders>
                    <w:tl2br w:val="nil"/>
                    <w:tr2bl w:val="nil"/>
                  </w:tcBorders>
                  <w:vAlign w:val="center"/>
                </w:tcPr>
                <w:p w14:paraId="73650E16">
                  <w:pPr>
                    <w:pStyle w:val="57"/>
                    <w:spacing w:beforeLines="0"/>
                    <w:rPr>
                      <w:rFonts w:hint="eastAsia" w:ascii="宋体" w:hAnsi="宋体" w:cs="宋体"/>
                      <w:color w:val="auto"/>
                      <w:sz w:val="18"/>
                      <w:szCs w:val="18"/>
                    </w:rPr>
                  </w:pPr>
                  <w:r>
                    <w:rPr>
                      <w:rFonts w:hint="eastAsia" w:ascii="宋体" w:hAnsi="宋体" w:cs="宋体"/>
                      <w:color w:val="auto"/>
                      <w:sz w:val="18"/>
                      <w:szCs w:val="18"/>
                    </w:rPr>
                    <w:t>原辅料仓库</w:t>
                  </w:r>
                </w:p>
              </w:tc>
              <w:tc>
                <w:tcPr>
                  <w:tcW w:w="1226" w:type="dxa"/>
                  <w:tcBorders>
                    <w:tl2br w:val="nil"/>
                    <w:tr2bl w:val="nil"/>
                  </w:tcBorders>
                  <w:vAlign w:val="center"/>
                </w:tcPr>
                <w:p w14:paraId="64A48B86">
                  <w:pPr>
                    <w:pStyle w:val="57"/>
                    <w:spacing w:beforeLines="0"/>
                    <w:rPr>
                      <w:rFonts w:hint="eastAsia" w:ascii="宋体" w:hAnsi="宋体" w:cs="宋体"/>
                      <w:color w:val="auto"/>
                      <w:sz w:val="18"/>
                      <w:szCs w:val="18"/>
                    </w:rPr>
                  </w:pPr>
                  <w:r>
                    <w:rPr>
                      <w:rFonts w:hint="eastAsia" w:ascii="宋体" w:hAnsi="宋体" w:cs="宋体"/>
                      <w:color w:val="auto"/>
                      <w:sz w:val="18"/>
                      <w:szCs w:val="18"/>
                    </w:rPr>
                    <w:t>国产，陆运</w:t>
                  </w:r>
                </w:p>
              </w:tc>
            </w:tr>
            <w:tr w14:paraId="761A40B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90" w:hRule="atLeast"/>
              </w:trPr>
              <w:tc>
                <w:tcPr>
                  <w:tcW w:w="1293" w:type="dxa"/>
                  <w:tcBorders>
                    <w:tl2br w:val="nil"/>
                    <w:tr2bl w:val="nil"/>
                  </w:tcBorders>
                  <w:vAlign w:val="center"/>
                </w:tcPr>
                <w:p w14:paraId="7E8123EC">
                  <w:pPr>
                    <w:widowControl/>
                    <w:jc w:val="center"/>
                    <w:rPr>
                      <w:rFonts w:hint="default"/>
                      <w:color w:val="auto"/>
                      <w:sz w:val="18"/>
                      <w:szCs w:val="18"/>
                      <w:lang w:val="en-US" w:eastAsia="zh-CN"/>
                    </w:rPr>
                  </w:pPr>
                  <w:r>
                    <w:rPr>
                      <w:rFonts w:hint="eastAsia"/>
                      <w:color w:val="auto"/>
                      <w:sz w:val="18"/>
                      <w:szCs w:val="18"/>
                      <w:lang w:val="en-US" w:eastAsia="zh-CN"/>
                    </w:rPr>
                    <w:t>纺丝</w:t>
                  </w:r>
                  <w:r>
                    <w:rPr>
                      <w:rFonts w:hint="default"/>
                      <w:color w:val="auto"/>
                      <w:sz w:val="18"/>
                      <w:szCs w:val="18"/>
                      <w:lang w:val="en-US" w:eastAsia="zh-CN"/>
                    </w:rPr>
                    <w:t>油剂</w:t>
                  </w:r>
                </w:p>
              </w:tc>
              <w:tc>
                <w:tcPr>
                  <w:tcW w:w="1878" w:type="dxa"/>
                  <w:tcBorders>
                    <w:tl2br w:val="nil"/>
                    <w:tr2bl w:val="nil"/>
                  </w:tcBorders>
                  <w:vAlign w:val="center"/>
                </w:tcPr>
                <w:p w14:paraId="6EA7024F">
                  <w:pPr>
                    <w:widowControl/>
                    <w:jc w:val="center"/>
                    <w:rPr>
                      <w:rFonts w:hint="eastAsia"/>
                      <w:color w:val="auto"/>
                      <w:sz w:val="18"/>
                      <w:szCs w:val="18"/>
                    </w:rPr>
                  </w:pPr>
                  <w:r>
                    <w:rPr>
                      <w:rFonts w:hint="eastAsia"/>
                      <w:color w:val="auto"/>
                      <w:sz w:val="18"/>
                      <w:szCs w:val="18"/>
                      <w:lang w:val="en-US" w:eastAsia="zh-CN"/>
                    </w:rPr>
                    <w:t>矿物油93%、脂肪醇聚醚类7%</w:t>
                  </w:r>
                </w:p>
              </w:tc>
              <w:tc>
                <w:tcPr>
                  <w:tcW w:w="875" w:type="dxa"/>
                  <w:tcBorders>
                    <w:tl2br w:val="nil"/>
                    <w:tr2bl w:val="nil"/>
                  </w:tcBorders>
                  <w:vAlign w:val="center"/>
                </w:tcPr>
                <w:p w14:paraId="0A0C15F3">
                  <w:pPr>
                    <w:pStyle w:val="57"/>
                    <w:spacing w:beforeLines="0"/>
                    <w:rPr>
                      <w:rFonts w:hint="default"/>
                      <w:color w:val="auto"/>
                      <w:sz w:val="18"/>
                      <w:szCs w:val="18"/>
                      <w:lang w:val="en-US" w:eastAsia="zh-CN"/>
                    </w:rPr>
                  </w:pPr>
                  <w:r>
                    <w:rPr>
                      <w:rFonts w:hint="eastAsia"/>
                      <w:color w:val="auto"/>
                      <w:sz w:val="18"/>
                      <w:szCs w:val="18"/>
                      <w:lang w:val="en-US" w:eastAsia="zh-CN"/>
                    </w:rPr>
                    <w:t>15</w:t>
                  </w:r>
                </w:p>
              </w:tc>
              <w:tc>
                <w:tcPr>
                  <w:tcW w:w="1265" w:type="dxa"/>
                  <w:tcBorders>
                    <w:tl2br w:val="nil"/>
                    <w:tr2bl w:val="nil"/>
                  </w:tcBorders>
                  <w:vAlign w:val="center"/>
                </w:tcPr>
                <w:p w14:paraId="6C5C9225">
                  <w:pPr>
                    <w:widowControl/>
                    <w:jc w:val="center"/>
                    <w:rPr>
                      <w:rFonts w:hint="default"/>
                      <w:color w:val="auto"/>
                      <w:kern w:val="0"/>
                      <w:sz w:val="18"/>
                      <w:szCs w:val="18"/>
                      <w:lang w:val="en-US" w:eastAsia="zh-CN"/>
                    </w:rPr>
                  </w:pPr>
                  <w:r>
                    <w:rPr>
                      <w:rFonts w:hint="eastAsia"/>
                      <w:color w:val="auto"/>
                      <w:kern w:val="0"/>
                      <w:sz w:val="18"/>
                      <w:szCs w:val="18"/>
                      <w:lang w:val="en-US" w:eastAsia="zh-CN"/>
                    </w:rPr>
                    <w:t>1.5</w:t>
                  </w:r>
                </w:p>
              </w:tc>
              <w:tc>
                <w:tcPr>
                  <w:tcW w:w="1158" w:type="dxa"/>
                  <w:tcBorders>
                    <w:tl2br w:val="nil"/>
                    <w:tr2bl w:val="nil"/>
                  </w:tcBorders>
                  <w:vAlign w:val="center"/>
                </w:tcPr>
                <w:p w14:paraId="17077B57">
                  <w:pPr>
                    <w:widowControl/>
                    <w:jc w:val="center"/>
                    <w:rPr>
                      <w:rFonts w:hint="eastAsia"/>
                      <w:color w:val="auto"/>
                      <w:kern w:val="0"/>
                      <w:sz w:val="18"/>
                      <w:szCs w:val="18"/>
                      <w:lang w:val="en-US" w:eastAsia="zh-CN"/>
                    </w:rPr>
                  </w:pPr>
                  <w:r>
                    <w:rPr>
                      <w:rFonts w:hint="eastAsia"/>
                      <w:color w:val="auto"/>
                      <w:kern w:val="0"/>
                      <w:sz w:val="18"/>
                      <w:szCs w:val="18"/>
                      <w:lang w:val="en-US" w:eastAsia="zh-CN"/>
                    </w:rPr>
                    <w:t>25kg/桶</w:t>
                  </w:r>
                </w:p>
              </w:tc>
              <w:tc>
                <w:tcPr>
                  <w:tcW w:w="1158" w:type="dxa"/>
                  <w:tcBorders>
                    <w:tl2br w:val="nil"/>
                    <w:tr2bl w:val="nil"/>
                  </w:tcBorders>
                  <w:vAlign w:val="center"/>
                </w:tcPr>
                <w:p w14:paraId="53ACBED0">
                  <w:pPr>
                    <w:pStyle w:val="57"/>
                    <w:spacing w:beforeLines="0"/>
                    <w:rPr>
                      <w:rFonts w:hint="eastAsia" w:ascii="宋体" w:hAnsi="宋体" w:cs="宋体"/>
                      <w:color w:val="auto"/>
                      <w:sz w:val="18"/>
                      <w:szCs w:val="18"/>
                    </w:rPr>
                  </w:pPr>
                  <w:r>
                    <w:rPr>
                      <w:rFonts w:hint="eastAsia" w:ascii="宋体" w:hAnsi="宋体" w:cs="宋体"/>
                      <w:color w:val="auto"/>
                      <w:sz w:val="18"/>
                      <w:szCs w:val="18"/>
                    </w:rPr>
                    <w:t>原辅料仓库</w:t>
                  </w:r>
                </w:p>
              </w:tc>
              <w:tc>
                <w:tcPr>
                  <w:tcW w:w="1226" w:type="dxa"/>
                  <w:tcBorders>
                    <w:tl2br w:val="nil"/>
                    <w:tr2bl w:val="nil"/>
                  </w:tcBorders>
                  <w:vAlign w:val="center"/>
                </w:tcPr>
                <w:p w14:paraId="15AE818B">
                  <w:pPr>
                    <w:pStyle w:val="57"/>
                    <w:spacing w:beforeLines="0"/>
                    <w:rPr>
                      <w:rFonts w:hint="eastAsia" w:ascii="宋体" w:hAnsi="宋体" w:cs="宋体"/>
                      <w:color w:val="auto"/>
                      <w:sz w:val="18"/>
                      <w:szCs w:val="18"/>
                    </w:rPr>
                  </w:pPr>
                  <w:r>
                    <w:rPr>
                      <w:rFonts w:hint="eastAsia" w:ascii="宋体" w:hAnsi="宋体" w:cs="宋体"/>
                      <w:color w:val="auto"/>
                      <w:sz w:val="18"/>
                      <w:szCs w:val="18"/>
                    </w:rPr>
                    <w:t>国产，陆运</w:t>
                  </w:r>
                </w:p>
              </w:tc>
            </w:tr>
            <w:tr w14:paraId="4AB3D9E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90" w:hRule="atLeast"/>
              </w:trPr>
              <w:tc>
                <w:tcPr>
                  <w:tcW w:w="1293" w:type="dxa"/>
                  <w:tcBorders>
                    <w:tl2br w:val="nil"/>
                    <w:tr2bl w:val="nil"/>
                  </w:tcBorders>
                  <w:shd w:val="clear" w:color="auto" w:fill="auto"/>
                  <w:vAlign w:val="center"/>
                </w:tcPr>
                <w:p w14:paraId="5A27E804">
                  <w:pPr>
                    <w:widowControl/>
                    <w:jc w:val="center"/>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润滑油</w:t>
                  </w:r>
                </w:p>
              </w:tc>
              <w:tc>
                <w:tcPr>
                  <w:tcW w:w="1878" w:type="dxa"/>
                  <w:tcBorders>
                    <w:tl2br w:val="nil"/>
                    <w:tr2bl w:val="nil"/>
                  </w:tcBorders>
                  <w:shd w:val="clear" w:color="auto" w:fill="auto"/>
                  <w:vAlign w:val="center"/>
                </w:tcPr>
                <w:p w14:paraId="6B9813F3">
                  <w:pPr>
                    <w:widowControl/>
                    <w:jc w:val="center"/>
                    <w:rPr>
                      <w:color w:val="auto"/>
                      <w:kern w:val="0"/>
                      <w:sz w:val="18"/>
                      <w:szCs w:val="18"/>
                    </w:rPr>
                  </w:pPr>
                  <w:r>
                    <w:rPr>
                      <w:rFonts w:hint="eastAsia"/>
                      <w:color w:val="auto"/>
                      <w:kern w:val="0"/>
                      <w:sz w:val="18"/>
                      <w:szCs w:val="18"/>
                    </w:rPr>
                    <w:t>基础油＞</w:t>
                  </w:r>
                  <w:r>
                    <w:rPr>
                      <w:color w:val="auto"/>
                      <w:kern w:val="0"/>
                      <w:sz w:val="18"/>
                      <w:szCs w:val="18"/>
                    </w:rPr>
                    <w:t>99%</w:t>
                  </w:r>
                  <w:r>
                    <w:rPr>
                      <w:rFonts w:hint="eastAsia"/>
                      <w:color w:val="auto"/>
                      <w:kern w:val="0"/>
                      <w:sz w:val="18"/>
                      <w:szCs w:val="18"/>
                    </w:rPr>
                    <w:t>，</w:t>
                  </w:r>
                </w:p>
                <w:p w14:paraId="33C0E595">
                  <w:pPr>
                    <w:widowControl/>
                    <w:jc w:val="center"/>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rPr>
                    <w:t>添加剂＜</w:t>
                  </w:r>
                  <w:r>
                    <w:rPr>
                      <w:color w:val="auto"/>
                      <w:kern w:val="0"/>
                      <w:sz w:val="18"/>
                      <w:szCs w:val="18"/>
                    </w:rPr>
                    <w:t>1%</w:t>
                  </w:r>
                </w:p>
              </w:tc>
              <w:tc>
                <w:tcPr>
                  <w:tcW w:w="875" w:type="dxa"/>
                  <w:tcBorders>
                    <w:tl2br w:val="nil"/>
                    <w:tr2bl w:val="nil"/>
                  </w:tcBorders>
                  <w:shd w:val="clear" w:color="auto" w:fill="auto"/>
                  <w:vAlign w:val="center"/>
                </w:tcPr>
                <w:p w14:paraId="47FC3F5A">
                  <w:pPr>
                    <w:pStyle w:val="57"/>
                    <w:spacing w:beforeLines="0"/>
                    <w:rPr>
                      <w:rFonts w:hint="eastAsia" w:ascii="Times New Roman" w:hAnsi="Times New Roman" w:eastAsia="宋体" w:cs="Times New Roman"/>
                      <w:color w:val="auto"/>
                      <w:kern w:val="0"/>
                      <w:sz w:val="18"/>
                      <w:szCs w:val="18"/>
                      <w:lang w:val="en-US" w:eastAsia="zh-CN" w:bidi="ar-SA"/>
                    </w:rPr>
                  </w:pPr>
                  <w:r>
                    <w:rPr>
                      <w:rFonts w:hint="eastAsia"/>
                      <w:color w:val="auto"/>
                      <w:sz w:val="18"/>
                      <w:szCs w:val="18"/>
                      <w:lang w:val="en-US" w:eastAsia="zh-CN"/>
                    </w:rPr>
                    <w:t>0.2</w:t>
                  </w:r>
                </w:p>
              </w:tc>
              <w:tc>
                <w:tcPr>
                  <w:tcW w:w="1265" w:type="dxa"/>
                  <w:tcBorders>
                    <w:tl2br w:val="nil"/>
                    <w:tr2bl w:val="nil"/>
                  </w:tcBorders>
                  <w:shd w:val="clear" w:color="auto" w:fill="auto"/>
                  <w:vAlign w:val="center"/>
                </w:tcPr>
                <w:p w14:paraId="08BDCA1A">
                  <w:pPr>
                    <w:widowControl/>
                    <w:jc w:val="center"/>
                    <w:rPr>
                      <w:rFonts w:hint="eastAsia" w:ascii="Times New Roman" w:hAnsi="Times New Roman" w:eastAsia="宋体" w:cs="Times New Roman"/>
                      <w:color w:val="auto"/>
                      <w:kern w:val="0"/>
                      <w:sz w:val="18"/>
                      <w:szCs w:val="18"/>
                      <w:lang w:val="en-US" w:eastAsia="zh-CN" w:bidi="ar-SA"/>
                    </w:rPr>
                  </w:pPr>
                  <w:r>
                    <w:rPr>
                      <w:color w:val="auto"/>
                      <w:kern w:val="0"/>
                      <w:sz w:val="18"/>
                      <w:szCs w:val="18"/>
                    </w:rPr>
                    <w:t>0.</w:t>
                  </w:r>
                  <w:r>
                    <w:rPr>
                      <w:rFonts w:hint="eastAsia"/>
                      <w:color w:val="auto"/>
                      <w:kern w:val="0"/>
                      <w:sz w:val="18"/>
                      <w:szCs w:val="18"/>
                      <w:lang w:val="en-US" w:eastAsia="zh-CN"/>
                    </w:rPr>
                    <w:t>1</w:t>
                  </w:r>
                </w:p>
              </w:tc>
              <w:tc>
                <w:tcPr>
                  <w:tcW w:w="1158" w:type="dxa"/>
                  <w:tcBorders>
                    <w:tl2br w:val="nil"/>
                    <w:tr2bl w:val="nil"/>
                  </w:tcBorders>
                  <w:shd w:val="clear" w:color="auto" w:fill="auto"/>
                  <w:vAlign w:val="center"/>
                </w:tcPr>
                <w:p w14:paraId="69BEFCA8">
                  <w:pPr>
                    <w:widowControl/>
                    <w:jc w:val="center"/>
                    <w:rPr>
                      <w:color w:val="auto"/>
                      <w:kern w:val="0"/>
                      <w:sz w:val="18"/>
                      <w:szCs w:val="18"/>
                    </w:rPr>
                  </w:pPr>
                  <w:r>
                    <w:rPr>
                      <w:color w:val="auto"/>
                      <w:kern w:val="0"/>
                      <w:sz w:val="18"/>
                      <w:szCs w:val="18"/>
                    </w:rPr>
                    <w:t>10kg</w:t>
                  </w:r>
                  <w:r>
                    <w:rPr>
                      <w:rFonts w:hint="eastAsia"/>
                      <w:color w:val="auto"/>
                      <w:kern w:val="0"/>
                      <w:sz w:val="18"/>
                      <w:szCs w:val="18"/>
                      <w:lang w:val="en-US" w:eastAsia="zh-CN"/>
                    </w:rPr>
                    <w:t>/</w:t>
                  </w:r>
                  <w:r>
                    <w:rPr>
                      <w:rFonts w:hint="eastAsia"/>
                      <w:color w:val="auto"/>
                      <w:kern w:val="0"/>
                      <w:sz w:val="18"/>
                      <w:szCs w:val="18"/>
                    </w:rPr>
                    <w:t>桶</w:t>
                  </w:r>
                </w:p>
              </w:tc>
              <w:tc>
                <w:tcPr>
                  <w:tcW w:w="1158" w:type="dxa"/>
                  <w:tcBorders>
                    <w:tl2br w:val="nil"/>
                    <w:tr2bl w:val="nil"/>
                  </w:tcBorders>
                  <w:shd w:val="clear" w:color="auto" w:fill="auto"/>
                  <w:vAlign w:val="center"/>
                </w:tcPr>
                <w:p w14:paraId="2FEA1C72">
                  <w:pPr>
                    <w:pStyle w:val="57"/>
                    <w:spacing w:beforeLines="0"/>
                    <w:rPr>
                      <w:rFonts w:hint="eastAsia" w:ascii="宋体" w:hAnsi="宋体" w:eastAsia="宋体" w:cs="宋体"/>
                      <w:color w:val="auto"/>
                      <w:kern w:val="0"/>
                      <w:sz w:val="18"/>
                      <w:szCs w:val="18"/>
                      <w:lang w:val="en-US" w:eastAsia="zh-CN" w:bidi="ar-SA"/>
                    </w:rPr>
                  </w:pPr>
                  <w:r>
                    <w:rPr>
                      <w:rFonts w:hint="eastAsia" w:ascii="宋体" w:hAnsi="宋体" w:cs="宋体"/>
                      <w:color w:val="auto"/>
                      <w:sz w:val="18"/>
                      <w:szCs w:val="18"/>
                    </w:rPr>
                    <w:t>原辅料仓库</w:t>
                  </w:r>
                </w:p>
              </w:tc>
              <w:tc>
                <w:tcPr>
                  <w:tcW w:w="1226" w:type="dxa"/>
                  <w:tcBorders>
                    <w:tl2br w:val="nil"/>
                    <w:tr2bl w:val="nil"/>
                  </w:tcBorders>
                  <w:shd w:val="clear" w:color="auto" w:fill="auto"/>
                  <w:vAlign w:val="center"/>
                </w:tcPr>
                <w:p w14:paraId="43283E8B">
                  <w:pPr>
                    <w:pStyle w:val="57"/>
                    <w:spacing w:beforeLines="0"/>
                    <w:rPr>
                      <w:rFonts w:hint="eastAsia" w:ascii="Times New Roman" w:hAnsi="Times New Roman" w:eastAsia="宋体" w:cs="Times New Roman"/>
                      <w:color w:val="auto"/>
                      <w:kern w:val="0"/>
                      <w:sz w:val="18"/>
                      <w:szCs w:val="18"/>
                      <w:lang w:val="en-US" w:eastAsia="zh-CN" w:bidi="ar-SA"/>
                    </w:rPr>
                  </w:pPr>
                  <w:r>
                    <w:rPr>
                      <w:rFonts w:hint="eastAsia"/>
                      <w:color w:val="auto"/>
                      <w:sz w:val="18"/>
                      <w:szCs w:val="18"/>
                    </w:rPr>
                    <w:t>国产，陆运</w:t>
                  </w:r>
                </w:p>
              </w:tc>
            </w:tr>
            <w:tr w14:paraId="336E83B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178" w:hRule="atLeast"/>
              </w:trPr>
              <w:tc>
                <w:tcPr>
                  <w:tcW w:w="1293" w:type="dxa"/>
                  <w:tcBorders>
                    <w:tl2br w:val="nil"/>
                    <w:tr2bl w:val="nil"/>
                  </w:tcBorders>
                  <w:vAlign w:val="center"/>
                </w:tcPr>
                <w:p w14:paraId="06C5F984">
                  <w:pPr>
                    <w:widowControl/>
                    <w:jc w:val="center"/>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在线监测试剂</w:t>
                  </w:r>
                </w:p>
              </w:tc>
              <w:tc>
                <w:tcPr>
                  <w:tcW w:w="1878" w:type="dxa"/>
                  <w:tcBorders>
                    <w:tl2br w:val="nil"/>
                    <w:tr2bl w:val="nil"/>
                  </w:tcBorders>
                  <w:vAlign w:val="center"/>
                </w:tcPr>
                <w:p w14:paraId="5D1AC9F1">
                  <w:pPr>
                    <w:widowControl/>
                    <w:jc w:val="center"/>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rPr>
                    <w:t>硫酸银</w:t>
                  </w:r>
                </w:p>
              </w:tc>
              <w:tc>
                <w:tcPr>
                  <w:tcW w:w="875" w:type="dxa"/>
                  <w:tcBorders>
                    <w:tl2br w:val="nil"/>
                    <w:tr2bl w:val="nil"/>
                  </w:tcBorders>
                  <w:vAlign w:val="center"/>
                </w:tcPr>
                <w:p w14:paraId="1EB01357">
                  <w:pPr>
                    <w:pStyle w:val="57"/>
                    <w:spacing w:beforeLines="0"/>
                    <w:rPr>
                      <w:rFonts w:hint="default" w:ascii="Times New Roman" w:hAnsi="Times New Roman" w:eastAsia="宋体" w:cs="Times New Roman"/>
                      <w:color w:val="auto"/>
                      <w:kern w:val="0"/>
                      <w:sz w:val="18"/>
                      <w:szCs w:val="18"/>
                      <w:lang w:val="en-US" w:eastAsia="zh-CN" w:bidi="ar-SA"/>
                    </w:rPr>
                  </w:pPr>
                  <w:r>
                    <w:rPr>
                      <w:rFonts w:hint="eastAsia"/>
                      <w:color w:val="auto"/>
                      <w:sz w:val="18"/>
                      <w:szCs w:val="18"/>
                      <w:lang w:val="en-US" w:eastAsia="zh-CN"/>
                    </w:rPr>
                    <w:t>0.004</w:t>
                  </w:r>
                </w:p>
              </w:tc>
              <w:tc>
                <w:tcPr>
                  <w:tcW w:w="1265" w:type="dxa"/>
                  <w:tcBorders>
                    <w:tl2br w:val="nil"/>
                    <w:tr2bl w:val="nil"/>
                  </w:tcBorders>
                  <w:vAlign w:val="center"/>
                </w:tcPr>
                <w:p w14:paraId="385F9E5D">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0.004</w:t>
                  </w:r>
                </w:p>
              </w:tc>
              <w:tc>
                <w:tcPr>
                  <w:tcW w:w="1158" w:type="dxa"/>
                  <w:tcBorders>
                    <w:tl2br w:val="nil"/>
                    <w:tr2bl w:val="nil"/>
                  </w:tcBorders>
                  <w:vAlign w:val="center"/>
                </w:tcPr>
                <w:p w14:paraId="785928E1">
                  <w:pPr>
                    <w:widowControl/>
                    <w:jc w:val="center"/>
                    <w:rPr>
                      <w:color w:val="auto"/>
                      <w:kern w:val="0"/>
                      <w:sz w:val="18"/>
                      <w:szCs w:val="18"/>
                    </w:rPr>
                  </w:pPr>
                  <w:r>
                    <w:rPr>
                      <w:color w:val="auto"/>
                      <w:kern w:val="0"/>
                      <w:sz w:val="18"/>
                      <w:szCs w:val="18"/>
                    </w:rPr>
                    <w:t>500g</w:t>
                  </w:r>
                  <w:r>
                    <w:rPr>
                      <w:rFonts w:hint="eastAsia"/>
                      <w:color w:val="auto"/>
                      <w:kern w:val="0"/>
                      <w:sz w:val="18"/>
                      <w:szCs w:val="18"/>
                      <w:lang w:val="en-US" w:eastAsia="zh-CN"/>
                    </w:rPr>
                    <w:t>/</w:t>
                  </w:r>
                  <w:r>
                    <w:rPr>
                      <w:rFonts w:hint="eastAsia"/>
                      <w:color w:val="auto"/>
                      <w:kern w:val="0"/>
                      <w:sz w:val="18"/>
                      <w:szCs w:val="18"/>
                    </w:rPr>
                    <w:t>瓶</w:t>
                  </w:r>
                </w:p>
              </w:tc>
              <w:tc>
                <w:tcPr>
                  <w:tcW w:w="1158" w:type="dxa"/>
                  <w:tcBorders>
                    <w:tl2br w:val="nil"/>
                    <w:tr2bl w:val="nil"/>
                  </w:tcBorders>
                  <w:vAlign w:val="center"/>
                </w:tcPr>
                <w:p w14:paraId="13B22615">
                  <w:pPr>
                    <w:pStyle w:val="57"/>
                    <w:spacing w:beforeLines="0"/>
                    <w:rPr>
                      <w:rFonts w:hint="eastAsia" w:ascii="宋体" w:hAnsi="宋体" w:cs="宋体"/>
                      <w:color w:val="auto"/>
                      <w:sz w:val="18"/>
                      <w:szCs w:val="18"/>
                      <w:lang w:val="en-US" w:eastAsia="zh-CN"/>
                    </w:rPr>
                  </w:pPr>
                  <w:r>
                    <w:rPr>
                      <w:rFonts w:hint="eastAsia" w:ascii="宋体" w:hAnsi="宋体" w:cs="宋体"/>
                      <w:color w:val="auto"/>
                      <w:sz w:val="18"/>
                      <w:szCs w:val="18"/>
                    </w:rPr>
                    <w:t>原辅料仓库防爆柜</w:t>
                  </w:r>
                </w:p>
              </w:tc>
              <w:tc>
                <w:tcPr>
                  <w:tcW w:w="1226" w:type="dxa"/>
                  <w:tcBorders>
                    <w:tl2br w:val="nil"/>
                    <w:tr2bl w:val="nil"/>
                  </w:tcBorders>
                  <w:vAlign w:val="center"/>
                </w:tcPr>
                <w:p w14:paraId="3D5ABDE8">
                  <w:pPr>
                    <w:pStyle w:val="57"/>
                    <w:spacing w:beforeLines="0"/>
                    <w:rPr>
                      <w:rFonts w:hint="eastAsia"/>
                      <w:color w:val="auto"/>
                      <w:sz w:val="18"/>
                      <w:szCs w:val="18"/>
                      <w:lang w:val="en-US" w:eastAsia="zh-CN"/>
                    </w:rPr>
                  </w:pPr>
                  <w:r>
                    <w:rPr>
                      <w:rFonts w:hint="eastAsia"/>
                      <w:color w:val="auto"/>
                      <w:sz w:val="18"/>
                      <w:szCs w:val="18"/>
                    </w:rPr>
                    <w:t>国产，陆运</w:t>
                  </w:r>
                </w:p>
              </w:tc>
            </w:tr>
            <w:tr w14:paraId="10BFCCC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178" w:hRule="atLeast"/>
              </w:trPr>
              <w:tc>
                <w:tcPr>
                  <w:tcW w:w="1293" w:type="dxa"/>
                  <w:tcBorders>
                    <w:tl2br w:val="nil"/>
                    <w:tr2bl w:val="nil"/>
                  </w:tcBorders>
                  <w:vAlign w:val="center"/>
                </w:tcPr>
                <w:p w14:paraId="0362A3F8">
                  <w:pPr>
                    <w:widowControl/>
                    <w:jc w:val="center"/>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在线监测试剂</w:t>
                  </w:r>
                </w:p>
              </w:tc>
              <w:tc>
                <w:tcPr>
                  <w:tcW w:w="1878" w:type="dxa"/>
                  <w:tcBorders>
                    <w:tl2br w:val="nil"/>
                    <w:tr2bl w:val="nil"/>
                  </w:tcBorders>
                  <w:vAlign w:val="center"/>
                </w:tcPr>
                <w:p w14:paraId="3BD4F92F">
                  <w:pPr>
                    <w:widowControl/>
                    <w:jc w:val="center"/>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rPr>
                    <w:t>重铬酸钾</w:t>
                  </w:r>
                </w:p>
              </w:tc>
              <w:tc>
                <w:tcPr>
                  <w:tcW w:w="875" w:type="dxa"/>
                  <w:tcBorders>
                    <w:tl2br w:val="nil"/>
                    <w:tr2bl w:val="nil"/>
                  </w:tcBorders>
                  <w:vAlign w:val="center"/>
                </w:tcPr>
                <w:p w14:paraId="669A6B48">
                  <w:pPr>
                    <w:pStyle w:val="57"/>
                    <w:spacing w:beforeLines="0"/>
                    <w:rPr>
                      <w:rFonts w:hint="default" w:ascii="Times New Roman" w:hAnsi="Times New Roman" w:eastAsia="宋体" w:cs="Times New Roman"/>
                      <w:color w:val="auto"/>
                      <w:kern w:val="0"/>
                      <w:sz w:val="18"/>
                      <w:szCs w:val="18"/>
                      <w:lang w:val="en-US" w:eastAsia="zh-CN" w:bidi="ar-SA"/>
                    </w:rPr>
                  </w:pPr>
                  <w:r>
                    <w:rPr>
                      <w:color w:val="auto"/>
                      <w:sz w:val="18"/>
                      <w:szCs w:val="18"/>
                    </w:rPr>
                    <w:t>0</w:t>
                  </w:r>
                  <w:r>
                    <w:rPr>
                      <w:rFonts w:hint="eastAsia"/>
                      <w:color w:val="auto"/>
                      <w:sz w:val="18"/>
                      <w:szCs w:val="18"/>
                      <w:lang w:val="en-US" w:eastAsia="zh-CN"/>
                    </w:rPr>
                    <w:t>.0016</w:t>
                  </w:r>
                </w:p>
              </w:tc>
              <w:tc>
                <w:tcPr>
                  <w:tcW w:w="1265" w:type="dxa"/>
                  <w:tcBorders>
                    <w:tl2br w:val="nil"/>
                    <w:tr2bl w:val="nil"/>
                  </w:tcBorders>
                  <w:vAlign w:val="center"/>
                </w:tcPr>
                <w:p w14:paraId="631CAFB0">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0.00</w:t>
                  </w:r>
                  <w:r>
                    <w:rPr>
                      <w:rFonts w:hint="eastAsia"/>
                      <w:color w:val="auto"/>
                      <w:kern w:val="0"/>
                      <w:sz w:val="18"/>
                      <w:szCs w:val="18"/>
                      <w:lang w:val="en-US" w:eastAsia="zh-CN"/>
                    </w:rPr>
                    <w:t>16</w:t>
                  </w:r>
                </w:p>
              </w:tc>
              <w:tc>
                <w:tcPr>
                  <w:tcW w:w="1158" w:type="dxa"/>
                  <w:tcBorders>
                    <w:tl2br w:val="nil"/>
                    <w:tr2bl w:val="nil"/>
                  </w:tcBorders>
                  <w:vAlign w:val="center"/>
                </w:tcPr>
                <w:p w14:paraId="29059943">
                  <w:pPr>
                    <w:widowControl/>
                    <w:jc w:val="center"/>
                    <w:rPr>
                      <w:color w:val="auto"/>
                      <w:kern w:val="0"/>
                      <w:sz w:val="18"/>
                      <w:szCs w:val="18"/>
                    </w:rPr>
                  </w:pPr>
                  <w:r>
                    <w:rPr>
                      <w:color w:val="auto"/>
                      <w:kern w:val="0"/>
                      <w:sz w:val="18"/>
                      <w:szCs w:val="18"/>
                    </w:rPr>
                    <w:t>500g</w:t>
                  </w:r>
                  <w:r>
                    <w:rPr>
                      <w:rFonts w:hint="eastAsia"/>
                      <w:color w:val="auto"/>
                      <w:kern w:val="0"/>
                      <w:sz w:val="18"/>
                      <w:szCs w:val="18"/>
                      <w:lang w:val="en-US" w:eastAsia="zh-CN"/>
                    </w:rPr>
                    <w:t>/</w:t>
                  </w:r>
                  <w:r>
                    <w:rPr>
                      <w:rFonts w:hint="eastAsia"/>
                      <w:color w:val="auto"/>
                      <w:kern w:val="0"/>
                      <w:sz w:val="18"/>
                      <w:szCs w:val="18"/>
                    </w:rPr>
                    <w:t>瓶</w:t>
                  </w:r>
                </w:p>
              </w:tc>
              <w:tc>
                <w:tcPr>
                  <w:tcW w:w="1158" w:type="dxa"/>
                  <w:tcBorders>
                    <w:tl2br w:val="nil"/>
                    <w:tr2bl w:val="nil"/>
                  </w:tcBorders>
                  <w:vAlign w:val="center"/>
                </w:tcPr>
                <w:p w14:paraId="36BA922D">
                  <w:pPr>
                    <w:pStyle w:val="57"/>
                    <w:spacing w:beforeLines="0"/>
                    <w:rPr>
                      <w:rFonts w:hint="eastAsia" w:ascii="宋体" w:hAnsi="宋体" w:cs="宋体"/>
                      <w:color w:val="auto"/>
                      <w:sz w:val="18"/>
                      <w:szCs w:val="18"/>
                      <w:lang w:val="en-US" w:eastAsia="zh-CN"/>
                    </w:rPr>
                  </w:pPr>
                  <w:r>
                    <w:rPr>
                      <w:rFonts w:hint="eastAsia" w:ascii="宋体" w:hAnsi="宋体" w:cs="宋体"/>
                      <w:color w:val="auto"/>
                      <w:sz w:val="18"/>
                      <w:szCs w:val="18"/>
                    </w:rPr>
                    <w:t>原辅料仓库防爆柜</w:t>
                  </w:r>
                </w:p>
              </w:tc>
              <w:tc>
                <w:tcPr>
                  <w:tcW w:w="1226" w:type="dxa"/>
                  <w:tcBorders>
                    <w:tl2br w:val="nil"/>
                    <w:tr2bl w:val="nil"/>
                  </w:tcBorders>
                  <w:vAlign w:val="center"/>
                </w:tcPr>
                <w:p w14:paraId="458E0D36">
                  <w:pPr>
                    <w:pStyle w:val="57"/>
                    <w:spacing w:beforeLines="0"/>
                    <w:rPr>
                      <w:rFonts w:hint="eastAsia"/>
                      <w:color w:val="auto"/>
                      <w:sz w:val="18"/>
                      <w:szCs w:val="18"/>
                      <w:lang w:val="en-US" w:eastAsia="zh-CN"/>
                    </w:rPr>
                  </w:pPr>
                  <w:r>
                    <w:rPr>
                      <w:rFonts w:hint="eastAsia"/>
                      <w:color w:val="auto"/>
                      <w:sz w:val="18"/>
                      <w:szCs w:val="18"/>
                    </w:rPr>
                    <w:t>国产，陆运</w:t>
                  </w:r>
                </w:p>
              </w:tc>
            </w:tr>
            <w:tr w14:paraId="43354FB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178" w:hRule="atLeast"/>
              </w:trPr>
              <w:tc>
                <w:tcPr>
                  <w:tcW w:w="1293" w:type="dxa"/>
                  <w:tcBorders>
                    <w:tl2br w:val="nil"/>
                    <w:tr2bl w:val="nil"/>
                  </w:tcBorders>
                  <w:vAlign w:val="center"/>
                </w:tcPr>
                <w:p w14:paraId="31D09F89">
                  <w:pPr>
                    <w:widowControl/>
                    <w:jc w:val="center"/>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在线监测试剂</w:t>
                  </w:r>
                </w:p>
              </w:tc>
              <w:tc>
                <w:tcPr>
                  <w:tcW w:w="1878" w:type="dxa"/>
                  <w:tcBorders>
                    <w:tl2br w:val="nil"/>
                    <w:tr2bl w:val="nil"/>
                  </w:tcBorders>
                  <w:vAlign w:val="center"/>
                </w:tcPr>
                <w:p w14:paraId="783E2387">
                  <w:pPr>
                    <w:widowControl/>
                    <w:jc w:val="center"/>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rPr>
                    <w:t>硫酸汞</w:t>
                  </w:r>
                </w:p>
              </w:tc>
              <w:tc>
                <w:tcPr>
                  <w:tcW w:w="875" w:type="dxa"/>
                  <w:tcBorders>
                    <w:tl2br w:val="nil"/>
                    <w:tr2bl w:val="nil"/>
                  </w:tcBorders>
                  <w:vAlign w:val="center"/>
                </w:tcPr>
                <w:p w14:paraId="1663D073">
                  <w:pPr>
                    <w:pStyle w:val="57"/>
                    <w:spacing w:beforeLines="0"/>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0"/>
                      <w:sz w:val="18"/>
                      <w:szCs w:val="18"/>
                      <w:lang w:val="en-US" w:eastAsia="zh-CN" w:bidi="ar-SA"/>
                    </w:rPr>
                    <w:t>0.0004</w:t>
                  </w:r>
                </w:p>
              </w:tc>
              <w:tc>
                <w:tcPr>
                  <w:tcW w:w="1265" w:type="dxa"/>
                  <w:tcBorders>
                    <w:tl2br w:val="nil"/>
                    <w:tr2bl w:val="nil"/>
                  </w:tcBorders>
                  <w:vAlign w:val="center"/>
                </w:tcPr>
                <w:p w14:paraId="1F4C0601">
                  <w:pPr>
                    <w:widowControl/>
                    <w:jc w:val="center"/>
                    <w:rPr>
                      <w:rFonts w:ascii="Times New Roman" w:hAnsi="Times New Roman" w:eastAsia="宋体" w:cs="Times New Roman"/>
                      <w:color w:val="auto"/>
                      <w:kern w:val="0"/>
                      <w:sz w:val="18"/>
                      <w:szCs w:val="18"/>
                      <w:lang w:val="en-US" w:eastAsia="zh-CN" w:bidi="ar-SA"/>
                    </w:rPr>
                  </w:pPr>
                  <w:r>
                    <w:rPr>
                      <w:color w:val="auto"/>
                      <w:kern w:val="0"/>
                      <w:sz w:val="18"/>
                      <w:szCs w:val="18"/>
                    </w:rPr>
                    <w:t>0.00</w:t>
                  </w:r>
                  <w:r>
                    <w:rPr>
                      <w:rFonts w:hint="eastAsia"/>
                      <w:color w:val="auto"/>
                      <w:kern w:val="0"/>
                      <w:sz w:val="18"/>
                      <w:szCs w:val="18"/>
                      <w:lang w:val="en-US" w:eastAsia="zh-CN"/>
                    </w:rPr>
                    <w:t>04</w:t>
                  </w:r>
                </w:p>
              </w:tc>
              <w:tc>
                <w:tcPr>
                  <w:tcW w:w="1158" w:type="dxa"/>
                  <w:tcBorders>
                    <w:tl2br w:val="nil"/>
                    <w:tr2bl w:val="nil"/>
                  </w:tcBorders>
                  <w:vAlign w:val="center"/>
                </w:tcPr>
                <w:p w14:paraId="41C7B44B">
                  <w:pPr>
                    <w:widowControl/>
                    <w:jc w:val="center"/>
                    <w:rPr>
                      <w:color w:val="auto"/>
                      <w:kern w:val="0"/>
                      <w:sz w:val="18"/>
                      <w:szCs w:val="18"/>
                    </w:rPr>
                  </w:pPr>
                  <w:r>
                    <w:rPr>
                      <w:color w:val="auto"/>
                      <w:kern w:val="0"/>
                      <w:sz w:val="18"/>
                      <w:szCs w:val="18"/>
                    </w:rPr>
                    <w:t>500g</w:t>
                  </w:r>
                  <w:r>
                    <w:rPr>
                      <w:rFonts w:hint="eastAsia"/>
                      <w:color w:val="auto"/>
                      <w:kern w:val="0"/>
                      <w:sz w:val="18"/>
                      <w:szCs w:val="18"/>
                      <w:lang w:val="en-US" w:eastAsia="zh-CN"/>
                    </w:rPr>
                    <w:t>/</w:t>
                  </w:r>
                  <w:r>
                    <w:rPr>
                      <w:rFonts w:hint="eastAsia"/>
                      <w:color w:val="auto"/>
                      <w:kern w:val="0"/>
                      <w:sz w:val="18"/>
                      <w:szCs w:val="18"/>
                    </w:rPr>
                    <w:t>瓶</w:t>
                  </w:r>
                </w:p>
              </w:tc>
              <w:tc>
                <w:tcPr>
                  <w:tcW w:w="1158" w:type="dxa"/>
                  <w:tcBorders>
                    <w:tl2br w:val="nil"/>
                    <w:tr2bl w:val="nil"/>
                  </w:tcBorders>
                  <w:vAlign w:val="center"/>
                </w:tcPr>
                <w:p w14:paraId="076E6C43">
                  <w:pPr>
                    <w:pStyle w:val="57"/>
                    <w:spacing w:beforeLines="0"/>
                    <w:rPr>
                      <w:rFonts w:hint="eastAsia" w:ascii="宋体" w:hAnsi="宋体" w:cs="宋体"/>
                      <w:color w:val="auto"/>
                      <w:sz w:val="18"/>
                      <w:szCs w:val="18"/>
                      <w:lang w:val="en-US" w:eastAsia="zh-CN"/>
                    </w:rPr>
                  </w:pPr>
                  <w:r>
                    <w:rPr>
                      <w:rFonts w:hint="eastAsia" w:ascii="宋体" w:hAnsi="宋体" w:cs="宋体"/>
                      <w:color w:val="auto"/>
                      <w:sz w:val="18"/>
                      <w:szCs w:val="18"/>
                    </w:rPr>
                    <w:t>原辅料仓库防爆柜</w:t>
                  </w:r>
                </w:p>
              </w:tc>
              <w:tc>
                <w:tcPr>
                  <w:tcW w:w="1226" w:type="dxa"/>
                  <w:tcBorders>
                    <w:tl2br w:val="nil"/>
                    <w:tr2bl w:val="nil"/>
                  </w:tcBorders>
                  <w:vAlign w:val="center"/>
                </w:tcPr>
                <w:p w14:paraId="13B52EEC">
                  <w:pPr>
                    <w:pStyle w:val="57"/>
                    <w:spacing w:beforeLines="0"/>
                    <w:rPr>
                      <w:rFonts w:hint="eastAsia"/>
                      <w:color w:val="auto"/>
                      <w:sz w:val="18"/>
                      <w:szCs w:val="18"/>
                      <w:lang w:val="en-US" w:eastAsia="zh-CN"/>
                    </w:rPr>
                  </w:pPr>
                  <w:r>
                    <w:rPr>
                      <w:rFonts w:hint="eastAsia"/>
                      <w:color w:val="auto"/>
                      <w:sz w:val="18"/>
                      <w:szCs w:val="18"/>
                    </w:rPr>
                    <w:t>国产，陆运</w:t>
                  </w:r>
                </w:p>
              </w:tc>
            </w:tr>
            <w:tr w14:paraId="03741E6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90" w:hRule="atLeast"/>
              </w:trPr>
              <w:tc>
                <w:tcPr>
                  <w:tcW w:w="1293" w:type="dxa"/>
                  <w:tcBorders>
                    <w:tl2br w:val="nil"/>
                    <w:tr2bl w:val="nil"/>
                  </w:tcBorders>
                  <w:vAlign w:val="center"/>
                </w:tcPr>
                <w:p w14:paraId="67C892A5">
                  <w:pPr>
                    <w:widowControl/>
                    <w:jc w:val="center"/>
                    <w:rPr>
                      <w:rFonts w:hint="eastAsia" w:eastAsia="宋体"/>
                      <w:color w:val="auto"/>
                      <w:sz w:val="18"/>
                      <w:szCs w:val="18"/>
                      <w:lang w:val="en-US" w:eastAsia="zh-CN"/>
                    </w:rPr>
                  </w:pPr>
                  <w:r>
                    <w:rPr>
                      <w:rFonts w:hint="eastAsia"/>
                      <w:color w:val="auto"/>
                      <w:sz w:val="18"/>
                      <w:szCs w:val="18"/>
                      <w:lang w:val="en-US" w:eastAsia="zh-CN"/>
                    </w:rPr>
                    <w:t>草酸</w:t>
                  </w:r>
                </w:p>
              </w:tc>
              <w:tc>
                <w:tcPr>
                  <w:tcW w:w="1878" w:type="dxa"/>
                  <w:tcBorders>
                    <w:tl2br w:val="nil"/>
                    <w:tr2bl w:val="nil"/>
                  </w:tcBorders>
                  <w:vAlign w:val="center"/>
                </w:tcPr>
                <w:p w14:paraId="73F38D92">
                  <w:pPr>
                    <w:widowControl/>
                    <w:jc w:val="center"/>
                    <w:rPr>
                      <w:rFonts w:hint="eastAsia"/>
                      <w:color w:val="auto"/>
                      <w:kern w:val="0"/>
                      <w:sz w:val="18"/>
                      <w:szCs w:val="18"/>
                    </w:rPr>
                  </w:pPr>
                  <w:r>
                    <w:rPr>
                      <w:rFonts w:hint="eastAsia"/>
                      <w:color w:val="auto"/>
                      <w:sz w:val="18"/>
                      <w:szCs w:val="18"/>
                      <w:lang w:val="en-US" w:eastAsia="zh-CN"/>
                    </w:rPr>
                    <w:t>草酸</w:t>
                  </w:r>
                </w:p>
              </w:tc>
              <w:tc>
                <w:tcPr>
                  <w:tcW w:w="875" w:type="dxa"/>
                  <w:tcBorders>
                    <w:tl2br w:val="nil"/>
                    <w:tr2bl w:val="nil"/>
                  </w:tcBorders>
                  <w:vAlign w:val="center"/>
                </w:tcPr>
                <w:p w14:paraId="3A98118B">
                  <w:pPr>
                    <w:pStyle w:val="57"/>
                    <w:spacing w:beforeLines="0"/>
                    <w:rPr>
                      <w:rFonts w:hint="default" w:eastAsia="宋体"/>
                      <w:color w:val="auto"/>
                      <w:sz w:val="18"/>
                      <w:szCs w:val="18"/>
                      <w:lang w:val="en-US" w:eastAsia="zh-CN"/>
                    </w:rPr>
                  </w:pPr>
                  <w:r>
                    <w:rPr>
                      <w:rFonts w:hint="eastAsia"/>
                      <w:color w:val="auto"/>
                      <w:sz w:val="18"/>
                      <w:szCs w:val="18"/>
                      <w:lang w:val="en-US" w:eastAsia="zh-CN"/>
                    </w:rPr>
                    <w:t>0.32</w:t>
                  </w:r>
                </w:p>
              </w:tc>
              <w:tc>
                <w:tcPr>
                  <w:tcW w:w="1265" w:type="dxa"/>
                  <w:tcBorders>
                    <w:tl2br w:val="nil"/>
                    <w:tr2bl w:val="nil"/>
                  </w:tcBorders>
                  <w:vAlign w:val="center"/>
                </w:tcPr>
                <w:p w14:paraId="6B38B417">
                  <w:pPr>
                    <w:widowControl/>
                    <w:jc w:val="center"/>
                    <w:rPr>
                      <w:color w:val="auto"/>
                      <w:kern w:val="0"/>
                      <w:sz w:val="18"/>
                      <w:szCs w:val="18"/>
                    </w:rPr>
                  </w:pPr>
                  <w:r>
                    <w:rPr>
                      <w:rFonts w:hint="eastAsia"/>
                      <w:color w:val="000000" w:themeColor="text1"/>
                      <w:kern w:val="0"/>
                      <w:sz w:val="18"/>
                      <w:szCs w:val="18"/>
                      <w:lang w:val="en-US" w:eastAsia="zh-CN"/>
                      <w14:textFill>
                        <w14:solidFill>
                          <w14:schemeClr w14:val="tx1"/>
                        </w14:solidFill>
                      </w14:textFill>
                    </w:rPr>
                    <w:t>0.1</w:t>
                  </w:r>
                </w:p>
              </w:tc>
              <w:tc>
                <w:tcPr>
                  <w:tcW w:w="1158" w:type="dxa"/>
                  <w:tcBorders>
                    <w:tl2br w:val="nil"/>
                    <w:tr2bl w:val="nil"/>
                  </w:tcBorders>
                  <w:vAlign w:val="center"/>
                </w:tcPr>
                <w:p w14:paraId="007C4C34">
                  <w:pPr>
                    <w:widowControl/>
                    <w:jc w:val="center"/>
                    <w:rPr>
                      <w:rFonts w:hint="eastAsia"/>
                      <w:color w:val="000000" w:themeColor="text1"/>
                      <w:kern w:val="0"/>
                      <w:sz w:val="18"/>
                      <w:szCs w:val="18"/>
                      <w:lang w:val="en-US" w:eastAsia="zh-CN"/>
                      <w14:textFill>
                        <w14:solidFill>
                          <w14:schemeClr w14:val="tx1"/>
                        </w14:solidFill>
                      </w14:textFill>
                    </w:rPr>
                  </w:pPr>
                  <w:r>
                    <w:rPr>
                      <w:rFonts w:hint="eastAsia"/>
                      <w:color w:val="000000" w:themeColor="text1"/>
                      <w:kern w:val="0"/>
                      <w:sz w:val="18"/>
                      <w:szCs w:val="18"/>
                      <w:lang w:val="en-US" w:eastAsia="zh-CN"/>
                      <w14:textFill>
                        <w14:solidFill>
                          <w14:schemeClr w14:val="tx1"/>
                        </w14:solidFill>
                      </w14:textFill>
                    </w:rPr>
                    <w:t>10kg/袋</w:t>
                  </w:r>
                </w:p>
              </w:tc>
              <w:tc>
                <w:tcPr>
                  <w:tcW w:w="1158" w:type="dxa"/>
                  <w:tcBorders>
                    <w:tl2br w:val="nil"/>
                    <w:tr2bl w:val="nil"/>
                  </w:tcBorders>
                  <w:vAlign w:val="center"/>
                </w:tcPr>
                <w:p w14:paraId="32D21172">
                  <w:pPr>
                    <w:pStyle w:val="57"/>
                    <w:spacing w:beforeLines="0"/>
                    <w:rPr>
                      <w:rFonts w:hint="eastAsia" w:ascii="宋体" w:hAnsi="宋体" w:cs="宋体"/>
                      <w:color w:val="auto"/>
                      <w:sz w:val="18"/>
                      <w:szCs w:val="18"/>
                    </w:rPr>
                  </w:pPr>
                  <w:r>
                    <w:rPr>
                      <w:rFonts w:hint="eastAsia" w:ascii="宋体" w:hAnsi="宋体" w:cs="宋体"/>
                      <w:color w:val="auto"/>
                      <w:sz w:val="18"/>
                      <w:szCs w:val="18"/>
                    </w:rPr>
                    <w:t>原辅料仓库</w:t>
                  </w:r>
                </w:p>
              </w:tc>
              <w:tc>
                <w:tcPr>
                  <w:tcW w:w="1226" w:type="dxa"/>
                  <w:tcBorders>
                    <w:tl2br w:val="nil"/>
                    <w:tr2bl w:val="nil"/>
                  </w:tcBorders>
                  <w:vAlign w:val="center"/>
                </w:tcPr>
                <w:p w14:paraId="557513EB">
                  <w:pPr>
                    <w:pStyle w:val="57"/>
                    <w:spacing w:beforeLines="0" w:afterLines="0"/>
                    <w:rPr>
                      <w:rFonts w:hint="eastAsia"/>
                      <w:color w:val="auto"/>
                      <w:sz w:val="18"/>
                      <w:szCs w:val="18"/>
                    </w:rPr>
                  </w:pPr>
                  <w:r>
                    <w:rPr>
                      <w:rFonts w:hint="eastAsia" w:ascii="宋?" w:hAnsi="宋?" w:cs="宋?"/>
                      <w:color w:val="000000"/>
                      <w:sz w:val="18"/>
                      <w:szCs w:val="18"/>
                    </w:rPr>
                    <w:t>国产，陆运</w:t>
                  </w:r>
                </w:p>
              </w:tc>
            </w:tr>
          </w:tbl>
          <w:p w14:paraId="6136816D">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 xml:space="preserve">2-5  </w:t>
            </w:r>
            <w:r>
              <w:rPr>
                <w:rFonts w:hint="eastAsia"/>
                <w:b/>
                <w:snapToGrid w:val="0"/>
                <w:color w:val="auto"/>
                <w:szCs w:val="21"/>
              </w:rPr>
              <w:t>原辅材料理化性质</w:t>
            </w:r>
          </w:p>
          <w:tbl>
            <w:tblPr>
              <w:tblStyle w:val="26"/>
              <w:tblW w:w="770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063"/>
              <w:gridCol w:w="4296"/>
              <w:gridCol w:w="1041"/>
              <w:gridCol w:w="1306"/>
            </w:tblGrid>
            <w:tr w14:paraId="720017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8" w:hRule="atLeast"/>
                <w:jc w:val="center"/>
              </w:trPr>
              <w:tc>
                <w:tcPr>
                  <w:tcW w:w="1063" w:type="dxa"/>
                  <w:tcBorders>
                    <w:top w:val="single" w:color="auto" w:sz="12" w:space="0"/>
                    <w:bottom w:val="single" w:color="auto" w:sz="4" w:space="0"/>
                    <w:right w:val="single" w:color="auto" w:sz="4" w:space="0"/>
                  </w:tcBorders>
                  <w:vAlign w:val="center"/>
                </w:tcPr>
                <w:p w14:paraId="212C5017">
                  <w:pPr>
                    <w:pStyle w:val="57"/>
                    <w:spacing w:beforeLines="0"/>
                    <w:textAlignment w:val="center"/>
                    <w:rPr>
                      <w:color w:val="auto"/>
                      <w:sz w:val="18"/>
                      <w:szCs w:val="18"/>
                    </w:rPr>
                  </w:pPr>
                  <w:r>
                    <w:rPr>
                      <w:rFonts w:hint="eastAsia" w:ascii="宋体" w:hAnsi="宋体" w:cs="宋体"/>
                      <w:color w:val="auto"/>
                      <w:sz w:val="18"/>
                      <w:szCs w:val="18"/>
                    </w:rPr>
                    <w:t>物质名称</w:t>
                  </w:r>
                </w:p>
              </w:tc>
              <w:tc>
                <w:tcPr>
                  <w:tcW w:w="4296" w:type="dxa"/>
                  <w:tcBorders>
                    <w:top w:val="single" w:color="auto" w:sz="12" w:space="0"/>
                    <w:left w:val="single" w:color="auto" w:sz="4" w:space="0"/>
                    <w:bottom w:val="single" w:color="auto" w:sz="4" w:space="0"/>
                    <w:right w:val="single" w:color="auto" w:sz="4" w:space="0"/>
                  </w:tcBorders>
                  <w:vAlign w:val="center"/>
                </w:tcPr>
                <w:p w14:paraId="44586B01">
                  <w:pPr>
                    <w:pStyle w:val="57"/>
                    <w:spacing w:beforeLines="0"/>
                    <w:textAlignment w:val="center"/>
                    <w:rPr>
                      <w:color w:val="auto"/>
                      <w:sz w:val="18"/>
                      <w:szCs w:val="18"/>
                    </w:rPr>
                  </w:pPr>
                  <w:r>
                    <w:rPr>
                      <w:rFonts w:hint="eastAsia" w:ascii="宋体" w:hAnsi="宋体" w:cs="宋体"/>
                      <w:color w:val="auto"/>
                      <w:sz w:val="18"/>
                      <w:szCs w:val="18"/>
                    </w:rPr>
                    <w:t>理化性质</w:t>
                  </w:r>
                </w:p>
              </w:tc>
              <w:tc>
                <w:tcPr>
                  <w:tcW w:w="1041" w:type="dxa"/>
                  <w:tcBorders>
                    <w:top w:val="single" w:color="auto" w:sz="12" w:space="0"/>
                    <w:left w:val="single" w:color="auto" w:sz="4" w:space="0"/>
                    <w:bottom w:val="single" w:color="auto" w:sz="4" w:space="0"/>
                    <w:right w:val="single" w:color="auto" w:sz="4" w:space="0"/>
                  </w:tcBorders>
                  <w:vAlign w:val="center"/>
                </w:tcPr>
                <w:p w14:paraId="0E1F8B77">
                  <w:pPr>
                    <w:pStyle w:val="57"/>
                    <w:spacing w:beforeLines="0"/>
                    <w:textAlignment w:val="center"/>
                    <w:rPr>
                      <w:color w:val="auto"/>
                      <w:sz w:val="18"/>
                      <w:szCs w:val="18"/>
                    </w:rPr>
                  </w:pPr>
                  <w:r>
                    <w:rPr>
                      <w:rFonts w:hint="eastAsia" w:ascii="宋体" w:hAnsi="宋体" w:cs="宋体"/>
                      <w:color w:val="auto"/>
                      <w:sz w:val="18"/>
                      <w:szCs w:val="18"/>
                    </w:rPr>
                    <w:t>燃烧爆炸性</w:t>
                  </w:r>
                </w:p>
              </w:tc>
              <w:tc>
                <w:tcPr>
                  <w:tcW w:w="1306" w:type="dxa"/>
                  <w:tcBorders>
                    <w:top w:val="single" w:color="auto" w:sz="12" w:space="0"/>
                    <w:left w:val="single" w:color="auto" w:sz="4" w:space="0"/>
                    <w:bottom w:val="single" w:color="auto" w:sz="4" w:space="0"/>
                  </w:tcBorders>
                  <w:vAlign w:val="center"/>
                </w:tcPr>
                <w:p w14:paraId="5CC8AEC2">
                  <w:pPr>
                    <w:pStyle w:val="57"/>
                    <w:spacing w:beforeLines="0"/>
                    <w:textAlignment w:val="center"/>
                    <w:rPr>
                      <w:color w:val="auto"/>
                      <w:sz w:val="18"/>
                      <w:szCs w:val="18"/>
                    </w:rPr>
                  </w:pPr>
                  <w:r>
                    <w:rPr>
                      <w:rFonts w:hint="eastAsia" w:ascii="宋体" w:hAnsi="宋体" w:cs="宋体"/>
                      <w:color w:val="auto"/>
                      <w:sz w:val="18"/>
                      <w:szCs w:val="18"/>
                    </w:rPr>
                    <w:t>毒理毒性</w:t>
                  </w:r>
                </w:p>
              </w:tc>
            </w:tr>
            <w:tr w14:paraId="0690CE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063" w:type="dxa"/>
                  <w:tcBorders>
                    <w:top w:val="single" w:color="auto" w:sz="4" w:space="0"/>
                    <w:bottom w:val="single" w:color="auto" w:sz="4" w:space="0"/>
                    <w:right w:val="single" w:color="auto" w:sz="4" w:space="0"/>
                  </w:tcBorders>
                  <w:vAlign w:val="center"/>
                </w:tcPr>
                <w:p w14:paraId="39128129">
                  <w:pPr>
                    <w:widowControl/>
                    <w:jc w:val="center"/>
                    <w:rPr>
                      <w:rFonts w:hint="eastAsia"/>
                      <w:color w:val="auto"/>
                      <w:sz w:val="18"/>
                      <w:szCs w:val="18"/>
                      <w:lang w:val="en-US" w:eastAsia="zh-CN"/>
                    </w:rPr>
                  </w:pPr>
                  <w:r>
                    <w:rPr>
                      <w:rFonts w:hint="eastAsia"/>
                      <w:color w:val="auto"/>
                      <w:sz w:val="18"/>
                      <w:szCs w:val="18"/>
                      <w:lang w:val="en-US" w:eastAsia="zh-CN"/>
                    </w:rPr>
                    <w:t>水性粘合剂TF-3901D</w:t>
                  </w:r>
                </w:p>
              </w:tc>
              <w:tc>
                <w:tcPr>
                  <w:tcW w:w="4296" w:type="dxa"/>
                  <w:tcBorders>
                    <w:top w:val="single" w:color="auto" w:sz="4" w:space="0"/>
                    <w:left w:val="single" w:color="auto" w:sz="4" w:space="0"/>
                    <w:bottom w:val="single" w:color="auto" w:sz="4" w:space="0"/>
                    <w:right w:val="single" w:color="auto" w:sz="4" w:space="0"/>
                  </w:tcBorders>
                  <w:vAlign w:val="center"/>
                </w:tcPr>
                <w:p w14:paraId="76480C14">
                  <w:pPr>
                    <w:adjustRightInd w:val="0"/>
                    <w:jc w:val="left"/>
                    <w:rPr>
                      <w:rFonts w:hint="eastAsia"/>
                      <w:color w:val="auto"/>
                      <w:kern w:val="0"/>
                      <w:sz w:val="18"/>
                      <w:szCs w:val="18"/>
                    </w:rPr>
                  </w:pPr>
                  <w:r>
                    <w:rPr>
                      <w:rFonts w:hint="eastAsia"/>
                      <w:color w:val="auto"/>
                      <w:kern w:val="0"/>
                      <w:sz w:val="18"/>
                      <w:szCs w:val="18"/>
                      <w:lang w:val="en-US" w:eastAsia="zh-CN"/>
                    </w:rPr>
                    <w:t>乳白色带蓝光粘稠液体，密度1.10</w:t>
                  </w:r>
                  <w:r>
                    <w:rPr>
                      <w:rFonts w:hint="eastAsia"/>
                      <w:color w:val="auto"/>
                      <w:kern w:val="0"/>
                      <w:sz w:val="18"/>
                      <w:szCs w:val="18"/>
                    </w:rPr>
                    <w:t>g/cm</w:t>
                  </w:r>
                  <w:r>
                    <w:rPr>
                      <w:rFonts w:hint="eastAsia"/>
                      <w:color w:val="auto"/>
                      <w:kern w:val="0"/>
                      <w:sz w:val="18"/>
                      <w:szCs w:val="18"/>
                      <w:vertAlign w:val="superscript"/>
                    </w:rPr>
                    <w:t>3</w:t>
                  </w:r>
                  <w:r>
                    <w:rPr>
                      <w:rFonts w:hint="eastAsia"/>
                      <w:color w:val="auto"/>
                      <w:kern w:val="0"/>
                      <w:sz w:val="18"/>
                      <w:szCs w:val="18"/>
                      <w:lang w:eastAsia="zh-CN"/>
                    </w:rPr>
                    <w:t>，</w:t>
                  </w:r>
                  <w:r>
                    <w:rPr>
                      <w:rFonts w:hint="eastAsia"/>
                      <w:color w:val="auto"/>
                      <w:kern w:val="0"/>
                      <w:sz w:val="18"/>
                      <w:szCs w:val="18"/>
                      <w:lang w:val="en-US" w:eastAsia="zh-CN"/>
                    </w:rPr>
                    <w:t>可溶于水。</w:t>
                  </w:r>
                </w:p>
              </w:tc>
              <w:tc>
                <w:tcPr>
                  <w:tcW w:w="1041" w:type="dxa"/>
                  <w:tcBorders>
                    <w:top w:val="single" w:color="auto" w:sz="4" w:space="0"/>
                    <w:left w:val="single" w:color="auto" w:sz="4" w:space="0"/>
                    <w:bottom w:val="single" w:color="auto" w:sz="4" w:space="0"/>
                    <w:right w:val="single" w:color="auto" w:sz="4" w:space="0"/>
                  </w:tcBorders>
                  <w:vAlign w:val="center"/>
                </w:tcPr>
                <w:p w14:paraId="13DBC0E6">
                  <w:pPr>
                    <w:adjustRightInd w:val="0"/>
                    <w:jc w:val="center"/>
                    <w:rPr>
                      <w:rFonts w:hint="eastAsia"/>
                      <w:color w:val="auto"/>
                      <w:kern w:val="0"/>
                      <w:sz w:val="18"/>
                      <w:szCs w:val="18"/>
                    </w:rPr>
                  </w:pPr>
                  <w:r>
                    <w:rPr>
                      <w:rFonts w:hint="eastAsia"/>
                      <w:color w:val="auto"/>
                      <w:kern w:val="0"/>
                      <w:sz w:val="18"/>
                      <w:szCs w:val="18"/>
                    </w:rPr>
                    <w:t>不燃</w:t>
                  </w:r>
                </w:p>
              </w:tc>
              <w:tc>
                <w:tcPr>
                  <w:tcW w:w="1306" w:type="dxa"/>
                  <w:tcBorders>
                    <w:top w:val="single" w:color="auto" w:sz="4" w:space="0"/>
                    <w:left w:val="single" w:color="auto" w:sz="4" w:space="0"/>
                    <w:bottom w:val="single" w:color="auto" w:sz="4" w:space="0"/>
                  </w:tcBorders>
                  <w:vAlign w:val="center"/>
                </w:tcPr>
                <w:p w14:paraId="6749C39E">
                  <w:pPr>
                    <w:adjustRightInd w:val="0"/>
                    <w:jc w:val="center"/>
                    <w:rPr>
                      <w:rFonts w:hint="eastAsia"/>
                      <w:color w:val="auto"/>
                      <w:kern w:val="0"/>
                      <w:sz w:val="18"/>
                      <w:szCs w:val="18"/>
                    </w:rPr>
                  </w:pPr>
                  <w:r>
                    <w:rPr>
                      <w:rFonts w:hint="eastAsia"/>
                      <w:color w:val="auto"/>
                      <w:kern w:val="0"/>
                      <w:sz w:val="18"/>
                      <w:szCs w:val="18"/>
                      <w:lang w:val="en-US" w:eastAsia="zh-CN"/>
                    </w:rPr>
                    <w:t>急性毒性：LD</w:t>
                  </w:r>
                  <w:r>
                    <w:rPr>
                      <w:rFonts w:hint="eastAsia"/>
                      <w:color w:val="auto"/>
                      <w:kern w:val="0"/>
                      <w:sz w:val="18"/>
                      <w:szCs w:val="18"/>
                      <w:vertAlign w:val="subscript"/>
                      <w:lang w:val="en-US" w:eastAsia="zh-CN"/>
                    </w:rPr>
                    <w:t xml:space="preserve">50 </w:t>
                  </w:r>
                  <w:r>
                    <w:rPr>
                      <w:rFonts w:hint="eastAsia"/>
                      <w:color w:val="auto"/>
                      <w:kern w:val="0"/>
                      <w:sz w:val="18"/>
                      <w:szCs w:val="18"/>
                      <w:lang w:val="en-US" w:eastAsia="zh-CN"/>
                    </w:rPr>
                    <w:t>5000mg/kg（大鼠经口）</w:t>
                  </w:r>
                </w:p>
              </w:tc>
            </w:tr>
            <w:tr w14:paraId="09F46E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063" w:type="dxa"/>
                  <w:tcBorders>
                    <w:top w:val="single" w:color="auto" w:sz="4" w:space="0"/>
                    <w:bottom w:val="single" w:color="auto" w:sz="4" w:space="0"/>
                    <w:right w:val="single" w:color="auto" w:sz="4" w:space="0"/>
                  </w:tcBorders>
                  <w:vAlign w:val="center"/>
                </w:tcPr>
                <w:p w14:paraId="168A481A">
                  <w:pPr>
                    <w:widowControl/>
                    <w:jc w:val="center"/>
                    <w:rPr>
                      <w:rFonts w:hint="eastAsia"/>
                      <w:color w:val="auto"/>
                      <w:sz w:val="18"/>
                      <w:szCs w:val="18"/>
                      <w:lang w:val="en-US" w:eastAsia="zh-CN"/>
                    </w:rPr>
                  </w:pPr>
                  <w:r>
                    <w:rPr>
                      <w:rFonts w:hint="eastAsia"/>
                      <w:color w:val="auto"/>
                      <w:sz w:val="18"/>
                      <w:szCs w:val="18"/>
                      <w:lang w:val="en-US" w:eastAsia="zh-CN"/>
                    </w:rPr>
                    <w:t>加弹油剂</w:t>
                  </w:r>
                </w:p>
              </w:tc>
              <w:tc>
                <w:tcPr>
                  <w:tcW w:w="4296" w:type="dxa"/>
                  <w:tcBorders>
                    <w:top w:val="single" w:color="auto" w:sz="4" w:space="0"/>
                    <w:left w:val="single" w:color="auto" w:sz="4" w:space="0"/>
                    <w:bottom w:val="single" w:color="auto" w:sz="4" w:space="0"/>
                    <w:right w:val="single" w:color="auto" w:sz="4" w:space="0"/>
                  </w:tcBorders>
                  <w:vAlign w:val="center"/>
                </w:tcPr>
                <w:p w14:paraId="1690B677">
                  <w:pPr>
                    <w:adjustRightInd w:val="0"/>
                    <w:jc w:val="left"/>
                    <w:rPr>
                      <w:rFonts w:hint="default" w:eastAsia="宋体"/>
                      <w:color w:val="auto"/>
                      <w:kern w:val="0"/>
                      <w:sz w:val="18"/>
                      <w:szCs w:val="18"/>
                      <w:vertAlign w:val="baseline"/>
                      <w:lang w:val="en-US" w:eastAsia="zh-CN"/>
                    </w:rPr>
                  </w:pPr>
                  <w:r>
                    <w:rPr>
                      <w:rFonts w:hint="eastAsia"/>
                      <w:color w:val="auto"/>
                      <w:kern w:val="0"/>
                      <w:sz w:val="18"/>
                      <w:szCs w:val="18"/>
                    </w:rPr>
                    <w:t>淡黄色至黄色带粘状透明油状液体</w:t>
                  </w:r>
                  <w:r>
                    <w:rPr>
                      <w:rFonts w:hint="eastAsia"/>
                      <w:color w:val="auto"/>
                      <w:kern w:val="0"/>
                      <w:sz w:val="18"/>
                      <w:szCs w:val="18"/>
                      <w:lang w:val="en-US" w:eastAsia="zh-CN"/>
                    </w:rPr>
                    <w:t>，</w:t>
                  </w:r>
                  <w:r>
                    <w:rPr>
                      <w:rFonts w:hint="eastAsia"/>
                      <w:color w:val="auto"/>
                      <w:kern w:val="0"/>
                      <w:sz w:val="18"/>
                      <w:szCs w:val="18"/>
                    </w:rPr>
                    <w:t>密度</w:t>
                  </w:r>
                  <w:r>
                    <w:rPr>
                      <w:color w:val="auto"/>
                      <w:kern w:val="0"/>
                      <w:sz w:val="18"/>
                      <w:szCs w:val="18"/>
                    </w:rPr>
                    <w:t>0.</w:t>
                  </w:r>
                  <w:r>
                    <w:rPr>
                      <w:rFonts w:hint="eastAsia"/>
                      <w:color w:val="auto"/>
                      <w:kern w:val="0"/>
                      <w:sz w:val="18"/>
                      <w:szCs w:val="18"/>
                      <w:lang w:val="en-US" w:eastAsia="zh-CN"/>
                    </w:rPr>
                    <w:t>88</w:t>
                  </w:r>
                  <w:r>
                    <w:rPr>
                      <w:color w:val="auto"/>
                      <w:kern w:val="0"/>
                      <w:sz w:val="18"/>
                      <w:szCs w:val="18"/>
                    </w:rPr>
                    <w:t>g/cm</w:t>
                  </w:r>
                  <w:r>
                    <w:rPr>
                      <w:color w:val="auto"/>
                      <w:kern w:val="0"/>
                      <w:sz w:val="18"/>
                      <w:szCs w:val="18"/>
                      <w:vertAlign w:val="superscript"/>
                    </w:rPr>
                    <w:t>3</w:t>
                  </w:r>
                  <w:r>
                    <w:rPr>
                      <w:rFonts w:hint="eastAsia"/>
                      <w:color w:val="auto"/>
                      <w:kern w:val="0"/>
                      <w:sz w:val="18"/>
                      <w:szCs w:val="18"/>
                      <w:vertAlign w:val="baseline"/>
                      <w:lang w:eastAsia="zh-CN"/>
                    </w:rPr>
                    <w:t>，闪点130</w:t>
                  </w:r>
                  <w:r>
                    <w:rPr>
                      <w:rFonts w:hint="eastAsia"/>
                      <w:color w:val="auto"/>
                      <w:kern w:val="0"/>
                      <w:sz w:val="18"/>
                      <w:szCs w:val="18"/>
                      <w:vertAlign w:val="baseline"/>
                      <w:lang w:val="en-US" w:eastAsia="zh-CN"/>
                    </w:rPr>
                    <w:t>℃</w:t>
                  </w:r>
                </w:p>
              </w:tc>
              <w:tc>
                <w:tcPr>
                  <w:tcW w:w="1041" w:type="dxa"/>
                  <w:tcBorders>
                    <w:top w:val="single" w:color="auto" w:sz="4" w:space="0"/>
                    <w:left w:val="single" w:color="auto" w:sz="4" w:space="0"/>
                    <w:bottom w:val="single" w:color="auto" w:sz="4" w:space="0"/>
                    <w:right w:val="single" w:color="auto" w:sz="4" w:space="0"/>
                  </w:tcBorders>
                  <w:vAlign w:val="center"/>
                </w:tcPr>
                <w:p w14:paraId="2F635429">
                  <w:pPr>
                    <w:adjustRightInd w:val="0"/>
                    <w:jc w:val="center"/>
                    <w:rPr>
                      <w:rFonts w:hint="eastAsia"/>
                      <w:color w:val="auto"/>
                      <w:kern w:val="0"/>
                      <w:sz w:val="18"/>
                      <w:szCs w:val="18"/>
                    </w:rPr>
                  </w:pPr>
                  <w:r>
                    <w:rPr>
                      <w:rFonts w:hint="eastAsia"/>
                      <w:color w:val="auto"/>
                      <w:kern w:val="0"/>
                      <w:sz w:val="18"/>
                      <w:szCs w:val="18"/>
                    </w:rPr>
                    <w:t>可燃</w:t>
                  </w:r>
                </w:p>
              </w:tc>
              <w:tc>
                <w:tcPr>
                  <w:tcW w:w="1306" w:type="dxa"/>
                  <w:tcBorders>
                    <w:top w:val="single" w:color="auto" w:sz="4" w:space="0"/>
                    <w:left w:val="single" w:color="auto" w:sz="4" w:space="0"/>
                    <w:bottom w:val="single" w:color="auto" w:sz="4" w:space="0"/>
                  </w:tcBorders>
                  <w:vAlign w:val="center"/>
                </w:tcPr>
                <w:p w14:paraId="43AF9066">
                  <w:pPr>
                    <w:adjustRightInd w:val="0"/>
                    <w:jc w:val="center"/>
                    <w:rPr>
                      <w:rFonts w:hint="eastAsia"/>
                      <w:color w:val="auto"/>
                      <w:kern w:val="0"/>
                      <w:sz w:val="18"/>
                      <w:szCs w:val="18"/>
                    </w:rPr>
                  </w:pPr>
                  <w:r>
                    <w:rPr>
                      <w:rFonts w:hint="eastAsia"/>
                      <w:color w:val="auto"/>
                      <w:kern w:val="0"/>
                      <w:sz w:val="18"/>
                      <w:szCs w:val="18"/>
                    </w:rPr>
                    <w:t>低毒</w:t>
                  </w:r>
                </w:p>
              </w:tc>
            </w:tr>
            <w:tr w14:paraId="3D2A67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063" w:type="dxa"/>
                  <w:tcBorders>
                    <w:top w:val="single" w:color="auto" w:sz="4" w:space="0"/>
                    <w:bottom w:val="single" w:color="auto" w:sz="4" w:space="0"/>
                    <w:right w:val="single" w:color="auto" w:sz="4" w:space="0"/>
                  </w:tcBorders>
                  <w:vAlign w:val="center"/>
                </w:tcPr>
                <w:p w14:paraId="778AF439">
                  <w:pPr>
                    <w:widowControl/>
                    <w:jc w:val="center"/>
                    <w:rPr>
                      <w:rFonts w:hint="eastAsia"/>
                      <w:color w:val="auto"/>
                      <w:sz w:val="18"/>
                      <w:szCs w:val="18"/>
                      <w:lang w:val="en-US" w:eastAsia="zh-CN"/>
                    </w:rPr>
                  </w:pPr>
                  <w:r>
                    <w:rPr>
                      <w:rFonts w:hint="eastAsia"/>
                      <w:color w:val="auto"/>
                      <w:sz w:val="18"/>
                      <w:szCs w:val="18"/>
                      <w:lang w:val="en-US" w:eastAsia="zh-CN"/>
                    </w:rPr>
                    <w:t>润滑油</w:t>
                  </w:r>
                </w:p>
              </w:tc>
              <w:tc>
                <w:tcPr>
                  <w:tcW w:w="4296" w:type="dxa"/>
                  <w:tcBorders>
                    <w:top w:val="single" w:color="auto" w:sz="4" w:space="0"/>
                    <w:left w:val="single" w:color="auto" w:sz="4" w:space="0"/>
                    <w:bottom w:val="single" w:color="auto" w:sz="4" w:space="0"/>
                    <w:right w:val="single" w:color="auto" w:sz="4" w:space="0"/>
                  </w:tcBorders>
                  <w:vAlign w:val="center"/>
                </w:tcPr>
                <w:p w14:paraId="30C51071">
                  <w:pPr>
                    <w:autoSpaceDE w:val="0"/>
                    <w:autoSpaceDN w:val="0"/>
                    <w:adjustRightInd w:val="0"/>
                    <w:rPr>
                      <w:color w:val="auto"/>
                      <w:kern w:val="0"/>
                      <w:sz w:val="18"/>
                      <w:szCs w:val="18"/>
                    </w:rPr>
                  </w:pPr>
                  <w:r>
                    <w:rPr>
                      <w:rFonts w:hint="eastAsia"/>
                      <w:color w:val="auto"/>
                      <w:kern w:val="0"/>
                      <w:sz w:val="18"/>
                      <w:szCs w:val="18"/>
                    </w:rPr>
                    <w:t>棕色液体，不溶于水，密度</w:t>
                  </w:r>
                  <w:r>
                    <w:rPr>
                      <w:color w:val="auto"/>
                      <w:kern w:val="0"/>
                      <w:sz w:val="18"/>
                      <w:szCs w:val="18"/>
                    </w:rPr>
                    <w:t>0.93g/cm</w:t>
                  </w:r>
                  <w:r>
                    <w:rPr>
                      <w:color w:val="auto"/>
                      <w:kern w:val="0"/>
                      <w:sz w:val="18"/>
                      <w:szCs w:val="18"/>
                      <w:vertAlign w:val="superscript"/>
                    </w:rPr>
                    <w:t>3</w:t>
                  </w:r>
                  <w:r>
                    <w:rPr>
                      <w:rFonts w:hint="eastAsia"/>
                      <w:color w:val="auto"/>
                      <w:kern w:val="0"/>
                      <w:sz w:val="18"/>
                      <w:szCs w:val="18"/>
                    </w:rPr>
                    <w:t>，沸点</w:t>
                  </w:r>
                  <w:r>
                    <w:rPr>
                      <w:color w:val="auto"/>
                      <w:kern w:val="0"/>
                      <w:sz w:val="18"/>
                      <w:szCs w:val="18"/>
                    </w:rPr>
                    <w:t>400</w:t>
                  </w:r>
                  <w:r>
                    <w:rPr>
                      <w:rFonts w:hint="eastAsia" w:ascii="宋体" w:hAnsi="宋体" w:cs="宋体"/>
                      <w:color w:val="auto"/>
                      <w:kern w:val="0"/>
                      <w:sz w:val="18"/>
                      <w:szCs w:val="18"/>
                    </w:rPr>
                    <w:t>℃</w:t>
                  </w:r>
                  <w:r>
                    <w:rPr>
                      <w:rFonts w:hint="eastAsia"/>
                      <w:color w:val="auto"/>
                      <w:kern w:val="0"/>
                      <w:sz w:val="18"/>
                      <w:szCs w:val="18"/>
                    </w:rPr>
                    <w:t>，用于机械的摩擦部分，</w:t>
                  </w:r>
                  <w:r>
                    <w:rPr>
                      <w:rFonts w:hint="eastAsia"/>
                      <w:color w:val="auto"/>
                      <w:kern w:val="0"/>
                      <w:sz w:val="18"/>
                      <w:szCs w:val="18"/>
                      <w:lang w:eastAsia="zh-CN"/>
                    </w:rPr>
                    <w:t>起到</w:t>
                  </w:r>
                  <w:r>
                    <w:rPr>
                      <w:rFonts w:hint="eastAsia"/>
                      <w:color w:val="auto"/>
                      <w:kern w:val="0"/>
                      <w:sz w:val="18"/>
                      <w:szCs w:val="18"/>
                    </w:rPr>
                    <w:t>润滑、冷却和密封</w:t>
                  </w:r>
                  <w:r>
                    <w:rPr>
                      <w:rFonts w:hint="eastAsia"/>
                      <w:color w:val="auto"/>
                      <w:kern w:val="0"/>
                      <w:sz w:val="18"/>
                      <w:szCs w:val="18"/>
                      <w:lang w:eastAsia="zh-CN"/>
                    </w:rPr>
                    <w:t>的</w:t>
                  </w:r>
                  <w:r>
                    <w:rPr>
                      <w:rFonts w:hint="eastAsia"/>
                      <w:color w:val="auto"/>
                      <w:kern w:val="0"/>
                      <w:sz w:val="18"/>
                      <w:szCs w:val="18"/>
                    </w:rPr>
                    <w:t>作用。</w:t>
                  </w:r>
                </w:p>
              </w:tc>
              <w:tc>
                <w:tcPr>
                  <w:tcW w:w="1041" w:type="dxa"/>
                  <w:tcBorders>
                    <w:top w:val="single" w:color="auto" w:sz="4" w:space="0"/>
                    <w:left w:val="single" w:color="auto" w:sz="4" w:space="0"/>
                    <w:bottom w:val="single" w:color="auto" w:sz="4" w:space="0"/>
                    <w:right w:val="single" w:color="auto" w:sz="4" w:space="0"/>
                  </w:tcBorders>
                  <w:vAlign w:val="center"/>
                </w:tcPr>
                <w:p w14:paraId="20CFBF0A">
                  <w:pPr>
                    <w:adjustRightInd w:val="0"/>
                    <w:jc w:val="center"/>
                    <w:rPr>
                      <w:color w:val="auto"/>
                      <w:kern w:val="0"/>
                      <w:sz w:val="18"/>
                      <w:szCs w:val="18"/>
                    </w:rPr>
                  </w:pPr>
                  <w:r>
                    <w:rPr>
                      <w:rFonts w:hint="eastAsia"/>
                      <w:color w:val="auto"/>
                      <w:kern w:val="0"/>
                      <w:sz w:val="18"/>
                      <w:szCs w:val="18"/>
                    </w:rPr>
                    <w:t>可燃</w:t>
                  </w:r>
                </w:p>
              </w:tc>
              <w:tc>
                <w:tcPr>
                  <w:tcW w:w="1306" w:type="dxa"/>
                  <w:tcBorders>
                    <w:top w:val="single" w:color="auto" w:sz="4" w:space="0"/>
                    <w:left w:val="single" w:color="auto" w:sz="4" w:space="0"/>
                    <w:bottom w:val="single" w:color="auto" w:sz="4" w:space="0"/>
                  </w:tcBorders>
                  <w:vAlign w:val="center"/>
                </w:tcPr>
                <w:p w14:paraId="4C9260B9">
                  <w:pPr>
                    <w:adjustRightInd w:val="0"/>
                    <w:jc w:val="center"/>
                    <w:rPr>
                      <w:color w:val="auto"/>
                      <w:kern w:val="0"/>
                      <w:sz w:val="18"/>
                      <w:szCs w:val="18"/>
                    </w:rPr>
                  </w:pPr>
                  <w:r>
                    <w:rPr>
                      <w:rFonts w:hint="eastAsia"/>
                      <w:color w:val="auto"/>
                      <w:kern w:val="0"/>
                      <w:sz w:val="18"/>
                      <w:szCs w:val="18"/>
                    </w:rPr>
                    <w:t>低毒</w:t>
                  </w:r>
                </w:p>
              </w:tc>
            </w:tr>
            <w:tr w14:paraId="7E04F7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063" w:type="dxa"/>
                  <w:tcBorders>
                    <w:top w:val="single" w:color="auto" w:sz="4" w:space="0"/>
                    <w:bottom w:val="single" w:color="auto" w:sz="4" w:space="0"/>
                    <w:right w:val="single" w:color="auto" w:sz="4" w:space="0"/>
                  </w:tcBorders>
                  <w:vAlign w:val="center"/>
                </w:tcPr>
                <w:p w14:paraId="0D36BD9B">
                  <w:pPr>
                    <w:widowControl/>
                    <w:jc w:val="center"/>
                    <w:rPr>
                      <w:rFonts w:hint="eastAsia"/>
                      <w:color w:val="auto"/>
                      <w:sz w:val="18"/>
                      <w:szCs w:val="18"/>
                      <w:lang w:val="en-US" w:eastAsia="zh-CN"/>
                    </w:rPr>
                  </w:pPr>
                  <w:r>
                    <w:rPr>
                      <w:rFonts w:hint="eastAsia"/>
                      <w:color w:val="auto"/>
                      <w:sz w:val="18"/>
                      <w:szCs w:val="18"/>
                      <w:lang w:val="en-US" w:eastAsia="zh-CN"/>
                    </w:rPr>
                    <w:t>硫酸银</w:t>
                  </w:r>
                </w:p>
              </w:tc>
              <w:tc>
                <w:tcPr>
                  <w:tcW w:w="4296" w:type="dxa"/>
                  <w:tcBorders>
                    <w:top w:val="single" w:color="auto" w:sz="4" w:space="0"/>
                    <w:left w:val="single" w:color="auto" w:sz="4" w:space="0"/>
                    <w:bottom w:val="single" w:color="auto" w:sz="4" w:space="0"/>
                    <w:right w:val="single" w:color="auto" w:sz="4" w:space="0"/>
                  </w:tcBorders>
                  <w:vAlign w:val="center"/>
                </w:tcPr>
                <w:p w14:paraId="0AE0B6A6">
                  <w:pPr>
                    <w:adjustRightInd w:val="0"/>
                    <w:jc w:val="left"/>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rPr>
                    <w:t>无色结晶或白色结晶性粉末，密度</w:t>
                  </w:r>
                  <w:r>
                    <w:rPr>
                      <w:color w:val="auto"/>
                      <w:kern w:val="0"/>
                      <w:sz w:val="18"/>
                      <w:szCs w:val="18"/>
                    </w:rPr>
                    <w:t>5.45g/cm</w:t>
                  </w:r>
                  <w:r>
                    <w:rPr>
                      <w:color w:val="auto"/>
                      <w:kern w:val="0"/>
                      <w:sz w:val="18"/>
                      <w:szCs w:val="18"/>
                      <w:vertAlign w:val="superscript"/>
                    </w:rPr>
                    <w:t>3</w:t>
                  </w:r>
                  <w:r>
                    <w:rPr>
                      <w:rFonts w:hint="eastAsia"/>
                      <w:color w:val="auto"/>
                      <w:kern w:val="0"/>
                      <w:sz w:val="18"/>
                      <w:szCs w:val="18"/>
                    </w:rPr>
                    <w:t>，熔点</w:t>
                  </w:r>
                  <w:r>
                    <w:rPr>
                      <w:color w:val="auto"/>
                      <w:kern w:val="0"/>
                      <w:sz w:val="18"/>
                      <w:szCs w:val="18"/>
                    </w:rPr>
                    <w:t>652</w:t>
                  </w:r>
                  <w:r>
                    <w:rPr>
                      <w:rFonts w:hint="eastAsia" w:ascii="宋体" w:hAnsi="宋体" w:cs="宋体"/>
                      <w:color w:val="auto"/>
                      <w:kern w:val="0"/>
                      <w:sz w:val="18"/>
                      <w:szCs w:val="18"/>
                    </w:rPr>
                    <w:t>℃</w:t>
                  </w:r>
                  <w:r>
                    <w:rPr>
                      <w:rFonts w:hint="eastAsia"/>
                      <w:color w:val="auto"/>
                      <w:kern w:val="0"/>
                      <w:sz w:val="18"/>
                      <w:szCs w:val="18"/>
                    </w:rPr>
                    <w:t>，沸点</w:t>
                  </w:r>
                  <w:r>
                    <w:rPr>
                      <w:color w:val="auto"/>
                      <w:kern w:val="0"/>
                      <w:sz w:val="18"/>
                      <w:szCs w:val="18"/>
                    </w:rPr>
                    <w:t>1085</w:t>
                  </w:r>
                  <w:r>
                    <w:rPr>
                      <w:rFonts w:hint="eastAsia" w:ascii="宋体" w:hAnsi="宋体" w:cs="宋体"/>
                      <w:color w:val="auto"/>
                      <w:kern w:val="0"/>
                      <w:sz w:val="18"/>
                      <w:szCs w:val="18"/>
                    </w:rPr>
                    <w:t>℃</w:t>
                  </w:r>
                  <w:r>
                    <w:rPr>
                      <w:rFonts w:hint="eastAsia"/>
                      <w:color w:val="auto"/>
                      <w:kern w:val="0"/>
                      <w:sz w:val="18"/>
                      <w:szCs w:val="18"/>
                    </w:rPr>
                    <w:t>，微溶于水，溶于氨水、硝酸、硫酸，不溶于乙醇。</w:t>
                  </w:r>
                </w:p>
              </w:tc>
              <w:tc>
                <w:tcPr>
                  <w:tcW w:w="1041" w:type="dxa"/>
                  <w:tcBorders>
                    <w:top w:val="single" w:color="auto" w:sz="4" w:space="0"/>
                    <w:left w:val="single" w:color="auto" w:sz="4" w:space="0"/>
                    <w:bottom w:val="single" w:color="auto" w:sz="4" w:space="0"/>
                    <w:right w:val="single" w:color="auto" w:sz="4" w:space="0"/>
                  </w:tcBorders>
                  <w:vAlign w:val="center"/>
                </w:tcPr>
                <w:p w14:paraId="73F696D4">
                  <w:pPr>
                    <w:adjustRightInd w:val="0"/>
                    <w:jc w:val="center"/>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rPr>
                    <w:t>不燃</w:t>
                  </w:r>
                </w:p>
              </w:tc>
              <w:tc>
                <w:tcPr>
                  <w:tcW w:w="1306" w:type="dxa"/>
                  <w:tcBorders>
                    <w:top w:val="single" w:color="auto" w:sz="4" w:space="0"/>
                    <w:left w:val="single" w:color="auto" w:sz="4" w:space="0"/>
                    <w:bottom w:val="single" w:color="auto" w:sz="4" w:space="0"/>
                  </w:tcBorders>
                  <w:vAlign w:val="center"/>
                </w:tcPr>
                <w:p w14:paraId="3CA658A8">
                  <w:pPr>
                    <w:adjustRightInd w:val="0"/>
                    <w:jc w:val="center"/>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rPr>
                    <w:t>急性毒性：</w:t>
                  </w:r>
                  <w:r>
                    <w:rPr>
                      <w:color w:val="auto"/>
                      <w:kern w:val="0"/>
                      <w:sz w:val="18"/>
                      <w:szCs w:val="18"/>
                    </w:rPr>
                    <w:t>LD</w:t>
                  </w:r>
                  <w:r>
                    <w:rPr>
                      <w:color w:val="auto"/>
                      <w:kern w:val="0"/>
                      <w:sz w:val="18"/>
                      <w:szCs w:val="18"/>
                      <w:vertAlign w:val="subscript"/>
                    </w:rPr>
                    <w:t>50</w:t>
                  </w:r>
                  <w:r>
                    <w:rPr>
                      <w:color w:val="auto"/>
                      <w:kern w:val="0"/>
                      <w:sz w:val="18"/>
                      <w:szCs w:val="18"/>
                    </w:rPr>
                    <w:t xml:space="preserve"> 5000 mg/kg</w:t>
                  </w:r>
                  <w:r>
                    <w:rPr>
                      <w:rFonts w:hint="eastAsia"/>
                      <w:color w:val="auto"/>
                      <w:kern w:val="0"/>
                      <w:sz w:val="18"/>
                      <w:szCs w:val="18"/>
                    </w:rPr>
                    <w:t>（大鼠经口）</w:t>
                  </w:r>
                </w:p>
              </w:tc>
            </w:tr>
            <w:tr w14:paraId="4BDB45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677" w:hRule="atLeast"/>
                <w:jc w:val="center"/>
              </w:trPr>
              <w:tc>
                <w:tcPr>
                  <w:tcW w:w="1063" w:type="dxa"/>
                  <w:tcBorders>
                    <w:top w:val="single" w:color="auto" w:sz="4" w:space="0"/>
                    <w:bottom w:val="single" w:color="auto" w:sz="4" w:space="0"/>
                    <w:right w:val="single" w:color="auto" w:sz="4" w:space="0"/>
                  </w:tcBorders>
                  <w:vAlign w:val="center"/>
                </w:tcPr>
                <w:p w14:paraId="063EAF7B">
                  <w:pPr>
                    <w:widowControl/>
                    <w:jc w:val="center"/>
                    <w:rPr>
                      <w:rFonts w:hint="eastAsia"/>
                      <w:color w:val="auto"/>
                      <w:sz w:val="18"/>
                      <w:szCs w:val="18"/>
                      <w:lang w:val="en-US" w:eastAsia="zh-CN"/>
                    </w:rPr>
                  </w:pPr>
                  <w:r>
                    <w:rPr>
                      <w:rFonts w:hint="eastAsia"/>
                      <w:color w:val="auto"/>
                      <w:sz w:val="18"/>
                      <w:szCs w:val="18"/>
                      <w:lang w:val="en-US" w:eastAsia="zh-CN"/>
                    </w:rPr>
                    <w:t>重铬酸钾</w:t>
                  </w:r>
                </w:p>
              </w:tc>
              <w:tc>
                <w:tcPr>
                  <w:tcW w:w="4296" w:type="dxa"/>
                  <w:tcBorders>
                    <w:top w:val="single" w:color="auto" w:sz="4" w:space="0"/>
                    <w:left w:val="single" w:color="auto" w:sz="4" w:space="0"/>
                    <w:bottom w:val="single" w:color="auto" w:sz="4" w:space="0"/>
                    <w:right w:val="single" w:color="auto" w:sz="4" w:space="0"/>
                  </w:tcBorders>
                  <w:vAlign w:val="center"/>
                </w:tcPr>
                <w:p w14:paraId="1D1301FF">
                  <w:pPr>
                    <w:adjustRightInd w:val="0"/>
                    <w:jc w:val="left"/>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rPr>
                    <w:t>橙红色三斜晶体或针状晶体，密度</w:t>
                  </w:r>
                  <w:r>
                    <w:rPr>
                      <w:color w:val="auto"/>
                      <w:kern w:val="0"/>
                      <w:sz w:val="18"/>
                      <w:szCs w:val="18"/>
                    </w:rPr>
                    <w:t>2.676g/cm</w:t>
                  </w:r>
                  <w:r>
                    <w:rPr>
                      <w:color w:val="auto"/>
                      <w:kern w:val="0"/>
                      <w:sz w:val="18"/>
                      <w:szCs w:val="18"/>
                      <w:vertAlign w:val="superscript"/>
                    </w:rPr>
                    <w:t>3</w:t>
                  </w:r>
                  <w:r>
                    <w:rPr>
                      <w:rFonts w:hint="eastAsia"/>
                      <w:color w:val="auto"/>
                      <w:kern w:val="0"/>
                      <w:sz w:val="18"/>
                      <w:szCs w:val="18"/>
                    </w:rPr>
                    <w:t>，熔点</w:t>
                  </w:r>
                  <w:r>
                    <w:rPr>
                      <w:color w:val="auto"/>
                      <w:kern w:val="0"/>
                      <w:sz w:val="18"/>
                      <w:szCs w:val="18"/>
                    </w:rPr>
                    <w:t>398</w:t>
                  </w:r>
                  <w:r>
                    <w:rPr>
                      <w:rFonts w:hint="eastAsia" w:ascii="宋体" w:hAnsi="宋体" w:cs="宋体"/>
                      <w:color w:val="auto"/>
                      <w:kern w:val="0"/>
                      <w:sz w:val="18"/>
                      <w:szCs w:val="18"/>
                    </w:rPr>
                    <w:t>℃</w:t>
                  </w:r>
                  <w:r>
                    <w:rPr>
                      <w:rFonts w:hint="eastAsia"/>
                      <w:color w:val="auto"/>
                      <w:kern w:val="0"/>
                      <w:sz w:val="18"/>
                      <w:szCs w:val="18"/>
                    </w:rPr>
                    <w:t>，沸点</w:t>
                  </w:r>
                  <w:r>
                    <w:rPr>
                      <w:color w:val="auto"/>
                      <w:kern w:val="0"/>
                      <w:sz w:val="18"/>
                      <w:szCs w:val="18"/>
                    </w:rPr>
                    <w:t>500</w:t>
                  </w:r>
                  <w:r>
                    <w:rPr>
                      <w:rFonts w:hint="eastAsia" w:ascii="宋体" w:hAnsi="宋体" w:cs="宋体"/>
                      <w:color w:val="auto"/>
                      <w:kern w:val="0"/>
                      <w:sz w:val="18"/>
                      <w:szCs w:val="18"/>
                    </w:rPr>
                    <w:t>℃</w:t>
                  </w:r>
                  <w:r>
                    <w:rPr>
                      <w:rFonts w:hint="eastAsia"/>
                      <w:color w:val="auto"/>
                      <w:kern w:val="0"/>
                      <w:sz w:val="18"/>
                      <w:szCs w:val="18"/>
                    </w:rPr>
                    <w:t>，溶于水，不溶于乙醇。</w:t>
                  </w:r>
                </w:p>
              </w:tc>
              <w:tc>
                <w:tcPr>
                  <w:tcW w:w="1041" w:type="dxa"/>
                  <w:tcBorders>
                    <w:top w:val="single" w:color="auto" w:sz="4" w:space="0"/>
                    <w:left w:val="single" w:color="auto" w:sz="4" w:space="0"/>
                    <w:bottom w:val="single" w:color="auto" w:sz="4" w:space="0"/>
                    <w:right w:val="single" w:color="auto" w:sz="4" w:space="0"/>
                  </w:tcBorders>
                  <w:vAlign w:val="center"/>
                </w:tcPr>
                <w:p w14:paraId="372D7096">
                  <w:pPr>
                    <w:adjustRightInd w:val="0"/>
                    <w:jc w:val="center"/>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rPr>
                    <w:t>不燃</w:t>
                  </w:r>
                </w:p>
              </w:tc>
              <w:tc>
                <w:tcPr>
                  <w:tcW w:w="1306" w:type="dxa"/>
                  <w:tcBorders>
                    <w:top w:val="single" w:color="auto" w:sz="4" w:space="0"/>
                    <w:left w:val="single" w:color="auto" w:sz="4" w:space="0"/>
                    <w:bottom w:val="single" w:color="auto" w:sz="4" w:space="0"/>
                  </w:tcBorders>
                  <w:vAlign w:val="center"/>
                </w:tcPr>
                <w:p w14:paraId="46B21C30">
                  <w:pPr>
                    <w:adjustRightInd w:val="0"/>
                    <w:jc w:val="center"/>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rPr>
                    <w:t>急性毒性：</w:t>
                  </w:r>
                  <w:r>
                    <w:rPr>
                      <w:color w:val="auto"/>
                      <w:kern w:val="0"/>
                      <w:sz w:val="18"/>
                      <w:szCs w:val="18"/>
                    </w:rPr>
                    <w:t>LD</w:t>
                  </w:r>
                  <w:r>
                    <w:rPr>
                      <w:color w:val="auto"/>
                      <w:kern w:val="0"/>
                      <w:sz w:val="18"/>
                      <w:szCs w:val="18"/>
                      <w:vertAlign w:val="subscript"/>
                    </w:rPr>
                    <w:t>50</w:t>
                  </w:r>
                  <w:r>
                    <w:rPr>
                      <w:color w:val="auto"/>
                      <w:kern w:val="0"/>
                      <w:sz w:val="18"/>
                      <w:szCs w:val="18"/>
                    </w:rPr>
                    <w:t>190mg/kg(</w:t>
                  </w:r>
                  <w:r>
                    <w:rPr>
                      <w:rFonts w:hint="eastAsia"/>
                      <w:color w:val="auto"/>
                      <w:kern w:val="0"/>
                      <w:sz w:val="18"/>
                      <w:szCs w:val="18"/>
                    </w:rPr>
                    <w:t>小鼠经口</w:t>
                  </w:r>
                  <w:r>
                    <w:rPr>
                      <w:color w:val="auto"/>
                      <w:kern w:val="0"/>
                      <w:sz w:val="18"/>
                      <w:szCs w:val="18"/>
                    </w:rPr>
                    <w:t>)</w:t>
                  </w:r>
                </w:p>
              </w:tc>
            </w:tr>
            <w:tr w14:paraId="7B164A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063" w:type="dxa"/>
                  <w:vAlign w:val="center"/>
                </w:tcPr>
                <w:p w14:paraId="63125223">
                  <w:pPr>
                    <w:widowControl/>
                    <w:jc w:val="center"/>
                    <w:rPr>
                      <w:rFonts w:hint="eastAsia"/>
                      <w:color w:val="auto"/>
                      <w:sz w:val="18"/>
                      <w:szCs w:val="18"/>
                      <w:lang w:val="en-US" w:eastAsia="zh-CN"/>
                    </w:rPr>
                  </w:pPr>
                  <w:r>
                    <w:rPr>
                      <w:rFonts w:hint="eastAsia"/>
                      <w:color w:val="auto"/>
                      <w:sz w:val="18"/>
                      <w:szCs w:val="18"/>
                      <w:lang w:val="en-US" w:eastAsia="zh-CN"/>
                    </w:rPr>
                    <w:t>硫酸汞</w:t>
                  </w:r>
                </w:p>
              </w:tc>
              <w:tc>
                <w:tcPr>
                  <w:tcW w:w="4296" w:type="dxa"/>
                  <w:vAlign w:val="center"/>
                </w:tcPr>
                <w:p w14:paraId="7012D8DE">
                  <w:pPr>
                    <w:adjustRightInd w:val="0"/>
                    <w:jc w:val="left"/>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rPr>
                    <w:t>白色晶体，密度</w:t>
                  </w:r>
                  <w:r>
                    <w:rPr>
                      <w:color w:val="auto"/>
                      <w:kern w:val="0"/>
                      <w:sz w:val="18"/>
                      <w:szCs w:val="18"/>
                    </w:rPr>
                    <w:t>6.47g/cm</w:t>
                  </w:r>
                  <w:r>
                    <w:rPr>
                      <w:color w:val="auto"/>
                      <w:kern w:val="0"/>
                      <w:sz w:val="18"/>
                      <w:szCs w:val="18"/>
                      <w:vertAlign w:val="superscript"/>
                    </w:rPr>
                    <w:t>3</w:t>
                  </w:r>
                  <w:r>
                    <w:rPr>
                      <w:rFonts w:hint="eastAsia"/>
                      <w:color w:val="auto"/>
                      <w:kern w:val="0"/>
                      <w:sz w:val="18"/>
                      <w:szCs w:val="18"/>
                    </w:rPr>
                    <w:t>，沸点</w:t>
                  </w:r>
                  <w:r>
                    <w:rPr>
                      <w:color w:val="auto"/>
                      <w:kern w:val="0"/>
                      <w:sz w:val="18"/>
                      <w:szCs w:val="18"/>
                    </w:rPr>
                    <w:t>615.95</w:t>
                  </w:r>
                  <w:r>
                    <w:rPr>
                      <w:rFonts w:hint="eastAsia" w:ascii="宋体" w:hAnsi="宋体" w:cs="宋体"/>
                      <w:color w:val="auto"/>
                      <w:kern w:val="0"/>
                      <w:sz w:val="18"/>
                      <w:szCs w:val="18"/>
                    </w:rPr>
                    <w:t>℃</w:t>
                  </w:r>
                  <w:r>
                    <w:rPr>
                      <w:rFonts w:hint="eastAsia"/>
                      <w:color w:val="auto"/>
                      <w:kern w:val="0"/>
                      <w:sz w:val="18"/>
                      <w:szCs w:val="18"/>
                    </w:rPr>
                    <w:t>，溶于水，溶于酸，不溶于乙醇。</w:t>
                  </w:r>
                </w:p>
              </w:tc>
              <w:tc>
                <w:tcPr>
                  <w:tcW w:w="1041" w:type="dxa"/>
                  <w:vAlign w:val="center"/>
                </w:tcPr>
                <w:p w14:paraId="2E7BBEDF">
                  <w:pPr>
                    <w:adjustRightInd w:val="0"/>
                    <w:jc w:val="center"/>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rPr>
                    <w:t>不燃</w:t>
                  </w:r>
                </w:p>
              </w:tc>
              <w:tc>
                <w:tcPr>
                  <w:tcW w:w="1306" w:type="dxa"/>
                  <w:vAlign w:val="center"/>
                </w:tcPr>
                <w:p w14:paraId="1BD176D8">
                  <w:pPr>
                    <w:adjustRightInd w:val="0"/>
                    <w:jc w:val="center"/>
                    <w:rPr>
                      <w:rFonts w:hint="eastAsia" w:ascii="Times New Roman" w:hAnsi="Times New Roman" w:eastAsia="宋体" w:cs="Times New Roman"/>
                      <w:color w:val="auto"/>
                      <w:kern w:val="0"/>
                      <w:sz w:val="18"/>
                      <w:szCs w:val="18"/>
                      <w:lang w:val="en-US" w:eastAsia="zh-CN" w:bidi="ar-SA"/>
                    </w:rPr>
                  </w:pPr>
                  <w:r>
                    <w:rPr>
                      <w:rFonts w:hint="eastAsia"/>
                      <w:color w:val="auto"/>
                      <w:kern w:val="0"/>
                      <w:sz w:val="18"/>
                      <w:szCs w:val="18"/>
                    </w:rPr>
                    <w:t>急性毒性：</w:t>
                  </w:r>
                  <w:r>
                    <w:rPr>
                      <w:color w:val="auto"/>
                      <w:kern w:val="0"/>
                      <w:sz w:val="18"/>
                      <w:szCs w:val="18"/>
                    </w:rPr>
                    <w:t>LD</w:t>
                  </w:r>
                  <w:r>
                    <w:rPr>
                      <w:color w:val="auto"/>
                      <w:kern w:val="0"/>
                      <w:sz w:val="18"/>
                      <w:szCs w:val="18"/>
                      <w:vertAlign w:val="subscript"/>
                    </w:rPr>
                    <w:t>50</w:t>
                  </w:r>
                  <w:r>
                    <w:rPr>
                      <w:color w:val="auto"/>
                      <w:kern w:val="0"/>
                      <w:sz w:val="18"/>
                      <w:szCs w:val="18"/>
                    </w:rPr>
                    <w:t>57mg/kg</w:t>
                  </w:r>
                  <w:r>
                    <w:rPr>
                      <w:rFonts w:hint="eastAsia"/>
                      <w:color w:val="auto"/>
                      <w:kern w:val="0"/>
                      <w:sz w:val="18"/>
                      <w:szCs w:val="18"/>
                    </w:rPr>
                    <w:t>（大鼠经口）</w:t>
                  </w:r>
                </w:p>
              </w:tc>
            </w:tr>
            <w:tr w14:paraId="00EA69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063" w:type="dxa"/>
                  <w:vAlign w:val="center"/>
                </w:tcPr>
                <w:p w14:paraId="0B9A653C">
                  <w:pPr>
                    <w:widowControl/>
                    <w:jc w:val="center"/>
                    <w:rPr>
                      <w:rFonts w:hint="eastAsia"/>
                      <w:color w:val="auto"/>
                      <w:sz w:val="18"/>
                      <w:szCs w:val="18"/>
                      <w:lang w:val="en-US" w:eastAsia="zh-CN"/>
                    </w:rPr>
                  </w:pPr>
                  <w:r>
                    <w:rPr>
                      <w:rFonts w:hint="eastAsia"/>
                      <w:color w:val="auto"/>
                      <w:sz w:val="18"/>
                      <w:szCs w:val="18"/>
                      <w:lang w:val="en-US" w:eastAsia="zh-CN"/>
                    </w:rPr>
                    <w:t>草酸</w:t>
                  </w:r>
                </w:p>
              </w:tc>
              <w:tc>
                <w:tcPr>
                  <w:tcW w:w="4296" w:type="dxa"/>
                  <w:vAlign w:val="center"/>
                </w:tcPr>
                <w:p w14:paraId="5EBDBF8A">
                  <w:pPr>
                    <w:adjustRightInd w:val="0"/>
                    <w:jc w:val="left"/>
                    <w:rPr>
                      <w:rFonts w:hint="eastAsia"/>
                      <w:color w:val="auto"/>
                      <w:kern w:val="0"/>
                      <w:sz w:val="18"/>
                      <w:szCs w:val="18"/>
                      <w:lang w:eastAsia="zh-CN"/>
                    </w:rPr>
                  </w:pPr>
                  <w:r>
                    <w:rPr>
                      <w:rFonts w:hint="eastAsia"/>
                      <w:color w:val="auto"/>
                      <w:kern w:val="0"/>
                      <w:sz w:val="18"/>
                      <w:szCs w:val="18"/>
                    </w:rPr>
                    <w:t>无色单斜片状或棱柱体结晶或白色粉末，</w:t>
                  </w:r>
                  <w:r>
                    <w:rPr>
                      <w:rFonts w:hint="default"/>
                      <w:color w:val="auto"/>
                      <w:kern w:val="0"/>
                      <w:sz w:val="18"/>
                      <w:szCs w:val="18"/>
                    </w:rPr>
                    <w:t>150～160℃升华</w:t>
                  </w:r>
                  <w:r>
                    <w:rPr>
                      <w:rFonts w:hint="eastAsia"/>
                      <w:color w:val="auto"/>
                      <w:kern w:val="0"/>
                      <w:sz w:val="18"/>
                      <w:szCs w:val="18"/>
                      <w:lang w:eastAsia="zh-CN"/>
                    </w:rPr>
                    <w:t>，易溶于乙醇，可溶于水，微溶于乙醚，不溶于苯和氯仿</w:t>
                  </w:r>
                </w:p>
              </w:tc>
              <w:tc>
                <w:tcPr>
                  <w:tcW w:w="1041" w:type="dxa"/>
                  <w:vAlign w:val="center"/>
                </w:tcPr>
                <w:p w14:paraId="1E0C2CED">
                  <w:pPr>
                    <w:adjustRightInd w:val="0"/>
                    <w:jc w:val="center"/>
                    <w:rPr>
                      <w:rFonts w:hint="eastAsia"/>
                      <w:color w:val="auto"/>
                      <w:kern w:val="0"/>
                      <w:sz w:val="18"/>
                      <w:szCs w:val="18"/>
                    </w:rPr>
                  </w:pPr>
                  <w:r>
                    <w:rPr>
                      <w:rFonts w:hint="eastAsia"/>
                      <w:color w:val="auto"/>
                      <w:kern w:val="0"/>
                      <w:sz w:val="18"/>
                      <w:szCs w:val="18"/>
                    </w:rPr>
                    <w:t>不燃</w:t>
                  </w:r>
                </w:p>
              </w:tc>
              <w:tc>
                <w:tcPr>
                  <w:tcW w:w="1306" w:type="dxa"/>
                  <w:vAlign w:val="center"/>
                </w:tcPr>
                <w:p w14:paraId="0CE9F1FC">
                  <w:pPr>
                    <w:adjustRightInd w:val="0"/>
                    <w:jc w:val="center"/>
                    <w:rPr>
                      <w:rFonts w:hint="eastAsia"/>
                      <w:color w:val="auto"/>
                      <w:kern w:val="0"/>
                      <w:sz w:val="18"/>
                      <w:szCs w:val="18"/>
                    </w:rPr>
                  </w:pPr>
                  <w:r>
                    <w:rPr>
                      <w:rFonts w:hint="eastAsia"/>
                      <w:color w:val="auto"/>
                      <w:kern w:val="0"/>
                      <w:sz w:val="18"/>
                      <w:szCs w:val="18"/>
                    </w:rPr>
                    <w:t>急性毒性：大鼠经口LD</w:t>
                  </w:r>
                  <w:r>
                    <w:rPr>
                      <w:rFonts w:hint="eastAsia"/>
                      <w:color w:val="auto"/>
                      <w:kern w:val="0"/>
                      <w:sz w:val="18"/>
                      <w:szCs w:val="18"/>
                      <w:vertAlign w:val="subscript"/>
                    </w:rPr>
                    <w:t>50</w:t>
                  </w:r>
                  <w:r>
                    <w:rPr>
                      <w:rFonts w:hint="eastAsia"/>
                      <w:color w:val="auto"/>
                      <w:kern w:val="0"/>
                      <w:sz w:val="18"/>
                      <w:szCs w:val="18"/>
                    </w:rPr>
                    <w:t>：7500 mg/kg；小鼠腹腔LD</w:t>
                  </w:r>
                  <w:r>
                    <w:rPr>
                      <w:rFonts w:hint="eastAsia"/>
                      <w:color w:val="auto"/>
                      <w:kern w:val="0"/>
                      <w:sz w:val="18"/>
                      <w:szCs w:val="18"/>
                      <w:vertAlign w:val="subscript"/>
                    </w:rPr>
                    <w:t>50</w:t>
                  </w:r>
                  <w:r>
                    <w:rPr>
                      <w:rFonts w:hint="eastAsia"/>
                      <w:color w:val="auto"/>
                      <w:kern w:val="0"/>
                      <w:sz w:val="18"/>
                      <w:szCs w:val="18"/>
                    </w:rPr>
                    <w:t>：270 mg/kg</w:t>
                  </w:r>
                </w:p>
              </w:tc>
            </w:tr>
          </w:tbl>
          <w:p w14:paraId="598CA90C">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6</w:t>
            </w:r>
            <w:r>
              <w:rPr>
                <w:rFonts w:hint="eastAsia"/>
                <w:b/>
                <w:bCs/>
                <w:snapToGrid w:val="0"/>
                <w:color w:val="auto"/>
                <w:spacing w:val="-2"/>
                <w:kern w:val="0"/>
                <w:szCs w:val="21"/>
              </w:rPr>
              <w:t>、给水和排水</w:t>
            </w:r>
          </w:p>
          <w:p w14:paraId="4B7310D9">
            <w:pPr>
              <w:overflowPunct w:val="0"/>
              <w:adjustRightInd w:val="0"/>
              <w:snapToGrid w:val="0"/>
              <w:spacing w:line="360" w:lineRule="auto"/>
              <w:ind w:firstLine="420" w:firstLineChars="200"/>
              <w:jc w:val="left"/>
              <w:rPr>
                <w:color w:val="auto"/>
                <w:szCs w:val="21"/>
              </w:rPr>
            </w:pPr>
            <w:r>
              <w:rPr>
                <w:rFonts w:hint="eastAsia"/>
                <w:color w:val="auto"/>
                <w:szCs w:val="21"/>
              </w:rPr>
              <w:t>（</w:t>
            </w:r>
            <w:r>
              <w:rPr>
                <w:color w:val="auto"/>
                <w:szCs w:val="21"/>
              </w:rPr>
              <w:t>1</w:t>
            </w:r>
            <w:r>
              <w:rPr>
                <w:rFonts w:hint="eastAsia"/>
                <w:color w:val="auto"/>
                <w:szCs w:val="21"/>
              </w:rPr>
              <w:t>）给水</w:t>
            </w:r>
          </w:p>
          <w:p w14:paraId="5DA3E22C">
            <w:pPr>
              <w:overflowPunct w:val="0"/>
              <w:adjustRightInd w:val="0"/>
              <w:snapToGrid w:val="0"/>
              <w:spacing w:line="360" w:lineRule="auto"/>
              <w:ind w:firstLine="420" w:firstLineChars="200"/>
              <w:jc w:val="left"/>
              <w:rPr>
                <w:color w:val="auto"/>
                <w:szCs w:val="21"/>
              </w:rPr>
            </w:pPr>
            <w:r>
              <w:rPr>
                <w:rFonts w:hint="eastAsia"/>
                <w:color w:val="auto"/>
                <w:szCs w:val="21"/>
              </w:rPr>
              <w:t>①生产用水</w:t>
            </w:r>
          </w:p>
          <w:p w14:paraId="31D32D57">
            <w:pPr>
              <w:overflowPunct w:val="0"/>
              <w:adjustRightInd w:val="0"/>
              <w:snapToGrid w:val="0"/>
              <w:spacing w:line="360" w:lineRule="auto"/>
              <w:ind w:firstLine="420" w:firstLineChars="200"/>
              <w:jc w:val="left"/>
              <w:rPr>
                <w:rFonts w:hint="default" w:eastAsia="宋体"/>
                <w:color w:val="auto"/>
                <w:szCs w:val="21"/>
                <w:lang w:val="en-US" w:eastAsia="zh-CN"/>
              </w:rPr>
            </w:pPr>
            <w:r>
              <w:rPr>
                <w:rFonts w:hint="eastAsia"/>
                <w:color w:val="auto"/>
                <w:szCs w:val="21"/>
                <w:lang w:val="en-US" w:eastAsia="zh-CN"/>
              </w:rPr>
              <w:t>本项目完成后，生产用水主要是织造用水和洗综用水。</w:t>
            </w:r>
          </w:p>
          <w:p w14:paraId="214CB0E2">
            <w:pPr>
              <w:overflowPunct w:val="0"/>
              <w:adjustRightInd w:val="0"/>
              <w:snapToGrid w:val="0"/>
              <w:spacing w:line="360" w:lineRule="auto"/>
              <w:ind w:firstLine="420" w:firstLineChars="200"/>
              <w:jc w:val="left"/>
              <w:rPr>
                <w:rFonts w:hint="eastAsia"/>
                <w:color w:val="auto"/>
                <w:szCs w:val="21"/>
                <w:lang w:eastAsia="zh-CN"/>
              </w:rPr>
            </w:pPr>
            <w:r>
              <w:rPr>
                <w:rFonts w:hint="eastAsia"/>
                <w:color w:val="auto"/>
                <w:szCs w:val="21"/>
              </w:rPr>
              <w:t>织造用水：根据企业提供数据，每台喷水织机每天用水量约</w:t>
            </w:r>
            <w:r>
              <w:rPr>
                <w:rFonts w:hint="eastAsia"/>
                <w:color w:val="auto"/>
                <w:szCs w:val="21"/>
                <w:lang w:val="en-US" w:eastAsia="zh-CN"/>
              </w:rPr>
              <w:t>3.778</w:t>
            </w:r>
            <w:r>
              <w:rPr>
                <w:color w:val="auto"/>
                <w:szCs w:val="21"/>
              </w:rPr>
              <w:t>t</w:t>
            </w:r>
            <w:r>
              <w:rPr>
                <w:rFonts w:hint="eastAsia"/>
                <w:color w:val="auto"/>
                <w:szCs w:val="21"/>
              </w:rPr>
              <w:t>，年生产</w:t>
            </w:r>
            <w:r>
              <w:rPr>
                <w:rFonts w:hint="eastAsia"/>
                <w:color w:val="auto"/>
                <w:szCs w:val="21"/>
                <w:lang w:eastAsia="zh-CN"/>
              </w:rPr>
              <w:t>365天</w:t>
            </w:r>
            <w:r>
              <w:rPr>
                <w:rFonts w:hint="eastAsia"/>
                <w:color w:val="auto"/>
                <w:szCs w:val="21"/>
              </w:rPr>
              <w:t>，共</w:t>
            </w:r>
            <w:r>
              <w:rPr>
                <w:rFonts w:hint="eastAsia"/>
                <w:color w:val="auto"/>
                <w:szCs w:val="21"/>
                <w:lang w:val="en-US" w:eastAsia="zh-CN"/>
              </w:rPr>
              <w:t>136</w:t>
            </w:r>
            <w:r>
              <w:rPr>
                <w:rFonts w:hint="eastAsia"/>
                <w:color w:val="auto"/>
                <w:szCs w:val="21"/>
              </w:rPr>
              <w:t>台喷水织机，则织造用水量约</w:t>
            </w:r>
            <w:r>
              <w:rPr>
                <w:rFonts w:hint="eastAsia"/>
                <w:color w:val="auto"/>
                <w:szCs w:val="21"/>
                <w:lang w:val="en-US" w:eastAsia="zh-CN"/>
              </w:rPr>
              <w:t>187561.96</w:t>
            </w:r>
            <w:r>
              <w:rPr>
                <w:color w:val="auto"/>
                <w:szCs w:val="21"/>
              </w:rPr>
              <w:t>t/a</w:t>
            </w:r>
            <w:r>
              <w:rPr>
                <w:rFonts w:hint="eastAsia"/>
                <w:color w:val="auto"/>
                <w:szCs w:val="21"/>
                <w:lang w:eastAsia="zh-CN"/>
              </w:rPr>
              <w:t>；</w:t>
            </w:r>
          </w:p>
          <w:p w14:paraId="14F2FAB3">
            <w:pPr>
              <w:overflowPunct w:val="0"/>
              <w:adjustRightInd w:val="0"/>
              <w:snapToGrid w:val="0"/>
              <w:spacing w:line="360" w:lineRule="auto"/>
              <w:ind w:firstLine="420" w:firstLineChars="200"/>
              <w:jc w:val="left"/>
              <w:rPr>
                <w:rFonts w:hint="default"/>
                <w:color w:val="auto"/>
                <w:szCs w:val="21"/>
                <w:lang w:val="en-US" w:eastAsia="zh-CN"/>
              </w:rPr>
            </w:pPr>
            <w:r>
              <w:rPr>
                <w:rFonts w:hint="eastAsia"/>
                <w:color w:val="auto"/>
                <w:szCs w:val="21"/>
                <w:lang w:val="en-US" w:eastAsia="zh-CN"/>
              </w:rPr>
              <w:t>洗综用水：根据企业提供资料，本项目使用洗综液（草酸兑水1:9）对喷水织机的钢筘和综丝进行清洗，再用水将钢筘和综丝上残留的洗综液冲洗掉，约每年需洗综12次，每台喷水织机每次需洗综液约2L、冲洗用水约50L，本项目共有喷水织机136台，则需洗综液约3.264t/a（其中草酸约0.32t/a，稀释用水约2.944t/a），洗综冲洗用水约81.6t/a。洗综工艺共使用水量为84.54t/a。</w:t>
            </w:r>
          </w:p>
          <w:p w14:paraId="2F804496">
            <w:pPr>
              <w:overflowPunct w:val="0"/>
              <w:adjustRightInd w:val="0"/>
              <w:snapToGrid w:val="0"/>
              <w:spacing w:line="360" w:lineRule="auto"/>
              <w:ind w:firstLine="420" w:firstLineChars="200"/>
              <w:jc w:val="left"/>
              <w:rPr>
                <w:rFonts w:hint="eastAsia"/>
                <w:color w:val="auto"/>
                <w:szCs w:val="21"/>
                <w:lang w:eastAsia="zh-CN"/>
              </w:rPr>
            </w:pPr>
            <w:r>
              <w:rPr>
                <w:rFonts w:hint="eastAsia"/>
                <w:color w:val="auto"/>
                <w:szCs w:val="21"/>
                <w:lang w:val="en-US" w:eastAsia="zh-CN"/>
              </w:rPr>
              <w:t>根据污水接管协议可知，</w:t>
            </w:r>
            <w:r>
              <w:rPr>
                <w:rFonts w:hint="eastAsia"/>
                <w:color w:val="auto"/>
                <w:szCs w:val="21"/>
                <w:lang w:eastAsia="zh-CN"/>
              </w:rPr>
              <w:t>企业</w:t>
            </w:r>
            <w:r>
              <w:rPr>
                <w:rFonts w:hint="eastAsia"/>
                <w:color w:val="auto"/>
                <w:szCs w:val="21"/>
                <w:lang w:val="en-US" w:eastAsia="zh-CN"/>
              </w:rPr>
              <w:t>生产</w:t>
            </w:r>
            <w:r>
              <w:rPr>
                <w:rFonts w:hint="eastAsia"/>
                <w:color w:val="auto"/>
                <w:szCs w:val="21"/>
                <w:lang w:eastAsia="zh-CN"/>
              </w:rPr>
              <w:t>废水接管量为</w:t>
            </w:r>
            <w:r>
              <w:rPr>
                <w:rFonts w:hint="eastAsia"/>
                <w:color w:val="auto"/>
                <w:szCs w:val="21"/>
                <w:lang w:val="en-US" w:eastAsia="zh-CN"/>
              </w:rPr>
              <w:t>173740t/a（476t/d）</w:t>
            </w:r>
            <w:r>
              <w:rPr>
                <w:rFonts w:hint="eastAsia"/>
                <w:color w:val="auto"/>
                <w:szCs w:val="21"/>
                <w:lang w:eastAsia="zh-CN"/>
              </w:rPr>
              <w:t>，</w:t>
            </w:r>
            <w:r>
              <w:rPr>
                <w:rFonts w:hint="eastAsia"/>
                <w:color w:val="auto"/>
                <w:szCs w:val="21"/>
                <w:lang w:val="en-US" w:eastAsia="zh-CN"/>
              </w:rPr>
              <w:t>接管至</w:t>
            </w:r>
            <w:r>
              <w:rPr>
                <w:rFonts w:hint="eastAsia"/>
                <w:color w:val="auto"/>
                <w:szCs w:val="21"/>
                <w:lang w:eastAsia="zh-CN"/>
              </w:rPr>
              <w:t>桃源富乡污水处理有限公司</w:t>
            </w:r>
            <w:r>
              <w:rPr>
                <w:rFonts w:hint="eastAsia"/>
                <w:color w:val="auto"/>
                <w:szCs w:val="21"/>
                <w:lang w:val="en-US" w:eastAsia="zh-CN"/>
              </w:rPr>
              <w:t>处理后尾水76%（132042.4t/a）回用</w:t>
            </w:r>
            <w:r>
              <w:rPr>
                <w:rFonts w:hint="eastAsia"/>
                <w:color w:val="auto"/>
                <w:szCs w:val="21"/>
                <w:lang w:eastAsia="zh-CN"/>
              </w:rPr>
              <w:t>，</w:t>
            </w:r>
            <w:r>
              <w:rPr>
                <w:rFonts w:hint="eastAsia"/>
                <w:color w:val="auto"/>
                <w:szCs w:val="21"/>
                <w:lang w:val="en-US" w:eastAsia="zh-CN"/>
              </w:rPr>
              <w:t>其余（41697.6t/a）达标排入鳑鲏港；为保证喷织企业用水需求，</w:t>
            </w:r>
            <w:r>
              <w:rPr>
                <w:rFonts w:hint="eastAsia"/>
                <w:color w:val="auto"/>
                <w:szCs w:val="21"/>
                <w:lang w:eastAsia="zh-CN"/>
              </w:rPr>
              <w:t>苏州市桃源富乡污水处理有限公司</w:t>
            </w:r>
            <w:r>
              <w:rPr>
                <w:rFonts w:hint="eastAsia"/>
                <w:color w:val="auto"/>
                <w:szCs w:val="21"/>
                <w:lang w:val="en-US" w:eastAsia="zh-CN"/>
              </w:rPr>
              <w:t>对回用水进行补水，使最终回用水量变为187646.5t/a（514.1t/d），则污水厂补水量约55604.1t/a，满足企业用水的需求，企业无需需自行补水。</w:t>
            </w:r>
          </w:p>
          <w:p w14:paraId="47378050">
            <w:pPr>
              <w:overflowPunct w:val="0"/>
              <w:adjustRightInd w:val="0"/>
              <w:snapToGrid w:val="0"/>
              <w:spacing w:line="360" w:lineRule="auto"/>
              <w:ind w:firstLine="420" w:firstLineChars="200"/>
              <w:jc w:val="left"/>
              <w:rPr>
                <w:color w:val="auto"/>
                <w:szCs w:val="21"/>
              </w:rPr>
            </w:pPr>
            <w:r>
              <w:rPr>
                <w:rFonts w:hint="eastAsia"/>
                <w:color w:val="auto"/>
                <w:szCs w:val="21"/>
              </w:rPr>
              <w:t>②生活用水</w:t>
            </w:r>
          </w:p>
          <w:p w14:paraId="4628A6E8">
            <w:pPr>
              <w:overflowPunct w:val="0"/>
              <w:adjustRightInd w:val="0"/>
              <w:snapToGrid w:val="0"/>
              <w:spacing w:line="360" w:lineRule="auto"/>
              <w:ind w:firstLine="420" w:firstLineChars="200"/>
              <w:jc w:val="left"/>
              <w:rPr>
                <w:rFonts w:hint="eastAsia"/>
                <w:color w:val="auto"/>
                <w:szCs w:val="21"/>
                <w:lang w:val="en-US" w:eastAsia="zh-CN"/>
              </w:rPr>
            </w:pPr>
            <w:r>
              <w:rPr>
                <w:rFonts w:hint="eastAsia"/>
                <w:color w:val="auto"/>
                <w:lang w:val="en-US" w:eastAsia="zh-CN"/>
              </w:rPr>
              <w:t>本次改建新增员工25人，</w:t>
            </w:r>
            <w:r>
              <w:rPr>
                <w:rFonts w:hint="eastAsia"/>
                <w:color w:val="auto"/>
              </w:rPr>
              <w:t>厂区无食堂宿舍，年生产</w:t>
            </w:r>
            <w:r>
              <w:rPr>
                <w:rFonts w:hint="eastAsia"/>
                <w:color w:val="auto"/>
                <w:lang w:eastAsia="zh-CN"/>
              </w:rPr>
              <w:t>365天</w:t>
            </w:r>
            <w:r>
              <w:rPr>
                <w:rFonts w:hint="eastAsia"/>
                <w:color w:val="auto"/>
              </w:rPr>
              <w:t>。参考《</w:t>
            </w:r>
            <w:r>
              <w:rPr>
                <w:rFonts w:hint="eastAsia"/>
                <w:color w:val="auto"/>
                <w:lang w:val="en-US" w:eastAsia="zh-CN"/>
              </w:rPr>
              <w:t>建筑给水排水设计标准</w:t>
            </w:r>
            <w:r>
              <w:rPr>
                <w:rFonts w:hint="eastAsia"/>
                <w:color w:val="auto"/>
              </w:rPr>
              <w:t>》（</w:t>
            </w:r>
            <w:r>
              <w:rPr>
                <w:rFonts w:hint="eastAsia"/>
                <w:color w:val="auto"/>
                <w:lang w:val="en-US" w:eastAsia="zh-CN"/>
              </w:rPr>
              <w:t>GB50015-2019</w:t>
            </w:r>
            <w:r>
              <w:rPr>
                <w:rFonts w:hint="eastAsia"/>
                <w:color w:val="auto"/>
              </w:rPr>
              <w:t>）</w:t>
            </w:r>
            <w:r>
              <w:rPr>
                <w:rFonts w:hint="eastAsia"/>
                <w:color w:val="auto"/>
                <w:szCs w:val="21"/>
              </w:rPr>
              <w:t>，生活用水量按</w:t>
            </w:r>
            <w:r>
              <w:rPr>
                <w:color w:val="auto"/>
                <w:szCs w:val="21"/>
              </w:rPr>
              <w:t>100L/</w:t>
            </w:r>
            <w:r>
              <w:rPr>
                <w:rFonts w:hint="eastAsia"/>
                <w:color w:val="auto"/>
                <w:szCs w:val="21"/>
              </w:rPr>
              <w:t>（人</w:t>
            </w:r>
            <w:r>
              <w:rPr>
                <w:color w:val="auto"/>
                <w:szCs w:val="21"/>
              </w:rPr>
              <w:t>·d</w:t>
            </w:r>
            <w:r>
              <w:rPr>
                <w:rFonts w:hint="eastAsia"/>
                <w:color w:val="auto"/>
                <w:szCs w:val="21"/>
              </w:rPr>
              <w:t>）计，则</w:t>
            </w:r>
            <w:r>
              <w:rPr>
                <w:rFonts w:hint="eastAsia"/>
                <w:color w:val="auto"/>
                <w:szCs w:val="21"/>
                <w:lang w:val="en-US" w:eastAsia="zh-CN"/>
              </w:rPr>
              <w:t>全厂生活</w:t>
            </w:r>
            <w:r>
              <w:rPr>
                <w:rFonts w:hint="eastAsia"/>
                <w:color w:val="auto"/>
                <w:szCs w:val="21"/>
              </w:rPr>
              <w:t>用水量为</w:t>
            </w:r>
            <w:r>
              <w:rPr>
                <w:rFonts w:hint="eastAsia"/>
                <w:color w:val="auto"/>
                <w:szCs w:val="21"/>
                <w:lang w:val="en-US" w:eastAsia="zh-CN"/>
              </w:rPr>
              <w:t>912.5</w:t>
            </w:r>
            <w:r>
              <w:rPr>
                <w:color w:val="auto"/>
                <w:szCs w:val="21"/>
              </w:rPr>
              <w:t>t/a</w:t>
            </w:r>
            <w:r>
              <w:rPr>
                <w:rFonts w:hint="eastAsia"/>
                <w:color w:val="auto"/>
                <w:szCs w:val="21"/>
                <w:lang w:eastAsia="zh-CN"/>
              </w:rPr>
              <w:t>，</w:t>
            </w:r>
            <w:r>
              <w:rPr>
                <w:rFonts w:hint="eastAsia"/>
                <w:color w:val="auto"/>
                <w:szCs w:val="21"/>
                <w:lang w:val="en-US" w:eastAsia="zh-CN"/>
              </w:rPr>
              <w:t>生活用水水源为自来水。</w:t>
            </w:r>
          </w:p>
          <w:p w14:paraId="33770BF6">
            <w:pPr>
              <w:overflowPunct w:val="0"/>
              <w:adjustRightInd w:val="0"/>
              <w:snapToGrid w:val="0"/>
              <w:spacing w:line="360" w:lineRule="auto"/>
              <w:ind w:firstLine="420" w:firstLineChars="200"/>
              <w:jc w:val="left"/>
              <w:rPr>
                <w:color w:val="auto"/>
                <w:szCs w:val="21"/>
              </w:rPr>
            </w:pPr>
            <w:r>
              <w:rPr>
                <w:rFonts w:hint="eastAsia"/>
                <w:color w:val="auto"/>
                <w:szCs w:val="21"/>
              </w:rPr>
              <w:t>（</w:t>
            </w:r>
            <w:r>
              <w:rPr>
                <w:color w:val="auto"/>
                <w:szCs w:val="21"/>
              </w:rPr>
              <w:t>2</w:t>
            </w:r>
            <w:r>
              <w:rPr>
                <w:rFonts w:hint="eastAsia"/>
                <w:color w:val="auto"/>
                <w:szCs w:val="21"/>
              </w:rPr>
              <w:t>）排水</w:t>
            </w:r>
          </w:p>
          <w:p w14:paraId="5C00836D">
            <w:pPr>
              <w:overflowPunct w:val="0"/>
              <w:adjustRightInd w:val="0"/>
              <w:snapToGrid w:val="0"/>
              <w:spacing w:line="360" w:lineRule="auto"/>
              <w:ind w:firstLine="420" w:firstLineChars="200"/>
              <w:rPr>
                <w:color w:val="auto"/>
                <w:szCs w:val="21"/>
              </w:rPr>
            </w:pPr>
            <w:r>
              <w:rPr>
                <w:rFonts w:hint="eastAsia"/>
                <w:color w:val="auto"/>
                <w:szCs w:val="21"/>
              </w:rPr>
              <w:t>①生产废水</w:t>
            </w:r>
          </w:p>
          <w:p w14:paraId="1889897F">
            <w:pPr>
              <w:overflowPunct w:val="0"/>
              <w:adjustRightInd w:val="0"/>
              <w:snapToGrid w:val="0"/>
              <w:spacing w:line="360" w:lineRule="auto"/>
              <w:ind w:firstLine="420" w:firstLineChars="200"/>
              <w:rPr>
                <w:color w:val="auto"/>
                <w:szCs w:val="21"/>
              </w:rPr>
            </w:pPr>
            <w:r>
              <w:rPr>
                <w:rFonts w:hint="eastAsia"/>
                <w:color w:val="auto"/>
                <w:szCs w:val="21"/>
              </w:rPr>
              <w:t>本项目</w:t>
            </w:r>
            <w:r>
              <w:rPr>
                <w:rFonts w:hint="eastAsia"/>
                <w:color w:val="auto"/>
                <w:szCs w:val="21"/>
                <w:lang w:val="en-US" w:eastAsia="zh-CN"/>
              </w:rPr>
              <w:t>建设完成后</w:t>
            </w:r>
            <w:r>
              <w:rPr>
                <w:rFonts w:hint="eastAsia"/>
                <w:color w:val="auto"/>
                <w:szCs w:val="21"/>
                <w:lang w:eastAsia="zh-CN"/>
              </w:rPr>
              <w:t>生产废水</w:t>
            </w:r>
            <w:r>
              <w:rPr>
                <w:rFonts w:hint="eastAsia"/>
                <w:color w:val="auto"/>
                <w:szCs w:val="21"/>
              </w:rPr>
              <w:t>接管至苏州市桃源富乡污水处理有限公司处理</w:t>
            </w:r>
            <w:r>
              <w:rPr>
                <w:rFonts w:hint="eastAsia"/>
                <w:color w:val="auto"/>
                <w:szCs w:val="21"/>
                <w:lang w:eastAsia="zh-CN"/>
              </w:rPr>
              <w:t>的</w:t>
            </w:r>
            <w:r>
              <w:rPr>
                <w:rFonts w:hint="eastAsia"/>
                <w:color w:val="auto"/>
                <w:szCs w:val="21"/>
                <w:lang w:val="en-US" w:eastAsia="zh-CN"/>
              </w:rPr>
              <w:t>废水量为173740t/a（476t/d），处理后尾水76%（132042.4t/a）回用，其余24%（41697.6t/a）达标排入鳑鲏港</w:t>
            </w:r>
            <w:r>
              <w:rPr>
                <w:rFonts w:hint="eastAsia"/>
                <w:color w:val="auto"/>
                <w:szCs w:val="21"/>
              </w:rPr>
              <w:t>。</w:t>
            </w:r>
          </w:p>
          <w:p w14:paraId="50E57EC3">
            <w:pPr>
              <w:overflowPunct w:val="0"/>
              <w:adjustRightInd w:val="0"/>
              <w:snapToGrid w:val="0"/>
              <w:spacing w:line="360" w:lineRule="auto"/>
              <w:ind w:firstLine="420" w:firstLineChars="200"/>
              <w:rPr>
                <w:color w:val="auto"/>
                <w:szCs w:val="21"/>
              </w:rPr>
            </w:pPr>
            <w:r>
              <w:rPr>
                <w:rFonts w:hint="eastAsia"/>
                <w:color w:val="auto"/>
                <w:szCs w:val="21"/>
              </w:rPr>
              <w:t>②生活污水</w:t>
            </w:r>
          </w:p>
          <w:p w14:paraId="51EC90CF">
            <w:pPr>
              <w:overflowPunct w:val="0"/>
              <w:adjustRightInd w:val="0"/>
              <w:snapToGrid w:val="0"/>
              <w:spacing w:line="360" w:lineRule="auto"/>
              <w:ind w:firstLine="420" w:firstLineChars="200"/>
              <w:rPr>
                <w:rFonts w:hint="eastAsia"/>
                <w:color w:val="auto"/>
                <w:szCs w:val="21"/>
              </w:rPr>
            </w:pPr>
            <w:r>
              <w:rPr>
                <w:rFonts w:hint="eastAsia"/>
                <w:color w:val="auto"/>
                <w:szCs w:val="21"/>
              </w:rPr>
              <w:t>本项目</w:t>
            </w:r>
            <w:r>
              <w:rPr>
                <w:rFonts w:hint="eastAsia"/>
                <w:color w:val="auto"/>
                <w:szCs w:val="21"/>
                <w:lang w:val="en-US" w:eastAsia="zh-CN"/>
              </w:rPr>
              <w:t>全厂员工25人，生活生活用水量912.5t/a，</w:t>
            </w:r>
            <w:r>
              <w:rPr>
                <w:rFonts w:hint="eastAsia"/>
                <w:color w:val="auto"/>
                <w:szCs w:val="21"/>
              </w:rPr>
              <w:t>生活污水按用水量的</w:t>
            </w:r>
            <w:r>
              <w:rPr>
                <w:color w:val="auto"/>
                <w:szCs w:val="21"/>
              </w:rPr>
              <w:t>85%</w:t>
            </w:r>
            <w:r>
              <w:rPr>
                <w:rFonts w:hint="eastAsia"/>
                <w:color w:val="auto"/>
                <w:szCs w:val="21"/>
              </w:rPr>
              <w:t>计，则</w:t>
            </w:r>
            <w:r>
              <w:rPr>
                <w:rFonts w:hint="eastAsia"/>
                <w:color w:val="auto"/>
                <w:szCs w:val="21"/>
                <w:lang w:val="en-US" w:eastAsia="zh-CN"/>
              </w:rPr>
              <w:t>生活污水量为775.6t/a</w:t>
            </w:r>
            <w:r>
              <w:rPr>
                <w:rFonts w:hint="eastAsia"/>
                <w:color w:val="auto"/>
                <w:szCs w:val="21"/>
              </w:rPr>
              <w:t>。</w:t>
            </w:r>
            <w:r>
              <w:rPr>
                <w:rFonts w:hint="eastAsia"/>
                <w:color w:val="auto"/>
                <w:szCs w:val="21"/>
                <w:lang w:eastAsia="zh-CN"/>
              </w:rPr>
              <w:t>生活污水抽运</w:t>
            </w:r>
            <w:r>
              <w:rPr>
                <w:rFonts w:hint="eastAsia"/>
                <w:color w:val="auto"/>
                <w:szCs w:val="21"/>
              </w:rPr>
              <w:t>至</w:t>
            </w:r>
            <w:r>
              <w:rPr>
                <w:rFonts w:hint="eastAsia"/>
                <w:color w:val="auto"/>
                <w:szCs w:val="21"/>
                <w:lang w:eastAsia="zh-CN"/>
              </w:rPr>
              <w:t>苏州市吴江桃源生活污水处理有限公司</w:t>
            </w:r>
            <w:r>
              <w:rPr>
                <w:rFonts w:hint="eastAsia"/>
                <w:color w:val="auto"/>
                <w:szCs w:val="21"/>
              </w:rPr>
              <w:t>处理。</w:t>
            </w:r>
          </w:p>
          <w:p w14:paraId="000F1A1B">
            <w:pPr>
              <w:overflowPunct w:val="0"/>
              <w:adjustRightInd w:val="0"/>
              <w:snapToGrid w:val="0"/>
              <w:spacing w:line="360" w:lineRule="auto"/>
              <w:ind w:firstLine="422" w:firstLineChars="200"/>
              <w:jc w:val="center"/>
              <w:rPr>
                <w:b/>
                <w:bCs/>
                <w:color w:val="auto"/>
                <w:szCs w:val="21"/>
              </w:rPr>
            </w:pPr>
            <w:r>
              <w:rPr>
                <w:rFonts w:hint="eastAsia"/>
                <w:b/>
                <w:bCs/>
                <w:color w:val="auto"/>
                <w:szCs w:val="21"/>
              </w:rPr>
              <w:object>
                <v:shape id="_x0000_i1025" o:spt="75" type="#_x0000_t75" style="height:214.3pt;width:384.7pt;" o:ole="t" filled="f" o:preferrelative="t" stroked="f" coordsize="21600,21600">
                  <v:path/>
                  <v:fill on="f" focussize="0,0"/>
                  <v:stroke on="f"/>
                  <v:imagedata r:id="rId10" o:title=""/>
                  <o:lock v:ext="edit" aspectratio="f"/>
                  <w10:wrap type="none"/>
                  <w10:anchorlock/>
                </v:shape>
                <o:OLEObject Type="Embed" ProgID="Visio.Drawing.15" ShapeID="_x0000_i1025" DrawAspect="Content" ObjectID="_1468075725" r:id="rId9">
                  <o:LockedField>false</o:LockedField>
                </o:OLEObject>
              </w:object>
            </w:r>
            <w:r>
              <w:rPr>
                <w:rFonts w:hint="eastAsia"/>
                <w:b/>
                <w:bCs/>
                <w:color w:val="auto"/>
                <w:szCs w:val="21"/>
              </w:rPr>
              <w:t>图</w:t>
            </w:r>
            <w:r>
              <w:rPr>
                <w:b/>
                <w:bCs/>
                <w:color w:val="auto"/>
                <w:szCs w:val="21"/>
              </w:rPr>
              <w:t xml:space="preserve">2-1  </w:t>
            </w:r>
            <w:r>
              <w:rPr>
                <w:rFonts w:hint="eastAsia"/>
                <w:b/>
                <w:bCs/>
                <w:color w:val="auto"/>
                <w:szCs w:val="21"/>
              </w:rPr>
              <w:t>本项目</w:t>
            </w:r>
            <w:r>
              <w:rPr>
                <w:rFonts w:hint="eastAsia"/>
                <w:b/>
                <w:bCs/>
                <w:color w:val="auto"/>
                <w:szCs w:val="21"/>
                <w:lang w:val="en-US" w:eastAsia="zh-CN"/>
              </w:rPr>
              <w:t>技改后全厂</w:t>
            </w:r>
            <w:r>
              <w:rPr>
                <w:rFonts w:hint="eastAsia"/>
                <w:b/>
                <w:bCs/>
                <w:color w:val="auto"/>
                <w:szCs w:val="21"/>
              </w:rPr>
              <w:t>水平衡图（单位：</w:t>
            </w:r>
            <w:r>
              <w:rPr>
                <w:b/>
                <w:bCs/>
                <w:color w:val="auto"/>
                <w:szCs w:val="21"/>
              </w:rPr>
              <w:t>t/a</w:t>
            </w:r>
            <w:r>
              <w:rPr>
                <w:rFonts w:hint="eastAsia"/>
                <w:b/>
                <w:bCs/>
                <w:color w:val="auto"/>
                <w:szCs w:val="21"/>
              </w:rPr>
              <w:t>）</w:t>
            </w:r>
          </w:p>
          <w:p w14:paraId="2A3ECA0E">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7</w:t>
            </w:r>
            <w:r>
              <w:rPr>
                <w:rFonts w:hint="eastAsia"/>
                <w:b/>
                <w:bCs/>
                <w:snapToGrid w:val="0"/>
                <w:color w:val="auto"/>
                <w:spacing w:val="-2"/>
                <w:kern w:val="0"/>
                <w:szCs w:val="21"/>
              </w:rPr>
              <w:t>、厂区平面布置</w:t>
            </w:r>
          </w:p>
          <w:p w14:paraId="2FE15BE4">
            <w:pPr>
              <w:adjustRightInd w:val="0"/>
              <w:snapToGrid w:val="0"/>
              <w:spacing w:line="360" w:lineRule="auto"/>
              <w:ind w:firstLine="420" w:firstLineChars="200"/>
              <w:rPr>
                <w:color w:val="auto"/>
                <w:szCs w:val="21"/>
              </w:rPr>
            </w:pPr>
            <w:r>
              <w:rPr>
                <w:rFonts w:hint="eastAsia"/>
                <w:color w:val="auto"/>
                <w:szCs w:val="21"/>
              </w:rPr>
              <w:t>本项目厂区总占地面积约</w:t>
            </w:r>
            <w:r>
              <w:rPr>
                <w:rFonts w:hint="eastAsia"/>
                <w:color w:val="auto"/>
                <w:szCs w:val="21"/>
                <w:lang w:val="en-US" w:eastAsia="zh-CN"/>
              </w:rPr>
              <w:t>11209.87</w:t>
            </w:r>
            <w:r>
              <w:rPr>
                <w:color w:val="auto"/>
                <w:szCs w:val="21"/>
              </w:rPr>
              <w:t>m</w:t>
            </w:r>
            <w:r>
              <w:rPr>
                <w:color w:val="auto"/>
                <w:szCs w:val="21"/>
                <w:vertAlign w:val="superscript"/>
              </w:rPr>
              <w:t>2</w:t>
            </w:r>
            <w:r>
              <w:rPr>
                <w:rFonts w:hint="eastAsia"/>
                <w:color w:val="auto"/>
                <w:szCs w:val="21"/>
              </w:rPr>
              <w:t>，总建筑面积</w:t>
            </w:r>
            <w:r>
              <w:rPr>
                <w:rFonts w:hint="eastAsia"/>
                <w:color w:val="auto"/>
                <w:szCs w:val="21"/>
                <w:lang w:val="en-US" w:eastAsia="zh-CN"/>
              </w:rPr>
              <w:t>31000</w:t>
            </w:r>
            <w:r>
              <w:rPr>
                <w:color w:val="auto"/>
                <w:szCs w:val="21"/>
              </w:rPr>
              <w:t>m</w:t>
            </w:r>
            <w:r>
              <w:rPr>
                <w:color w:val="auto"/>
                <w:szCs w:val="21"/>
                <w:vertAlign w:val="superscript"/>
              </w:rPr>
              <w:t>2</w:t>
            </w:r>
            <w:r>
              <w:rPr>
                <w:rFonts w:hint="eastAsia"/>
                <w:color w:val="auto"/>
                <w:szCs w:val="21"/>
              </w:rPr>
              <w:t>，</w:t>
            </w:r>
            <w:r>
              <w:rPr>
                <w:rFonts w:hint="eastAsia"/>
                <w:color w:val="auto"/>
                <w:szCs w:val="21"/>
                <w:lang w:val="en-US" w:eastAsia="zh-CN"/>
              </w:rPr>
              <w:t>拟建设1</w:t>
            </w:r>
            <w:r>
              <w:rPr>
                <w:rFonts w:hint="eastAsia"/>
                <w:color w:val="auto"/>
                <w:szCs w:val="21"/>
              </w:rPr>
              <w:t>栋</w:t>
            </w:r>
            <w:r>
              <w:rPr>
                <w:rFonts w:hint="eastAsia"/>
                <w:color w:val="auto"/>
                <w:szCs w:val="21"/>
                <w:lang w:val="en-US" w:eastAsia="zh-CN"/>
              </w:rPr>
              <w:t>5层</w:t>
            </w:r>
            <w:r>
              <w:rPr>
                <w:rFonts w:hint="eastAsia"/>
                <w:color w:val="auto"/>
                <w:szCs w:val="21"/>
              </w:rPr>
              <w:t>建筑物</w:t>
            </w:r>
            <w:r>
              <w:rPr>
                <w:rFonts w:hint="eastAsia"/>
                <w:color w:val="auto"/>
                <w:szCs w:val="21"/>
                <w:lang w:val="en-US" w:eastAsia="zh-CN"/>
              </w:rPr>
              <w:t>作为本项目的生产车间</w:t>
            </w:r>
            <w:r>
              <w:rPr>
                <w:rFonts w:hint="eastAsia"/>
                <w:color w:val="auto"/>
                <w:szCs w:val="21"/>
              </w:rPr>
              <w:t>，主要设置</w:t>
            </w:r>
            <w:r>
              <w:rPr>
                <w:rFonts w:hint="eastAsia"/>
                <w:color w:val="auto"/>
                <w:szCs w:val="21"/>
                <w:lang w:val="en-US" w:eastAsia="zh-CN"/>
              </w:rPr>
              <w:t>高效喷水织机、高档喷气织机、先进加弹机等生产设备</w:t>
            </w:r>
            <w:r>
              <w:rPr>
                <w:rFonts w:hint="eastAsia"/>
                <w:color w:val="auto"/>
                <w:szCs w:val="21"/>
              </w:rPr>
              <w:t>；</w:t>
            </w:r>
            <w:r>
              <w:rPr>
                <w:rFonts w:hint="eastAsia"/>
                <w:color w:val="auto"/>
                <w:szCs w:val="21"/>
                <w:lang w:val="en-US" w:eastAsia="zh-CN"/>
              </w:rPr>
              <w:t>另外建设危废仓库、一般固废仓库各一，位于2层南部。</w:t>
            </w:r>
            <w:r>
              <w:rPr>
                <w:rFonts w:hint="eastAsia"/>
                <w:color w:val="auto"/>
                <w:szCs w:val="21"/>
              </w:rPr>
              <w:t>本项目详细平面布置情况见附图。</w:t>
            </w:r>
          </w:p>
          <w:p w14:paraId="7A5E27B2">
            <w:pPr>
              <w:adjustRightInd w:val="0"/>
              <w:snapToGrid w:val="0"/>
              <w:spacing w:line="360" w:lineRule="auto"/>
              <w:rPr>
                <w:b/>
                <w:bCs/>
                <w:snapToGrid w:val="0"/>
                <w:color w:val="auto"/>
                <w:spacing w:val="-2"/>
                <w:kern w:val="0"/>
                <w:szCs w:val="21"/>
              </w:rPr>
            </w:pPr>
            <w:r>
              <w:rPr>
                <w:b/>
                <w:bCs/>
                <w:snapToGrid w:val="0"/>
                <w:color w:val="auto"/>
                <w:spacing w:val="-2"/>
                <w:kern w:val="0"/>
                <w:szCs w:val="21"/>
              </w:rPr>
              <w:t>8</w:t>
            </w:r>
            <w:r>
              <w:rPr>
                <w:rFonts w:hint="eastAsia"/>
                <w:b/>
                <w:bCs/>
                <w:snapToGrid w:val="0"/>
                <w:color w:val="auto"/>
                <w:spacing w:val="-2"/>
                <w:kern w:val="0"/>
                <w:szCs w:val="21"/>
              </w:rPr>
              <w:t>、劳动定员及工作制度</w:t>
            </w:r>
          </w:p>
          <w:p w14:paraId="777A0240">
            <w:pPr>
              <w:adjustRightInd w:val="0"/>
              <w:snapToGrid w:val="0"/>
              <w:spacing w:line="360" w:lineRule="auto"/>
              <w:ind w:firstLine="420" w:firstLineChars="200"/>
              <w:rPr>
                <w:color w:val="auto"/>
                <w:szCs w:val="21"/>
              </w:rPr>
            </w:pPr>
            <w:r>
              <w:rPr>
                <w:rFonts w:hint="eastAsia"/>
                <w:color w:val="auto"/>
                <w:szCs w:val="21"/>
              </w:rPr>
              <w:t>员工人数：</w:t>
            </w:r>
            <w:r>
              <w:rPr>
                <w:rFonts w:hint="eastAsia"/>
                <w:color w:val="auto"/>
                <w:szCs w:val="21"/>
                <w:lang w:val="en-US" w:eastAsia="zh-CN"/>
              </w:rPr>
              <w:t>全厂员工25人，</w:t>
            </w:r>
            <w:r>
              <w:rPr>
                <w:rFonts w:hint="eastAsia"/>
                <w:color w:val="auto"/>
                <w:szCs w:val="21"/>
              </w:rPr>
              <w:t>不设食堂、宿舍。</w:t>
            </w:r>
          </w:p>
          <w:p w14:paraId="2CE95CAC">
            <w:pPr>
              <w:adjustRightInd w:val="0"/>
              <w:snapToGrid w:val="0"/>
              <w:spacing w:line="360" w:lineRule="auto"/>
              <w:ind w:firstLine="420" w:firstLineChars="200"/>
              <w:rPr>
                <w:color w:val="auto"/>
                <w:szCs w:val="21"/>
              </w:rPr>
            </w:pPr>
            <w:r>
              <w:rPr>
                <w:rFonts w:hint="eastAsia"/>
                <w:color w:val="auto"/>
                <w:szCs w:val="21"/>
              </w:rPr>
              <w:t>工作制度</w:t>
            </w:r>
            <w:r>
              <w:rPr>
                <w:rFonts w:hint="eastAsia"/>
                <w:color w:val="auto"/>
                <w:szCs w:val="21"/>
                <w:lang w:eastAsia="zh-CN"/>
              </w:rPr>
              <w:t>：一</w:t>
            </w:r>
            <w:r>
              <w:rPr>
                <w:rFonts w:hint="eastAsia"/>
                <w:color w:val="auto"/>
                <w:szCs w:val="21"/>
              </w:rPr>
              <w:t>年工作</w:t>
            </w:r>
            <w:r>
              <w:rPr>
                <w:rFonts w:hint="eastAsia"/>
                <w:color w:val="auto"/>
                <w:szCs w:val="21"/>
                <w:lang w:eastAsia="zh-CN"/>
              </w:rPr>
              <w:t>365天</w:t>
            </w:r>
            <w:r>
              <w:rPr>
                <w:rFonts w:hint="eastAsia"/>
                <w:color w:val="auto"/>
                <w:szCs w:val="21"/>
              </w:rPr>
              <w:t>，</w:t>
            </w:r>
            <w:r>
              <w:rPr>
                <w:rFonts w:hint="eastAsia"/>
                <w:color w:val="auto"/>
                <w:szCs w:val="21"/>
                <w:lang w:val="en-US" w:eastAsia="zh-CN"/>
              </w:rPr>
              <w:t>2</w:t>
            </w:r>
            <w:r>
              <w:rPr>
                <w:rFonts w:hint="eastAsia"/>
                <w:color w:val="auto"/>
                <w:szCs w:val="21"/>
              </w:rPr>
              <w:t>班制，每班</w:t>
            </w:r>
            <w:r>
              <w:rPr>
                <w:color w:val="auto"/>
                <w:szCs w:val="21"/>
              </w:rPr>
              <w:t>12</w:t>
            </w:r>
            <w:r>
              <w:rPr>
                <w:rFonts w:hint="eastAsia"/>
                <w:color w:val="auto"/>
                <w:szCs w:val="21"/>
              </w:rPr>
              <w:t>小时。</w:t>
            </w:r>
          </w:p>
          <w:p w14:paraId="58DC935C">
            <w:pPr>
              <w:adjustRightInd w:val="0"/>
              <w:snapToGrid w:val="0"/>
              <w:spacing w:line="360" w:lineRule="auto"/>
              <w:rPr>
                <w:b/>
                <w:bCs/>
                <w:snapToGrid w:val="0"/>
                <w:color w:val="auto"/>
                <w:spacing w:val="-2"/>
                <w:kern w:val="0"/>
                <w:szCs w:val="21"/>
              </w:rPr>
            </w:pPr>
            <w:r>
              <w:rPr>
                <w:b/>
                <w:bCs/>
                <w:snapToGrid w:val="0"/>
                <w:color w:val="auto"/>
                <w:spacing w:val="-2"/>
                <w:kern w:val="0"/>
                <w:szCs w:val="21"/>
              </w:rPr>
              <w:t>9</w:t>
            </w:r>
            <w:r>
              <w:rPr>
                <w:rFonts w:hint="eastAsia"/>
                <w:b/>
                <w:bCs/>
                <w:snapToGrid w:val="0"/>
                <w:color w:val="auto"/>
                <w:spacing w:val="-2"/>
                <w:kern w:val="0"/>
                <w:szCs w:val="21"/>
              </w:rPr>
              <w:t>、项目周边情况</w:t>
            </w:r>
          </w:p>
          <w:p w14:paraId="542F74F9">
            <w:pPr>
              <w:adjustRightInd w:val="0"/>
              <w:snapToGrid w:val="0"/>
              <w:spacing w:line="360" w:lineRule="auto"/>
              <w:ind w:firstLine="420" w:firstLineChars="200"/>
              <w:rPr>
                <w:rFonts w:hint="default" w:eastAsia="宋体"/>
                <w:color w:val="auto"/>
                <w:szCs w:val="21"/>
                <w:lang w:val="en-US" w:eastAsia="zh-CN"/>
              </w:rPr>
            </w:pPr>
            <w:r>
              <w:rPr>
                <w:rFonts w:hint="eastAsia"/>
                <w:color w:val="auto"/>
                <w:szCs w:val="21"/>
              </w:rPr>
              <w:t>本项目位于苏州市</w:t>
            </w:r>
            <w:r>
              <w:rPr>
                <w:rFonts w:hint="eastAsia"/>
                <w:color w:val="auto"/>
                <w:szCs w:val="21"/>
                <w:lang w:eastAsia="zh-CN"/>
              </w:rPr>
              <w:t>吴江区桃源镇澄源村</w:t>
            </w:r>
            <w:r>
              <w:rPr>
                <w:rFonts w:hint="eastAsia"/>
                <w:color w:val="auto"/>
                <w:szCs w:val="21"/>
              </w:rPr>
              <w:t>。本项目东侧为</w:t>
            </w:r>
            <w:r>
              <w:rPr>
                <w:rFonts w:hint="eastAsia"/>
                <w:color w:val="auto"/>
                <w:szCs w:val="21"/>
                <w:lang w:val="zh-CN"/>
              </w:rPr>
              <w:t>苏州诚义诚纺织有限公司</w:t>
            </w:r>
            <w:r>
              <w:rPr>
                <w:rFonts w:hint="eastAsia"/>
                <w:color w:val="auto"/>
                <w:szCs w:val="21"/>
              </w:rPr>
              <w:t>，西侧为</w:t>
            </w:r>
            <w:r>
              <w:rPr>
                <w:rFonts w:hint="eastAsia"/>
                <w:color w:val="auto"/>
                <w:szCs w:val="21"/>
                <w:lang w:val="en-US"/>
              </w:rPr>
              <w:t>苏州市养生花酒业有限公司</w:t>
            </w:r>
            <w:r>
              <w:rPr>
                <w:rFonts w:hint="eastAsia"/>
                <w:color w:val="auto"/>
                <w:szCs w:val="21"/>
              </w:rPr>
              <w:t>，北侧为</w:t>
            </w:r>
            <w:r>
              <w:rPr>
                <w:rFonts w:hint="eastAsia"/>
                <w:color w:val="auto"/>
                <w:szCs w:val="21"/>
                <w:lang w:val="en-US" w:eastAsia="zh-CN"/>
              </w:rPr>
              <w:t>苏州双鸣纺织有限公司</w:t>
            </w:r>
            <w:r>
              <w:rPr>
                <w:rFonts w:hint="eastAsia"/>
                <w:color w:val="auto"/>
                <w:szCs w:val="21"/>
              </w:rPr>
              <w:t>，南侧为</w:t>
            </w:r>
            <w:r>
              <w:rPr>
                <w:rFonts w:hint="eastAsia"/>
                <w:color w:val="auto"/>
                <w:szCs w:val="21"/>
                <w:lang w:val="zh-CN"/>
              </w:rPr>
              <w:t>江南运河</w:t>
            </w:r>
            <w:r>
              <w:rPr>
                <w:rFonts w:hint="eastAsia"/>
                <w:color w:val="auto"/>
                <w:szCs w:val="21"/>
              </w:rPr>
              <w:t>。本项目周边情况见附图。</w:t>
            </w:r>
          </w:p>
        </w:tc>
      </w:tr>
      <w:tr w14:paraId="41FE6D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5" w:hRule="atLeast"/>
          <w:jc w:val="center"/>
        </w:trPr>
        <w:tc>
          <w:tcPr>
            <w:tcW w:w="604" w:type="dxa"/>
            <w:vAlign w:val="center"/>
          </w:tcPr>
          <w:p w14:paraId="2923A9FB">
            <w:pPr>
              <w:pStyle w:val="22"/>
              <w:adjustRightInd w:val="0"/>
              <w:snapToGrid w:val="0"/>
              <w:spacing w:before="0" w:beforeAutospacing="0" w:after="0" w:afterAutospacing="0"/>
              <w:jc w:val="center"/>
              <w:rPr>
                <w:rFonts w:ascii="Times New Roman" w:hAnsi="Times New Roman"/>
                <w:color w:val="auto"/>
                <w:sz w:val="21"/>
                <w:szCs w:val="21"/>
              </w:rPr>
            </w:pPr>
            <w:r>
              <w:rPr>
                <w:rFonts w:hint="eastAsia" w:ascii="Times New Roman" w:hAnsi="Times New Roman"/>
                <w:color w:val="auto"/>
                <w:sz w:val="21"/>
                <w:szCs w:val="21"/>
              </w:rPr>
              <w:t>工艺流程和产排污环节</w:t>
            </w:r>
          </w:p>
        </w:tc>
        <w:tc>
          <w:tcPr>
            <w:tcW w:w="7911" w:type="dxa"/>
            <w:vAlign w:val="top"/>
          </w:tcPr>
          <w:p w14:paraId="75479F07">
            <w:pPr>
              <w:adjustRightInd w:val="0"/>
              <w:snapToGrid w:val="0"/>
              <w:spacing w:line="360" w:lineRule="auto"/>
              <w:rPr>
                <w:b/>
                <w:color w:val="auto"/>
                <w:szCs w:val="21"/>
              </w:rPr>
            </w:pPr>
            <w:r>
              <w:rPr>
                <w:b/>
                <w:color w:val="auto"/>
                <w:szCs w:val="21"/>
              </w:rPr>
              <w:t>1</w:t>
            </w:r>
            <w:r>
              <w:rPr>
                <w:rFonts w:hint="eastAsia"/>
                <w:b/>
                <w:color w:val="auto"/>
                <w:szCs w:val="21"/>
              </w:rPr>
              <w:t>、工艺流程</w:t>
            </w:r>
          </w:p>
          <w:p w14:paraId="714F973A">
            <w:pPr>
              <w:spacing w:line="360" w:lineRule="auto"/>
              <w:jc w:val="center"/>
              <w:rPr>
                <w:rFonts w:hint="eastAsia" w:eastAsia="宋体"/>
                <w:color w:val="auto"/>
                <w:lang w:eastAsia="zh-CN"/>
              </w:rPr>
            </w:pPr>
            <w:r>
              <w:rPr>
                <w:rFonts w:hint="eastAsia" w:eastAsia="宋体"/>
                <w:color w:val="auto"/>
                <w:lang w:eastAsia="zh-CN"/>
              </w:rPr>
              <w:object>
                <v:shape id="_x0000_i1026" o:spt="75" type="#_x0000_t75" style="height:497.65pt;width:282.45pt;" o:ole="t" filled="f" o:preferrelative="t" stroked="f" coordsize="21600,21600">
                  <v:path/>
                  <v:fill on="f" focussize="0,0"/>
                  <v:stroke on="f"/>
                  <v:imagedata r:id="rId12" o:title=""/>
                  <o:lock v:ext="edit" aspectratio="f"/>
                  <w10:wrap type="none"/>
                  <w10:anchorlock/>
                </v:shape>
                <o:OLEObject Type="Embed" ProgID="Visio.Drawing.15" ShapeID="_x0000_i1026" DrawAspect="Content" ObjectID="_1468075726" r:id="rId11">
                  <o:LockedField>false</o:LockedField>
                </o:OLEObject>
              </w:object>
            </w:r>
          </w:p>
          <w:p w14:paraId="3A8D1B1C">
            <w:pPr>
              <w:overflowPunct w:val="0"/>
              <w:adjustRightInd w:val="0"/>
              <w:snapToGrid w:val="0"/>
              <w:spacing w:line="360" w:lineRule="auto"/>
              <w:jc w:val="center"/>
              <w:rPr>
                <w:b/>
                <w:bCs/>
                <w:color w:val="auto"/>
                <w:szCs w:val="21"/>
              </w:rPr>
            </w:pPr>
            <w:r>
              <w:rPr>
                <w:rFonts w:hint="eastAsia"/>
                <w:b/>
                <w:bCs/>
                <w:color w:val="auto"/>
                <w:szCs w:val="21"/>
              </w:rPr>
              <w:t>图</w:t>
            </w:r>
            <w:r>
              <w:rPr>
                <w:b/>
                <w:bCs/>
                <w:color w:val="auto"/>
                <w:szCs w:val="21"/>
              </w:rPr>
              <w:t>2-</w:t>
            </w:r>
            <w:r>
              <w:rPr>
                <w:rFonts w:hint="eastAsia"/>
                <w:b/>
                <w:bCs/>
                <w:color w:val="auto"/>
                <w:szCs w:val="21"/>
                <w:lang w:val="en-US" w:eastAsia="zh-CN"/>
              </w:rPr>
              <w:t>2</w:t>
            </w:r>
            <w:r>
              <w:rPr>
                <w:b/>
                <w:bCs/>
                <w:color w:val="auto"/>
                <w:szCs w:val="21"/>
              </w:rPr>
              <w:t xml:space="preserve">  </w:t>
            </w:r>
            <w:r>
              <w:rPr>
                <w:rFonts w:hint="eastAsia"/>
                <w:b/>
                <w:bCs/>
                <w:color w:val="auto"/>
                <w:szCs w:val="21"/>
              </w:rPr>
              <w:t>生产工艺流程及产污环节示意图</w:t>
            </w:r>
          </w:p>
          <w:p w14:paraId="57F2D807">
            <w:pPr>
              <w:spacing w:line="360" w:lineRule="auto"/>
              <w:jc w:val="left"/>
              <w:rPr>
                <w:b/>
                <w:bCs/>
                <w:color w:val="auto"/>
                <w:szCs w:val="21"/>
              </w:rPr>
            </w:pPr>
            <w:r>
              <w:rPr>
                <w:rFonts w:hint="eastAsia"/>
                <w:b/>
                <w:bCs/>
                <w:color w:val="auto"/>
                <w:szCs w:val="21"/>
              </w:rPr>
              <w:t>工艺流程说明：</w:t>
            </w:r>
          </w:p>
          <w:p w14:paraId="4C9BF268">
            <w:pPr>
              <w:spacing w:line="360" w:lineRule="auto"/>
              <w:ind w:firstLine="422" w:firstLineChars="200"/>
              <w:rPr>
                <w:b/>
                <w:bCs/>
                <w:color w:val="auto"/>
                <w:szCs w:val="21"/>
              </w:rPr>
            </w:pPr>
            <w:r>
              <w:rPr>
                <w:rFonts w:hint="eastAsia"/>
                <w:b/>
                <w:bCs/>
                <w:color w:val="auto"/>
                <w:szCs w:val="21"/>
                <w:lang w:val="en-US" w:eastAsia="zh-CN"/>
              </w:rPr>
              <w:t>整经</w:t>
            </w:r>
            <w:r>
              <w:rPr>
                <w:rFonts w:hint="eastAsia"/>
                <w:b/>
                <w:bCs/>
                <w:color w:val="auto"/>
                <w:szCs w:val="21"/>
              </w:rPr>
              <w:t>：</w:t>
            </w:r>
            <w:r>
              <w:rPr>
                <w:rFonts w:hint="eastAsia"/>
                <w:color w:val="auto"/>
                <w:szCs w:val="21"/>
              </w:rPr>
              <w:t>按工艺设计所规定的经纱根数从整经机后的筒子上引出一幅片纱，并按设计规定的长度、幅宽将纱片</w:t>
            </w:r>
            <w:r>
              <w:rPr>
                <w:rFonts w:hint="eastAsia"/>
                <w:color w:val="auto"/>
                <w:szCs w:val="21"/>
                <w:lang w:eastAsia="zh-CN"/>
              </w:rPr>
              <w:t>平行地</w:t>
            </w:r>
            <w:r>
              <w:rPr>
                <w:rFonts w:hint="eastAsia"/>
                <w:color w:val="auto"/>
                <w:szCs w:val="21"/>
              </w:rPr>
              <w:t>卷绕成轴。该工段产生S1废丝。</w:t>
            </w:r>
          </w:p>
          <w:p w14:paraId="7224E55A">
            <w:pPr>
              <w:spacing w:line="360" w:lineRule="auto"/>
              <w:ind w:firstLine="422" w:firstLineChars="200"/>
              <w:rPr>
                <w:rFonts w:hint="default"/>
                <w:color w:val="auto"/>
                <w:szCs w:val="21"/>
                <w:lang w:val="en-US" w:eastAsia="zh-CN"/>
              </w:rPr>
            </w:pPr>
            <w:r>
              <w:rPr>
                <w:rFonts w:hint="eastAsia"/>
                <w:b/>
                <w:bCs/>
                <w:color w:val="auto"/>
                <w:szCs w:val="21"/>
                <w:lang w:val="en-US" w:eastAsia="zh-CN"/>
              </w:rPr>
              <w:t>加弹</w:t>
            </w:r>
            <w:r>
              <w:rPr>
                <w:rFonts w:hint="eastAsia"/>
                <w:b/>
                <w:bCs/>
                <w:color w:val="auto"/>
                <w:szCs w:val="21"/>
              </w:rPr>
              <w:t>：</w:t>
            </w:r>
            <w:r>
              <w:rPr>
                <w:rFonts w:hint="eastAsia"/>
                <w:b w:val="0"/>
                <w:bCs w:val="0"/>
                <w:color w:val="auto"/>
                <w:szCs w:val="21"/>
                <w:lang w:val="en-US" w:eastAsia="zh-CN"/>
              </w:rPr>
              <w:t>将外购的化纤丝利用加弹机（电加热，150℃）进行牵伸、假捻变形</w:t>
            </w:r>
            <w:r>
              <w:rPr>
                <w:rFonts w:hint="eastAsia"/>
                <w:color w:val="auto"/>
                <w:szCs w:val="21"/>
                <w:lang w:val="en-US" w:eastAsia="zh-CN"/>
              </w:rPr>
              <w:t>，形成具有一定弹性、强力、卷曲、抱合等可纺性的长丝，方便后续工序的进行。该工段使用纺丝油剂，加热会使油剂挥发，产生加弹废气G1。本工段还会产生废纺丝油剂包装S2。</w:t>
            </w:r>
          </w:p>
          <w:p w14:paraId="286A44F1">
            <w:pPr>
              <w:spacing w:line="360" w:lineRule="auto"/>
              <w:ind w:firstLine="422" w:firstLineChars="200"/>
              <w:rPr>
                <w:rFonts w:hint="eastAsia"/>
                <w:color w:val="auto"/>
                <w:szCs w:val="21"/>
                <w:lang w:val="en-US" w:eastAsia="zh-CN"/>
              </w:rPr>
            </w:pPr>
            <w:r>
              <w:rPr>
                <w:rFonts w:hint="eastAsia"/>
                <w:b/>
                <w:bCs/>
                <w:color w:val="auto"/>
                <w:szCs w:val="21"/>
                <w:lang w:val="en-US" w:eastAsia="zh-CN"/>
              </w:rPr>
              <w:t>穿综扒筘</w:t>
            </w:r>
            <w:r>
              <w:rPr>
                <w:rFonts w:hint="eastAsia"/>
                <w:b/>
                <w:bCs/>
                <w:color w:val="auto"/>
                <w:szCs w:val="21"/>
              </w:rPr>
              <w:t>：</w:t>
            </w:r>
            <w:r>
              <w:rPr>
                <w:rFonts w:hint="eastAsia" w:ascii="Times New Roman" w:eastAsia="宋体"/>
                <w:b w:val="0"/>
                <w:bCs w:val="0"/>
                <w:color w:val="auto"/>
                <w:szCs w:val="21"/>
                <w:lang w:val="en-US" w:eastAsia="zh-CN"/>
              </w:rPr>
              <w:t>经纱准备工作的最后一道工序，工人根据织物的要求手工将织轴上的经纱按一定的规律穿过综丝和筘，以便织造时形成锁扣引入纬纱织所需的织物，这样在经纱断头时能及时停下，不致于造成织瑕</w:t>
            </w:r>
            <w:r>
              <w:rPr>
                <w:rFonts w:hint="eastAsia" w:ascii="Times New Roman" w:eastAsia="宋体"/>
                <w:color w:val="auto"/>
                <w:szCs w:val="21"/>
                <w:lang w:val="en-US" w:eastAsia="zh-CN"/>
              </w:rPr>
              <w:t>，</w:t>
            </w:r>
            <w:r>
              <w:rPr>
                <w:rFonts w:hint="eastAsia"/>
                <w:color w:val="auto"/>
                <w:szCs w:val="21"/>
                <w:lang w:val="en-US" w:eastAsia="zh-CN"/>
              </w:rPr>
              <w:t>此工段产生废丝S3</w:t>
            </w:r>
            <w:r>
              <w:rPr>
                <w:rFonts w:hint="eastAsia" w:ascii="Times New Roman" w:eastAsia="宋体"/>
                <w:color w:val="auto"/>
                <w:szCs w:val="21"/>
                <w:lang w:val="en-US" w:eastAsia="zh-CN"/>
              </w:rPr>
              <w:t>。</w:t>
            </w:r>
          </w:p>
          <w:p w14:paraId="47E6440D">
            <w:pPr>
              <w:spacing w:line="360" w:lineRule="auto"/>
              <w:ind w:firstLine="422" w:firstLineChars="200"/>
              <w:rPr>
                <w:rFonts w:hint="eastAsia"/>
                <w:color w:val="auto"/>
                <w:szCs w:val="21"/>
                <w:lang w:val="en-US" w:eastAsia="zh-CN"/>
              </w:rPr>
            </w:pPr>
            <w:r>
              <w:rPr>
                <w:rFonts w:hint="eastAsia"/>
                <w:b/>
                <w:bCs/>
                <w:color w:val="auto"/>
                <w:szCs w:val="21"/>
                <w:lang w:val="en-US" w:eastAsia="zh-CN"/>
              </w:rPr>
              <w:t>喷气织造</w:t>
            </w:r>
            <w:r>
              <w:rPr>
                <w:rFonts w:hint="eastAsia"/>
                <w:b/>
                <w:bCs/>
                <w:color w:val="auto"/>
                <w:szCs w:val="21"/>
              </w:rPr>
              <w:t>：</w:t>
            </w:r>
            <w:r>
              <w:rPr>
                <w:rFonts w:hint="eastAsia" w:ascii="Times New Roman" w:eastAsia="宋体"/>
                <w:b w:val="0"/>
                <w:bCs w:val="0"/>
                <w:color w:val="auto"/>
                <w:szCs w:val="21"/>
                <w:lang w:val="en-US" w:eastAsia="zh-CN"/>
              </w:rPr>
              <w:t>将经轴和纬纱筒安装到喷气织机上，利用空气作为引纬介质，以喷射出的压缩气流对纬纱产生摩擦牵引力进行牵引，将纬纱带过梭口，通过喷气产生的喷射动力将纬纱喷射到经纱之间，通过织布机的综片运动和筘运动，使纬纱和经纱交织在一起完成织布。此工序过程会产生</w:t>
            </w:r>
            <w:r>
              <w:rPr>
                <w:rFonts w:hint="eastAsia"/>
                <w:b w:val="0"/>
                <w:bCs w:val="0"/>
                <w:color w:val="auto"/>
                <w:szCs w:val="21"/>
                <w:lang w:val="en-US" w:eastAsia="zh-CN"/>
              </w:rPr>
              <w:t>少量</w:t>
            </w:r>
            <w:r>
              <w:rPr>
                <w:rFonts w:hint="eastAsia" w:ascii="Times New Roman" w:eastAsia="宋体"/>
                <w:b w:val="0"/>
                <w:bCs w:val="0"/>
                <w:color w:val="auto"/>
                <w:szCs w:val="21"/>
                <w:lang w:val="en-US" w:eastAsia="zh-CN"/>
              </w:rPr>
              <w:t>纤维粉尘</w:t>
            </w:r>
            <w:r>
              <w:rPr>
                <w:rFonts w:hint="eastAsia"/>
                <w:b w:val="0"/>
                <w:bCs w:val="0"/>
                <w:color w:val="auto"/>
                <w:szCs w:val="21"/>
                <w:lang w:val="en-US" w:eastAsia="zh-CN"/>
              </w:rPr>
              <w:t>，由于产生量极小，本环评不做定量分析。喷气织造还会产生</w:t>
            </w:r>
            <w:r>
              <w:rPr>
                <w:rFonts w:hint="eastAsia" w:ascii="Times New Roman" w:eastAsia="宋体"/>
                <w:b w:val="0"/>
                <w:bCs w:val="0"/>
                <w:color w:val="auto"/>
                <w:szCs w:val="21"/>
                <w:lang w:val="en-US" w:eastAsia="zh-CN"/>
              </w:rPr>
              <w:t>废丝S</w:t>
            </w:r>
            <w:r>
              <w:rPr>
                <w:rFonts w:hint="eastAsia"/>
                <w:b w:val="0"/>
                <w:bCs w:val="0"/>
                <w:color w:val="auto"/>
                <w:szCs w:val="21"/>
                <w:lang w:val="en-US" w:eastAsia="zh-CN"/>
              </w:rPr>
              <w:t>4</w:t>
            </w:r>
            <w:r>
              <w:rPr>
                <w:rFonts w:hint="eastAsia" w:ascii="Times New Roman" w:eastAsia="宋体"/>
                <w:color w:val="auto"/>
                <w:szCs w:val="21"/>
                <w:lang w:val="en-US" w:eastAsia="zh-CN"/>
              </w:rPr>
              <w:t>。</w:t>
            </w:r>
          </w:p>
          <w:p w14:paraId="6E9BF40B">
            <w:pPr>
              <w:spacing w:line="360" w:lineRule="auto"/>
              <w:ind w:firstLine="422" w:firstLineChars="200"/>
              <w:rPr>
                <w:rFonts w:hint="eastAsia"/>
                <w:color w:val="auto"/>
                <w:szCs w:val="21"/>
                <w:lang w:val="en-US" w:eastAsia="zh-CN"/>
              </w:rPr>
            </w:pPr>
            <w:r>
              <w:rPr>
                <w:rFonts w:hint="eastAsia"/>
                <w:b/>
                <w:bCs/>
                <w:color w:val="auto"/>
                <w:szCs w:val="21"/>
                <w:lang w:val="en-US" w:eastAsia="zh-CN"/>
              </w:rPr>
              <w:t>喷水织造</w:t>
            </w:r>
            <w:r>
              <w:rPr>
                <w:rFonts w:hint="eastAsia"/>
                <w:b/>
                <w:bCs/>
                <w:color w:val="auto"/>
                <w:szCs w:val="21"/>
              </w:rPr>
              <w:t>：</w:t>
            </w:r>
            <w:r>
              <w:rPr>
                <w:rFonts w:hint="eastAsia" w:ascii="Times New Roman" w:eastAsia="宋体"/>
                <w:b w:val="0"/>
                <w:bCs w:val="0"/>
                <w:color w:val="auto"/>
                <w:szCs w:val="21"/>
                <w:lang w:val="en-US" w:eastAsia="zh-CN"/>
              </w:rPr>
              <w:t>将经轴和纬纱筒分别安装到喷水织机上，利用高压水的喷射动力将纬纱喷射到经纱之间，通过织布机综片运动的和筘运动，使纬纱和经纱交织在一起完成织布。此工序过程会产生</w:t>
            </w:r>
            <w:r>
              <w:rPr>
                <w:rFonts w:hint="eastAsia"/>
                <w:b w:val="0"/>
                <w:bCs w:val="0"/>
                <w:color w:val="auto"/>
                <w:szCs w:val="21"/>
                <w:lang w:val="en-US" w:eastAsia="zh-CN"/>
              </w:rPr>
              <w:t>织造</w:t>
            </w:r>
            <w:r>
              <w:rPr>
                <w:rFonts w:hint="eastAsia" w:ascii="Times New Roman" w:eastAsia="宋体"/>
                <w:b w:val="0"/>
                <w:bCs w:val="0"/>
                <w:color w:val="auto"/>
                <w:szCs w:val="21"/>
                <w:lang w:val="en-US" w:eastAsia="zh-CN"/>
              </w:rPr>
              <w:t>废水W1、废丝S</w:t>
            </w:r>
            <w:r>
              <w:rPr>
                <w:rFonts w:hint="eastAsia"/>
                <w:b w:val="0"/>
                <w:bCs w:val="0"/>
                <w:color w:val="auto"/>
                <w:szCs w:val="21"/>
                <w:lang w:val="en-US" w:eastAsia="zh-CN"/>
              </w:rPr>
              <w:t>5</w:t>
            </w:r>
            <w:r>
              <w:rPr>
                <w:rFonts w:hint="eastAsia" w:ascii="Times New Roman" w:eastAsia="宋体"/>
                <w:color w:val="auto"/>
                <w:szCs w:val="21"/>
                <w:lang w:val="en-US" w:eastAsia="zh-CN"/>
              </w:rPr>
              <w:t>。</w:t>
            </w:r>
          </w:p>
          <w:p w14:paraId="79300086">
            <w:pPr>
              <w:spacing w:line="360" w:lineRule="auto"/>
              <w:ind w:firstLine="422" w:firstLineChars="200"/>
              <w:rPr>
                <w:rFonts w:hint="eastAsia"/>
                <w:color w:val="auto"/>
                <w:szCs w:val="21"/>
                <w:lang w:val="en-US" w:eastAsia="zh-CN"/>
              </w:rPr>
            </w:pPr>
            <w:r>
              <w:rPr>
                <w:rFonts w:hint="eastAsia"/>
                <w:b/>
                <w:bCs/>
                <w:color w:val="auto"/>
                <w:szCs w:val="21"/>
                <w:lang w:val="en-US" w:eastAsia="zh-CN"/>
              </w:rPr>
              <w:t>复合</w:t>
            </w:r>
            <w:r>
              <w:rPr>
                <w:rFonts w:hint="eastAsia"/>
                <w:b/>
                <w:bCs/>
                <w:color w:val="auto"/>
                <w:szCs w:val="21"/>
              </w:rPr>
              <w:t>：</w:t>
            </w:r>
            <w:r>
              <w:rPr>
                <w:rFonts w:hint="eastAsia" w:ascii="Times New Roman" w:eastAsia="宋体"/>
                <w:b w:val="0"/>
                <w:bCs w:val="0"/>
                <w:color w:val="auto"/>
                <w:szCs w:val="21"/>
                <w:lang w:val="en-US" w:eastAsia="zh-CN"/>
              </w:rPr>
              <w:t>本工段是将两层纺织材料通过粘合剂粘合、热压或层压工艺结合，形成具有新特性复合材料的过程。该工艺能改善面料质感，赋予其防风、透气、保暖、防水透湿、耐磨等特定功能。</w:t>
            </w:r>
            <w:r>
              <w:rPr>
                <w:rFonts w:hint="eastAsia"/>
                <w:b w:val="0"/>
                <w:bCs w:val="0"/>
                <w:color w:val="auto"/>
                <w:szCs w:val="21"/>
                <w:lang w:val="en-US" w:eastAsia="zh-CN"/>
              </w:rPr>
              <w:t>复合使用水性粘合剂TF-3901D，复合时热压会使粘合剂中的有机成分挥发，</w:t>
            </w:r>
            <w:r>
              <w:rPr>
                <w:rFonts w:hint="eastAsia" w:ascii="Times New Roman" w:eastAsia="宋体"/>
                <w:color w:val="auto"/>
                <w:szCs w:val="21"/>
                <w:lang w:val="en-US" w:eastAsia="zh-CN"/>
              </w:rPr>
              <w:t>产生</w:t>
            </w:r>
            <w:r>
              <w:rPr>
                <w:rFonts w:hint="eastAsia"/>
                <w:color w:val="auto"/>
                <w:szCs w:val="21"/>
                <w:lang w:val="en-US" w:eastAsia="zh-CN"/>
              </w:rPr>
              <w:t>复合</w:t>
            </w:r>
            <w:r>
              <w:rPr>
                <w:rFonts w:hint="eastAsia" w:ascii="Times New Roman" w:eastAsia="宋体"/>
                <w:color w:val="auto"/>
                <w:szCs w:val="21"/>
                <w:lang w:val="en-US" w:eastAsia="zh-CN"/>
              </w:rPr>
              <w:t>废气G</w:t>
            </w:r>
            <w:r>
              <w:rPr>
                <w:rFonts w:hint="eastAsia"/>
                <w:color w:val="auto"/>
                <w:szCs w:val="21"/>
                <w:lang w:val="en-US" w:eastAsia="zh-CN"/>
              </w:rPr>
              <w:t>3，除此之外，还会产生废胶水S6和废胶水包装S7</w:t>
            </w:r>
            <w:r>
              <w:rPr>
                <w:rFonts w:hint="eastAsia" w:ascii="Times New Roman" w:eastAsia="宋体"/>
                <w:color w:val="auto"/>
                <w:szCs w:val="21"/>
                <w:lang w:val="en-US" w:eastAsia="zh-CN"/>
              </w:rPr>
              <w:t>。</w:t>
            </w:r>
          </w:p>
          <w:p w14:paraId="5680C5A9">
            <w:pPr>
              <w:spacing w:line="360" w:lineRule="auto"/>
              <w:ind w:firstLine="422" w:firstLineChars="200"/>
              <w:rPr>
                <w:rFonts w:hint="default"/>
                <w:color w:val="auto"/>
                <w:szCs w:val="21"/>
                <w:lang w:val="en-US" w:eastAsia="zh-CN"/>
              </w:rPr>
            </w:pPr>
            <w:r>
              <w:rPr>
                <w:rFonts w:hint="eastAsia"/>
                <w:b/>
                <w:bCs/>
                <w:color w:val="auto"/>
                <w:szCs w:val="21"/>
                <w:lang w:val="en-US" w:eastAsia="zh-CN"/>
              </w:rPr>
              <w:t>定型除皱</w:t>
            </w:r>
            <w:r>
              <w:rPr>
                <w:rFonts w:hint="eastAsia"/>
                <w:b/>
                <w:bCs/>
                <w:color w:val="auto"/>
                <w:szCs w:val="21"/>
              </w:rPr>
              <w:t>：</w:t>
            </w:r>
            <w:r>
              <w:rPr>
                <w:rFonts w:hint="eastAsia" w:ascii="Times New Roman" w:eastAsia="宋体"/>
                <w:b w:val="0"/>
                <w:bCs w:val="0"/>
                <w:color w:val="auto"/>
                <w:szCs w:val="21"/>
                <w:lang w:val="en-US" w:eastAsia="zh-CN"/>
              </w:rPr>
              <w:t>定型工艺是通过物理或化学方法使面料达到所需的尺寸稳定性和外观效果</w:t>
            </w:r>
            <w:r>
              <w:rPr>
                <w:rFonts w:hint="eastAsia"/>
                <w:b w:val="0"/>
                <w:bCs w:val="0"/>
                <w:color w:val="auto"/>
                <w:szCs w:val="21"/>
                <w:lang w:val="en-US" w:eastAsia="zh-CN"/>
              </w:rPr>
              <w:t>的一种工艺</w:t>
            </w:r>
            <w:r>
              <w:rPr>
                <w:rFonts w:hint="eastAsia" w:ascii="Times New Roman" w:eastAsia="宋体"/>
                <w:b w:val="0"/>
                <w:bCs w:val="0"/>
                <w:color w:val="auto"/>
                <w:szCs w:val="21"/>
                <w:lang w:val="en-US" w:eastAsia="zh-CN"/>
              </w:rPr>
              <w:t>。定型工艺可以改善面料的尺寸稳定性、平整度、光泽和手感，同时减少缩水率和起皱现象</w:t>
            </w:r>
            <w:r>
              <w:rPr>
                <w:rFonts w:hint="eastAsia"/>
                <w:b w:val="0"/>
                <w:bCs w:val="0"/>
                <w:color w:val="auto"/>
                <w:szCs w:val="21"/>
                <w:lang w:val="en-US" w:eastAsia="zh-CN"/>
              </w:rPr>
              <w:t>。本次建设的定型除皱工艺，使用电加热烘烤的方式，使得布料减少褶皱更加平整，并且增加折痕作为装饰效果</w:t>
            </w:r>
            <w:r>
              <w:rPr>
                <w:rFonts w:hint="eastAsia" w:ascii="Times New Roman" w:eastAsia="宋体"/>
                <w:color w:val="auto"/>
                <w:szCs w:val="21"/>
                <w:lang w:val="en-US" w:eastAsia="zh-CN"/>
              </w:rPr>
              <w:t>。</w:t>
            </w:r>
            <w:r>
              <w:rPr>
                <w:rFonts w:hint="eastAsia"/>
                <w:color w:val="auto"/>
                <w:szCs w:val="21"/>
                <w:lang w:val="en-US" w:eastAsia="zh-CN"/>
              </w:rPr>
              <w:t>本工段不产生废气、废水、固废。</w:t>
            </w:r>
          </w:p>
          <w:p w14:paraId="6D795C2F">
            <w:pPr>
              <w:adjustRightInd w:val="0"/>
              <w:snapToGrid w:val="0"/>
              <w:spacing w:line="360" w:lineRule="auto"/>
              <w:ind w:firstLine="422" w:firstLineChars="200"/>
              <w:rPr>
                <w:rFonts w:hint="default"/>
                <w:b w:val="0"/>
                <w:bCs w:val="0"/>
                <w:color w:val="auto"/>
                <w:szCs w:val="21"/>
                <w:lang w:val="en-US" w:eastAsia="zh-CN"/>
              </w:rPr>
            </w:pPr>
            <w:r>
              <w:rPr>
                <w:rFonts w:hint="eastAsia"/>
                <w:b/>
                <w:bCs/>
                <w:color w:val="auto"/>
                <w:szCs w:val="21"/>
                <w:lang w:val="en-US" w:eastAsia="zh-CN"/>
              </w:rPr>
              <w:t>打卷：</w:t>
            </w:r>
            <w:r>
              <w:rPr>
                <w:rFonts w:hint="eastAsia"/>
                <w:b w:val="0"/>
                <w:bCs w:val="0"/>
                <w:color w:val="auto"/>
                <w:szCs w:val="21"/>
                <w:lang w:val="en-US" w:eastAsia="zh-CN"/>
              </w:rPr>
              <w:t>将最终产品卷起，存入成品仓库，等待外售。</w:t>
            </w:r>
          </w:p>
          <w:p w14:paraId="29687683">
            <w:pPr>
              <w:adjustRightInd w:val="0"/>
              <w:snapToGrid w:val="0"/>
              <w:spacing w:line="360" w:lineRule="auto"/>
              <w:rPr>
                <w:b/>
                <w:color w:val="auto"/>
                <w:szCs w:val="21"/>
              </w:rPr>
            </w:pPr>
            <w:r>
              <w:rPr>
                <w:rFonts w:hint="eastAsia"/>
                <w:b/>
                <w:color w:val="auto"/>
                <w:szCs w:val="21"/>
              </w:rPr>
              <w:t>补充说明：</w:t>
            </w:r>
          </w:p>
          <w:p w14:paraId="5154FCE3">
            <w:pPr>
              <w:adjustRightInd w:val="0"/>
              <w:snapToGrid w:val="0"/>
              <w:spacing w:line="360" w:lineRule="auto"/>
              <w:ind w:firstLine="420" w:firstLineChars="200"/>
              <w:rPr>
                <w:rFonts w:hint="default" w:eastAsia="宋体"/>
                <w:bCs/>
                <w:color w:val="auto"/>
                <w:szCs w:val="21"/>
                <w:lang w:val="en-US" w:eastAsia="zh-CN"/>
              </w:rPr>
            </w:pPr>
            <w:r>
              <w:rPr>
                <w:rFonts w:hint="eastAsia"/>
                <w:bCs/>
                <w:color w:val="auto"/>
                <w:szCs w:val="21"/>
              </w:rPr>
              <w:t>①</w:t>
            </w:r>
            <w:r>
              <w:rPr>
                <w:rFonts w:hint="eastAsia"/>
                <w:bCs/>
                <w:color w:val="auto"/>
                <w:szCs w:val="21"/>
                <w:lang w:val="en-US" w:eastAsia="zh-CN"/>
              </w:rPr>
              <w:t>本项目员工25人，故新增生活污水W2、生活垃圾S14；</w:t>
            </w:r>
          </w:p>
          <w:p w14:paraId="2239B044">
            <w:pPr>
              <w:adjustRightInd w:val="0"/>
              <w:snapToGrid w:val="0"/>
              <w:spacing w:line="360" w:lineRule="auto"/>
              <w:ind w:firstLine="420" w:firstLineChars="200"/>
              <w:rPr>
                <w:bCs/>
                <w:color w:val="auto"/>
                <w:szCs w:val="21"/>
              </w:rPr>
            </w:pPr>
            <w:r>
              <w:rPr>
                <w:rFonts w:hint="eastAsia"/>
                <w:bCs/>
                <w:color w:val="auto"/>
                <w:szCs w:val="21"/>
              </w:rPr>
              <w:t>②生产设备日常维护使用润滑油，产生废润滑油</w:t>
            </w:r>
            <w:r>
              <w:rPr>
                <w:bCs/>
                <w:color w:val="auto"/>
                <w:szCs w:val="21"/>
              </w:rPr>
              <w:t>S</w:t>
            </w:r>
            <w:r>
              <w:rPr>
                <w:rFonts w:hint="eastAsia"/>
                <w:bCs/>
                <w:color w:val="auto"/>
                <w:szCs w:val="21"/>
                <w:lang w:val="en-US" w:eastAsia="zh-CN"/>
              </w:rPr>
              <w:t>8</w:t>
            </w:r>
            <w:r>
              <w:rPr>
                <w:rFonts w:hint="eastAsia"/>
                <w:bCs/>
                <w:color w:val="auto"/>
                <w:szCs w:val="21"/>
              </w:rPr>
              <w:t>及</w:t>
            </w:r>
            <w:r>
              <w:rPr>
                <w:rFonts w:hint="eastAsia"/>
                <w:bCs/>
                <w:color w:val="auto"/>
                <w:szCs w:val="21"/>
                <w:lang w:eastAsia="zh-CN"/>
              </w:rPr>
              <w:t>废润滑油包装</w:t>
            </w:r>
            <w:r>
              <w:rPr>
                <w:bCs/>
                <w:color w:val="auto"/>
                <w:szCs w:val="21"/>
              </w:rPr>
              <w:t>S</w:t>
            </w:r>
            <w:r>
              <w:rPr>
                <w:rFonts w:hint="eastAsia"/>
                <w:bCs/>
                <w:color w:val="auto"/>
                <w:szCs w:val="21"/>
                <w:lang w:val="en-US" w:eastAsia="zh-CN"/>
              </w:rPr>
              <w:t>9</w:t>
            </w:r>
            <w:r>
              <w:rPr>
                <w:rFonts w:hint="eastAsia"/>
                <w:bCs/>
                <w:color w:val="auto"/>
                <w:szCs w:val="21"/>
              </w:rPr>
              <w:t>，润滑油常温常压下基本不挥发，挥发废气可忽略不计；</w:t>
            </w:r>
          </w:p>
          <w:p w14:paraId="2AD9D71E">
            <w:pPr>
              <w:adjustRightInd w:val="0"/>
              <w:snapToGrid w:val="0"/>
              <w:spacing w:line="360" w:lineRule="auto"/>
              <w:ind w:firstLine="420" w:firstLineChars="200"/>
              <w:rPr>
                <w:rFonts w:hint="eastAsia"/>
                <w:bCs/>
                <w:color w:val="auto"/>
                <w:szCs w:val="21"/>
              </w:rPr>
            </w:pPr>
            <w:r>
              <w:rPr>
                <w:rFonts w:hint="eastAsia"/>
                <w:bCs/>
                <w:color w:val="auto"/>
                <w:szCs w:val="21"/>
              </w:rPr>
              <w:t>③污水在线监测试剂使用完后会产生在线仪废液S</w:t>
            </w:r>
            <w:r>
              <w:rPr>
                <w:rFonts w:hint="eastAsia"/>
                <w:bCs/>
                <w:color w:val="auto"/>
                <w:szCs w:val="21"/>
                <w:lang w:val="en-US" w:eastAsia="zh-CN"/>
              </w:rPr>
              <w:t>10以及废试剂包装S11</w:t>
            </w:r>
            <w:r>
              <w:rPr>
                <w:rFonts w:hint="eastAsia"/>
                <w:bCs/>
                <w:color w:val="auto"/>
                <w:szCs w:val="21"/>
              </w:rPr>
              <w:t>；</w:t>
            </w:r>
          </w:p>
          <w:p w14:paraId="6F5359F5">
            <w:pPr>
              <w:adjustRightInd w:val="0"/>
              <w:snapToGrid w:val="0"/>
              <w:spacing w:line="360" w:lineRule="auto"/>
              <w:ind w:firstLine="420" w:firstLineChars="200"/>
              <w:rPr>
                <w:rFonts w:hint="eastAsia"/>
                <w:bCs/>
                <w:color w:val="auto"/>
                <w:szCs w:val="21"/>
                <w:lang w:val="en-US" w:eastAsia="zh-CN"/>
              </w:rPr>
            </w:pPr>
            <w:r>
              <w:rPr>
                <w:rFonts w:hint="eastAsia" w:ascii="宋体" w:hAnsi="宋体" w:eastAsia="宋体" w:cs="宋体"/>
                <w:bCs/>
                <w:color w:val="auto"/>
                <w:szCs w:val="21"/>
                <w:lang w:val="en-US" w:eastAsia="zh-CN"/>
              </w:rPr>
              <w:t>④</w:t>
            </w:r>
            <w:r>
              <w:rPr>
                <w:rFonts w:hint="eastAsia"/>
                <w:bCs/>
                <w:color w:val="auto"/>
                <w:szCs w:val="21"/>
                <w:lang w:val="en-US" w:eastAsia="zh-CN"/>
              </w:rPr>
              <w:t>本项目喷水织机的钢筘和综丝需定期进行清洗，产生洗综废水W3，洗综液需要使用草酸，配制洗综液之后，废弃的草酸包装作危废处理，为废草酸包装S12</w:t>
            </w:r>
          </w:p>
          <w:p w14:paraId="77EE7CD7">
            <w:pPr>
              <w:adjustRightInd w:val="0"/>
              <w:snapToGrid w:val="0"/>
              <w:spacing w:line="360" w:lineRule="auto"/>
              <w:ind w:firstLine="420" w:firstLineChars="200"/>
              <w:rPr>
                <w:rFonts w:hint="default"/>
                <w:bCs/>
                <w:color w:val="auto"/>
                <w:szCs w:val="21"/>
                <w:lang w:val="en-US" w:eastAsia="zh-CN"/>
              </w:rPr>
            </w:pPr>
            <w:r>
              <w:rPr>
                <w:rFonts w:hint="eastAsia" w:ascii="宋体" w:hAnsi="宋体" w:eastAsia="宋体" w:cs="宋体"/>
                <w:bCs/>
                <w:color w:val="auto"/>
                <w:szCs w:val="21"/>
                <w:lang w:val="en-US" w:eastAsia="zh-CN"/>
              </w:rPr>
              <w:t>⑤</w:t>
            </w:r>
            <w:r>
              <w:rPr>
                <w:rFonts w:hint="eastAsia"/>
                <w:bCs/>
                <w:color w:val="auto"/>
                <w:szCs w:val="21"/>
                <w:lang w:val="en-US" w:eastAsia="zh-CN"/>
              </w:rPr>
              <w:t>本项目废气处理产生废活性炭S13</w:t>
            </w:r>
          </w:p>
          <w:p w14:paraId="696A9E53">
            <w:pPr>
              <w:adjustRightInd w:val="0"/>
              <w:snapToGrid w:val="0"/>
              <w:spacing w:line="360" w:lineRule="auto"/>
              <w:ind w:firstLine="422" w:firstLineChars="200"/>
              <w:rPr>
                <w:b/>
                <w:color w:val="auto"/>
                <w:szCs w:val="21"/>
              </w:rPr>
            </w:pPr>
            <w:r>
              <w:rPr>
                <w:b/>
                <w:color w:val="auto"/>
                <w:szCs w:val="21"/>
              </w:rPr>
              <w:t>2</w:t>
            </w:r>
            <w:r>
              <w:rPr>
                <w:rFonts w:hint="eastAsia"/>
                <w:b/>
                <w:color w:val="auto"/>
                <w:szCs w:val="21"/>
              </w:rPr>
              <w:t>、产污环节</w:t>
            </w:r>
          </w:p>
          <w:p w14:paraId="7EB3C010">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 xml:space="preserve">2-6  </w:t>
            </w:r>
            <w:r>
              <w:rPr>
                <w:rFonts w:hint="eastAsia"/>
                <w:b/>
                <w:snapToGrid w:val="0"/>
                <w:color w:val="auto"/>
                <w:szCs w:val="21"/>
              </w:rPr>
              <w:t>污染物产生环节汇总表</w:t>
            </w:r>
          </w:p>
          <w:tbl>
            <w:tblPr>
              <w:tblStyle w:val="26"/>
              <w:tblW w:w="770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841"/>
              <w:gridCol w:w="2265"/>
              <w:gridCol w:w="2836"/>
            </w:tblGrid>
            <w:tr w14:paraId="57A993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tcBorders>
                    <w:top w:val="single" w:color="auto" w:sz="12" w:space="0"/>
                    <w:bottom w:val="single" w:color="auto" w:sz="4" w:space="0"/>
                    <w:right w:val="single" w:color="auto" w:sz="4" w:space="0"/>
                  </w:tcBorders>
                  <w:vAlign w:val="center"/>
                </w:tcPr>
                <w:p w14:paraId="2F55A879">
                  <w:pPr>
                    <w:jc w:val="center"/>
                    <w:rPr>
                      <w:color w:val="auto"/>
                      <w:sz w:val="18"/>
                      <w:szCs w:val="18"/>
                    </w:rPr>
                  </w:pPr>
                  <w:r>
                    <w:rPr>
                      <w:rFonts w:hint="eastAsia"/>
                      <w:color w:val="auto"/>
                      <w:sz w:val="18"/>
                      <w:szCs w:val="18"/>
                    </w:rPr>
                    <w:t>类别</w:t>
                  </w:r>
                </w:p>
              </w:tc>
              <w:tc>
                <w:tcPr>
                  <w:tcW w:w="1841" w:type="dxa"/>
                  <w:tcBorders>
                    <w:top w:val="single" w:color="auto" w:sz="12" w:space="0"/>
                    <w:left w:val="single" w:color="auto" w:sz="4" w:space="0"/>
                    <w:bottom w:val="single" w:color="auto" w:sz="4" w:space="0"/>
                    <w:right w:val="single" w:color="auto" w:sz="4" w:space="0"/>
                  </w:tcBorders>
                  <w:vAlign w:val="center"/>
                </w:tcPr>
                <w:p w14:paraId="56F9511A">
                  <w:pPr>
                    <w:jc w:val="center"/>
                    <w:rPr>
                      <w:color w:val="auto"/>
                      <w:sz w:val="18"/>
                      <w:szCs w:val="18"/>
                    </w:rPr>
                  </w:pPr>
                  <w:r>
                    <w:rPr>
                      <w:rFonts w:hint="eastAsia"/>
                      <w:color w:val="auto"/>
                      <w:sz w:val="18"/>
                      <w:szCs w:val="18"/>
                    </w:rPr>
                    <w:t>编号</w:t>
                  </w:r>
                  <w:r>
                    <w:rPr>
                      <w:color w:val="auto"/>
                      <w:sz w:val="18"/>
                      <w:szCs w:val="18"/>
                    </w:rPr>
                    <w:t>/</w:t>
                  </w:r>
                  <w:r>
                    <w:rPr>
                      <w:rFonts w:hint="eastAsia"/>
                      <w:color w:val="auto"/>
                      <w:sz w:val="18"/>
                      <w:szCs w:val="18"/>
                    </w:rPr>
                    <w:t>名称</w:t>
                  </w:r>
                </w:p>
              </w:tc>
              <w:tc>
                <w:tcPr>
                  <w:tcW w:w="2265" w:type="dxa"/>
                  <w:tcBorders>
                    <w:top w:val="single" w:color="auto" w:sz="12" w:space="0"/>
                    <w:left w:val="single" w:color="auto" w:sz="4" w:space="0"/>
                    <w:bottom w:val="single" w:color="auto" w:sz="4" w:space="0"/>
                    <w:right w:val="single" w:color="auto" w:sz="4" w:space="0"/>
                  </w:tcBorders>
                  <w:vAlign w:val="center"/>
                </w:tcPr>
                <w:p w14:paraId="6684617F">
                  <w:pPr>
                    <w:jc w:val="center"/>
                    <w:rPr>
                      <w:color w:val="auto"/>
                      <w:sz w:val="18"/>
                      <w:szCs w:val="18"/>
                    </w:rPr>
                  </w:pPr>
                  <w:r>
                    <w:rPr>
                      <w:rFonts w:hint="eastAsia"/>
                      <w:color w:val="auto"/>
                      <w:sz w:val="18"/>
                      <w:szCs w:val="18"/>
                    </w:rPr>
                    <w:t>产生工序</w:t>
                  </w:r>
                </w:p>
              </w:tc>
              <w:tc>
                <w:tcPr>
                  <w:tcW w:w="2836" w:type="dxa"/>
                  <w:tcBorders>
                    <w:top w:val="single" w:color="auto" w:sz="12" w:space="0"/>
                    <w:left w:val="single" w:color="auto" w:sz="4" w:space="0"/>
                    <w:bottom w:val="single" w:color="auto" w:sz="4" w:space="0"/>
                  </w:tcBorders>
                  <w:vAlign w:val="center"/>
                </w:tcPr>
                <w:p w14:paraId="51B46A77">
                  <w:pPr>
                    <w:jc w:val="center"/>
                    <w:rPr>
                      <w:color w:val="auto"/>
                      <w:sz w:val="18"/>
                      <w:szCs w:val="18"/>
                    </w:rPr>
                  </w:pPr>
                  <w:r>
                    <w:rPr>
                      <w:rFonts w:hint="eastAsia"/>
                      <w:color w:val="auto"/>
                      <w:sz w:val="18"/>
                      <w:szCs w:val="18"/>
                    </w:rPr>
                    <w:t>主要污染物</w:t>
                  </w:r>
                </w:p>
              </w:tc>
            </w:tr>
            <w:tr w14:paraId="4BAF33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764" w:type="dxa"/>
                  <w:vMerge w:val="restart"/>
                  <w:tcBorders>
                    <w:top w:val="single" w:color="auto" w:sz="4" w:space="0"/>
                    <w:right w:val="single" w:color="auto" w:sz="4" w:space="0"/>
                  </w:tcBorders>
                  <w:vAlign w:val="center"/>
                </w:tcPr>
                <w:p w14:paraId="439A6475">
                  <w:pPr>
                    <w:jc w:val="center"/>
                    <w:rPr>
                      <w:rFonts w:hint="eastAsia" w:eastAsia="宋体"/>
                      <w:color w:val="auto"/>
                      <w:sz w:val="18"/>
                      <w:szCs w:val="18"/>
                      <w:lang w:val="en-US" w:eastAsia="zh-CN"/>
                    </w:rPr>
                  </w:pPr>
                  <w:r>
                    <w:rPr>
                      <w:rFonts w:hint="eastAsia"/>
                      <w:color w:val="auto"/>
                      <w:sz w:val="18"/>
                      <w:szCs w:val="18"/>
                      <w:lang w:val="en-US" w:eastAsia="zh-CN"/>
                    </w:rPr>
                    <w:t>废气</w:t>
                  </w:r>
                </w:p>
              </w:tc>
              <w:tc>
                <w:tcPr>
                  <w:tcW w:w="1841" w:type="dxa"/>
                  <w:tcBorders>
                    <w:top w:val="single" w:color="auto" w:sz="4" w:space="0"/>
                    <w:left w:val="single" w:color="auto" w:sz="4" w:space="0"/>
                    <w:right w:val="single" w:color="auto" w:sz="4" w:space="0"/>
                  </w:tcBorders>
                  <w:vAlign w:val="center"/>
                </w:tcPr>
                <w:p w14:paraId="2DD1C17D">
                  <w:pPr>
                    <w:jc w:val="center"/>
                    <w:rPr>
                      <w:rFonts w:hint="default" w:eastAsia="宋体"/>
                      <w:color w:val="auto"/>
                      <w:sz w:val="18"/>
                      <w:szCs w:val="18"/>
                      <w:lang w:val="en-US" w:eastAsia="zh-CN"/>
                    </w:rPr>
                  </w:pPr>
                  <w:r>
                    <w:rPr>
                      <w:rFonts w:hint="eastAsia"/>
                      <w:color w:val="auto"/>
                      <w:sz w:val="18"/>
                      <w:szCs w:val="18"/>
                      <w:lang w:val="en-US" w:eastAsia="zh-CN"/>
                    </w:rPr>
                    <w:t>加弹废气G1</w:t>
                  </w:r>
                </w:p>
              </w:tc>
              <w:tc>
                <w:tcPr>
                  <w:tcW w:w="2265" w:type="dxa"/>
                  <w:tcBorders>
                    <w:top w:val="single" w:color="auto" w:sz="4" w:space="0"/>
                    <w:left w:val="single" w:color="auto" w:sz="4" w:space="0"/>
                    <w:right w:val="single" w:color="auto" w:sz="4" w:space="0"/>
                  </w:tcBorders>
                  <w:vAlign w:val="center"/>
                </w:tcPr>
                <w:p w14:paraId="78A0F3B7">
                  <w:pPr>
                    <w:jc w:val="center"/>
                    <w:rPr>
                      <w:rFonts w:hint="default" w:eastAsia="宋体"/>
                      <w:color w:val="auto"/>
                      <w:sz w:val="18"/>
                      <w:szCs w:val="18"/>
                      <w:lang w:val="en-US" w:eastAsia="zh-CN"/>
                    </w:rPr>
                  </w:pPr>
                  <w:r>
                    <w:rPr>
                      <w:rFonts w:hint="eastAsia"/>
                      <w:color w:val="auto"/>
                      <w:sz w:val="18"/>
                      <w:szCs w:val="18"/>
                      <w:lang w:val="en-US" w:eastAsia="zh-CN"/>
                    </w:rPr>
                    <w:t>加弹</w:t>
                  </w:r>
                </w:p>
              </w:tc>
              <w:tc>
                <w:tcPr>
                  <w:tcW w:w="2836" w:type="dxa"/>
                  <w:tcBorders>
                    <w:top w:val="single" w:color="auto" w:sz="4" w:space="0"/>
                    <w:left w:val="single" w:color="auto" w:sz="4" w:space="0"/>
                    <w:bottom w:val="single" w:color="auto" w:sz="4" w:space="0"/>
                  </w:tcBorders>
                  <w:vAlign w:val="center"/>
                </w:tcPr>
                <w:p w14:paraId="2E04D2F0">
                  <w:pPr>
                    <w:jc w:val="center"/>
                    <w:rPr>
                      <w:color w:val="000000" w:themeColor="text1"/>
                      <w:sz w:val="18"/>
                      <w:szCs w:val="18"/>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颗粒物（油雾）、非甲烷总烃</w:t>
                  </w:r>
                </w:p>
              </w:tc>
            </w:tr>
            <w:tr w14:paraId="6F1840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764" w:type="dxa"/>
                  <w:vMerge w:val="continue"/>
                  <w:tcBorders>
                    <w:right w:val="single" w:color="auto" w:sz="4" w:space="0"/>
                  </w:tcBorders>
                  <w:vAlign w:val="center"/>
                </w:tcPr>
                <w:p w14:paraId="71F92B7F">
                  <w:pPr>
                    <w:jc w:val="center"/>
                    <w:rPr>
                      <w:rFonts w:hint="eastAsia"/>
                      <w:color w:val="auto"/>
                      <w:sz w:val="18"/>
                      <w:szCs w:val="18"/>
                    </w:rPr>
                  </w:pPr>
                </w:p>
              </w:tc>
              <w:tc>
                <w:tcPr>
                  <w:tcW w:w="1841" w:type="dxa"/>
                  <w:tcBorders>
                    <w:top w:val="single" w:color="auto" w:sz="4" w:space="0"/>
                    <w:left w:val="single" w:color="auto" w:sz="4" w:space="0"/>
                    <w:right w:val="single" w:color="auto" w:sz="4" w:space="0"/>
                  </w:tcBorders>
                  <w:vAlign w:val="center"/>
                </w:tcPr>
                <w:p w14:paraId="4CCFBFE8">
                  <w:pPr>
                    <w:jc w:val="center"/>
                    <w:rPr>
                      <w:rFonts w:hint="default" w:eastAsia="宋体"/>
                      <w:color w:val="auto"/>
                      <w:sz w:val="18"/>
                      <w:szCs w:val="18"/>
                      <w:lang w:val="en-US" w:eastAsia="zh-CN"/>
                    </w:rPr>
                  </w:pPr>
                  <w:r>
                    <w:rPr>
                      <w:rFonts w:hint="eastAsia"/>
                      <w:color w:val="auto"/>
                      <w:sz w:val="18"/>
                      <w:szCs w:val="18"/>
                      <w:lang w:val="en-US" w:eastAsia="zh-CN"/>
                    </w:rPr>
                    <w:t>织造废气G2</w:t>
                  </w:r>
                </w:p>
              </w:tc>
              <w:tc>
                <w:tcPr>
                  <w:tcW w:w="2265" w:type="dxa"/>
                  <w:tcBorders>
                    <w:top w:val="single" w:color="auto" w:sz="4" w:space="0"/>
                    <w:left w:val="single" w:color="auto" w:sz="4" w:space="0"/>
                    <w:right w:val="single" w:color="auto" w:sz="4" w:space="0"/>
                  </w:tcBorders>
                  <w:vAlign w:val="center"/>
                </w:tcPr>
                <w:p w14:paraId="44851778">
                  <w:pPr>
                    <w:jc w:val="center"/>
                    <w:rPr>
                      <w:rFonts w:hint="eastAsia" w:eastAsia="宋体"/>
                      <w:color w:val="auto"/>
                      <w:sz w:val="18"/>
                      <w:szCs w:val="18"/>
                      <w:lang w:val="en-US" w:eastAsia="zh-CN"/>
                    </w:rPr>
                  </w:pPr>
                  <w:r>
                    <w:rPr>
                      <w:rFonts w:hint="eastAsia"/>
                      <w:color w:val="auto"/>
                      <w:sz w:val="18"/>
                      <w:szCs w:val="18"/>
                      <w:lang w:val="en-US" w:eastAsia="zh-CN"/>
                    </w:rPr>
                    <w:t>喷气织造</w:t>
                  </w:r>
                </w:p>
              </w:tc>
              <w:tc>
                <w:tcPr>
                  <w:tcW w:w="2836" w:type="dxa"/>
                  <w:tcBorders>
                    <w:top w:val="single" w:color="auto" w:sz="4" w:space="0"/>
                    <w:left w:val="single" w:color="auto" w:sz="4" w:space="0"/>
                    <w:bottom w:val="single" w:color="auto" w:sz="4" w:space="0"/>
                  </w:tcBorders>
                  <w:vAlign w:val="center"/>
                </w:tcPr>
                <w:p w14:paraId="03B2A57C">
                  <w:pPr>
                    <w:jc w:val="center"/>
                    <w:rPr>
                      <w:rFonts w:hint="eastAsia" w:eastAsia="宋体"/>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颗粒物</w:t>
                  </w:r>
                </w:p>
              </w:tc>
            </w:tr>
            <w:tr w14:paraId="4C50AA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64" w:type="dxa"/>
                  <w:vMerge w:val="continue"/>
                  <w:tcBorders>
                    <w:right w:val="single" w:color="auto" w:sz="4" w:space="0"/>
                  </w:tcBorders>
                  <w:vAlign w:val="center"/>
                </w:tcPr>
                <w:p w14:paraId="6555C577">
                  <w:pPr>
                    <w:jc w:val="center"/>
                    <w:rPr>
                      <w:rFonts w:hint="eastAsia"/>
                      <w:color w:val="auto"/>
                      <w:sz w:val="18"/>
                      <w:szCs w:val="18"/>
                    </w:rPr>
                  </w:pPr>
                </w:p>
              </w:tc>
              <w:tc>
                <w:tcPr>
                  <w:tcW w:w="1841" w:type="dxa"/>
                  <w:tcBorders>
                    <w:top w:val="single" w:color="auto" w:sz="4" w:space="0"/>
                    <w:left w:val="single" w:color="auto" w:sz="4" w:space="0"/>
                    <w:right w:val="single" w:color="auto" w:sz="4" w:space="0"/>
                  </w:tcBorders>
                  <w:vAlign w:val="center"/>
                </w:tcPr>
                <w:p w14:paraId="538FFEC2">
                  <w:pPr>
                    <w:jc w:val="center"/>
                    <w:rPr>
                      <w:rFonts w:hint="default"/>
                      <w:color w:val="auto"/>
                      <w:sz w:val="18"/>
                      <w:szCs w:val="18"/>
                      <w:lang w:val="en-US" w:eastAsia="zh-CN"/>
                    </w:rPr>
                  </w:pPr>
                  <w:r>
                    <w:rPr>
                      <w:rFonts w:hint="eastAsia"/>
                      <w:color w:val="auto"/>
                      <w:sz w:val="18"/>
                      <w:szCs w:val="18"/>
                      <w:lang w:val="en-US" w:eastAsia="zh-CN"/>
                    </w:rPr>
                    <w:t>复合废气G3</w:t>
                  </w:r>
                </w:p>
              </w:tc>
              <w:tc>
                <w:tcPr>
                  <w:tcW w:w="2265" w:type="dxa"/>
                  <w:tcBorders>
                    <w:top w:val="single" w:color="auto" w:sz="4" w:space="0"/>
                    <w:left w:val="single" w:color="auto" w:sz="4" w:space="0"/>
                    <w:right w:val="single" w:color="auto" w:sz="4" w:space="0"/>
                  </w:tcBorders>
                  <w:vAlign w:val="center"/>
                </w:tcPr>
                <w:p w14:paraId="31A0ACD8">
                  <w:pPr>
                    <w:jc w:val="center"/>
                    <w:rPr>
                      <w:rFonts w:hint="default"/>
                      <w:color w:val="auto"/>
                      <w:sz w:val="18"/>
                      <w:szCs w:val="18"/>
                      <w:lang w:val="en-US" w:eastAsia="zh-CN"/>
                    </w:rPr>
                  </w:pPr>
                  <w:r>
                    <w:rPr>
                      <w:rFonts w:hint="eastAsia"/>
                      <w:color w:val="auto"/>
                      <w:sz w:val="18"/>
                      <w:szCs w:val="18"/>
                      <w:lang w:val="en-US" w:eastAsia="zh-CN"/>
                    </w:rPr>
                    <w:t>复合</w:t>
                  </w:r>
                </w:p>
              </w:tc>
              <w:tc>
                <w:tcPr>
                  <w:tcW w:w="2836" w:type="dxa"/>
                  <w:tcBorders>
                    <w:top w:val="single" w:color="auto" w:sz="4" w:space="0"/>
                    <w:left w:val="single" w:color="auto" w:sz="4" w:space="0"/>
                    <w:bottom w:val="single" w:color="auto" w:sz="4" w:space="0"/>
                  </w:tcBorders>
                  <w:vAlign w:val="center"/>
                </w:tcPr>
                <w:p w14:paraId="55D4491B">
                  <w:pPr>
                    <w:jc w:val="center"/>
                    <w:rPr>
                      <w:rFonts w:hint="default"/>
                      <w:color w:val="000000" w:themeColor="text1"/>
                      <w:sz w:val="18"/>
                      <w:szCs w:val="18"/>
                      <w:lang w:val="en-US" w:eastAsia="zh-CN"/>
                      <w14:textFill>
                        <w14:solidFill>
                          <w14:schemeClr w14:val="tx1"/>
                        </w14:solidFill>
                      </w14:textFill>
                    </w:rPr>
                  </w:pPr>
                  <w:r>
                    <w:rPr>
                      <w:rFonts w:hint="eastAsia"/>
                      <w:color w:val="000000" w:themeColor="text1"/>
                      <w:sz w:val="18"/>
                      <w:szCs w:val="18"/>
                      <w:lang w:val="en-US" w:eastAsia="zh-CN"/>
                      <w14:textFill>
                        <w14:solidFill>
                          <w14:schemeClr w14:val="tx1"/>
                        </w14:solidFill>
                      </w14:textFill>
                    </w:rPr>
                    <w:t>非甲烷总烃</w:t>
                  </w:r>
                </w:p>
              </w:tc>
            </w:tr>
            <w:tr w14:paraId="01B586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64" w:type="dxa"/>
                  <w:vMerge w:val="restart"/>
                  <w:tcBorders>
                    <w:top w:val="single" w:color="auto" w:sz="4" w:space="0"/>
                    <w:right w:val="single" w:color="auto" w:sz="4" w:space="0"/>
                  </w:tcBorders>
                  <w:vAlign w:val="center"/>
                </w:tcPr>
                <w:p w14:paraId="3AC06C46">
                  <w:pPr>
                    <w:jc w:val="center"/>
                    <w:rPr>
                      <w:color w:val="auto"/>
                      <w:sz w:val="18"/>
                      <w:szCs w:val="18"/>
                    </w:rPr>
                  </w:pPr>
                  <w:r>
                    <w:rPr>
                      <w:rFonts w:hint="eastAsia"/>
                      <w:color w:val="auto"/>
                      <w:sz w:val="18"/>
                      <w:szCs w:val="18"/>
                    </w:rPr>
                    <w:t>废水</w:t>
                  </w:r>
                </w:p>
              </w:tc>
              <w:tc>
                <w:tcPr>
                  <w:tcW w:w="1841" w:type="dxa"/>
                  <w:tcBorders>
                    <w:top w:val="single" w:color="auto" w:sz="4" w:space="0"/>
                    <w:left w:val="single" w:color="auto" w:sz="4" w:space="0"/>
                    <w:right w:val="single" w:color="auto" w:sz="4" w:space="0"/>
                  </w:tcBorders>
                  <w:vAlign w:val="center"/>
                </w:tcPr>
                <w:p w14:paraId="12865AB4">
                  <w:pPr>
                    <w:jc w:val="center"/>
                    <w:rPr>
                      <w:rFonts w:hint="eastAsia" w:eastAsia="宋体"/>
                      <w:color w:val="auto"/>
                      <w:sz w:val="18"/>
                      <w:szCs w:val="18"/>
                      <w:lang w:eastAsia="zh-CN"/>
                    </w:rPr>
                  </w:pPr>
                  <w:r>
                    <w:rPr>
                      <w:rFonts w:hint="eastAsia"/>
                      <w:color w:val="auto"/>
                      <w:sz w:val="18"/>
                      <w:szCs w:val="18"/>
                    </w:rPr>
                    <w:t>喷织废水W</w:t>
                  </w:r>
                  <w:r>
                    <w:rPr>
                      <w:rFonts w:hint="eastAsia"/>
                      <w:color w:val="auto"/>
                      <w:sz w:val="18"/>
                      <w:szCs w:val="18"/>
                      <w:lang w:val="en-US" w:eastAsia="zh-CN"/>
                    </w:rPr>
                    <w:t>1</w:t>
                  </w:r>
                </w:p>
              </w:tc>
              <w:tc>
                <w:tcPr>
                  <w:tcW w:w="2265" w:type="dxa"/>
                  <w:tcBorders>
                    <w:top w:val="single" w:color="auto" w:sz="4" w:space="0"/>
                    <w:left w:val="single" w:color="auto" w:sz="4" w:space="0"/>
                    <w:right w:val="single" w:color="auto" w:sz="4" w:space="0"/>
                  </w:tcBorders>
                  <w:vAlign w:val="center"/>
                </w:tcPr>
                <w:p w14:paraId="2B314291">
                  <w:pPr>
                    <w:jc w:val="center"/>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喷水</w:t>
                  </w:r>
                  <w:r>
                    <w:rPr>
                      <w:rFonts w:hint="eastAsia"/>
                      <w:color w:val="auto"/>
                      <w:sz w:val="18"/>
                      <w:szCs w:val="18"/>
                      <w:lang w:val="en-US" w:eastAsia="zh-CN"/>
                    </w:rPr>
                    <w:t>提花</w:t>
                  </w:r>
                  <w:r>
                    <w:rPr>
                      <w:rFonts w:hint="eastAsia"/>
                      <w:color w:val="auto"/>
                      <w:sz w:val="18"/>
                      <w:szCs w:val="18"/>
                    </w:rPr>
                    <w:t>织造</w:t>
                  </w:r>
                </w:p>
              </w:tc>
              <w:tc>
                <w:tcPr>
                  <w:tcW w:w="2836" w:type="dxa"/>
                  <w:tcBorders>
                    <w:top w:val="single" w:color="auto" w:sz="4" w:space="0"/>
                    <w:left w:val="single" w:color="auto" w:sz="4" w:space="0"/>
                    <w:bottom w:val="single" w:color="auto" w:sz="4" w:space="0"/>
                  </w:tcBorders>
                  <w:vAlign w:val="center"/>
                </w:tcPr>
                <w:p w14:paraId="1AFF90DA">
                  <w:pPr>
                    <w:jc w:val="center"/>
                    <w:rPr>
                      <w:rFonts w:ascii="Times New Roman" w:hAnsi="Times New Roman" w:eastAsia="宋体" w:cs="Times New Roman"/>
                      <w:color w:val="auto"/>
                      <w:kern w:val="2"/>
                      <w:sz w:val="18"/>
                      <w:szCs w:val="18"/>
                      <w:lang w:val="en-US" w:eastAsia="zh-CN" w:bidi="ar-SA"/>
                    </w:rPr>
                  </w:pPr>
                  <w:r>
                    <w:rPr>
                      <w:color w:val="000000" w:themeColor="text1"/>
                      <w:sz w:val="18"/>
                      <w:szCs w:val="18"/>
                      <w14:textFill>
                        <w14:solidFill>
                          <w14:schemeClr w14:val="tx1"/>
                        </w14:solidFill>
                      </w14:textFill>
                    </w:rPr>
                    <w:t>COD</w:t>
                  </w: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SS</w:t>
                  </w:r>
                  <w:r>
                    <w:rPr>
                      <w:rFonts w:hint="eastAsia"/>
                      <w:color w:val="000000" w:themeColor="text1"/>
                      <w:sz w:val="18"/>
                      <w:szCs w:val="18"/>
                      <w14:textFill>
                        <w14:solidFill>
                          <w14:schemeClr w14:val="tx1"/>
                        </w14:solidFill>
                      </w14:textFill>
                    </w:rPr>
                    <w:t>、</w:t>
                  </w:r>
                  <w:r>
                    <w:rPr>
                      <w:rFonts w:hint="eastAsia"/>
                      <w:color w:val="000000" w:themeColor="text1"/>
                      <w:sz w:val="18"/>
                      <w:szCs w:val="18"/>
                      <w:lang w:val="en-US" w:eastAsia="zh-CN"/>
                      <w14:textFill>
                        <w14:solidFill>
                          <w14:schemeClr w14:val="tx1"/>
                        </w14:solidFill>
                      </w14:textFill>
                    </w:rPr>
                    <w:t>石油类</w:t>
                  </w:r>
                </w:p>
              </w:tc>
            </w:tr>
            <w:tr w14:paraId="4AEEA0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Merge w:val="continue"/>
                  <w:tcBorders>
                    <w:right w:val="single" w:color="auto" w:sz="4" w:space="0"/>
                  </w:tcBorders>
                  <w:vAlign w:val="center"/>
                </w:tcPr>
                <w:p w14:paraId="38B46B73">
                  <w:pPr>
                    <w:jc w:val="center"/>
                    <w:rPr>
                      <w:color w:val="auto"/>
                      <w:sz w:val="18"/>
                      <w:szCs w:val="18"/>
                    </w:rPr>
                  </w:pPr>
                </w:p>
              </w:tc>
              <w:tc>
                <w:tcPr>
                  <w:tcW w:w="1841" w:type="dxa"/>
                  <w:tcBorders>
                    <w:top w:val="single" w:color="auto" w:sz="4" w:space="0"/>
                    <w:left w:val="single" w:color="auto" w:sz="4" w:space="0"/>
                    <w:bottom w:val="single" w:color="auto" w:sz="4" w:space="0"/>
                    <w:right w:val="single" w:color="auto" w:sz="4" w:space="0"/>
                  </w:tcBorders>
                  <w:vAlign w:val="center"/>
                </w:tcPr>
                <w:p w14:paraId="1A961848">
                  <w:pPr>
                    <w:jc w:val="center"/>
                    <w:rPr>
                      <w:rFonts w:hint="eastAsia" w:eastAsia="宋体"/>
                      <w:color w:val="auto"/>
                      <w:sz w:val="18"/>
                      <w:szCs w:val="18"/>
                      <w:lang w:eastAsia="zh-CN"/>
                    </w:rPr>
                  </w:pPr>
                  <w:r>
                    <w:rPr>
                      <w:rFonts w:hint="eastAsia"/>
                      <w:color w:val="auto"/>
                      <w:sz w:val="18"/>
                      <w:szCs w:val="18"/>
                    </w:rPr>
                    <w:t>生活污水W</w:t>
                  </w:r>
                  <w:r>
                    <w:rPr>
                      <w:rFonts w:hint="eastAsia"/>
                      <w:color w:val="auto"/>
                      <w:sz w:val="18"/>
                      <w:szCs w:val="18"/>
                      <w:lang w:val="en-US" w:eastAsia="zh-CN"/>
                    </w:rPr>
                    <w:t>2</w:t>
                  </w:r>
                </w:p>
              </w:tc>
              <w:tc>
                <w:tcPr>
                  <w:tcW w:w="2265" w:type="dxa"/>
                  <w:tcBorders>
                    <w:top w:val="single" w:color="auto" w:sz="4" w:space="0"/>
                    <w:left w:val="single" w:color="auto" w:sz="4" w:space="0"/>
                    <w:bottom w:val="single" w:color="auto" w:sz="4" w:space="0"/>
                    <w:right w:val="single" w:color="auto" w:sz="4" w:space="0"/>
                  </w:tcBorders>
                  <w:vAlign w:val="center"/>
                </w:tcPr>
                <w:p w14:paraId="778CB5BD">
                  <w:pPr>
                    <w:jc w:val="center"/>
                    <w:rPr>
                      <w:color w:val="auto"/>
                      <w:sz w:val="18"/>
                      <w:szCs w:val="18"/>
                    </w:rPr>
                  </w:pPr>
                  <w:r>
                    <w:rPr>
                      <w:rFonts w:hint="eastAsia"/>
                      <w:color w:val="auto"/>
                      <w:sz w:val="18"/>
                      <w:szCs w:val="18"/>
                    </w:rPr>
                    <w:t>职工生活</w:t>
                  </w:r>
                </w:p>
              </w:tc>
              <w:tc>
                <w:tcPr>
                  <w:tcW w:w="2836" w:type="dxa"/>
                  <w:tcBorders>
                    <w:top w:val="single" w:color="auto" w:sz="4" w:space="0"/>
                    <w:left w:val="single" w:color="auto" w:sz="4" w:space="0"/>
                    <w:bottom w:val="single" w:color="auto" w:sz="4" w:space="0"/>
                  </w:tcBorders>
                  <w:vAlign w:val="center"/>
                </w:tcPr>
                <w:p w14:paraId="725C3358">
                  <w:pPr>
                    <w:jc w:val="center"/>
                    <w:rPr>
                      <w:color w:val="auto"/>
                      <w:sz w:val="18"/>
                      <w:szCs w:val="18"/>
                    </w:rPr>
                  </w:pPr>
                  <w:r>
                    <w:rPr>
                      <w:color w:val="auto"/>
                      <w:sz w:val="18"/>
                      <w:szCs w:val="18"/>
                    </w:rPr>
                    <w:t>COD</w:t>
                  </w:r>
                  <w:r>
                    <w:rPr>
                      <w:rFonts w:hint="eastAsia"/>
                      <w:color w:val="auto"/>
                      <w:sz w:val="18"/>
                      <w:szCs w:val="18"/>
                    </w:rPr>
                    <w:t>、</w:t>
                  </w:r>
                  <w:r>
                    <w:rPr>
                      <w:color w:val="auto"/>
                      <w:sz w:val="18"/>
                      <w:szCs w:val="18"/>
                    </w:rPr>
                    <w:t>SS</w:t>
                  </w:r>
                  <w:r>
                    <w:rPr>
                      <w:rFonts w:hint="eastAsia"/>
                      <w:color w:val="auto"/>
                      <w:sz w:val="18"/>
                      <w:szCs w:val="18"/>
                    </w:rPr>
                    <w:t>、</w:t>
                  </w:r>
                  <w:r>
                    <w:rPr>
                      <w:color w:val="auto"/>
                      <w:sz w:val="18"/>
                      <w:szCs w:val="18"/>
                    </w:rPr>
                    <w:t>NH</w:t>
                  </w:r>
                  <w:r>
                    <w:rPr>
                      <w:color w:val="auto"/>
                      <w:sz w:val="18"/>
                      <w:szCs w:val="18"/>
                      <w:vertAlign w:val="subscript"/>
                    </w:rPr>
                    <w:t>3</w:t>
                  </w:r>
                  <w:r>
                    <w:rPr>
                      <w:color w:val="auto"/>
                      <w:sz w:val="18"/>
                      <w:szCs w:val="18"/>
                    </w:rPr>
                    <w:t>-N</w:t>
                  </w:r>
                  <w:r>
                    <w:rPr>
                      <w:rFonts w:hint="eastAsia"/>
                      <w:color w:val="auto"/>
                      <w:sz w:val="18"/>
                      <w:szCs w:val="18"/>
                    </w:rPr>
                    <w:t>、</w:t>
                  </w:r>
                  <w:r>
                    <w:rPr>
                      <w:color w:val="auto"/>
                      <w:sz w:val="18"/>
                      <w:szCs w:val="18"/>
                    </w:rPr>
                    <w:t>TN</w:t>
                  </w:r>
                  <w:r>
                    <w:rPr>
                      <w:rFonts w:hint="eastAsia"/>
                      <w:color w:val="auto"/>
                      <w:sz w:val="18"/>
                      <w:szCs w:val="18"/>
                    </w:rPr>
                    <w:t>、</w:t>
                  </w:r>
                  <w:r>
                    <w:rPr>
                      <w:color w:val="auto"/>
                      <w:sz w:val="18"/>
                      <w:szCs w:val="18"/>
                    </w:rPr>
                    <w:t>TP</w:t>
                  </w:r>
                </w:p>
              </w:tc>
            </w:tr>
            <w:tr w14:paraId="169D92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Merge w:val="continue"/>
                  <w:tcBorders>
                    <w:bottom w:val="single" w:color="auto" w:sz="4" w:space="0"/>
                    <w:right w:val="single" w:color="auto" w:sz="4" w:space="0"/>
                  </w:tcBorders>
                  <w:vAlign w:val="center"/>
                </w:tcPr>
                <w:p w14:paraId="5B77DFFA">
                  <w:pPr>
                    <w:jc w:val="center"/>
                    <w:rPr>
                      <w:color w:val="auto"/>
                      <w:sz w:val="18"/>
                      <w:szCs w:val="18"/>
                    </w:rPr>
                  </w:pP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500C9578">
                  <w:pPr>
                    <w:jc w:val="center"/>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洗综废水W3</w:t>
                  </w:r>
                </w:p>
              </w:tc>
              <w:tc>
                <w:tcPr>
                  <w:tcW w:w="2265" w:type="dxa"/>
                  <w:tcBorders>
                    <w:top w:val="single" w:color="auto" w:sz="4" w:space="0"/>
                    <w:left w:val="single" w:color="auto" w:sz="4" w:space="0"/>
                    <w:bottom w:val="single" w:color="auto" w:sz="4" w:space="0"/>
                    <w:right w:val="single" w:color="auto" w:sz="4" w:space="0"/>
                  </w:tcBorders>
                  <w:shd w:val="clear" w:color="auto" w:fill="auto"/>
                  <w:vAlign w:val="center"/>
                </w:tcPr>
                <w:p w14:paraId="0C52C0F8">
                  <w:pPr>
                    <w:jc w:val="center"/>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洗综</w:t>
                  </w:r>
                </w:p>
              </w:tc>
              <w:tc>
                <w:tcPr>
                  <w:tcW w:w="2836" w:type="dxa"/>
                  <w:tcBorders>
                    <w:top w:val="single" w:color="auto" w:sz="4" w:space="0"/>
                    <w:left w:val="single" w:color="auto" w:sz="4" w:space="0"/>
                    <w:bottom w:val="single" w:color="auto" w:sz="4" w:space="0"/>
                  </w:tcBorders>
                  <w:shd w:val="clear" w:color="auto" w:fill="auto"/>
                  <w:vAlign w:val="center"/>
                </w:tcPr>
                <w:p w14:paraId="0C9EE497">
                  <w:pPr>
                    <w:jc w:val="center"/>
                    <w:rPr>
                      <w:rFonts w:ascii="Times New Roman" w:hAnsi="Times New Roman" w:eastAsia="宋体" w:cs="Times New Roman"/>
                      <w:color w:val="auto"/>
                      <w:kern w:val="2"/>
                      <w:sz w:val="18"/>
                      <w:szCs w:val="18"/>
                      <w:lang w:val="en-US" w:eastAsia="zh-CN" w:bidi="ar-SA"/>
                    </w:rPr>
                  </w:pPr>
                  <w:r>
                    <w:rPr>
                      <w:color w:val="000000" w:themeColor="text1"/>
                      <w:sz w:val="18"/>
                      <w:szCs w:val="18"/>
                      <w14:textFill>
                        <w14:solidFill>
                          <w14:schemeClr w14:val="tx1"/>
                        </w14:solidFill>
                      </w14:textFill>
                    </w:rPr>
                    <w:t>COD</w:t>
                  </w: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SS</w:t>
                  </w:r>
                  <w:r>
                    <w:rPr>
                      <w:rFonts w:hint="eastAsia"/>
                      <w:color w:val="000000" w:themeColor="text1"/>
                      <w:sz w:val="18"/>
                      <w:szCs w:val="18"/>
                      <w14:textFill>
                        <w14:solidFill>
                          <w14:schemeClr w14:val="tx1"/>
                        </w14:solidFill>
                      </w14:textFill>
                    </w:rPr>
                    <w:t>、</w:t>
                  </w:r>
                  <w:r>
                    <w:rPr>
                      <w:rFonts w:hint="eastAsia"/>
                      <w:color w:val="000000" w:themeColor="text1"/>
                      <w:sz w:val="18"/>
                      <w:szCs w:val="18"/>
                      <w:lang w:val="en-US" w:eastAsia="zh-CN"/>
                      <w14:textFill>
                        <w14:solidFill>
                          <w14:schemeClr w14:val="tx1"/>
                        </w14:solidFill>
                      </w14:textFill>
                    </w:rPr>
                    <w:t>石油类</w:t>
                  </w:r>
                </w:p>
              </w:tc>
            </w:tr>
            <w:tr w14:paraId="2CBA8B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dxa"/>
                  <w:vMerge w:val="restart"/>
                  <w:tcBorders>
                    <w:top w:val="single" w:color="auto" w:sz="4" w:space="0"/>
                    <w:right w:val="single" w:color="auto" w:sz="4" w:space="0"/>
                  </w:tcBorders>
                  <w:vAlign w:val="center"/>
                </w:tcPr>
                <w:p w14:paraId="38EC07D7">
                  <w:pPr>
                    <w:jc w:val="center"/>
                    <w:rPr>
                      <w:color w:val="auto"/>
                      <w:sz w:val="18"/>
                      <w:szCs w:val="18"/>
                    </w:rPr>
                  </w:pPr>
                  <w:r>
                    <w:rPr>
                      <w:rFonts w:hint="eastAsia"/>
                      <w:color w:val="auto"/>
                      <w:sz w:val="18"/>
                      <w:szCs w:val="18"/>
                    </w:rPr>
                    <w:t>固废</w:t>
                  </w:r>
                </w:p>
              </w:tc>
              <w:tc>
                <w:tcPr>
                  <w:tcW w:w="1841" w:type="dxa"/>
                  <w:tcBorders>
                    <w:top w:val="single" w:color="auto" w:sz="4" w:space="0"/>
                    <w:left w:val="single" w:color="auto" w:sz="4" w:space="0"/>
                    <w:bottom w:val="single" w:color="auto" w:sz="4" w:space="0"/>
                    <w:right w:val="single" w:color="auto" w:sz="4" w:space="0"/>
                  </w:tcBorders>
                  <w:vAlign w:val="center"/>
                </w:tcPr>
                <w:p w14:paraId="5A5D54D3">
                  <w:pPr>
                    <w:jc w:val="center"/>
                    <w:rPr>
                      <w:color w:val="auto"/>
                      <w:sz w:val="18"/>
                      <w:szCs w:val="18"/>
                    </w:rPr>
                  </w:pPr>
                  <w:r>
                    <w:rPr>
                      <w:rFonts w:hint="eastAsia"/>
                      <w:color w:val="auto"/>
                      <w:sz w:val="18"/>
                      <w:szCs w:val="18"/>
                      <w:lang w:val="en-US" w:eastAsia="zh-CN"/>
                    </w:rPr>
                    <w:t>废丝</w:t>
                  </w:r>
                  <w:r>
                    <w:rPr>
                      <w:color w:val="auto"/>
                      <w:sz w:val="18"/>
                      <w:szCs w:val="18"/>
                    </w:rPr>
                    <w:t>S1</w:t>
                  </w:r>
                </w:p>
              </w:tc>
              <w:tc>
                <w:tcPr>
                  <w:tcW w:w="2265" w:type="dxa"/>
                  <w:tcBorders>
                    <w:top w:val="single" w:color="auto" w:sz="4" w:space="0"/>
                    <w:left w:val="single" w:color="auto" w:sz="4" w:space="0"/>
                    <w:bottom w:val="single" w:color="auto" w:sz="4" w:space="0"/>
                    <w:right w:val="single" w:color="auto" w:sz="4" w:space="0"/>
                  </w:tcBorders>
                  <w:vAlign w:val="center"/>
                </w:tcPr>
                <w:p w14:paraId="174D5066">
                  <w:pPr>
                    <w:jc w:val="center"/>
                    <w:rPr>
                      <w:color w:val="auto"/>
                      <w:sz w:val="18"/>
                      <w:szCs w:val="18"/>
                    </w:rPr>
                  </w:pPr>
                  <w:r>
                    <w:rPr>
                      <w:rFonts w:hint="eastAsia"/>
                      <w:color w:val="auto"/>
                      <w:sz w:val="18"/>
                      <w:szCs w:val="18"/>
                    </w:rPr>
                    <w:t>整经</w:t>
                  </w:r>
                </w:p>
              </w:tc>
              <w:tc>
                <w:tcPr>
                  <w:tcW w:w="2836" w:type="dxa"/>
                  <w:tcBorders>
                    <w:top w:val="single" w:color="auto" w:sz="4" w:space="0"/>
                    <w:left w:val="single" w:color="auto" w:sz="4" w:space="0"/>
                    <w:bottom w:val="single" w:color="auto" w:sz="4" w:space="0"/>
                  </w:tcBorders>
                  <w:vAlign w:val="center"/>
                </w:tcPr>
                <w:p w14:paraId="767FBFDF">
                  <w:pPr>
                    <w:jc w:val="center"/>
                    <w:rPr>
                      <w:color w:val="auto"/>
                      <w:sz w:val="18"/>
                      <w:szCs w:val="18"/>
                    </w:rPr>
                  </w:pPr>
                  <w:r>
                    <w:rPr>
                      <w:rFonts w:hint="eastAsia"/>
                      <w:color w:val="auto"/>
                      <w:sz w:val="18"/>
                      <w:szCs w:val="18"/>
                    </w:rPr>
                    <w:t>废丝</w:t>
                  </w:r>
                </w:p>
              </w:tc>
            </w:tr>
            <w:tr w14:paraId="31DD54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90" w:hRule="atLeast"/>
                <w:jc w:val="center"/>
              </w:trPr>
              <w:tc>
                <w:tcPr>
                  <w:tcW w:w="764" w:type="dxa"/>
                  <w:vMerge w:val="continue"/>
                  <w:tcBorders>
                    <w:right w:val="single" w:color="auto" w:sz="4" w:space="0"/>
                  </w:tcBorders>
                  <w:vAlign w:val="center"/>
                </w:tcPr>
                <w:p w14:paraId="40563B38">
                  <w:pPr>
                    <w:jc w:val="center"/>
                    <w:rPr>
                      <w:rFonts w:hint="eastAsia"/>
                      <w:color w:val="auto"/>
                      <w:sz w:val="18"/>
                      <w:szCs w:val="18"/>
                    </w:rPr>
                  </w:pPr>
                </w:p>
              </w:tc>
              <w:tc>
                <w:tcPr>
                  <w:tcW w:w="1841" w:type="dxa"/>
                  <w:tcBorders>
                    <w:top w:val="single" w:color="auto" w:sz="4" w:space="0"/>
                    <w:left w:val="single" w:color="auto" w:sz="4" w:space="0"/>
                    <w:bottom w:val="single" w:color="auto" w:sz="4" w:space="0"/>
                    <w:right w:val="single" w:color="auto" w:sz="4" w:space="0"/>
                  </w:tcBorders>
                  <w:vAlign w:val="center"/>
                </w:tcPr>
                <w:p w14:paraId="7AC9437B">
                  <w:pPr>
                    <w:jc w:val="center"/>
                    <w:rPr>
                      <w:rFonts w:hint="default"/>
                      <w:color w:val="auto"/>
                      <w:sz w:val="18"/>
                      <w:szCs w:val="18"/>
                      <w:lang w:val="en-US" w:eastAsia="zh-CN"/>
                    </w:rPr>
                  </w:pPr>
                  <w:r>
                    <w:rPr>
                      <w:rFonts w:hint="eastAsia"/>
                      <w:color w:val="auto"/>
                      <w:sz w:val="18"/>
                      <w:szCs w:val="18"/>
                      <w:lang w:val="en-US" w:eastAsia="zh-CN"/>
                    </w:rPr>
                    <w:t>废纺丝油剂包装S2</w:t>
                  </w:r>
                </w:p>
              </w:tc>
              <w:tc>
                <w:tcPr>
                  <w:tcW w:w="2265" w:type="dxa"/>
                  <w:tcBorders>
                    <w:top w:val="single" w:color="auto" w:sz="4" w:space="0"/>
                    <w:left w:val="single" w:color="auto" w:sz="4" w:space="0"/>
                    <w:bottom w:val="single" w:color="auto" w:sz="4" w:space="0"/>
                    <w:right w:val="single" w:color="auto" w:sz="4" w:space="0"/>
                  </w:tcBorders>
                  <w:vAlign w:val="center"/>
                </w:tcPr>
                <w:p w14:paraId="0FA7A5CF">
                  <w:pPr>
                    <w:jc w:val="center"/>
                    <w:rPr>
                      <w:rFonts w:hint="eastAsia" w:eastAsia="宋体"/>
                      <w:color w:val="auto"/>
                      <w:sz w:val="18"/>
                      <w:szCs w:val="18"/>
                      <w:lang w:val="en-US" w:eastAsia="zh-CN"/>
                    </w:rPr>
                  </w:pPr>
                  <w:r>
                    <w:rPr>
                      <w:rFonts w:hint="eastAsia"/>
                      <w:color w:val="auto"/>
                      <w:sz w:val="18"/>
                      <w:szCs w:val="18"/>
                      <w:lang w:val="en-US" w:eastAsia="zh-CN"/>
                    </w:rPr>
                    <w:t>加弹</w:t>
                  </w:r>
                </w:p>
              </w:tc>
              <w:tc>
                <w:tcPr>
                  <w:tcW w:w="2836" w:type="dxa"/>
                  <w:tcBorders>
                    <w:top w:val="single" w:color="auto" w:sz="4" w:space="0"/>
                    <w:left w:val="single" w:color="auto" w:sz="4" w:space="0"/>
                    <w:bottom w:val="single" w:color="auto" w:sz="4" w:space="0"/>
                  </w:tcBorders>
                  <w:vAlign w:val="center"/>
                </w:tcPr>
                <w:p w14:paraId="1EB4D22E">
                  <w:pPr>
                    <w:jc w:val="center"/>
                    <w:rPr>
                      <w:rFonts w:hint="eastAsia" w:eastAsia="宋体"/>
                      <w:color w:val="auto"/>
                      <w:sz w:val="18"/>
                      <w:szCs w:val="18"/>
                      <w:lang w:val="en-US" w:eastAsia="zh-CN"/>
                    </w:rPr>
                  </w:pPr>
                  <w:r>
                    <w:rPr>
                      <w:rFonts w:hint="eastAsia"/>
                      <w:color w:val="auto"/>
                      <w:sz w:val="18"/>
                      <w:szCs w:val="18"/>
                      <w:lang w:val="en-US" w:eastAsia="zh-CN"/>
                    </w:rPr>
                    <w:t>废纺丝油剂包装</w:t>
                  </w:r>
                </w:p>
              </w:tc>
            </w:tr>
            <w:tr w14:paraId="6B0F3D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764" w:type="dxa"/>
                  <w:vMerge w:val="continue"/>
                  <w:tcBorders>
                    <w:right w:val="single" w:color="auto" w:sz="4" w:space="0"/>
                  </w:tcBorders>
                  <w:vAlign w:val="center"/>
                </w:tcPr>
                <w:p w14:paraId="5FCBA8EA">
                  <w:pPr>
                    <w:jc w:val="center"/>
                    <w:rPr>
                      <w:color w:val="auto"/>
                      <w:sz w:val="18"/>
                      <w:szCs w:val="18"/>
                    </w:rPr>
                  </w:pPr>
                </w:p>
              </w:tc>
              <w:tc>
                <w:tcPr>
                  <w:tcW w:w="1841" w:type="dxa"/>
                  <w:tcBorders>
                    <w:top w:val="single" w:color="auto" w:sz="4" w:space="0"/>
                    <w:left w:val="single" w:color="auto" w:sz="4" w:space="0"/>
                    <w:bottom w:val="single" w:color="auto" w:sz="4" w:space="0"/>
                    <w:right w:val="single" w:color="auto" w:sz="4" w:space="0"/>
                  </w:tcBorders>
                  <w:vAlign w:val="center"/>
                </w:tcPr>
                <w:p w14:paraId="56C1F6B4">
                  <w:pPr>
                    <w:jc w:val="center"/>
                    <w:rPr>
                      <w:rFonts w:hint="eastAsia" w:eastAsia="宋体"/>
                      <w:color w:val="auto"/>
                      <w:sz w:val="18"/>
                      <w:szCs w:val="18"/>
                      <w:lang w:eastAsia="zh-CN"/>
                    </w:rPr>
                  </w:pPr>
                  <w:r>
                    <w:rPr>
                      <w:rFonts w:hint="eastAsia"/>
                      <w:color w:val="auto"/>
                      <w:sz w:val="18"/>
                      <w:szCs w:val="18"/>
                      <w:lang w:val="en-US" w:eastAsia="zh-CN"/>
                    </w:rPr>
                    <w:t>废丝</w:t>
                  </w:r>
                  <w:r>
                    <w:rPr>
                      <w:color w:val="auto"/>
                      <w:sz w:val="18"/>
                      <w:szCs w:val="18"/>
                    </w:rPr>
                    <w:t>S</w:t>
                  </w:r>
                  <w:r>
                    <w:rPr>
                      <w:rFonts w:hint="eastAsia"/>
                      <w:color w:val="auto"/>
                      <w:sz w:val="18"/>
                      <w:szCs w:val="18"/>
                      <w:lang w:val="en-US" w:eastAsia="zh-CN"/>
                    </w:rPr>
                    <w:t>3</w:t>
                  </w:r>
                </w:p>
              </w:tc>
              <w:tc>
                <w:tcPr>
                  <w:tcW w:w="2265" w:type="dxa"/>
                  <w:tcBorders>
                    <w:top w:val="single" w:color="auto" w:sz="4" w:space="0"/>
                    <w:left w:val="single" w:color="auto" w:sz="4" w:space="0"/>
                    <w:bottom w:val="single" w:color="auto" w:sz="4" w:space="0"/>
                    <w:right w:val="single" w:color="auto" w:sz="4" w:space="0"/>
                  </w:tcBorders>
                  <w:vAlign w:val="center"/>
                </w:tcPr>
                <w:p w14:paraId="0F77CDA8">
                  <w:pPr>
                    <w:jc w:val="center"/>
                    <w:rPr>
                      <w:rFonts w:hint="eastAsia" w:eastAsia="宋体"/>
                      <w:color w:val="auto"/>
                      <w:sz w:val="18"/>
                      <w:szCs w:val="18"/>
                      <w:lang w:eastAsia="zh-CN"/>
                    </w:rPr>
                  </w:pPr>
                  <w:r>
                    <w:rPr>
                      <w:rFonts w:hint="eastAsia"/>
                      <w:color w:val="auto"/>
                      <w:sz w:val="18"/>
                      <w:szCs w:val="18"/>
                      <w:lang w:val="en-US" w:eastAsia="zh-CN"/>
                    </w:rPr>
                    <w:t>穿综扒筘</w:t>
                  </w:r>
                </w:p>
              </w:tc>
              <w:tc>
                <w:tcPr>
                  <w:tcW w:w="2836" w:type="dxa"/>
                  <w:tcBorders>
                    <w:top w:val="single" w:color="auto" w:sz="4" w:space="0"/>
                    <w:left w:val="single" w:color="auto" w:sz="4" w:space="0"/>
                    <w:bottom w:val="single" w:color="auto" w:sz="4" w:space="0"/>
                  </w:tcBorders>
                  <w:vAlign w:val="center"/>
                </w:tcPr>
                <w:p w14:paraId="7BF3E852">
                  <w:pPr>
                    <w:jc w:val="center"/>
                    <w:rPr>
                      <w:color w:val="auto"/>
                      <w:sz w:val="18"/>
                      <w:szCs w:val="18"/>
                    </w:rPr>
                  </w:pPr>
                  <w:r>
                    <w:rPr>
                      <w:rFonts w:hint="eastAsia"/>
                      <w:color w:val="auto"/>
                      <w:sz w:val="18"/>
                      <w:szCs w:val="18"/>
                    </w:rPr>
                    <w:t>废丝</w:t>
                  </w:r>
                </w:p>
              </w:tc>
            </w:tr>
            <w:tr w14:paraId="6431C2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dxa"/>
                  <w:vMerge w:val="continue"/>
                  <w:tcBorders>
                    <w:right w:val="single" w:color="auto" w:sz="4" w:space="0"/>
                  </w:tcBorders>
                  <w:vAlign w:val="center"/>
                </w:tcPr>
                <w:p w14:paraId="2F641335">
                  <w:pPr>
                    <w:jc w:val="center"/>
                    <w:rPr>
                      <w:color w:val="auto"/>
                      <w:sz w:val="18"/>
                      <w:szCs w:val="18"/>
                    </w:rPr>
                  </w:pPr>
                </w:p>
              </w:tc>
              <w:tc>
                <w:tcPr>
                  <w:tcW w:w="1841" w:type="dxa"/>
                  <w:tcBorders>
                    <w:top w:val="single" w:color="auto" w:sz="4" w:space="0"/>
                    <w:left w:val="single" w:color="auto" w:sz="4" w:space="0"/>
                    <w:bottom w:val="single" w:color="auto" w:sz="4" w:space="0"/>
                    <w:right w:val="single" w:color="auto" w:sz="4" w:space="0"/>
                  </w:tcBorders>
                  <w:vAlign w:val="center"/>
                </w:tcPr>
                <w:p w14:paraId="6CC8FBE9">
                  <w:pPr>
                    <w:jc w:val="center"/>
                    <w:rPr>
                      <w:rFonts w:hint="eastAsia" w:eastAsia="宋体"/>
                      <w:color w:val="auto"/>
                      <w:sz w:val="18"/>
                      <w:szCs w:val="18"/>
                      <w:lang w:eastAsia="zh-CN"/>
                    </w:rPr>
                  </w:pPr>
                  <w:r>
                    <w:rPr>
                      <w:rFonts w:hint="eastAsia"/>
                      <w:color w:val="auto"/>
                      <w:sz w:val="18"/>
                      <w:szCs w:val="18"/>
                      <w:lang w:val="en-US" w:eastAsia="zh-CN"/>
                    </w:rPr>
                    <w:t>废丝</w:t>
                  </w:r>
                  <w:r>
                    <w:rPr>
                      <w:color w:val="auto"/>
                      <w:sz w:val="18"/>
                      <w:szCs w:val="18"/>
                    </w:rPr>
                    <w:t>S</w:t>
                  </w:r>
                  <w:r>
                    <w:rPr>
                      <w:rFonts w:hint="eastAsia"/>
                      <w:color w:val="auto"/>
                      <w:sz w:val="18"/>
                      <w:szCs w:val="18"/>
                      <w:lang w:val="en-US" w:eastAsia="zh-CN"/>
                    </w:rPr>
                    <w:t>4</w:t>
                  </w:r>
                </w:p>
              </w:tc>
              <w:tc>
                <w:tcPr>
                  <w:tcW w:w="2265" w:type="dxa"/>
                  <w:tcBorders>
                    <w:top w:val="single" w:color="auto" w:sz="4" w:space="0"/>
                    <w:left w:val="single" w:color="auto" w:sz="4" w:space="0"/>
                    <w:bottom w:val="single" w:color="auto" w:sz="4" w:space="0"/>
                    <w:right w:val="single" w:color="auto" w:sz="4" w:space="0"/>
                  </w:tcBorders>
                  <w:vAlign w:val="center"/>
                </w:tcPr>
                <w:p w14:paraId="6F3F4184">
                  <w:pPr>
                    <w:jc w:val="center"/>
                    <w:rPr>
                      <w:rFonts w:hint="eastAsia" w:eastAsia="宋体"/>
                      <w:color w:val="auto"/>
                      <w:sz w:val="18"/>
                      <w:szCs w:val="18"/>
                      <w:lang w:eastAsia="zh-CN"/>
                    </w:rPr>
                  </w:pPr>
                  <w:r>
                    <w:rPr>
                      <w:rFonts w:hint="eastAsia"/>
                      <w:color w:val="auto"/>
                      <w:sz w:val="18"/>
                      <w:szCs w:val="18"/>
                      <w:lang w:val="en-US" w:eastAsia="zh-CN"/>
                    </w:rPr>
                    <w:t>喷气织造</w:t>
                  </w:r>
                </w:p>
              </w:tc>
              <w:tc>
                <w:tcPr>
                  <w:tcW w:w="2836" w:type="dxa"/>
                  <w:tcBorders>
                    <w:top w:val="single" w:color="auto" w:sz="4" w:space="0"/>
                    <w:left w:val="single" w:color="auto" w:sz="4" w:space="0"/>
                    <w:bottom w:val="single" w:color="auto" w:sz="4" w:space="0"/>
                  </w:tcBorders>
                  <w:vAlign w:val="center"/>
                </w:tcPr>
                <w:p w14:paraId="7A9CD1B5">
                  <w:pPr>
                    <w:jc w:val="center"/>
                    <w:rPr>
                      <w:color w:val="auto"/>
                      <w:sz w:val="18"/>
                      <w:szCs w:val="18"/>
                    </w:rPr>
                  </w:pPr>
                  <w:r>
                    <w:rPr>
                      <w:rFonts w:hint="eastAsia"/>
                      <w:color w:val="auto"/>
                      <w:sz w:val="18"/>
                      <w:szCs w:val="18"/>
                    </w:rPr>
                    <w:t>废丝</w:t>
                  </w:r>
                </w:p>
              </w:tc>
            </w:tr>
            <w:tr w14:paraId="0AF01B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64" w:type="dxa"/>
                  <w:vMerge w:val="continue"/>
                  <w:tcBorders>
                    <w:right w:val="single" w:color="auto" w:sz="4" w:space="0"/>
                  </w:tcBorders>
                  <w:vAlign w:val="center"/>
                </w:tcPr>
                <w:p w14:paraId="4EC21E10">
                  <w:pPr>
                    <w:jc w:val="center"/>
                    <w:rPr>
                      <w:color w:val="auto"/>
                      <w:sz w:val="18"/>
                      <w:szCs w:val="18"/>
                    </w:rPr>
                  </w:pPr>
                </w:p>
              </w:tc>
              <w:tc>
                <w:tcPr>
                  <w:tcW w:w="1841" w:type="dxa"/>
                  <w:tcBorders>
                    <w:top w:val="single" w:color="auto" w:sz="4" w:space="0"/>
                    <w:left w:val="single" w:color="auto" w:sz="4" w:space="0"/>
                    <w:bottom w:val="single" w:color="auto" w:sz="4" w:space="0"/>
                    <w:right w:val="single" w:color="auto" w:sz="4" w:space="0"/>
                  </w:tcBorders>
                  <w:vAlign w:val="center"/>
                </w:tcPr>
                <w:p w14:paraId="1476D9F2">
                  <w:pPr>
                    <w:jc w:val="center"/>
                    <w:rPr>
                      <w:rFonts w:hint="eastAsia"/>
                      <w:color w:val="auto"/>
                      <w:sz w:val="18"/>
                      <w:szCs w:val="18"/>
                      <w:lang w:val="en-US" w:eastAsia="zh-CN"/>
                    </w:rPr>
                  </w:pPr>
                  <w:r>
                    <w:rPr>
                      <w:rFonts w:hint="eastAsia"/>
                      <w:color w:val="auto"/>
                      <w:sz w:val="18"/>
                      <w:szCs w:val="18"/>
                      <w:lang w:val="en-US" w:eastAsia="zh-CN"/>
                    </w:rPr>
                    <w:t>废丝S5</w:t>
                  </w:r>
                </w:p>
              </w:tc>
              <w:tc>
                <w:tcPr>
                  <w:tcW w:w="2265" w:type="dxa"/>
                  <w:tcBorders>
                    <w:top w:val="single" w:color="auto" w:sz="4" w:space="0"/>
                    <w:left w:val="single" w:color="auto" w:sz="4" w:space="0"/>
                    <w:bottom w:val="single" w:color="auto" w:sz="4" w:space="0"/>
                    <w:right w:val="single" w:color="auto" w:sz="4" w:space="0"/>
                  </w:tcBorders>
                  <w:vAlign w:val="center"/>
                </w:tcPr>
                <w:p w14:paraId="3A689DBD">
                  <w:pPr>
                    <w:jc w:val="center"/>
                    <w:rPr>
                      <w:rFonts w:hint="eastAsia" w:eastAsia="宋体"/>
                      <w:color w:val="auto"/>
                      <w:sz w:val="18"/>
                      <w:szCs w:val="18"/>
                      <w:lang w:val="en-US" w:eastAsia="zh-CN"/>
                    </w:rPr>
                  </w:pPr>
                  <w:r>
                    <w:rPr>
                      <w:rFonts w:hint="eastAsia"/>
                      <w:color w:val="auto"/>
                      <w:sz w:val="18"/>
                      <w:szCs w:val="18"/>
                      <w:lang w:val="en-US" w:eastAsia="zh-CN"/>
                    </w:rPr>
                    <w:t>喷水织造</w:t>
                  </w:r>
                </w:p>
              </w:tc>
              <w:tc>
                <w:tcPr>
                  <w:tcW w:w="2836" w:type="dxa"/>
                  <w:tcBorders>
                    <w:top w:val="single" w:color="auto" w:sz="4" w:space="0"/>
                    <w:left w:val="single" w:color="auto" w:sz="4" w:space="0"/>
                    <w:bottom w:val="single" w:color="auto" w:sz="4" w:space="0"/>
                  </w:tcBorders>
                  <w:vAlign w:val="center"/>
                </w:tcPr>
                <w:p w14:paraId="27AFB8AD">
                  <w:pPr>
                    <w:jc w:val="center"/>
                    <w:rPr>
                      <w:rFonts w:hint="eastAsia"/>
                      <w:color w:val="auto"/>
                      <w:sz w:val="18"/>
                      <w:szCs w:val="18"/>
                    </w:rPr>
                  </w:pPr>
                  <w:r>
                    <w:rPr>
                      <w:rFonts w:hint="eastAsia"/>
                      <w:color w:val="auto"/>
                      <w:sz w:val="18"/>
                      <w:szCs w:val="18"/>
                    </w:rPr>
                    <w:t>废丝</w:t>
                  </w:r>
                </w:p>
              </w:tc>
            </w:tr>
            <w:tr w14:paraId="5117DA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dxa"/>
                  <w:vMerge w:val="continue"/>
                  <w:tcBorders>
                    <w:right w:val="single" w:color="auto" w:sz="4" w:space="0"/>
                  </w:tcBorders>
                  <w:vAlign w:val="center"/>
                </w:tcPr>
                <w:p w14:paraId="2444B7A0">
                  <w:pPr>
                    <w:jc w:val="center"/>
                    <w:rPr>
                      <w:color w:val="auto"/>
                      <w:sz w:val="18"/>
                      <w:szCs w:val="18"/>
                    </w:rPr>
                  </w:pPr>
                </w:p>
              </w:tc>
              <w:tc>
                <w:tcPr>
                  <w:tcW w:w="1841" w:type="dxa"/>
                  <w:tcBorders>
                    <w:top w:val="single" w:color="auto" w:sz="4" w:space="0"/>
                    <w:left w:val="single" w:color="auto" w:sz="4" w:space="0"/>
                    <w:bottom w:val="single" w:color="auto" w:sz="4" w:space="0"/>
                    <w:right w:val="single" w:color="auto" w:sz="4" w:space="0"/>
                  </w:tcBorders>
                  <w:vAlign w:val="center"/>
                </w:tcPr>
                <w:p w14:paraId="5FCE3102">
                  <w:pPr>
                    <w:jc w:val="center"/>
                    <w:rPr>
                      <w:rFonts w:hint="default"/>
                      <w:color w:val="auto"/>
                      <w:sz w:val="18"/>
                      <w:szCs w:val="18"/>
                      <w:lang w:val="en-US" w:eastAsia="zh-CN"/>
                    </w:rPr>
                  </w:pPr>
                  <w:r>
                    <w:rPr>
                      <w:rFonts w:hint="eastAsia"/>
                      <w:color w:val="auto"/>
                      <w:sz w:val="18"/>
                      <w:szCs w:val="18"/>
                      <w:lang w:val="en-US" w:eastAsia="zh-CN"/>
                    </w:rPr>
                    <w:t>废胶水S6</w:t>
                  </w:r>
                </w:p>
              </w:tc>
              <w:tc>
                <w:tcPr>
                  <w:tcW w:w="2265" w:type="dxa"/>
                  <w:tcBorders>
                    <w:top w:val="single" w:color="auto" w:sz="4" w:space="0"/>
                    <w:left w:val="single" w:color="auto" w:sz="4" w:space="0"/>
                    <w:bottom w:val="single" w:color="auto" w:sz="4" w:space="0"/>
                    <w:right w:val="single" w:color="auto" w:sz="4" w:space="0"/>
                  </w:tcBorders>
                  <w:vAlign w:val="center"/>
                </w:tcPr>
                <w:p w14:paraId="5C295AB9">
                  <w:pPr>
                    <w:jc w:val="center"/>
                    <w:rPr>
                      <w:rFonts w:hint="default"/>
                      <w:color w:val="auto"/>
                      <w:sz w:val="18"/>
                      <w:szCs w:val="18"/>
                      <w:lang w:val="en-US" w:eastAsia="zh-CN"/>
                    </w:rPr>
                  </w:pPr>
                  <w:r>
                    <w:rPr>
                      <w:rFonts w:hint="eastAsia"/>
                      <w:color w:val="auto"/>
                      <w:sz w:val="18"/>
                      <w:szCs w:val="18"/>
                      <w:lang w:val="en-US" w:eastAsia="zh-CN"/>
                    </w:rPr>
                    <w:t>复合</w:t>
                  </w:r>
                </w:p>
              </w:tc>
              <w:tc>
                <w:tcPr>
                  <w:tcW w:w="2836" w:type="dxa"/>
                  <w:tcBorders>
                    <w:top w:val="single" w:color="auto" w:sz="4" w:space="0"/>
                    <w:left w:val="single" w:color="auto" w:sz="4" w:space="0"/>
                    <w:bottom w:val="single" w:color="auto" w:sz="4" w:space="0"/>
                  </w:tcBorders>
                  <w:vAlign w:val="center"/>
                </w:tcPr>
                <w:p w14:paraId="7890F618">
                  <w:pPr>
                    <w:jc w:val="center"/>
                    <w:rPr>
                      <w:rFonts w:hint="eastAsia"/>
                      <w:color w:val="auto"/>
                      <w:sz w:val="18"/>
                      <w:szCs w:val="18"/>
                    </w:rPr>
                  </w:pPr>
                  <w:r>
                    <w:rPr>
                      <w:rFonts w:hint="eastAsia"/>
                      <w:color w:val="auto"/>
                      <w:sz w:val="18"/>
                      <w:szCs w:val="18"/>
                      <w:lang w:val="en-US" w:eastAsia="zh-CN"/>
                    </w:rPr>
                    <w:t>废胶水</w:t>
                  </w:r>
                </w:p>
              </w:tc>
            </w:tr>
            <w:tr w14:paraId="369EFF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dxa"/>
                  <w:vMerge w:val="continue"/>
                  <w:tcBorders>
                    <w:right w:val="single" w:color="auto" w:sz="4" w:space="0"/>
                  </w:tcBorders>
                  <w:vAlign w:val="center"/>
                </w:tcPr>
                <w:p w14:paraId="5E843888">
                  <w:pPr>
                    <w:jc w:val="center"/>
                    <w:rPr>
                      <w:color w:val="auto"/>
                      <w:sz w:val="18"/>
                      <w:szCs w:val="18"/>
                    </w:rPr>
                  </w:pPr>
                </w:p>
              </w:tc>
              <w:tc>
                <w:tcPr>
                  <w:tcW w:w="1841" w:type="dxa"/>
                  <w:tcBorders>
                    <w:top w:val="single" w:color="auto" w:sz="4" w:space="0"/>
                    <w:left w:val="single" w:color="auto" w:sz="4" w:space="0"/>
                    <w:bottom w:val="single" w:color="auto" w:sz="4" w:space="0"/>
                    <w:right w:val="single" w:color="auto" w:sz="4" w:space="0"/>
                  </w:tcBorders>
                  <w:vAlign w:val="center"/>
                </w:tcPr>
                <w:p w14:paraId="7AAF4C8A">
                  <w:pPr>
                    <w:jc w:val="center"/>
                    <w:rPr>
                      <w:rFonts w:hint="default"/>
                      <w:color w:val="auto"/>
                      <w:sz w:val="18"/>
                      <w:szCs w:val="18"/>
                      <w:lang w:val="en-US" w:eastAsia="zh-CN"/>
                    </w:rPr>
                  </w:pPr>
                  <w:r>
                    <w:rPr>
                      <w:rFonts w:hint="eastAsia"/>
                      <w:color w:val="auto"/>
                      <w:sz w:val="18"/>
                      <w:szCs w:val="18"/>
                      <w:lang w:val="en-US" w:eastAsia="zh-CN"/>
                    </w:rPr>
                    <w:t>废胶水包装S7</w:t>
                  </w:r>
                </w:p>
              </w:tc>
              <w:tc>
                <w:tcPr>
                  <w:tcW w:w="2265" w:type="dxa"/>
                  <w:tcBorders>
                    <w:top w:val="single" w:color="auto" w:sz="4" w:space="0"/>
                    <w:left w:val="single" w:color="auto" w:sz="4" w:space="0"/>
                    <w:bottom w:val="single" w:color="auto" w:sz="4" w:space="0"/>
                    <w:right w:val="single" w:color="auto" w:sz="4" w:space="0"/>
                  </w:tcBorders>
                  <w:vAlign w:val="center"/>
                </w:tcPr>
                <w:p w14:paraId="4BCE14E9">
                  <w:pPr>
                    <w:jc w:val="center"/>
                    <w:rPr>
                      <w:rFonts w:hint="eastAsia"/>
                      <w:color w:val="auto"/>
                      <w:sz w:val="18"/>
                      <w:szCs w:val="18"/>
                      <w:lang w:val="en-US" w:eastAsia="zh-CN"/>
                    </w:rPr>
                  </w:pPr>
                  <w:r>
                    <w:rPr>
                      <w:rFonts w:hint="eastAsia"/>
                      <w:color w:val="auto"/>
                      <w:sz w:val="18"/>
                      <w:szCs w:val="18"/>
                      <w:lang w:val="en-US" w:eastAsia="zh-CN"/>
                    </w:rPr>
                    <w:t>复合</w:t>
                  </w:r>
                </w:p>
              </w:tc>
              <w:tc>
                <w:tcPr>
                  <w:tcW w:w="2836" w:type="dxa"/>
                  <w:tcBorders>
                    <w:top w:val="single" w:color="auto" w:sz="4" w:space="0"/>
                    <w:left w:val="single" w:color="auto" w:sz="4" w:space="0"/>
                    <w:bottom w:val="single" w:color="auto" w:sz="4" w:space="0"/>
                  </w:tcBorders>
                  <w:vAlign w:val="center"/>
                </w:tcPr>
                <w:p w14:paraId="7575429C">
                  <w:pPr>
                    <w:jc w:val="center"/>
                    <w:rPr>
                      <w:rFonts w:hint="eastAsia" w:eastAsia="宋体"/>
                      <w:color w:val="auto"/>
                      <w:sz w:val="18"/>
                      <w:szCs w:val="18"/>
                      <w:lang w:val="en-US" w:eastAsia="zh-CN"/>
                    </w:rPr>
                  </w:pPr>
                  <w:r>
                    <w:rPr>
                      <w:rFonts w:hint="eastAsia"/>
                      <w:color w:val="auto"/>
                      <w:sz w:val="18"/>
                      <w:szCs w:val="18"/>
                      <w:lang w:val="en-US" w:eastAsia="zh-CN"/>
                    </w:rPr>
                    <w:t>包装物</w:t>
                  </w:r>
                </w:p>
              </w:tc>
            </w:tr>
            <w:tr w14:paraId="6D9DA3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dxa"/>
                  <w:vMerge w:val="continue"/>
                  <w:tcBorders>
                    <w:right w:val="single" w:color="auto" w:sz="4" w:space="0"/>
                  </w:tcBorders>
                  <w:vAlign w:val="center"/>
                </w:tcPr>
                <w:p w14:paraId="269336A8">
                  <w:pPr>
                    <w:jc w:val="center"/>
                    <w:rPr>
                      <w:color w:val="auto"/>
                      <w:sz w:val="18"/>
                      <w:szCs w:val="18"/>
                    </w:rPr>
                  </w:pPr>
                </w:p>
              </w:tc>
              <w:tc>
                <w:tcPr>
                  <w:tcW w:w="1841" w:type="dxa"/>
                  <w:tcBorders>
                    <w:top w:val="single" w:color="auto" w:sz="4" w:space="0"/>
                    <w:left w:val="single" w:color="auto" w:sz="4" w:space="0"/>
                    <w:bottom w:val="single" w:color="auto" w:sz="4" w:space="0"/>
                    <w:right w:val="single" w:color="auto" w:sz="4" w:space="0"/>
                  </w:tcBorders>
                  <w:vAlign w:val="center"/>
                </w:tcPr>
                <w:p w14:paraId="73420022">
                  <w:pPr>
                    <w:jc w:val="center"/>
                    <w:rPr>
                      <w:rFonts w:hint="default"/>
                      <w:color w:val="auto"/>
                      <w:sz w:val="18"/>
                      <w:szCs w:val="18"/>
                      <w:lang w:val="en-US" w:eastAsia="zh-CN"/>
                    </w:rPr>
                  </w:pPr>
                  <w:r>
                    <w:rPr>
                      <w:rFonts w:hint="eastAsia"/>
                      <w:color w:val="auto"/>
                      <w:sz w:val="18"/>
                      <w:szCs w:val="18"/>
                      <w:lang w:val="en-US" w:eastAsia="zh-CN"/>
                    </w:rPr>
                    <w:t>废润滑油S8</w:t>
                  </w:r>
                </w:p>
              </w:tc>
              <w:tc>
                <w:tcPr>
                  <w:tcW w:w="2265" w:type="dxa"/>
                  <w:tcBorders>
                    <w:top w:val="single" w:color="auto" w:sz="4" w:space="0"/>
                    <w:left w:val="single" w:color="auto" w:sz="4" w:space="0"/>
                    <w:bottom w:val="single" w:color="auto" w:sz="4" w:space="0"/>
                    <w:right w:val="single" w:color="auto" w:sz="4" w:space="0"/>
                  </w:tcBorders>
                  <w:vAlign w:val="center"/>
                </w:tcPr>
                <w:p w14:paraId="7F43DBFA">
                  <w:pPr>
                    <w:jc w:val="center"/>
                    <w:rPr>
                      <w:rFonts w:hint="eastAsia"/>
                      <w:color w:val="auto"/>
                      <w:sz w:val="18"/>
                      <w:szCs w:val="18"/>
                      <w:lang w:val="en-US" w:eastAsia="zh-CN"/>
                    </w:rPr>
                  </w:pPr>
                  <w:r>
                    <w:rPr>
                      <w:rFonts w:hint="eastAsia"/>
                      <w:color w:val="auto"/>
                      <w:sz w:val="18"/>
                      <w:szCs w:val="18"/>
                      <w:lang w:val="en-US" w:eastAsia="zh-CN"/>
                    </w:rPr>
                    <w:t>设备维护</w:t>
                  </w:r>
                </w:p>
              </w:tc>
              <w:tc>
                <w:tcPr>
                  <w:tcW w:w="2836" w:type="dxa"/>
                  <w:tcBorders>
                    <w:top w:val="single" w:color="auto" w:sz="4" w:space="0"/>
                    <w:left w:val="single" w:color="auto" w:sz="4" w:space="0"/>
                    <w:bottom w:val="single" w:color="auto" w:sz="4" w:space="0"/>
                  </w:tcBorders>
                  <w:vAlign w:val="center"/>
                </w:tcPr>
                <w:p w14:paraId="3D79FDA3">
                  <w:pPr>
                    <w:jc w:val="center"/>
                    <w:rPr>
                      <w:rFonts w:hint="eastAsia"/>
                      <w:color w:val="auto"/>
                      <w:sz w:val="18"/>
                      <w:szCs w:val="18"/>
                    </w:rPr>
                  </w:pPr>
                  <w:r>
                    <w:rPr>
                      <w:rFonts w:hint="eastAsia"/>
                      <w:color w:val="auto"/>
                      <w:sz w:val="18"/>
                      <w:szCs w:val="18"/>
                      <w:lang w:val="en-US" w:eastAsia="zh-CN"/>
                    </w:rPr>
                    <w:t>废润滑油</w:t>
                  </w:r>
                </w:p>
              </w:tc>
            </w:tr>
            <w:tr w14:paraId="686A1C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dxa"/>
                  <w:vMerge w:val="continue"/>
                  <w:tcBorders>
                    <w:right w:val="single" w:color="auto" w:sz="4" w:space="0"/>
                  </w:tcBorders>
                  <w:vAlign w:val="center"/>
                </w:tcPr>
                <w:p w14:paraId="73B167BF">
                  <w:pPr>
                    <w:jc w:val="center"/>
                    <w:rPr>
                      <w:color w:val="auto"/>
                      <w:sz w:val="18"/>
                      <w:szCs w:val="18"/>
                    </w:rPr>
                  </w:pPr>
                </w:p>
              </w:tc>
              <w:tc>
                <w:tcPr>
                  <w:tcW w:w="1841" w:type="dxa"/>
                  <w:tcBorders>
                    <w:top w:val="single" w:color="auto" w:sz="4" w:space="0"/>
                    <w:left w:val="single" w:color="auto" w:sz="4" w:space="0"/>
                    <w:bottom w:val="single" w:color="auto" w:sz="4" w:space="0"/>
                    <w:right w:val="single" w:color="auto" w:sz="4" w:space="0"/>
                  </w:tcBorders>
                  <w:vAlign w:val="center"/>
                </w:tcPr>
                <w:p w14:paraId="646032AA">
                  <w:pPr>
                    <w:jc w:val="center"/>
                    <w:rPr>
                      <w:rFonts w:hint="default"/>
                      <w:color w:val="auto"/>
                      <w:sz w:val="18"/>
                      <w:szCs w:val="18"/>
                      <w:lang w:val="en-US" w:eastAsia="zh-CN"/>
                    </w:rPr>
                  </w:pPr>
                  <w:r>
                    <w:rPr>
                      <w:rFonts w:hint="eastAsia"/>
                      <w:color w:val="auto"/>
                      <w:sz w:val="18"/>
                      <w:szCs w:val="18"/>
                      <w:lang w:val="en-US" w:eastAsia="zh-CN"/>
                    </w:rPr>
                    <w:t>废润滑油包装S9</w:t>
                  </w:r>
                </w:p>
              </w:tc>
              <w:tc>
                <w:tcPr>
                  <w:tcW w:w="2265" w:type="dxa"/>
                  <w:tcBorders>
                    <w:top w:val="single" w:color="auto" w:sz="4" w:space="0"/>
                    <w:left w:val="single" w:color="auto" w:sz="4" w:space="0"/>
                    <w:bottom w:val="single" w:color="auto" w:sz="4" w:space="0"/>
                    <w:right w:val="single" w:color="auto" w:sz="4" w:space="0"/>
                  </w:tcBorders>
                  <w:vAlign w:val="center"/>
                </w:tcPr>
                <w:p w14:paraId="30FCE375">
                  <w:pPr>
                    <w:jc w:val="center"/>
                    <w:rPr>
                      <w:rFonts w:hint="default"/>
                      <w:color w:val="auto"/>
                      <w:sz w:val="18"/>
                      <w:szCs w:val="18"/>
                      <w:lang w:val="en-US" w:eastAsia="zh-CN"/>
                    </w:rPr>
                  </w:pPr>
                  <w:r>
                    <w:rPr>
                      <w:rFonts w:hint="eastAsia"/>
                      <w:color w:val="auto"/>
                      <w:sz w:val="18"/>
                      <w:szCs w:val="18"/>
                      <w:lang w:val="en-US" w:eastAsia="zh-CN"/>
                    </w:rPr>
                    <w:t>设备维护</w:t>
                  </w:r>
                </w:p>
              </w:tc>
              <w:tc>
                <w:tcPr>
                  <w:tcW w:w="2836" w:type="dxa"/>
                  <w:tcBorders>
                    <w:top w:val="single" w:color="auto" w:sz="4" w:space="0"/>
                    <w:left w:val="single" w:color="auto" w:sz="4" w:space="0"/>
                    <w:bottom w:val="single" w:color="auto" w:sz="4" w:space="0"/>
                  </w:tcBorders>
                  <w:vAlign w:val="center"/>
                </w:tcPr>
                <w:p w14:paraId="63C0AE1E">
                  <w:pPr>
                    <w:jc w:val="center"/>
                    <w:rPr>
                      <w:rFonts w:hint="eastAsia"/>
                      <w:color w:val="auto"/>
                      <w:sz w:val="18"/>
                      <w:szCs w:val="18"/>
                    </w:rPr>
                  </w:pPr>
                  <w:r>
                    <w:rPr>
                      <w:rFonts w:hint="eastAsia"/>
                      <w:color w:val="auto"/>
                      <w:sz w:val="18"/>
                      <w:szCs w:val="18"/>
                      <w:lang w:val="en-US" w:eastAsia="zh-CN"/>
                    </w:rPr>
                    <w:t>包装物</w:t>
                  </w:r>
                </w:p>
              </w:tc>
            </w:tr>
            <w:tr w14:paraId="43BD5C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dxa"/>
                  <w:vMerge w:val="continue"/>
                  <w:tcBorders>
                    <w:right w:val="single" w:color="auto" w:sz="4" w:space="0"/>
                  </w:tcBorders>
                  <w:vAlign w:val="center"/>
                </w:tcPr>
                <w:p w14:paraId="472F7CEE">
                  <w:pPr>
                    <w:jc w:val="center"/>
                    <w:rPr>
                      <w:color w:val="auto"/>
                      <w:sz w:val="18"/>
                      <w:szCs w:val="18"/>
                    </w:rPr>
                  </w:pPr>
                </w:p>
              </w:tc>
              <w:tc>
                <w:tcPr>
                  <w:tcW w:w="1841" w:type="dxa"/>
                  <w:tcBorders>
                    <w:top w:val="single" w:color="auto" w:sz="4" w:space="0"/>
                    <w:left w:val="single" w:color="auto" w:sz="4" w:space="0"/>
                    <w:bottom w:val="single" w:color="auto" w:sz="4" w:space="0"/>
                    <w:right w:val="single" w:color="auto" w:sz="4" w:space="0"/>
                  </w:tcBorders>
                  <w:vAlign w:val="center"/>
                </w:tcPr>
                <w:p w14:paraId="749B7626">
                  <w:pPr>
                    <w:jc w:val="center"/>
                    <w:rPr>
                      <w:rFonts w:hint="default"/>
                      <w:color w:val="auto"/>
                      <w:sz w:val="18"/>
                      <w:szCs w:val="18"/>
                      <w:lang w:val="en-US" w:eastAsia="zh-CN"/>
                    </w:rPr>
                  </w:pPr>
                  <w:r>
                    <w:rPr>
                      <w:rFonts w:hint="eastAsia"/>
                      <w:color w:val="auto"/>
                      <w:sz w:val="18"/>
                      <w:szCs w:val="18"/>
                      <w:lang w:val="en-US" w:eastAsia="zh-CN"/>
                    </w:rPr>
                    <w:t>在线仪废液S10</w:t>
                  </w:r>
                </w:p>
              </w:tc>
              <w:tc>
                <w:tcPr>
                  <w:tcW w:w="2265" w:type="dxa"/>
                  <w:tcBorders>
                    <w:top w:val="single" w:color="auto" w:sz="4" w:space="0"/>
                    <w:left w:val="single" w:color="auto" w:sz="4" w:space="0"/>
                    <w:bottom w:val="single" w:color="auto" w:sz="4" w:space="0"/>
                    <w:right w:val="single" w:color="auto" w:sz="4" w:space="0"/>
                  </w:tcBorders>
                  <w:vAlign w:val="center"/>
                </w:tcPr>
                <w:p w14:paraId="3FF27423">
                  <w:pPr>
                    <w:jc w:val="center"/>
                    <w:rPr>
                      <w:rFonts w:hint="eastAsia"/>
                      <w:color w:val="auto"/>
                      <w:sz w:val="18"/>
                      <w:szCs w:val="18"/>
                      <w:lang w:val="en-US" w:eastAsia="zh-CN"/>
                    </w:rPr>
                  </w:pPr>
                  <w:r>
                    <w:rPr>
                      <w:rFonts w:hint="eastAsia"/>
                      <w:color w:val="auto"/>
                      <w:sz w:val="18"/>
                      <w:szCs w:val="18"/>
                    </w:rPr>
                    <w:t>污水在线监测</w:t>
                  </w:r>
                </w:p>
              </w:tc>
              <w:tc>
                <w:tcPr>
                  <w:tcW w:w="2836" w:type="dxa"/>
                  <w:tcBorders>
                    <w:top w:val="single" w:color="auto" w:sz="4" w:space="0"/>
                    <w:left w:val="single" w:color="auto" w:sz="4" w:space="0"/>
                    <w:bottom w:val="single" w:color="auto" w:sz="4" w:space="0"/>
                  </w:tcBorders>
                  <w:vAlign w:val="center"/>
                </w:tcPr>
                <w:p w14:paraId="79F057D0">
                  <w:pPr>
                    <w:jc w:val="center"/>
                    <w:rPr>
                      <w:rFonts w:hint="eastAsia"/>
                      <w:color w:val="auto"/>
                      <w:sz w:val="18"/>
                      <w:szCs w:val="18"/>
                    </w:rPr>
                  </w:pPr>
                  <w:r>
                    <w:rPr>
                      <w:rFonts w:hint="eastAsia"/>
                      <w:color w:val="auto"/>
                      <w:sz w:val="18"/>
                      <w:szCs w:val="18"/>
                      <w:lang w:val="en-US" w:eastAsia="zh-CN"/>
                    </w:rPr>
                    <w:t>在线仪废液</w:t>
                  </w:r>
                </w:p>
              </w:tc>
            </w:tr>
            <w:tr w14:paraId="02DA01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dxa"/>
                  <w:vMerge w:val="continue"/>
                  <w:tcBorders>
                    <w:right w:val="single" w:color="auto" w:sz="4" w:space="0"/>
                  </w:tcBorders>
                  <w:vAlign w:val="center"/>
                </w:tcPr>
                <w:p w14:paraId="63CC5FBE">
                  <w:pPr>
                    <w:jc w:val="center"/>
                    <w:rPr>
                      <w:color w:val="auto"/>
                      <w:sz w:val="18"/>
                      <w:szCs w:val="18"/>
                    </w:rPr>
                  </w:pPr>
                </w:p>
              </w:tc>
              <w:tc>
                <w:tcPr>
                  <w:tcW w:w="1841" w:type="dxa"/>
                  <w:tcBorders>
                    <w:top w:val="single" w:color="auto" w:sz="4" w:space="0"/>
                    <w:left w:val="single" w:color="auto" w:sz="4" w:space="0"/>
                    <w:bottom w:val="single" w:color="auto" w:sz="4" w:space="0"/>
                    <w:right w:val="single" w:color="auto" w:sz="4" w:space="0"/>
                  </w:tcBorders>
                  <w:vAlign w:val="center"/>
                </w:tcPr>
                <w:p w14:paraId="077C737B">
                  <w:pPr>
                    <w:jc w:val="center"/>
                    <w:rPr>
                      <w:rFonts w:hint="default" w:eastAsia="宋体"/>
                      <w:color w:val="auto"/>
                      <w:sz w:val="18"/>
                      <w:szCs w:val="18"/>
                      <w:lang w:val="en-US" w:eastAsia="zh-CN"/>
                    </w:rPr>
                  </w:pPr>
                  <w:r>
                    <w:rPr>
                      <w:rFonts w:hint="eastAsia"/>
                      <w:color w:val="auto"/>
                      <w:sz w:val="18"/>
                      <w:szCs w:val="18"/>
                      <w:lang w:val="en-US" w:eastAsia="zh-CN"/>
                    </w:rPr>
                    <w:t>废试剂包装S11</w:t>
                  </w:r>
                </w:p>
              </w:tc>
              <w:tc>
                <w:tcPr>
                  <w:tcW w:w="2265" w:type="dxa"/>
                  <w:tcBorders>
                    <w:top w:val="single" w:color="auto" w:sz="4" w:space="0"/>
                    <w:left w:val="single" w:color="auto" w:sz="4" w:space="0"/>
                    <w:bottom w:val="single" w:color="auto" w:sz="4" w:space="0"/>
                    <w:right w:val="single" w:color="auto" w:sz="4" w:space="0"/>
                  </w:tcBorders>
                  <w:vAlign w:val="center"/>
                </w:tcPr>
                <w:p w14:paraId="1790D4F8">
                  <w:pPr>
                    <w:jc w:val="center"/>
                    <w:rPr>
                      <w:color w:val="auto"/>
                      <w:sz w:val="18"/>
                      <w:szCs w:val="18"/>
                    </w:rPr>
                  </w:pPr>
                  <w:r>
                    <w:rPr>
                      <w:rFonts w:hint="eastAsia"/>
                      <w:color w:val="auto"/>
                      <w:sz w:val="18"/>
                      <w:szCs w:val="18"/>
                    </w:rPr>
                    <w:t>污水在线监测</w:t>
                  </w:r>
                </w:p>
              </w:tc>
              <w:tc>
                <w:tcPr>
                  <w:tcW w:w="2836" w:type="dxa"/>
                  <w:tcBorders>
                    <w:top w:val="single" w:color="auto" w:sz="4" w:space="0"/>
                    <w:left w:val="single" w:color="auto" w:sz="4" w:space="0"/>
                    <w:bottom w:val="single" w:color="auto" w:sz="4" w:space="0"/>
                  </w:tcBorders>
                  <w:vAlign w:val="center"/>
                </w:tcPr>
                <w:p w14:paraId="7E9C73BC">
                  <w:pPr>
                    <w:jc w:val="center"/>
                    <w:rPr>
                      <w:color w:val="auto"/>
                      <w:sz w:val="18"/>
                      <w:szCs w:val="18"/>
                    </w:rPr>
                  </w:pPr>
                  <w:r>
                    <w:rPr>
                      <w:rFonts w:hint="eastAsia"/>
                      <w:color w:val="auto"/>
                      <w:sz w:val="18"/>
                      <w:szCs w:val="18"/>
                      <w:lang w:val="en-US" w:eastAsia="zh-CN"/>
                    </w:rPr>
                    <w:t>包装物</w:t>
                  </w:r>
                </w:p>
              </w:tc>
            </w:tr>
            <w:tr w14:paraId="425765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dxa"/>
                  <w:vMerge w:val="continue"/>
                  <w:tcBorders>
                    <w:right w:val="single" w:color="auto" w:sz="4" w:space="0"/>
                  </w:tcBorders>
                  <w:vAlign w:val="center"/>
                </w:tcPr>
                <w:p w14:paraId="279B43EC">
                  <w:pPr>
                    <w:jc w:val="center"/>
                    <w:rPr>
                      <w:color w:val="auto"/>
                      <w:sz w:val="18"/>
                      <w:szCs w:val="18"/>
                    </w:rPr>
                  </w:pPr>
                </w:p>
              </w:tc>
              <w:tc>
                <w:tcPr>
                  <w:tcW w:w="1841" w:type="dxa"/>
                  <w:tcBorders>
                    <w:top w:val="single" w:color="auto" w:sz="4" w:space="0"/>
                    <w:left w:val="single" w:color="auto" w:sz="4" w:space="0"/>
                    <w:bottom w:val="single" w:color="auto" w:sz="4" w:space="0"/>
                    <w:right w:val="single" w:color="auto" w:sz="4" w:space="0"/>
                  </w:tcBorders>
                  <w:vAlign w:val="center"/>
                </w:tcPr>
                <w:p w14:paraId="53FC381B">
                  <w:pPr>
                    <w:jc w:val="center"/>
                    <w:rPr>
                      <w:rFonts w:hint="default" w:eastAsia="宋体"/>
                      <w:color w:val="auto"/>
                      <w:sz w:val="18"/>
                      <w:szCs w:val="18"/>
                      <w:lang w:val="en-US" w:eastAsia="zh-CN"/>
                    </w:rPr>
                  </w:pPr>
                  <w:r>
                    <w:rPr>
                      <w:rFonts w:hint="eastAsia"/>
                      <w:color w:val="auto"/>
                      <w:sz w:val="18"/>
                      <w:szCs w:val="18"/>
                      <w:lang w:val="en-US" w:eastAsia="zh-CN"/>
                    </w:rPr>
                    <w:t>废草酸包装S12</w:t>
                  </w:r>
                </w:p>
              </w:tc>
              <w:tc>
                <w:tcPr>
                  <w:tcW w:w="2265" w:type="dxa"/>
                  <w:tcBorders>
                    <w:top w:val="single" w:color="auto" w:sz="4" w:space="0"/>
                    <w:left w:val="single" w:color="auto" w:sz="4" w:space="0"/>
                    <w:bottom w:val="single" w:color="auto" w:sz="4" w:space="0"/>
                    <w:right w:val="single" w:color="auto" w:sz="4" w:space="0"/>
                  </w:tcBorders>
                  <w:vAlign w:val="center"/>
                </w:tcPr>
                <w:p w14:paraId="6DBA4A78">
                  <w:pPr>
                    <w:jc w:val="center"/>
                    <w:rPr>
                      <w:color w:val="auto"/>
                      <w:sz w:val="18"/>
                      <w:szCs w:val="18"/>
                    </w:rPr>
                  </w:pPr>
                  <w:r>
                    <w:rPr>
                      <w:rFonts w:hint="eastAsia"/>
                      <w:color w:val="auto"/>
                      <w:sz w:val="18"/>
                      <w:szCs w:val="18"/>
                      <w:lang w:val="en-US" w:eastAsia="zh-CN"/>
                    </w:rPr>
                    <w:t>洗综</w:t>
                  </w:r>
                </w:p>
              </w:tc>
              <w:tc>
                <w:tcPr>
                  <w:tcW w:w="2836" w:type="dxa"/>
                  <w:tcBorders>
                    <w:top w:val="single" w:color="auto" w:sz="4" w:space="0"/>
                    <w:left w:val="single" w:color="auto" w:sz="4" w:space="0"/>
                    <w:bottom w:val="single" w:color="auto" w:sz="4" w:space="0"/>
                  </w:tcBorders>
                  <w:vAlign w:val="center"/>
                </w:tcPr>
                <w:p w14:paraId="629136B3">
                  <w:pPr>
                    <w:jc w:val="center"/>
                    <w:rPr>
                      <w:rFonts w:hint="eastAsia" w:eastAsia="宋体"/>
                      <w:color w:val="auto"/>
                      <w:sz w:val="18"/>
                      <w:szCs w:val="18"/>
                      <w:lang w:eastAsia="zh-CN"/>
                    </w:rPr>
                  </w:pPr>
                  <w:r>
                    <w:rPr>
                      <w:rFonts w:hint="eastAsia"/>
                      <w:color w:val="auto"/>
                      <w:sz w:val="18"/>
                      <w:szCs w:val="18"/>
                      <w:lang w:val="en-US" w:eastAsia="zh-CN"/>
                    </w:rPr>
                    <w:t>包装物</w:t>
                  </w:r>
                </w:p>
              </w:tc>
            </w:tr>
            <w:tr w14:paraId="4062D7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dxa"/>
                  <w:vMerge w:val="continue"/>
                  <w:tcBorders>
                    <w:right w:val="single" w:color="auto" w:sz="4" w:space="0"/>
                  </w:tcBorders>
                  <w:vAlign w:val="center"/>
                </w:tcPr>
                <w:p w14:paraId="29B5FED7">
                  <w:pPr>
                    <w:jc w:val="center"/>
                    <w:rPr>
                      <w:color w:val="auto"/>
                      <w:sz w:val="18"/>
                      <w:szCs w:val="18"/>
                    </w:rPr>
                  </w:pPr>
                </w:p>
              </w:tc>
              <w:tc>
                <w:tcPr>
                  <w:tcW w:w="1841" w:type="dxa"/>
                  <w:tcBorders>
                    <w:top w:val="single" w:color="auto" w:sz="4" w:space="0"/>
                    <w:left w:val="single" w:color="auto" w:sz="4" w:space="0"/>
                    <w:bottom w:val="single" w:color="auto" w:sz="4" w:space="0"/>
                    <w:right w:val="single" w:color="auto" w:sz="4" w:space="0"/>
                  </w:tcBorders>
                  <w:vAlign w:val="center"/>
                </w:tcPr>
                <w:p w14:paraId="4ABEC0DE">
                  <w:pPr>
                    <w:jc w:val="center"/>
                    <w:rPr>
                      <w:rFonts w:hint="default"/>
                      <w:color w:val="auto"/>
                      <w:sz w:val="18"/>
                      <w:szCs w:val="18"/>
                      <w:lang w:val="en-US" w:eastAsia="zh-CN"/>
                    </w:rPr>
                  </w:pPr>
                  <w:r>
                    <w:rPr>
                      <w:rFonts w:hint="eastAsia"/>
                      <w:color w:val="auto"/>
                      <w:sz w:val="18"/>
                      <w:szCs w:val="18"/>
                      <w:lang w:val="en-US" w:eastAsia="zh-CN"/>
                    </w:rPr>
                    <w:t>废活性炭S13</w:t>
                  </w:r>
                </w:p>
              </w:tc>
              <w:tc>
                <w:tcPr>
                  <w:tcW w:w="2265" w:type="dxa"/>
                  <w:tcBorders>
                    <w:top w:val="single" w:color="auto" w:sz="4" w:space="0"/>
                    <w:left w:val="single" w:color="auto" w:sz="4" w:space="0"/>
                    <w:bottom w:val="single" w:color="auto" w:sz="4" w:space="0"/>
                    <w:right w:val="single" w:color="auto" w:sz="4" w:space="0"/>
                  </w:tcBorders>
                  <w:vAlign w:val="center"/>
                </w:tcPr>
                <w:p w14:paraId="2781438C">
                  <w:pPr>
                    <w:jc w:val="center"/>
                    <w:rPr>
                      <w:rFonts w:hint="default"/>
                      <w:color w:val="auto"/>
                      <w:sz w:val="18"/>
                      <w:szCs w:val="18"/>
                      <w:lang w:val="en-US" w:eastAsia="zh-CN"/>
                    </w:rPr>
                  </w:pPr>
                  <w:r>
                    <w:rPr>
                      <w:rFonts w:hint="eastAsia"/>
                      <w:color w:val="auto"/>
                      <w:sz w:val="18"/>
                      <w:szCs w:val="18"/>
                      <w:lang w:val="en-US" w:eastAsia="zh-CN"/>
                    </w:rPr>
                    <w:t>废气处理</w:t>
                  </w:r>
                </w:p>
              </w:tc>
              <w:tc>
                <w:tcPr>
                  <w:tcW w:w="2836" w:type="dxa"/>
                  <w:tcBorders>
                    <w:top w:val="single" w:color="auto" w:sz="4" w:space="0"/>
                    <w:left w:val="single" w:color="auto" w:sz="4" w:space="0"/>
                    <w:bottom w:val="single" w:color="auto" w:sz="4" w:space="0"/>
                  </w:tcBorders>
                  <w:vAlign w:val="center"/>
                </w:tcPr>
                <w:p w14:paraId="48FBD0E2">
                  <w:pPr>
                    <w:jc w:val="center"/>
                    <w:rPr>
                      <w:rFonts w:hint="default"/>
                      <w:color w:val="auto"/>
                      <w:sz w:val="18"/>
                      <w:szCs w:val="18"/>
                      <w:lang w:val="en-US" w:eastAsia="zh-CN"/>
                    </w:rPr>
                  </w:pPr>
                  <w:r>
                    <w:rPr>
                      <w:rFonts w:hint="eastAsia"/>
                      <w:color w:val="auto"/>
                      <w:sz w:val="18"/>
                      <w:szCs w:val="18"/>
                      <w:lang w:val="en-US" w:eastAsia="zh-CN"/>
                    </w:rPr>
                    <w:t>废活性炭</w:t>
                  </w:r>
                </w:p>
              </w:tc>
            </w:tr>
            <w:tr w14:paraId="09461C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dxa"/>
                  <w:vMerge w:val="continue"/>
                  <w:tcBorders>
                    <w:right w:val="single" w:color="auto" w:sz="4" w:space="0"/>
                  </w:tcBorders>
                  <w:vAlign w:val="center"/>
                </w:tcPr>
                <w:p w14:paraId="1B02702A">
                  <w:pPr>
                    <w:jc w:val="center"/>
                    <w:rPr>
                      <w:color w:val="auto"/>
                      <w:sz w:val="18"/>
                      <w:szCs w:val="18"/>
                    </w:rPr>
                  </w:pPr>
                </w:p>
              </w:tc>
              <w:tc>
                <w:tcPr>
                  <w:tcW w:w="1841" w:type="dxa"/>
                  <w:tcBorders>
                    <w:top w:val="single" w:color="auto" w:sz="4" w:space="0"/>
                    <w:left w:val="single" w:color="auto" w:sz="4" w:space="0"/>
                    <w:bottom w:val="single" w:color="auto" w:sz="4" w:space="0"/>
                    <w:right w:val="single" w:color="auto" w:sz="4" w:space="0"/>
                  </w:tcBorders>
                  <w:vAlign w:val="center"/>
                </w:tcPr>
                <w:p w14:paraId="05B4A173">
                  <w:pPr>
                    <w:jc w:val="center"/>
                    <w:rPr>
                      <w:rFonts w:hint="default"/>
                      <w:color w:val="auto"/>
                      <w:sz w:val="18"/>
                      <w:szCs w:val="18"/>
                      <w:lang w:val="en-US" w:eastAsia="zh-CN"/>
                    </w:rPr>
                  </w:pPr>
                  <w:r>
                    <w:rPr>
                      <w:rFonts w:hint="eastAsia"/>
                      <w:color w:val="auto"/>
                      <w:sz w:val="18"/>
                      <w:szCs w:val="18"/>
                      <w:lang w:val="en-US" w:eastAsia="zh-CN"/>
                    </w:rPr>
                    <w:t>生活垃圾S14</w:t>
                  </w:r>
                </w:p>
              </w:tc>
              <w:tc>
                <w:tcPr>
                  <w:tcW w:w="2265" w:type="dxa"/>
                  <w:tcBorders>
                    <w:top w:val="single" w:color="auto" w:sz="4" w:space="0"/>
                    <w:left w:val="single" w:color="auto" w:sz="4" w:space="0"/>
                    <w:bottom w:val="single" w:color="auto" w:sz="4" w:space="0"/>
                    <w:right w:val="single" w:color="auto" w:sz="4" w:space="0"/>
                  </w:tcBorders>
                  <w:vAlign w:val="center"/>
                </w:tcPr>
                <w:p w14:paraId="0DD838A9">
                  <w:pPr>
                    <w:jc w:val="center"/>
                    <w:rPr>
                      <w:rFonts w:hint="default"/>
                      <w:color w:val="auto"/>
                      <w:sz w:val="18"/>
                      <w:szCs w:val="18"/>
                      <w:lang w:val="en-US" w:eastAsia="zh-CN"/>
                    </w:rPr>
                  </w:pPr>
                  <w:r>
                    <w:rPr>
                      <w:rFonts w:hint="eastAsia"/>
                      <w:color w:val="auto"/>
                      <w:sz w:val="18"/>
                      <w:szCs w:val="18"/>
                      <w:lang w:val="en-US" w:eastAsia="zh-CN"/>
                    </w:rPr>
                    <w:t>职工生活</w:t>
                  </w:r>
                </w:p>
              </w:tc>
              <w:tc>
                <w:tcPr>
                  <w:tcW w:w="2836" w:type="dxa"/>
                  <w:tcBorders>
                    <w:top w:val="single" w:color="auto" w:sz="4" w:space="0"/>
                    <w:left w:val="single" w:color="auto" w:sz="4" w:space="0"/>
                    <w:bottom w:val="single" w:color="auto" w:sz="4" w:space="0"/>
                  </w:tcBorders>
                  <w:vAlign w:val="center"/>
                </w:tcPr>
                <w:p w14:paraId="4FF934DB">
                  <w:pPr>
                    <w:jc w:val="center"/>
                    <w:rPr>
                      <w:rFonts w:hint="default"/>
                      <w:color w:val="auto"/>
                      <w:sz w:val="18"/>
                      <w:szCs w:val="18"/>
                      <w:lang w:val="en-US" w:eastAsia="zh-CN"/>
                    </w:rPr>
                  </w:pPr>
                  <w:r>
                    <w:rPr>
                      <w:rFonts w:hint="eastAsia"/>
                      <w:color w:val="auto"/>
                      <w:sz w:val="18"/>
                      <w:szCs w:val="18"/>
                      <w:lang w:val="en-US" w:eastAsia="zh-CN"/>
                    </w:rPr>
                    <w:t>垃圾</w:t>
                  </w:r>
                </w:p>
              </w:tc>
            </w:tr>
            <w:tr w14:paraId="6C766B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dxa"/>
                  <w:tcBorders>
                    <w:bottom w:val="single" w:color="auto" w:sz="12" w:space="0"/>
                    <w:right w:val="single" w:color="auto" w:sz="4" w:space="0"/>
                  </w:tcBorders>
                  <w:vAlign w:val="center"/>
                </w:tcPr>
                <w:p w14:paraId="3B73461E">
                  <w:pPr>
                    <w:jc w:val="center"/>
                    <w:rPr>
                      <w:rFonts w:hint="eastAsia"/>
                      <w:color w:val="auto"/>
                      <w:sz w:val="18"/>
                      <w:szCs w:val="18"/>
                    </w:rPr>
                  </w:pPr>
                  <w:r>
                    <w:rPr>
                      <w:rFonts w:hint="eastAsia"/>
                      <w:color w:val="auto"/>
                      <w:sz w:val="18"/>
                      <w:szCs w:val="18"/>
                    </w:rPr>
                    <w:t>噪声</w:t>
                  </w:r>
                </w:p>
              </w:tc>
              <w:tc>
                <w:tcPr>
                  <w:tcW w:w="1841" w:type="dxa"/>
                  <w:tcBorders>
                    <w:top w:val="single" w:color="auto" w:sz="4" w:space="0"/>
                    <w:left w:val="single" w:color="auto" w:sz="4" w:space="0"/>
                    <w:bottom w:val="single" w:color="auto" w:sz="12" w:space="0"/>
                    <w:right w:val="single" w:color="auto" w:sz="4" w:space="0"/>
                  </w:tcBorders>
                  <w:vAlign w:val="center"/>
                </w:tcPr>
                <w:p w14:paraId="53879F17">
                  <w:pPr>
                    <w:jc w:val="center"/>
                    <w:rPr>
                      <w:rFonts w:hint="default"/>
                      <w:color w:val="auto"/>
                      <w:sz w:val="18"/>
                      <w:szCs w:val="18"/>
                      <w:lang w:val="en-US" w:eastAsia="zh-CN"/>
                    </w:rPr>
                  </w:pPr>
                  <w:r>
                    <w:rPr>
                      <w:rFonts w:hint="eastAsia"/>
                      <w:color w:val="auto"/>
                      <w:sz w:val="18"/>
                      <w:szCs w:val="18"/>
                      <w:lang w:val="en-US" w:eastAsia="zh-CN"/>
                    </w:rPr>
                    <w:t>/</w:t>
                  </w:r>
                </w:p>
              </w:tc>
              <w:tc>
                <w:tcPr>
                  <w:tcW w:w="2265" w:type="dxa"/>
                  <w:tcBorders>
                    <w:top w:val="single" w:color="auto" w:sz="4" w:space="0"/>
                    <w:left w:val="single" w:color="auto" w:sz="4" w:space="0"/>
                    <w:bottom w:val="single" w:color="auto" w:sz="12" w:space="0"/>
                    <w:right w:val="single" w:color="auto" w:sz="4" w:space="0"/>
                  </w:tcBorders>
                  <w:vAlign w:val="center"/>
                </w:tcPr>
                <w:p w14:paraId="72B85BC4">
                  <w:pPr>
                    <w:jc w:val="center"/>
                    <w:rPr>
                      <w:rFonts w:hint="default"/>
                      <w:color w:val="auto"/>
                      <w:sz w:val="18"/>
                      <w:szCs w:val="18"/>
                      <w:lang w:val="en-US" w:eastAsia="zh-CN"/>
                    </w:rPr>
                  </w:pPr>
                  <w:r>
                    <w:rPr>
                      <w:rFonts w:hint="eastAsia"/>
                      <w:color w:val="auto"/>
                      <w:sz w:val="18"/>
                      <w:szCs w:val="18"/>
                      <w:lang w:val="en-US" w:eastAsia="zh-CN"/>
                    </w:rPr>
                    <w:t>生产过程</w:t>
                  </w:r>
                </w:p>
              </w:tc>
              <w:tc>
                <w:tcPr>
                  <w:tcW w:w="2836" w:type="dxa"/>
                  <w:tcBorders>
                    <w:top w:val="single" w:color="auto" w:sz="4" w:space="0"/>
                    <w:left w:val="single" w:color="auto" w:sz="4" w:space="0"/>
                    <w:bottom w:val="single" w:color="auto" w:sz="12" w:space="0"/>
                  </w:tcBorders>
                  <w:vAlign w:val="center"/>
                </w:tcPr>
                <w:p w14:paraId="7E48127A">
                  <w:pPr>
                    <w:jc w:val="center"/>
                    <w:rPr>
                      <w:rFonts w:hint="eastAsia" w:eastAsia="宋体"/>
                      <w:color w:val="auto"/>
                      <w:sz w:val="18"/>
                      <w:szCs w:val="18"/>
                      <w:lang w:val="en-US" w:eastAsia="zh-CN"/>
                    </w:rPr>
                  </w:pPr>
                  <w:r>
                    <w:rPr>
                      <w:rFonts w:hint="eastAsia"/>
                      <w:color w:val="auto"/>
                      <w:sz w:val="18"/>
                      <w:szCs w:val="18"/>
                      <w:lang w:val="en-US" w:eastAsia="zh-CN"/>
                    </w:rPr>
                    <w:t>机械噪声</w:t>
                  </w:r>
                </w:p>
              </w:tc>
            </w:tr>
          </w:tbl>
          <w:p w14:paraId="49D5FF76">
            <w:pPr>
              <w:tabs>
                <w:tab w:val="center" w:pos="4156"/>
                <w:tab w:val="left" w:pos="5964"/>
              </w:tabs>
              <w:adjustRightInd w:val="0"/>
              <w:snapToGrid w:val="0"/>
              <w:jc w:val="center"/>
              <w:rPr>
                <w:b/>
                <w:snapToGrid w:val="0"/>
                <w:color w:val="auto"/>
                <w:szCs w:val="21"/>
              </w:rPr>
            </w:pPr>
          </w:p>
          <w:p w14:paraId="1FCB7C51">
            <w:pPr>
              <w:adjustRightInd w:val="0"/>
              <w:snapToGrid w:val="0"/>
              <w:spacing w:line="360" w:lineRule="auto"/>
              <w:rPr>
                <w:rFonts w:ascii="宋体" w:cs="宋体"/>
                <w:color w:val="auto"/>
                <w:szCs w:val="21"/>
              </w:rPr>
            </w:pPr>
          </w:p>
          <w:p w14:paraId="6F0A44E5">
            <w:pPr>
              <w:adjustRightInd w:val="0"/>
              <w:snapToGrid w:val="0"/>
              <w:spacing w:line="360" w:lineRule="auto"/>
              <w:rPr>
                <w:rFonts w:ascii="宋体" w:cs="宋体"/>
                <w:color w:val="auto"/>
                <w:szCs w:val="21"/>
              </w:rPr>
            </w:pPr>
          </w:p>
          <w:p w14:paraId="3F77164B">
            <w:pPr>
              <w:adjustRightInd w:val="0"/>
              <w:snapToGrid w:val="0"/>
              <w:spacing w:line="360" w:lineRule="auto"/>
              <w:rPr>
                <w:rFonts w:ascii="宋体" w:cs="宋体"/>
                <w:color w:val="auto"/>
                <w:szCs w:val="21"/>
              </w:rPr>
            </w:pPr>
          </w:p>
          <w:p w14:paraId="1FA5BE1D">
            <w:pPr>
              <w:adjustRightInd w:val="0"/>
              <w:snapToGrid w:val="0"/>
              <w:spacing w:line="360" w:lineRule="auto"/>
              <w:rPr>
                <w:rFonts w:ascii="宋体" w:cs="宋体"/>
                <w:color w:val="auto"/>
                <w:szCs w:val="21"/>
              </w:rPr>
            </w:pPr>
          </w:p>
          <w:p w14:paraId="506B90D2">
            <w:pPr>
              <w:adjustRightInd w:val="0"/>
              <w:snapToGrid w:val="0"/>
              <w:spacing w:line="360" w:lineRule="auto"/>
              <w:rPr>
                <w:rFonts w:hint="eastAsia" w:ascii="宋体" w:cs="宋体"/>
                <w:color w:val="auto"/>
                <w:szCs w:val="21"/>
                <w:lang w:val="en-US" w:eastAsia="zh-CN"/>
              </w:rPr>
            </w:pPr>
          </w:p>
          <w:p w14:paraId="11145005">
            <w:pPr>
              <w:adjustRightInd w:val="0"/>
              <w:snapToGrid w:val="0"/>
              <w:spacing w:line="360" w:lineRule="auto"/>
              <w:rPr>
                <w:rFonts w:hint="eastAsia" w:ascii="宋体" w:cs="宋体"/>
                <w:color w:val="auto"/>
                <w:szCs w:val="21"/>
                <w:lang w:val="en-US" w:eastAsia="zh-CN"/>
              </w:rPr>
            </w:pPr>
          </w:p>
          <w:p w14:paraId="5BF6BD2B">
            <w:pPr>
              <w:adjustRightInd w:val="0"/>
              <w:snapToGrid w:val="0"/>
              <w:spacing w:line="360" w:lineRule="auto"/>
              <w:rPr>
                <w:rFonts w:hint="eastAsia" w:ascii="宋体" w:cs="宋体"/>
                <w:color w:val="auto"/>
                <w:szCs w:val="21"/>
                <w:lang w:val="en-US" w:eastAsia="zh-CN"/>
              </w:rPr>
            </w:pPr>
          </w:p>
          <w:p w14:paraId="5DA3C8F6">
            <w:pPr>
              <w:adjustRightInd w:val="0"/>
              <w:snapToGrid w:val="0"/>
              <w:spacing w:line="360" w:lineRule="auto"/>
              <w:rPr>
                <w:rFonts w:hint="eastAsia" w:ascii="宋体" w:cs="宋体"/>
                <w:color w:val="auto"/>
                <w:szCs w:val="21"/>
                <w:lang w:val="en-US" w:eastAsia="zh-CN"/>
              </w:rPr>
            </w:pPr>
          </w:p>
          <w:p w14:paraId="10BC50EA">
            <w:pPr>
              <w:adjustRightInd w:val="0"/>
              <w:snapToGrid w:val="0"/>
              <w:spacing w:line="360" w:lineRule="auto"/>
              <w:rPr>
                <w:rFonts w:hint="eastAsia" w:ascii="宋体" w:cs="宋体"/>
                <w:color w:val="auto"/>
                <w:szCs w:val="21"/>
                <w:lang w:val="en-US" w:eastAsia="zh-CN"/>
              </w:rPr>
            </w:pPr>
          </w:p>
          <w:p w14:paraId="16F4D873">
            <w:pPr>
              <w:adjustRightInd w:val="0"/>
              <w:snapToGrid w:val="0"/>
              <w:spacing w:line="360" w:lineRule="auto"/>
              <w:rPr>
                <w:rFonts w:hint="eastAsia" w:ascii="宋体" w:cs="宋体"/>
                <w:color w:val="auto"/>
                <w:szCs w:val="21"/>
                <w:lang w:val="en-US" w:eastAsia="zh-CN"/>
              </w:rPr>
            </w:pPr>
          </w:p>
          <w:p w14:paraId="4F2FE380">
            <w:pPr>
              <w:adjustRightInd w:val="0"/>
              <w:snapToGrid w:val="0"/>
              <w:spacing w:line="360" w:lineRule="auto"/>
              <w:rPr>
                <w:rFonts w:hint="eastAsia" w:ascii="宋体" w:cs="宋体"/>
                <w:color w:val="auto"/>
                <w:szCs w:val="21"/>
                <w:lang w:val="en-US" w:eastAsia="zh-CN"/>
              </w:rPr>
            </w:pPr>
          </w:p>
          <w:p w14:paraId="2D1594FE">
            <w:pPr>
              <w:adjustRightInd w:val="0"/>
              <w:snapToGrid w:val="0"/>
              <w:spacing w:line="360" w:lineRule="auto"/>
              <w:rPr>
                <w:rFonts w:hint="eastAsia" w:ascii="宋体" w:eastAsia="宋体" w:cs="宋体"/>
                <w:color w:val="auto"/>
                <w:szCs w:val="21"/>
                <w:lang w:val="en-US" w:eastAsia="zh-CN"/>
              </w:rPr>
            </w:pPr>
          </w:p>
        </w:tc>
      </w:tr>
      <w:tr w14:paraId="2C69C3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71" w:hRule="atLeast"/>
          <w:jc w:val="center"/>
        </w:trPr>
        <w:tc>
          <w:tcPr>
            <w:tcW w:w="604" w:type="dxa"/>
            <w:tcBorders>
              <w:bottom w:val="single" w:color="auto" w:sz="8" w:space="0"/>
            </w:tcBorders>
            <w:vAlign w:val="center"/>
          </w:tcPr>
          <w:p w14:paraId="06E5D1FE">
            <w:pPr>
              <w:pStyle w:val="22"/>
              <w:adjustRightInd w:val="0"/>
              <w:snapToGrid w:val="0"/>
              <w:spacing w:before="0" w:beforeAutospacing="0" w:after="0" w:afterAutospacing="0"/>
              <w:jc w:val="center"/>
              <w:rPr>
                <w:rFonts w:ascii="Times New Roman" w:hAnsi="Times New Roman"/>
                <w:color w:val="auto"/>
                <w:sz w:val="21"/>
                <w:szCs w:val="21"/>
              </w:rPr>
            </w:pPr>
            <w:r>
              <w:rPr>
                <w:rFonts w:hint="eastAsia" w:ascii="Times New Roman" w:hAnsi="Times New Roman"/>
                <w:bCs/>
                <w:color w:val="auto"/>
                <w:kern w:val="2"/>
                <w:sz w:val="21"/>
                <w:szCs w:val="21"/>
              </w:rPr>
              <w:t>与项目有关的原有环境污染问题</w:t>
            </w:r>
          </w:p>
        </w:tc>
        <w:tc>
          <w:tcPr>
            <w:tcW w:w="7911" w:type="dxa"/>
            <w:tcBorders>
              <w:bottom w:val="single" w:color="auto" w:sz="8" w:space="0"/>
            </w:tcBorders>
            <w:vAlign w:val="center"/>
          </w:tcPr>
          <w:p w14:paraId="78E2EA76">
            <w:pPr>
              <w:spacing w:line="360" w:lineRule="auto"/>
              <w:ind w:firstLine="422" w:firstLineChars="200"/>
              <w:rPr>
                <w:rFonts w:ascii="Times New Roman" w:hAnsi="Times New Roman" w:eastAsia="宋体" w:cs="Times New Roman"/>
                <w:b/>
                <w:snapToGrid w:val="0"/>
                <w:kern w:val="0"/>
                <w:sz w:val="21"/>
                <w:szCs w:val="21"/>
                <w:highlight w:val="none"/>
              </w:rPr>
            </w:pPr>
            <w:r>
              <w:rPr>
                <w:rFonts w:ascii="Times New Roman" w:hAnsi="Times New Roman" w:eastAsia="宋体" w:cs="Times New Roman"/>
                <w:b/>
                <w:snapToGrid w:val="0"/>
                <w:kern w:val="0"/>
                <w:sz w:val="21"/>
                <w:szCs w:val="21"/>
                <w:highlight w:val="none"/>
              </w:rPr>
              <w:t>1、原有项目环保手续履行情况</w:t>
            </w:r>
          </w:p>
          <w:p w14:paraId="60744762">
            <w:pPr>
              <w:spacing w:line="360" w:lineRule="auto"/>
              <w:ind w:firstLine="420" w:firstLineChars="200"/>
              <w:rPr>
                <w:rFonts w:ascii="Times New Roman" w:hAnsi="Times New Roman" w:eastAsia="宋体" w:cs="Times New Roman"/>
                <w:bCs/>
                <w:snapToGrid w:val="0"/>
                <w:kern w:val="0"/>
                <w:sz w:val="21"/>
                <w:szCs w:val="21"/>
                <w:highlight w:val="none"/>
              </w:rPr>
            </w:pPr>
            <w:r>
              <w:rPr>
                <w:rFonts w:hint="default" w:ascii="Times New Roman" w:hAnsi="Times New Roman" w:eastAsia="宋体" w:cs="Times New Roman"/>
                <w:bCs/>
                <w:snapToGrid w:val="0"/>
                <w:kern w:val="0"/>
                <w:sz w:val="21"/>
                <w:szCs w:val="21"/>
                <w:highlight w:val="none"/>
              </w:rPr>
              <w:t>吴江市国悦纺织品有限公司</w:t>
            </w:r>
            <w:r>
              <w:rPr>
                <w:rFonts w:ascii="Times New Roman" w:hAnsi="Times New Roman" w:eastAsia="宋体" w:cs="Times New Roman"/>
                <w:bCs/>
                <w:snapToGrid w:val="0"/>
                <w:kern w:val="0"/>
                <w:sz w:val="21"/>
                <w:szCs w:val="21"/>
                <w:highlight w:val="none"/>
              </w:rPr>
              <w:t>成立于2011年10月13日，原有厂区位于</w:t>
            </w:r>
            <w:r>
              <w:rPr>
                <w:rFonts w:hint="eastAsia" w:ascii="Times New Roman" w:hAnsi="Times New Roman" w:eastAsia="宋体" w:cs="Times New Roman"/>
                <w:bCs/>
                <w:snapToGrid w:val="0"/>
                <w:kern w:val="0"/>
                <w:sz w:val="21"/>
                <w:szCs w:val="21"/>
                <w:highlight w:val="none"/>
              </w:rPr>
              <w:t>吴江区桃源镇铜罗后练村六组</w:t>
            </w:r>
            <w:r>
              <w:rPr>
                <w:rFonts w:ascii="Times New Roman" w:hAnsi="Times New Roman" w:eastAsia="宋体" w:cs="Times New Roman"/>
                <w:bCs/>
                <w:snapToGrid w:val="0"/>
                <w:kern w:val="0"/>
                <w:sz w:val="21"/>
                <w:szCs w:val="21"/>
                <w:highlight w:val="none"/>
              </w:rPr>
              <w:t>。本项目为新厂区，位于江苏省苏州市</w:t>
            </w:r>
            <w:r>
              <w:rPr>
                <w:rFonts w:hint="eastAsia" w:ascii="Times New Roman" w:hAnsi="Times New Roman" w:eastAsia="宋体" w:cs="Times New Roman"/>
                <w:bCs/>
                <w:snapToGrid w:val="0"/>
                <w:kern w:val="0"/>
                <w:sz w:val="21"/>
                <w:szCs w:val="21"/>
                <w:highlight w:val="none"/>
                <w:lang w:eastAsia="zh-CN"/>
              </w:rPr>
              <w:t>吴江区桃源镇澄源村</w:t>
            </w:r>
            <w:r>
              <w:rPr>
                <w:rFonts w:ascii="Times New Roman" w:hAnsi="Times New Roman" w:eastAsia="宋体" w:cs="Times New Roman"/>
                <w:bCs/>
                <w:snapToGrid w:val="0"/>
                <w:kern w:val="0"/>
                <w:sz w:val="21"/>
                <w:szCs w:val="21"/>
                <w:highlight w:val="none"/>
              </w:rPr>
              <w:t>。新厂区与原有厂区无依托关系。</w:t>
            </w:r>
          </w:p>
          <w:p w14:paraId="43C4E21D">
            <w:pPr>
              <w:spacing w:line="360" w:lineRule="auto"/>
              <w:ind w:firstLine="420" w:firstLineChars="200"/>
              <w:rPr>
                <w:rFonts w:ascii="Times New Roman" w:hAnsi="Times New Roman" w:eastAsia="宋体" w:cs="Times New Roman"/>
                <w:bCs/>
                <w:snapToGrid w:val="0"/>
                <w:kern w:val="0"/>
                <w:sz w:val="21"/>
                <w:szCs w:val="21"/>
                <w:highlight w:val="none"/>
              </w:rPr>
            </w:pPr>
            <w:r>
              <w:rPr>
                <w:rFonts w:ascii="Times New Roman" w:hAnsi="Times New Roman" w:eastAsia="宋体" w:cs="Times New Roman"/>
                <w:bCs/>
                <w:snapToGrid w:val="0"/>
                <w:kern w:val="0"/>
                <w:sz w:val="21"/>
                <w:szCs w:val="21"/>
                <w:highlight w:val="none"/>
              </w:rPr>
              <w:t>公司成立至今共</w:t>
            </w:r>
            <w:r>
              <w:rPr>
                <w:rFonts w:hint="eastAsia" w:ascii="Times New Roman" w:hAnsi="Times New Roman" w:eastAsia="宋体" w:cs="Times New Roman"/>
                <w:bCs/>
                <w:snapToGrid w:val="0"/>
                <w:kern w:val="0"/>
                <w:sz w:val="21"/>
                <w:szCs w:val="21"/>
                <w:highlight w:val="none"/>
                <w:lang w:val="en-US" w:eastAsia="zh-CN"/>
              </w:rPr>
              <w:t>申报过1期自查评估报告</w:t>
            </w:r>
            <w:r>
              <w:rPr>
                <w:rFonts w:ascii="Times New Roman" w:hAnsi="Times New Roman" w:eastAsia="宋体" w:cs="Times New Roman"/>
                <w:bCs/>
                <w:snapToGrid w:val="0"/>
                <w:kern w:val="0"/>
                <w:sz w:val="21"/>
                <w:szCs w:val="21"/>
                <w:highlight w:val="none"/>
              </w:rPr>
              <w:t>，位于</w:t>
            </w:r>
            <w:r>
              <w:rPr>
                <w:rFonts w:hint="eastAsia" w:ascii="Times New Roman" w:hAnsi="Times New Roman" w:eastAsia="宋体" w:cs="Times New Roman"/>
                <w:bCs/>
                <w:snapToGrid w:val="0"/>
                <w:kern w:val="0"/>
                <w:sz w:val="21"/>
                <w:szCs w:val="21"/>
                <w:highlight w:val="none"/>
              </w:rPr>
              <w:t>吴江区桃源镇铜罗后练村六组</w:t>
            </w:r>
            <w:r>
              <w:rPr>
                <w:rFonts w:ascii="Times New Roman" w:hAnsi="Times New Roman" w:eastAsia="宋体" w:cs="Times New Roman"/>
                <w:bCs/>
                <w:snapToGrid w:val="0"/>
                <w:kern w:val="0"/>
                <w:sz w:val="21"/>
                <w:szCs w:val="21"/>
                <w:highlight w:val="none"/>
              </w:rPr>
              <w:t>，与本项目选址不同，且无任何依托关系。原有项目详细情况如下：</w:t>
            </w:r>
          </w:p>
          <w:p w14:paraId="68AE3093">
            <w:pPr>
              <w:spacing w:line="360" w:lineRule="auto"/>
              <w:ind w:firstLine="420" w:firstLineChars="200"/>
              <w:rPr>
                <w:rFonts w:ascii="Times New Roman" w:hAnsi="Times New Roman" w:eastAsia="宋体" w:cs="Times New Roman"/>
                <w:bCs/>
                <w:snapToGrid w:val="0"/>
                <w:kern w:val="0"/>
                <w:sz w:val="21"/>
                <w:szCs w:val="21"/>
                <w:highlight w:val="none"/>
              </w:rPr>
            </w:pPr>
            <w:r>
              <w:rPr>
                <w:rFonts w:ascii="Times New Roman" w:hAnsi="Times New Roman" w:eastAsia="宋体" w:cs="Times New Roman"/>
                <w:bCs/>
                <w:snapToGrid w:val="0"/>
                <w:kern w:val="0"/>
                <w:sz w:val="21"/>
                <w:szCs w:val="21"/>
                <w:highlight w:val="none"/>
              </w:rPr>
              <w:t>①20</w:t>
            </w:r>
            <w:r>
              <w:rPr>
                <w:rFonts w:hint="eastAsia" w:ascii="Times New Roman" w:hAnsi="Times New Roman" w:eastAsia="宋体" w:cs="Times New Roman"/>
                <w:bCs/>
                <w:snapToGrid w:val="0"/>
                <w:kern w:val="0"/>
                <w:sz w:val="21"/>
                <w:szCs w:val="21"/>
                <w:highlight w:val="none"/>
                <w:lang w:val="en-US" w:eastAsia="zh-CN"/>
              </w:rPr>
              <w:t>16</w:t>
            </w:r>
            <w:r>
              <w:rPr>
                <w:rFonts w:ascii="Times New Roman" w:hAnsi="Times New Roman" w:eastAsia="宋体" w:cs="Times New Roman"/>
                <w:bCs/>
                <w:snapToGrid w:val="0"/>
                <w:kern w:val="0"/>
                <w:sz w:val="21"/>
                <w:szCs w:val="21"/>
                <w:highlight w:val="none"/>
              </w:rPr>
              <w:t>年：编制了</w:t>
            </w:r>
            <w:r>
              <w:rPr>
                <w:rFonts w:hint="eastAsia" w:ascii="Times New Roman" w:hAnsi="Times New Roman" w:eastAsia="宋体" w:cs="Times New Roman"/>
                <w:bCs/>
                <w:snapToGrid w:val="0"/>
                <w:kern w:val="0"/>
                <w:sz w:val="21"/>
                <w:szCs w:val="21"/>
                <w:highlight w:val="none"/>
                <w:lang w:val="en-US" w:eastAsia="zh-CN"/>
              </w:rPr>
              <w:t>自查评估报告</w:t>
            </w:r>
            <w:r>
              <w:rPr>
                <w:rFonts w:ascii="Times New Roman" w:hAnsi="Times New Roman" w:eastAsia="宋体" w:cs="Times New Roman"/>
                <w:bCs/>
                <w:snapToGrid w:val="0"/>
                <w:kern w:val="0"/>
                <w:sz w:val="21"/>
                <w:szCs w:val="21"/>
                <w:highlight w:val="none"/>
              </w:rPr>
              <w:t>并通过苏州市</w:t>
            </w:r>
            <w:r>
              <w:rPr>
                <w:rFonts w:hint="eastAsia" w:ascii="Times New Roman" w:hAnsi="Times New Roman" w:eastAsia="宋体" w:cs="Times New Roman"/>
                <w:bCs/>
                <w:snapToGrid w:val="0"/>
                <w:kern w:val="0"/>
                <w:sz w:val="21"/>
                <w:szCs w:val="21"/>
                <w:highlight w:val="none"/>
                <w:lang w:val="en-US" w:eastAsia="zh-CN"/>
              </w:rPr>
              <w:t>吴江区桃源镇人民政府</w:t>
            </w:r>
            <w:r>
              <w:rPr>
                <w:rFonts w:ascii="Times New Roman" w:hAnsi="Times New Roman" w:eastAsia="宋体" w:cs="Times New Roman"/>
                <w:bCs/>
                <w:snapToGrid w:val="0"/>
                <w:kern w:val="0"/>
                <w:sz w:val="21"/>
                <w:szCs w:val="21"/>
                <w:highlight w:val="none"/>
              </w:rPr>
              <w:t>审批，</w:t>
            </w:r>
            <w:r>
              <w:rPr>
                <w:rFonts w:hint="eastAsia" w:ascii="Times New Roman" w:hAnsi="Times New Roman" w:eastAsia="宋体" w:cs="Times New Roman"/>
                <w:bCs/>
                <w:snapToGrid w:val="0"/>
                <w:kern w:val="0"/>
                <w:sz w:val="21"/>
                <w:szCs w:val="21"/>
                <w:highlight w:val="none"/>
                <w:lang w:val="en-US" w:eastAsia="zh-CN"/>
              </w:rPr>
              <w:t>并于2025年4月23日取得排污许可证</w:t>
            </w:r>
            <w:r>
              <w:rPr>
                <w:rFonts w:ascii="Times New Roman" w:hAnsi="Times New Roman" w:eastAsia="宋体" w:cs="Times New Roman"/>
                <w:bCs/>
                <w:snapToGrid w:val="0"/>
                <w:kern w:val="0"/>
                <w:sz w:val="21"/>
                <w:szCs w:val="21"/>
                <w:highlight w:val="none"/>
              </w:rPr>
              <w:t>。</w:t>
            </w:r>
          </w:p>
          <w:p w14:paraId="34A20A2C">
            <w:pPr>
              <w:widowControl/>
              <w:topLinePunct/>
              <w:adjustRightInd w:val="0"/>
              <w:snapToGrid w:val="0"/>
              <w:spacing w:before="120" w:beforeLines="50" w:after="48" w:afterLines="20"/>
              <w:ind w:firstLine="422" w:firstLineChars="200"/>
              <w:jc w:val="center"/>
              <w:rPr>
                <w:rFonts w:ascii="Times New Roman" w:hAnsi="Times New Roman" w:eastAsia="宋体" w:cs="Times New Roman"/>
                <w:b/>
                <w:kern w:val="0"/>
                <w:sz w:val="21"/>
                <w:szCs w:val="21"/>
                <w:highlight w:val="none"/>
              </w:rPr>
            </w:pPr>
            <w:r>
              <w:rPr>
                <w:rFonts w:ascii="Times New Roman" w:hAnsi="Times New Roman" w:eastAsia="宋体" w:cs="Times New Roman"/>
                <w:b/>
                <w:kern w:val="0"/>
                <w:sz w:val="21"/>
                <w:szCs w:val="21"/>
                <w:highlight w:val="none"/>
              </w:rPr>
              <w:t>表2-7    原有项目环保手续履行情况汇总表</w:t>
            </w:r>
          </w:p>
          <w:tbl>
            <w:tblPr>
              <w:tblStyle w:val="26"/>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9"/>
              <w:gridCol w:w="881"/>
              <w:gridCol w:w="1236"/>
              <w:gridCol w:w="1053"/>
              <w:gridCol w:w="945"/>
              <w:gridCol w:w="1184"/>
              <w:gridCol w:w="882"/>
              <w:gridCol w:w="1074"/>
            </w:tblGrid>
            <w:tr w14:paraId="521CC0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9" w:type="dxa"/>
                  <w:noWrap w:val="0"/>
                  <w:vAlign w:val="center"/>
                </w:tcPr>
                <w:p w14:paraId="52A42D12">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default" w:ascii="Times New Roman" w:hAnsi="Times New Roman" w:eastAsia="宋体" w:cs="Times New Roman"/>
                      <w:snapToGrid w:val="0"/>
                      <w:sz w:val="18"/>
                      <w:szCs w:val="18"/>
                      <w:highlight w:val="none"/>
                      <w:lang w:val="en-US" w:eastAsia="zh-CN" w:bidi="ar-SA"/>
                    </w:rPr>
                    <w:t>序号</w:t>
                  </w:r>
                </w:p>
              </w:tc>
              <w:tc>
                <w:tcPr>
                  <w:tcW w:w="881" w:type="dxa"/>
                  <w:noWrap w:val="0"/>
                  <w:vAlign w:val="center"/>
                </w:tcPr>
                <w:p w14:paraId="3411439C">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default" w:ascii="Times New Roman" w:hAnsi="Times New Roman" w:eastAsia="宋体" w:cs="Times New Roman"/>
                      <w:snapToGrid w:val="0"/>
                      <w:sz w:val="18"/>
                      <w:szCs w:val="18"/>
                      <w:highlight w:val="none"/>
                      <w:lang w:val="en-US" w:eastAsia="zh-CN" w:bidi="ar-SA"/>
                    </w:rPr>
                    <w:t>类型</w:t>
                  </w:r>
                </w:p>
              </w:tc>
              <w:tc>
                <w:tcPr>
                  <w:tcW w:w="1236" w:type="dxa"/>
                  <w:noWrap w:val="0"/>
                  <w:vAlign w:val="center"/>
                </w:tcPr>
                <w:p w14:paraId="05F3F71C">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default" w:ascii="Times New Roman" w:hAnsi="Times New Roman" w:eastAsia="宋体" w:cs="Times New Roman"/>
                      <w:snapToGrid w:val="0"/>
                      <w:sz w:val="18"/>
                      <w:szCs w:val="18"/>
                      <w:highlight w:val="none"/>
                      <w:lang w:val="en-US" w:eastAsia="zh-CN" w:bidi="ar-SA"/>
                    </w:rPr>
                    <w:t>项目名称</w:t>
                  </w:r>
                </w:p>
              </w:tc>
              <w:tc>
                <w:tcPr>
                  <w:tcW w:w="1053" w:type="dxa"/>
                  <w:noWrap w:val="0"/>
                  <w:vAlign w:val="center"/>
                </w:tcPr>
                <w:p w14:paraId="07FDFC0B">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default" w:ascii="Times New Roman" w:hAnsi="Times New Roman" w:eastAsia="宋体" w:cs="Times New Roman"/>
                      <w:snapToGrid w:val="0"/>
                      <w:sz w:val="18"/>
                      <w:szCs w:val="18"/>
                      <w:highlight w:val="none"/>
                      <w:lang w:val="en-US" w:eastAsia="zh-CN" w:bidi="ar-SA"/>
                    </w:rPr>
                    <w:t>审批时间</w:t>
                  </w:r>
                </w:p>
              </w:tc>
              <w:tc>
                <w:tcPr>
                  <w:tcW w:w="945" w:type="dxa"/>
                  <w:noWrap w:val="0"/>
                  <w:vAlign w:val="center"/>
                </w:tcPr>
                <w:p w14:paraId="434EDAB4">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default" w:ascii="Times New Roman" w:hAnsi="Times New Roman" w:eastAsia="宋体" w:cs="Times New Roman"/>
                      <w:snapToGrid w:val="0"/>
                      <w:sz w:val="18"/>
                      <w:szCs w:val="18"/>
                      <w:highlight w:val="none"/>
                      <w:lang w:val="en-US" w:eastAsia="zh-CN" w:bidi="ar-SA"/>
                    </w:rPr>
                    <w:t>批文号</w:t>
                  </w:r>
                </w:p>
              </w:tc>
              <w:tc>
                <w:tcPr>
                  <w:tcW w:w="1184" w:type="dxa"/>
                  <w:noWrap w:val="0"/>
                  <w:vAlign w:val="center"/>
                </w:tcPr>
                <w:p w14:paraId="1226CE7F">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default" w:ascii="Times New Roman" w:hAnsi="Times New Roman" w:eastAsia="宋体" w:cs="Times New Roman"/>
                      <w:snapToGrid w:val="0"/>
                      <w:sz w:val="18"/>
                      <w:szCs w:val="18"/>
                      <w:highlight w:val="none"/>
                      <w:lang w:val="en-US" w:eastAsia="zh-CN" w:bidi="ar-SA"/>
                    </w:rPr>
                    <w:t>项目</w:t>
                  </w:r>
                </w:p>
                <w:p w14:paraId="2037D6B1">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default" w:ascii="Times New Roman" w:hAnsi="Times New Roman" w:eastAsia="宋体" w:cs="Times New Roman"/>
                      <w:snapToGrid w:val="0"/>
                      <w:sz w:val="18"/>
                      <w:szCs w:val="18"/>
                      <w:highlight w:val="none"/>
                      <w:lang w:val="en-US" w:eastAsia="zh-CN" w:bidi="ar-SA"/>
                    </w:rPr>
                    <w:t>厂区位置</w:t>
                  </w:r>
                </w:p>
              </w:tc>
              <w:tc>
                <w:tcPr>
                  <w:tcW w:w="882" w:type="dxa"/>
                  <w:noWrap w:val="0"/>
                  <w:vAlign w:val="center"/>
                </w:tcPr>
                <w:p w14:paraId="76D3E017">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default" w:ascii="Times New Roman" w:hAnsi="Times New Roman" w:eastAsia="宋体" w:cs="Times New Roman"/>
                      <w:snapToGrid w:val="0"/>
                      <w:sz w:val="18"/>
                      <w:szCs w:val="18"/>
                      <w:highlight w:val="none"/>
                      <w:lang w:val="en-US" w:eastAsia="zh-CN" w:bidi="ar-SA"/>
                    </w:rPr>
                    <w:t>投产</w:t>
                  </w:r>
                </w:p>
                <w:p w14:paraId="272B268C">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default" w:ascii="Times New Roman" w:hAnsi="Times New Roman" w:eastAsia="宋体" w:cs="Times New Roman"/>
                      <w:snapToGrid w:val="0"/>
                      <w:sz w:val="18"/>
                      <w:szCs w:val="18"/>
                      <w:highlight w:val="none"/>
                      <w:lang w:val="en-US" w:eastAsia="zh-CN" w:bidi="ar-SA"/>
                    </w:rPr>
                    <w:t>情况</w:t>
                  </w:r>
                </w:p>
              </w:tc>
              <w:tc>
                <w:tcPr>
                  <w:tcW w:w="1074" w:type="dxa"/>
                  <w:noWrap w:val="0"/>
                  <w:vAlign w:val="center"/>
                </w:tcPr>
                <w:p w14:paraId="153158AF">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default" w:ascii="Times New Roman" w:hAnsi="Times New Roman" w:eastAsia="宋体" w:cs="Times New Roman"/>
                      <w:snapToGrid w:val="0"/>
                      <w:sz w:val="18"/>
                      <w:szCs w:val="18"/>
                      <w:highlight w:val="none"/>
                      <w:lang w:val="en-US" w:eastAsia="zh-CN" w:bidi="ar-SA"/>
                    </w:rPr>
                    <w:t>验收情况</w:t>
                  </w:r>
                </w:p>
              </w:tc>
            </w:tr>
            <w:tr w14:paraId="73EAA6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9" w:type="dxa"/>
                  <w:noWrap w:val="0"/>
                  <w:vAlign w:val="center"/>
                </w:tcPr>
                <w:p w14:paraId="1ACCA7C6">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default" w:ascii="Times New Roman" w:hAnsi="Times New Roman" w:eastAsia="宋体" w:cs="Times New Roman"/>
                      <w:snapToGrid w:val="0"/>
                      <w:sz w:val="18"/>
                      <w:szCs w:val="18"/>
                      <w:highlight w:val="none"/>
                      <w:lang w:val="en-US" w:eastAsia="zh-CN" w:bidi="ar-SA"/>
                    </w:rPr>
                    <w:t>1</w:t>
                  </w:r>
                </w:p>
              </w:tc>
              <w:tc>
                <w:tcPr>
                  <w:tcW w:w="881" w:type="dxa"/>
                  <w:noWrap w:val="0"/>
                  <w:vAlign w:val="center"/>
                </w:tcPr>
                <w:p w14:paraId="618849D7">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eastAsia" w:ascii="Times New Roman" w:hAnsi="Times New Roman" w:eastAsia="宋体" w:cs="Times New Roman"/>
                      <w:snapToGrid w:val="0"/>
                      <w:sz w:val="18"/>
                      <w:szCs w:val="18"/>
                      <w:highlight w:val="none"/>
                      <w:lang w:val="en-US" w:eastAsia="zh-CN" w:bidi="ar-SA"/>
                    </w:rPr>
                    <w:t>自查报告</w:t>
                  </w:r>
                </w:p>
              </w:tc>
              <w:tc>
                <w:tcPr>
                  <w:tcW w:w="1236" w:type="dxa"/>
                  <w:noWrap w:val="0"/>
                  <w:vAlign w:val="center"/>
                </w:tcPr>
                <w:p w14:paraId="638E9CAD">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eastAsia" w:ascii="Times New Roman" w:hAnsi="Times New Roman" w:eastAsia="宋体" w:cs="Times New Roman"/>
                      <w:snapToGrid w:val="0"/>
                      <w:sz w:val="18"/>
                      <w:szCs w:val="18"/>
                      <w:highlight w:val="none"/>
                      <w:lang w:val="en-US" w:eastAsia="zh-CN" w:bidi="ar-SA"/>
                    </w:rPr>
                    <w:t>年产面料600万米</w:t>
                  </w:r>
                </w:p>
              </w:tc>
              <w:tc>
                <w:tcPr>
                  <w:tcW w:w="1053" w:type="dxa"/>
                  <w:noWrap w:val="0"/>
                  <w:vAlign w:val="center"/>
                </w:tcPr>
                <w:p w14:paraId="06A58C2B">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default" w:ascii="Times New Roman" w:hAnsi="Times New Roman" w:eastAsia="宋体" w:cs="Times New Roman"/>
                      <w:snapToGrid w:val="0"/>
                      <w:sz w:val="18"/>
                      <w:szCs w:val="18"/>
                      <w:highlight w:val="none"/>
                      <w:lang w:val="en-US" w:eastAsia="zh-CN" w:bidi="ar-SA"/>
                    </w:rPr>
                    <w:t>20</w:t>
                  </w:r>
                  <w:r>
                    <w:rPr>
                      <w:rFonts w:hint="eastAsia" w:ascii="Times New Roman" w:hAnsi="Times New Roman" w:eastAsia="宋体" w:cs="Times New Roman"/>
                      <w:snapToGrid w:val="0"/>
                      <w:sz w:val="18"/>
                      <w:szCs w:val="18"/>
                      <w:highlight w:val="none"/>
                      <w:lang w:val="en-US" w:eastAsia="zh-CN" w:bidi="ar-SA"/>
                    </w:rPr>
                    <w:t>16年</w:t>
                  </w:r>
                </w:p>
              </w:tc>
              <w:tc>
                <w:tcPr>
                  <w:tcW w:w="945" w:type="dxa"/>
                  <w:noWrap w:val="0"/>
                  <w:vAlign w:val="center"/>
                </w:tcPr>
                <w:p w14:paraId="3388A246">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eastAsia" w:ascii="Times New Roman" w:hAnsi="Times New Roman" w:eastAsia="宋体" w:cs="Times New Roman"/>
                      <w:snapToGrid w:val="0"/>
                      <w:sz w:val="18"/>
                      <w:szCs w:val="18"/>
                      <w:highlight w:val="none"/>
                      <w:lang w:val="en-US" w:eastAsia="zh-CN" w:bidi="ar-SA"/>
                    </w:rPr>
                    <w:t>/</w:t>
                  </w:r>
                </w:p>
              </w:tc>
              <w:tc>
                <w:tcPr>
                  <w:tcW w:w="1184" w:type="dxa"/>
                  <w:noWrap w:val="0"/>
                  <w:vAlign w:val="center"/>
                </w:tcPr>
                <w:p w14:paraId="47C215AD">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default" w:ascii="Times New Roman" w:hAnsi="Times New Roman" w:eastAsia="宋体" w:cs="Times New Roman"/>
                      <w:snapToGrid w:val="0"/>
                      <w:sz w:val="18"/>
                      <w:szCs w:val="18"/>
                      <w:highlight w:val="none"/>
                      <w:lang w:val="en-US" w:eastAsia="zh-CN" w:bidi="ar-SA"/>
                    </w:rPr>
                    <w:t>吴江区桃源镇铜罗后练村六组</w:t>
                  </w:r>
                </w:p>
              </w:tc>
              <w:tc>
                <w:tcPr>
                  <w:tcW w:w="882" w:type="dxa"/>
                  <w:noWrap w:val="0"/>
                  <w:vAlign w:val="center"/>
                </w:tcPr>
                <w:p w14:paraId="070AD1C0">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default" w:ascii="Times New Roman" w:hAnsi="Times New Roman" w:eastAsia="宋体" w:cs="Times New Roman"/>
                      <w:snapToGrid w:val="0"/>
                      <w:sz w:val="18"/>
                      <w:szCs w:val="18"/>
                      <w:highlight w:val="none"/>
                      <w:lang w:val="en-US" w:eastAsia="zh-CN" w:bidi="ar-SA"/>
                    </w:rPr>
                    <w:t>已投产。</w:t>
                  </w:r>
                </w:p>
              </w:tc>
              <w:tc>
                <w:tcPr>
                  <w:tcW w:w="1074" w:type="dxa"/>
                  <w:noWrap w:val="0"/>
                  <w:vAlign w:val="center"/>
                </w:tcPr>
                <w:p w14:paraId="28CD4341">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eastAsia" w:ascii="Times New Roman" w:hAnsi="Times New Roman" w:eastAsia="宋体" w:cs="Times New Roman"/>
                      <w:snapToGrid w:val="0"/>
                      <w:sz w:val="18"/>
                      <w:szCs w:val="18"/>
                      <w:highlight w:val="none"/>
                      <w:lang w:val="en-US" w:eastAsia="zh-CN" w:bidi="ar-SA"/>
                    </w:rPr>
                    <w:t>无需验收</w:t>
                  </w:r>
                </w:p>
              </w:tc>
            </w:tr>
            <w:tr w14:paraId="240114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9" w:type="dxa"/>
                  <w:noWrap w:val="0"/>
                  <w:vAlign w:val="center"/>
                </w:tcPr>
                <w:p w14:paraId="1B3C905C">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eastAsia" w:ascii="Times New Roman" w:hAnsi="Times New Roman" w:eastAsia="宋体" w:cs="Times New Roman"/>
                      <w:snapToGrid w:val="0"/>
                      <w:sz w:val="18"/>
                      <w:szCs w:val="18"/>
                      <w:highlight w:val="none"/>
                      <w:lang w:val="en-US" w:eastAsia="zh-CN" w:bidi="ar-SA"/>
                    </w:rPr>
                    <w:t>2</w:t>
                  </w:r>
                </w:p>
              </w:tc>
              <w:tc>
                <w:tcPr>
                  <w:tcW w:w="881" w:type="dxa"/>
                  <w:noWrap w:val="0"/>
                  <w:vAlign w:val="center"/>
                </w:tcPr>
                <w:p w14:paraId="612D4240">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eastAsia" w:ascii="Times New Roman" w:hAnsi="Times New Roman" w:eastAsia="宋体" w:cs="Times New Roman"/>
                      <w:snapToGrid w:val="0"/>
                      <w:sz w:val="18"/>
                      <w:szCs w:val="18"/>
                      <w:highlight w:val="none"/>
                      <w:lang w:val="en-US" w:eastAsia="zh-CN" w:bidi="ar-SA"/>
                    </w:rPr>
                    <w:t>排污许可证</w:t>
                  </w:r>
                </w:p>
              </w:tc>
              <w:tc>
                <w:tcPr>
                  <w:tcW w:w="6374" w:type="dxa"/>
                  <w:gridSpan w:val="6"/>
                  <w:noWrap w:val="0"/>
                  <w:vAlign w:val="center"/>
                </w:tcPr>
                <w:p w14:paraId="3B407E77">
                  <w:pPr>
                    <w:topLinePunct/>
                    <w:spacing w:before="48" w:beforeLines="0" w:after="48" w:afterLines="0"/>
                    <w:jc w:val="center"/>
                    <w:rPr>
                      <w:rFonts w:hint="eastAsia" w:ascii="Times New Roman" w:hAnsi="Times New Roman" w:eastAsia="宋体" w:cs="Times New Roman"/>
                      <w:snapToGrid w:val="0"/>
                      <w:sz w:val="18"/>
                      <w:szCs w:val="18"/>
                      <w:highlight w:val="none"/>
                      <w:lang w:val="en-US" w:eastAsia="zh-CN" w:bidi="ar-SA"/>
                    </w:rPr>
                  </w:pPr>
                  <w:r>
                    <w:rPr>
                      <w:rFonts w:hint="eastAsia" w:ascii="Times New Roman" w:hAnsi="Times New Roman" w:eastAsia="宋体" w:cs="Times New Roman"/>
                      <w:snapToGrid w:val="0"/>
                      <w:sz w:val="18"/>
                      <w:szCs w:val="18"/>
                      <w:highlight w:val="none"/>
                      <w:lang w:val="en-US" w:eastAsia="zh-CN" w:bidi="ar-SA"/>
                    </w:rPr>
                    <w:t>有效期为2025年4月23日至2030年4月22日；</w:t>
                  </w:r>
                </w:p>
                <w:p w14:paraId="5A160C9B">
                  <w:pPr>
                    <w:topLinePunct/>
                    <w:spacing w:before="48" w:beforeLines="0" w:after="48" w:afterLines="0"/>
                    <w:jc w:val="center"/>
                    <w:rPr>
                      <w:rFonts w:hint="default" w:ascii="Times New Roman" w:hAnsi="Times New Roman" w:eastAsia="宋体" w:cs="Times New Roman"/>
                      <w:snapToGrid w:val="0"/>
                      <w:sz w:val="18"/>
                      <w:szCs w:val="18"/>
                      <w:highlight w:val="none"/>
                      <w:lang w:val="en-US" w:eastAsia="zh-CN" w:bidi="ar-SA"/>
                    </w:rPr>
                  </w:pPr>
                  <w:r>
                    <w:rPr>
                      <w:rFonts w:hint="eastAsia" w:ascii="Times New Roman" w:hAnsi="Times New Roman" w:eastAsia="宋体" w:cs="Times New Roman"/>
                      <w:snapToGrid w:val="0"/>
                      <w:sz w:val="18"/>
                      <w:szCs w:val="18"/>
                      <w:highlight w:val="none"/>
                      <w:lang w:val="en-US" w:eastAsia="zh-CN" w:bidi="ar-SA"/>
                    </w:rPr>
                    <w:t>排污登记编号：913205095837507850001P</w:t>
                  </w:r>
                </w:p>
              </w:tc>
            </w:tr>
          </w:tbl>
          <w:p w14:paraId="343FA3B9">
            <w:pPr>
              <w:spacing w:line="360" w:lineRule="auto"/>
              <w:ind w:firstLine="422" w:firstLineChars="200"/>
              <w:rPr>
                <w:rFonts w:ascii="Times New Roman" w:hAnsi="Times New Roman" w:eastAsia="宋体" w:cs="Times New Roman"/>
                <w:b/>
                <w:snapToGrid w:val="0"/>
                <w:kern w:val="0"/>
                <w:sz w:val="21"/>
                <w:szCs w:val="21"/>
                <w:highlight w:val="none"/>
              </w:rPr>
            </w:pPr>
            <w:r>
              <w:rPr>
                <w:rFonts w:ascii="Times New Roman" w:hAnsi="Times New Roman" w:eastAsia="宋体" w:cs="Times New Roman"/>
                <w:b/>
                <w:snapToGrid w:val="0"/>
                <w:kern w:val="0"/>
                <w:sz w:val="21"/>
                <w:szCs w:val="21"/>
                <w:highlight w:val="none"/>
              </w:rPr>
              <w:t>2、原有项目介绍</w:t>
            </w:r>
          </w:p>
          <w:p w14:paraId="2D965952">
            <w:pPr>
              <w:autoSpaceDE w:val="0"/>
              <w:autoSpaceDN w:val="0"/>
              <w:spacing w:line="360" w:lineRule="auto"/>
              <w:ind w:firstLine="420" w:firstLineChars="200"/>
              <w:jc w:val="left"/>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原有项目位于苏州市</w:t>
            </w:r>
            <w:r>
              <w:rPr>
                <w:rFonts w:hint="eastAsia" w:ascii="Times New Roman" w:hAnsi="Times New Roman" w:eastAsia="宋体" w:cs="Times New Roman"/>
                <w:sz w:val="21"/>
                <w:szCs w:val="21"/>
                <w:highlight w:val="none"/>
              </w:rPr>
              <w:t>吴江区桃源镇铜罗后练村六组</w:t>
            </w:r>
            <w:r>
              <w:rPr>
                <w:rFonts w:ascii="Times New Roman" w:hAnsi="Times New Roman" w:eastAsia="宋体" w:cs="Times New Roman"/>
                <w:sz w:val="21"/>
                <w:szCs w:val="21"/>
                <w:highlight w:val="none"/>
              </w:rPr>
              <w:t>，与本项目不在同一地址，本项目与原有项目并无依托关系。</w:t>
            </w:r>
          </w:p>
          <w:p w14:paraId="6B91F933">
            <w:pPr>
              <w:spacing w:line="360" w:lineRule="auto"/>
              <w:ind w:firstLine="422" w:firstLineChars="200"/>
              <w:rPr>
                <w:rFonts w:ascii="Times New Roman" w:hAnsi="Times New Roman" w:eastAsia="宋体" w:cs="Times New Roman"/>
                <w:b/>
                <w:snapToGrid w:val="0"/>
                <w:kern w:val="0"/>
                <w:sz w:val="21"/>
                <w:szCs w:val="21"/>
                <w:highlight w:val="none"/>
              </w:rPr>
            </w:pPr>
            <w:r>
              <w:rPr>
                <w:rFonts w:ascii="Times New Roman" w:hAnsi="Times New Roman" w:eastAsia="宋体" w:cs="Times New Roman"/>
                <w:b/>
                <w:snapToGrid w:val="0"/>
                <w:kern w:val="0"/>
                <w:sz w:val="21"/>
                <w:szCs w:val="21"/>
                <w:highlight w:val="none"/>
              </w:rPr>
              <w:t>3、原有项目主要污染防治措施及排放情况</w:t>
            </w:r>
          </w:p>
          <w:p w14:paraId="5348C725">
            <w:pPr>
              <w:widowControl w:val="0"/>
              <w:adjustRightInd w:val="0"/>
              <w:snapToGrid w:val="0"/>
              <w:spacing w:before="0" w:beforeLines="0" w:line="360" w:lineRule="auto"/>
              <w:ind w:left="0" w:right="0" w:firstLine="420" w:firstLineChars="200"/>
              <w:jc w:val="both"/>
              <w:rPr>
                <w:rFonts w:ascii="Times New Roman" w:hAnsi="Times New Roman" w:eastAsia="宋体" w:cs="Times New Roman"/>
                <w:kern w:val="24"/>
                <w:sz w:val="21"/>
                <w:szCs w:val="21"/>
                <w:highlight w:val="none"/>
                <w:lang w:val="en-US" w:eastAsia="zh-CN" w:bidi="ar-SA"/>
              </w:rPr>
            </w:pPr>
            <w:r>
              <w:rPr>
                <w:rFonts w:ascii="Times New Roman" w:hAnsi="Times New Roman" w:eastAsia="宋体" w:cs="Times New Roman"/>
                <w:kern w:val="24"/>
                <w:sz w:val="21"/>
                <w:szCs w:val="21"/>
                <w:highlight w:val="none"/>
                <w:lang w:val="en-US" w:eastAsia="zh-CN" w:bidi="ar-SA"/>
              </w:rPr>
              <w:t>原有项目位于苏州市</w:t>
            </w:r>
            <w:r>
              <w:rPr>
                <w:rFonts w:hint="eastAsia" w:ascii="Times New Roman" w:hAnsi="Times New Roman" w:eastAsia="宋体" w:cs="Times New Roman"/>
                <w:kern w:val="24"/>
                <w:sz w:val="21"/>
                <w:szCs w:val="21"/>
                <w:highlight w:val="none"/>
                <w:lang w:val="en-US" w:eastAsia="zh-CN" w:bidi="ar-SA"/>
              </w:rPr>
              <w:t>吴江区桃源镇铜罗后练村六组</w:t>
            </w:r>
            <w:r>
              <w:rPr>
                <w:rFonts w:ascii="Times New Roman" w:hAnsi="Times New Roman" w:eastAsia="宋体" w:cs="Times New Roman"/>
                <w:kern w:val="24"/>
                <w:sz w:val="21"/>
                <w:szCs w:val="21"/>
                <w:highlight w:val="none"/>
                <w:lang w:val="en-US" w:eastAsia="zh-CN" w:bidi="ar-SA"/>
              </w:rPr>
              <w:t>，与本项目不在同一地址，本项目与原有项目并无依托关系。原有项目已</w:t>
            </w:r>
            <w:r>
              <w:rPr>
                <w:rFonts w:hint="eastAsia" w:ascii="Times New Roman" w:hAnsi="Times New Roman" w:eastAsia="宋体" w:cs="Times New Roman"/>
                <w:kern w:val="24"/>
                <w:sz w:val="21"/>
                <w:szCs w:val="21"/>
                <w:highlight w:val="none"/>
                <w:lang w:val="en-US" w:eastAsia="zh-CN" w:bidi="ar-SA"/>
              </w:rPr>
              <w:t>获得排污许可证</w:t>
            </w:r>
            <w:r>
              <w:rPr>
                <w:rFonts w:ascii="Times New Roman" w:hAnsi="Times New Roman" w:eastAsia="宋体" w:cs="Times New Roman"/>
                <w:kern w:val="24"/>
                <w:sz w:val="21"/>
                <w:szCs w:val="21"/>
                <w:highlight w:val="none"/>
                <w:lang w:val="en-US" w:eastAsia="zh-CN" w:bidi="ar-SA"/>
              </w:rPr>
              <w:t>。</w:t>
            </w:r>
          </w:p>
          <w:p w14:paraId="5FB9D2BA">
            <w:pPr>
              <w:overflowPunct w:val="0"/>
              <w:adjustRightInd w:val="0"/>
              <w:snapToGrid w:val="0"/>
              <w:spacing w:before="48" w:after="48" w:line="360" w:lineRule="auto"/>
              <w:ind w:firstLine="422" w:firstLineChars="200"/>
              <w:jc w:val="left"/>
              <w:rPr>
                <w:rFonts w:ascii="Times New Roman" w:hAnsi="Times New Roman" w:eastAsia="宋体" w:cs="Times New Roman"/>
                <w:sz w:val="21"/>
                <w:szCs w:val="21"/>
                <w:highlight w:val="none"/>
              </w:rPr>
            </w:pPr>
            <w:r>
              <w:rPr>
                <w:rFonts w:hint="eastAsia" w:ascii="Times New Roman" w:hAnsi="Times New Roman" w:eastAsia="宋体" w:cs="Times New Roman"/>
                <w:b/>
                <w:sz w:val="21"/>
                <w:szCs w:val="21"/>
                <w:highlight w:val="none"/>
              </w:rPr>
              <w:t>4</w:t>
            </w:r>
            <w:r>
              <w:rPr>
                <w:rFonts w:ascii="Times New Roman" w:hAnsi="Times New Roman" w:eastAsia="宋体" w:cs="Times New Roman"/>
                <w:b/>
                <w:sz w:val="21"/>
                <w:szCs w:val="21"/>
                <w:highlight w:val="none"/>
              </w:rPr>
              <w:t>、原有项目环境问题及“以新带老”措施</w:t>
            </w:r>
          </w:p>
          <w:p w14:paraId="50F24127">
            <w:pPr>
              <w:autoSpaceDE w:val="0"/>
              <w:autoSpaceDN w:val="0"/>
              <w:adjustRightInd w:val="0"/>
              <w:snapToGrid w:val="0"/>
              <w:spacing w:before="120" w:beforeLines="50" w:line="360" w:lineRule="auto"/>
              <w:ind w:firstLine="420" w:firstLineChars="200"/>
              <w:jc w:val="left"/>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本项目位于</w:t>
            </w:r>
            <w:r>
              <w:rPr>
                <w:rFonts w:hint="eastAsia" w:ascii="Times New Roman" w:hAnsi="Times New Roman" w:eastAsia="宋体" w:cs="Times New Roman"/>
                <w:sz w:val="21"/>
                <w:szCs w:val="21"/>
                <w:highlight w:val="none"/>
                <w:lang w:eastAsia="zh-CN"/>
              </w:rPr>
              <w:t>吴江区桃源镇澄源村</w:t>
            </w:r>
            <w:r>
              <w:rPr>
                <w:rFonts w:ascii="Times New Roman" w:hAnsi="Times New Roman" w:eastAsia="宋体" w:cs="Times New Roman"/>
                <w:sz w:val="21"/>
                <w:szCs w:val="21"/>
                <w:highlight w:val="none"/>
              </w:rPr>
              <w:t>，而原有项目位于苏州市</w:t>
            </w:r>
            <w:r>
              <w:rPr>
                <w:rFonts w:hint="eastAsia" w:ascii="Times New Roman" w:hAnsi="Times New Roman" w:eastAsia="宋体" w:cs="Times New Roman"/>
                <w:sz w:val="21"/>
                <w:szCs w:val="21"/>
                <w:highlight w:val="none"/>
              </w:rPr>
              <w:t>吴江区桃源镇铜罗后练村六组</w:t>
            </w:r>
            <w:r>
              <w:rPr>
                <w:rFonts w:ascii="Times New Roman" w:hAnsi="Times New Roman" w:eastAsia="宋体" w:cs="Times New Roman"/>
                <w:sz w:val="21"/>
                <w:szCs w:val="21"/>
                <w:highlight w:val="none"/>
              </w:rPr>
              <w:t>，二者不在同一厂区，并且本项目与原有项目及厂区无任何依托关系。本项目利用自有土地进行建设。项目入驻前该土地为空地，未有其他企业生产建设，该土地用地现状属于一类工业用地，可以作为本项目建设使用，经现场勘察，无原有环境问题存在。</w:t>
            </w:r>
          </w:p>
          <w:p w14:paraId="71453B7F">
            <w:pPr>
              <w:autoSpaceDE w:val="0"/>
              <w:autoSpaceDN w:val="0"/>
              <w:adjustRightInd w:val="0"/>
              <w:snapToGrid w:val="0"/>
              <w:spacing w:before="120" w:beforeLines="50" w:line="360" w:lineRule="auto"/>
              <w:ind w:firstLine="420" w:firstLineChars="200"/>
              <w:jc w:val="left"/>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原有项目</w:t>
            </w:r>
            <w:r>
              <w:rPr>
                <w:rFonts w:hint="eastAsia" w:ascii="Times New Roman" w:hAnsi="Times New Roman" w:eastAsia="宋体" w:cs="Times New Roman"/>
                <w:sz w:val="21"/>
                <w:szCs w:val="21"/>
                <w:highlight w:val="none"/>
              </w:rPr>
              <w:t>正在</w:t>
            </w:r>
            <w:r>
              <w:rPr>
                <w:rFonts w:ascii="Times New Roman" w:hAnsi="Times New Roman" w:eastAsia="宋体" w:cs="Times New Roman"/>
                <w:sz w:val="21"/>
                <w:szCs w:val="21"/>
                <w:highlight w:val="none"/>
              </w:rPr>
              <w:t>编制</w:t>
            </w:r>
            <w:r>
              <w:rPr>
                <w:rFonts w:ascii="Times New Roman" w:hAnsi="Times New Roman" w:eastAsia="宋体" w:cs="Times New Roman"/>
                <w:bCs/>
                <w:sz w:val="21"/>
                <w:szCs w:val="21"/>
                <w:highlight w:val="none"/>
              </w:rPr>
              <w:t>突发环境事件应急预案。企业承诺将尽快按有关规定编制突发环境事件应急预案。</w:t>
            </w:r>
          </w:p>
          <w:p w14:paraId="125DD66C">
            <w:pPr>
              <w:spacing w:line="360" w:lineRule="auto"/>
              <w:ind w:firstLine="420" w:firstLineChars="200"/>
              <w:rPr>
                <w:bCs/>
                <w:color w:val="auto"/>
                <w:szCs w:val="21"/>
              </w:rPr>
            </w:pPr>
            <w:r>
              <w:rPr>
                <w:rFonts w:ascii="Times New Roman" w:hAnsi="Times New Roman" w:eastAsia="宋体" w:cs="Times New Roman"/>
                <w:sz w:val="21"/>
                <w:szCs w:val="21"/>
                <w:highlight w:val="none"/>
              </w:rPr>
              <w:t>综上，本项目使用位于吴江经济技术开发区兴东路西侧南巷路北侧地块的拟建厂房是可行的。</w:t>
            </w:r>
          </w:p>
        </w:tc>
      </w:tr>
    </w:tbl>
    <w:p w14:paraId="6C4989A1">
      <w:pPr>
        <w:pStyle w:val="22"/>
        <w:jc w:val="center"/>
        <w:rPr>
          <w:rFonts w:ascii="黑体" w:hAnsi="黑体" w:eastAsia="黑体"/>
          <w:snapToGrid w:val="0"/>
          <w:color w:val="000000"/>
          <w:sz w:val="36"/>
          <w:szCs w:val="36"/>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0BA07E53">
      <w:pPr>
        <w:pStyle w:val="22"/>
        <w:adjustRightInd w:val="0"/>
        <w:snapToGrid w:val="0"/>
        <w:spacing w:before="0" w:beforeAutospacing="0" w:after="0" w:afterAutospacing="0" w:line="14" w:lineRule="auto"/>
        <w:jc w:val="center"/>
        <w:rPr>
          <w:rFonts w:ascii="黑体" w:hAnsi="黑体" w:eastAsia="黑体"/>
          <w:snapToGrid w:val="0"/>
          <w:color w:val="000000"/>
          <w:sz w:val="30"/>
          <w:szCs w:val="30"/>
        </w:rPr>
      </w:pPr>
    </w:p>
    <w:p w14:paraId="0AA3BC25">
      <w:pPr>
        <w:pStyle w:val="22"/>
        <w:jc w:val="center"/>
        <w:outlineLvl w:val="0"/>
        <w:rPr>
          <w:rFonts w:ascii="黑体" w:hAnsi="黑体" w:eastAsia="黑体"/>
          <w:snapToGrid w:val="0"/>
          <w:color w:val="000000"/>
          <w:sz w:val="30"/>
          <w:szCs w:val="30"/>
        </w:rPr>
      </w:pPr>
      <w:bookmarkStart w:id="63" w:name="_Toc29421"/>
      <w:r>
        <w:rPr>
          <w:rFonts w:hint="eastAsia" w:ascii="黑体" w:hAnsi="黑体" w:eastAsia="黑体"/>
          <w:snapToGrid w:val="0"/>
          <w:color w:val="000000"/>
          <w:sz w:val="30"/>
          <w:szCs w:val="30"/>
        </w:rPr>
        <w:t>三、区域环境质量现状、环境保护目标及评价标准</w:t>
      </w:r>
      <w:bookmarkEnd w:id="63"/>
    </w:p>
    <w:tbl>
      <w:tblPr>
        <w:tblStyle w:val="26"/>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27"/>
        <w:gridCol w:w="8363"/>
      </w:tblGrid>
      <w:tr w14:paraId="2631AB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7" w:type="dxa"/>
            <w:tcBorders>
              <w:top w:val="single" w:color="auto" w:sz="8" w:space="0"/>
            </w:tcBorders>
            <w:vAlign w:val="center"/>
          </w:tcPr>
          <w:p w14:paraId="235D059E">
            <w:pPr>
              <w:adjustRightInd w:val="0"/>
              <w:snapToGrid w:val="0"/>
              <w:jc w:val="center"/>
              <w:rPr>
                <w:rFonts w:ascii="宋体" w:cs="宋体"/>
                <w:color w:val="auto"/>
                <w:kern w:val="0"/>
                <w:szCs w:val="21"/>
                <w:highlight w:val="none"/>
              </w:rPr>
            </w:pPr>
            <w:r>
              <w:rPr>
                <w:rFonts w:hint="eastAsia" w:ascii="宋体" w:hAnsi="宋体" w:cs="宋体"/>
                <w:color w:val="auto"/>
                <w:kern w:val="0"/>
                <w:szCs w:val="21"/>
                <w:highlight w:val="none"/>
              </w:rPr>
              <w:t>区域</w:t>
            </w:r>
          </w:p>
          <w:p w14:paraId="3D4E3E3A">
            <w:pPr>
              <w:adjustRightInd w:val="0"/>
              <w:snapToGrid w:val="0"/>
              <w:jc w:val="center"/>
              <w:rPr>
                <w:rFonts w:ascii="宋体" w:cs="宋体"/>
                <w:color w:val="auto"/>
                <w:kern w:val="0"/>
                <w:szCs w:val="21"/>
                <w:highlight w:val="none"/>
              </w:rPr>
            </w:pPr>
            <w:r>
              <w:rPr>
                <w:rFonts w:hint="eastAsia" w:ascii="宋体" w:hAnsi="宋体" w:cs="宋体"/>
                <w:color w:val="auto"/>
                <w:kern w:val="0"/>
                <w:szCs w:val="21"/>
                <w:highlight w:val="none"/>
              </w:rPr>
              <w:t>环境</w:t>
            </w:r>
          </w:p>
          <w:p w14:paraId="37A341E8">
            <w:pPr>
              <w:adjustRightInd w:val="0"/>
              <w:snapToGrid w:val="0"/>
              <w:jc w:val="center"/>
              <w:rPr>
                <w:rFonts w:ascii="宋体" w:cs="宋体"/>
                <w:color w:val="auto"/>
                <w:kern w:val="0"/>
                <w:szCs w:val="21"/>
                <w:highlight w:val="none"/>
              </w:rPr>
            </w:pPr>
            <w:r>
              <w:rPr>
                <w:rFonts w:hint="eastAsia" w:ascii="宋体" w:hAnsi="宋体" w:cs="宋体"/>
                <w:color w:val="auto"/>
                <w:kern w:val="0"/>
                <w:szCs w:val="21"/>
                <w:highlight w:val="none"/>
              </w:rPr>
              <w:t>质量</w:t>
            </w:r>
          </w:p>
          <w:p w14:paraId="4826179C">
            <w:pPr>
              <w:adjustRightInd w:val="0"/>
              <w:snapToGrid w:val="0"/>
              <w:jc w:val="center"/>
              <w:rPr>
                <w:rFonts w:ascii="宋体" w:cs="宋体"/>
                <w:color w:val="auto"/>
                <w:kern w:val="0"/>
                <w:szCs w:val="21"/>
                <w:highlight w:val="none"/>
              </w:rPr>
            </w:pPr>
            <w:r>
              <w:rPr>
                <w:rFonts w:hint="eastAsia" w:ascii="宋体" w:hAnsi="宋体" w:cs="宋体"/>
                <w:color w:val="auto"/>
                <w:kern w:val="0"/>
                <w:szCs w:val="21"/>
                <w:highlight w:val="none"/>
              </w:rPr>
              <w:t>现状</w:t>
            </w:r>
          </w:p>
        </w:tc>
        <w:tc>
          <w:tcPr>
            <w:tcW w:w="8363" w:type="dxa"/>
            <w:tcBorders>
              <w:top w:val="single" w:color="auto" w:sz="8" w:space="0"/>
            </w:tcBorders>
            <w:vAlign w:val="top"/>
          </w:tcPr>
          <w:p w14:paraId="6D2A988C">
            <w:pPr>
              <w:adjustRightInd w:val="0"/>
              <w:snapToGrid w:val="0"/>
              <w:spacing w:line="360" w:lineRule="auto"/>
              <w:rPr>
                <w:b/>
                <w:bCs/>
                <w:snapToGrid w:val="0"/>
                <w:color w:val="auto"/>
                <w:spacing w:val="-2"/>
                <w:kern w:val="0"/>
                <w:szCs w:val="21"/>
                <w:highlight w:val="none"/>
              </w:rPr>
            </w:pPr>
            <w:r>
              <w:rPr>
                <w:b/>
                <w:bCs/>
                <w:snapToGrid w:val="0"/>
                <w:color w:val="auto"/>
                <w:spacing w:val="-2"/>
                <w:kern w:val="0"/>
                <w:szCs w:val="21"/>
                <w:highlight w:val="none"/>
              </w:rPr>
              <w:t>1</w:t>
            </w:r>
            <w:r>
              <w:rPr>
                <w:rFonts w:hint="eastAsia"/>
                <w:b/>
                <w:bCs/>
                <w:snapToGrid w:val="0"/>
                <w:color w:val="auto"/>
                <w:spacing w:val="-2"/>
                <w:kern w:val="0"/>
                <w:szCs w:val="21"/>
                <w:highlight w:val="none"/>
              </w:rPr>
              <w:t>、大气环境质量现状</w:t>
            </w:r>
          </w:p>
          <w:p w14:paraId="28F1F462">
            <w:pPr>
              <w:spacing w:line="360" w:lineRule="auto"/>
              <w:ind w:firstLine="420" w:firstLineChars="200"/>
              <w:rPr>
                <w:bCs/>
                <w:color w:val="auto"/>
                <w:szCs w:val="21"/>
                <w:highlight w:val="none"/>
              </w:rPr>
            </w:pPr>
            <w:r>
              <w:rPr>
                <w:rFonts w:hint="eastAsia"/>
                <w:bCs/>
                <w:color w:val="auto"/>
                <w:szCs w:val="21"/>
                <w:highlight w:val="none"/>
              </w:rPr>
              <w:t>根据《</w:t>
            </w:r>
            <w:r>
              <w:rPr>
                <w:rFonts w:hint="eastAsia"/>
                <w:bCs/>
                <w:color w:val="auto"/>
                <w:szCs w:val="21"/>
                <w:highlight w:val="none"/>
                <w:lang w:eastAsia="zh-CN"/>
              </w:rPr>
              <w:t>2025年度苏州市生态环境状况</w:t>
            </w:r>
            <w:r>
              <w:rPr>
                <w:rFonts w:hint="eastAsia"/>
                <w:bCs/>
                <w:color w:val="auto"/>
                <w:szCs w:val="21"/>
                <w:highlight w:val="none"/>
              </w:rPr>
              <w:t>》，2025年，苏州市全市环境空气质量平均优良天数比率为80.3%，同比下降5.5个百分点。各地优良天数比率介于75.5%~82.2%；市区环境空气质量优良天数比率为80%，同比下降4.2个百分点。区域空气质量现状见</w:t>
            </w:r>
            <w:r>
              <w:rPr>
                <w:rFonts w:hint="eastAsia"/>
                <w:bCs/>
                <w:color w:val="auto"/>
                <w:szCs w:val="21"/>
                <w:highlight w:val="none"/>
                <w:lang w:val="en-US" w:eastAsia="zh-CN"/>
              </w:rPr>
              <w:t>下</w:t>
            </w:r>
            <w:r>
              <w:rPr>
                <w:rFonts w:hint="eastAsia"/>
                <w:bCs/>
                <w:color w:val="auto"/>
                <w:szCs w:val="21"/>
                <w:highlight w:val="none"/>
              </w:rPr>
              <w:t>表。</w:t>
            </w:r>
          </w:p>
          <w:p w14:paraId="5A15BBE6">
            <w:pPr>
              <w:tabs>
                <w:tab w:val="center" w:pos="4156"/>
                <w:tab w:val="left" w:pos="5964"/>
              </w:tabs>
              <w:adjustRightInd w:val="0"/>
              <w:snapToGrid w:val="0"/>
              <w:jc w:val="center"/>
              <w:rPr>
                <w:b/>
                <w:snapToGrid w:val="0"/>
                <w:color w:val="auto"/>
                <w:szCs w:val="21"/>
                <w:highlight w:val="none"/>
              </w:rPr>
            </w:pPr>
            <w:r>
              <w:rPr>
                <w:rFonts w:hint="eastAsia"/>
                <w:b/>
                <w:snapToGrid w:val="0"/>
                <w:color w:val="auto"/>
                <w:szCs w:val="21"/>
                <w:highlight w:val="none"/>
              </w:rPr>
              <w:t>表</w:t>
            </w:r>
            <w:r>
              <w:rPr>
                <w:b/>
                <w:snapToGrid w:val="0"/>
                <w:color w:val="auto"/>
                <w:szCs w:val="21"/>
                <w:highlight w:val="none"/>
              </w:rPr>
              <w:t xml:space="preserve">3-1  </w:t>
            </w:r>
            <w:r>
              <w:rPr>
                <w:rFonts w:hint="eastAsia"/>
                <w:b/>
                <w:snapToGrid w:val="0"/>
                <w:color w:val="auto"/>
                <w:szCs w:val="21"/>
                <w:highlight w:val="none"/>
              </w:rPr>
              <w:t>大气环境质量现状</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40"/>
              <w:gridCol w:w="2728"/>
              <w:gridCol w:w="1268"/>
              <w:gridCol w:w="1436"/>
              <w:gridCol w:w="888"/>
              <w:gridCol w:w="887"/>
            </w:tblGrid>
            <w:tr w14:paraId="1EA60F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0" w:type="dxa"/>
                  <w:tcBorders>
                    <w:top w:val="single" w:color="auto" w:sz="12" w:space="0"/>
                    <w:left w:val="nil"/>
                    <w:bottom w:val="single" w:color="auto" w:sz="4" w:space="0"/>
                    <w:right w:val="single" w:color="auto" w:sz="4" w:space="0"/>
                  </w:tcBorders>
                  <w:vAlign w:val="center"/>
                </w:tcPr>
                <w:p w14:paraId="2AF22533">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污染物</w:t>
                  </w:r>
                </w:p>
              </w:tc>
              <w:tc>
                <w:tcPr>
                  <w:tcW w:w="2728" w:type="dxa"/>
                  <w:tcBorders>
                    <w:top w:val="single" w:color="auto" w:sz="12" w:space="0"/>
                    <w:left w:val="single" w:color="auto" w:sz="4" w:space="0"/>
                    <w:bottom w:val="single" w:color="auto" w:sz="4" w:space="0"/>
                    <w:right w:val="single" w:color="auto" w:sz="4" w:space="0"/>
                  </w:tcBorders>
                  <w:vAlign w:val="center"/>
                </w:tcPr>
                <w:p w14:paraId="4F608B37">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年评价指标</w:t>
                  </w:r>
                </w:p>
              </w:tc>
              <w:tc>
                <w:tcPr>
                  <w:tcW w:w="1268" w:type="dxa"/>
                  <w:tcBorders>
                    <w:top w:val="single" w:color="auto" w:sz="12" w:space="0"/>
                    <w:left w:val="single" w:color="auto" w:sz="4" w:space="0"/>
                    <w:bottom w:val="single" w:color="auto" w:sz="4" w:space="0"/>
                    <w:right w:val="single" w:color="auto" w:sz="4" w:space="0"/>
                  </w:tcBorders>
                  <w:vAlign w:val="center"/>
                </w:tcPr>
                <w:p w14:paraId="120A4A56">
                  <w:pPr>
                    <w:overflowPunct w:val="0"/>
                    <w:adjustRightInd w:val="0"/>
                    <w:snapToGrid w:val="0"/>
                    <w:spacing w:beforeLines="20" w:afterLines="20"/>
                    <w:jc w:val="center"/>
                    <w:rPr>
                      <w:snapToGrid w:val="0"/>
                      <w:color w:val="auto"/>
                      <w:kern w:val="0"/>
                      <w:sz w:val="18"/>
                      <w:szCs w:val="18"/>
                      <w:highlight w:val="none"/>
                    </w:rPr>
                  </w:pPr>
                  <w:r>
                    <w:rPr>
                      <w:rFonts w:hint="default"/>
                      <w:snapToGrid w:val="0"/>
                      <w:color w:val="auto"/>
                      <w:kern w:val="0"/>
                      <w:sz w:val="18"/>
                      <w:szCs w:val="18"/>
                      <w:highlight w:val="none"/>
                    </w:rPr>
                    <w:t>现状浓度（μg/m</w:t>
                  </w:r>
                  <w:r>
                    <w:rPr>
                      <w:rFonts w:hint="default"/>
                      <w:snapToGrid w:val="0"/>
                      <w:color w:val="auto"/>
                      <w:kern w:val="0"/>
                      <w:sz w:val="18"/>
                      <w:szCs w:val="18"/>
                      <w:highlight w:val="none"/>
                      <w:vertAlign w:val="superscript"/>
                    </w:rPr>
                    <w:t>3</w:t>
                  </w:r>
                  <w:r>
                    <w:rPr>
                      <w:rFonts w:hint="default"/>
                      <w:snapToGrid w:val="0"/>
                      <w:color w:val="auto"/>
                      <w:kern w:val="0"/>
                      <w:sz w:val="18"/>
                      <w:szCs w:val="18"/>
                      <w:highlight w:val="none"/>
                    </w:rPr>
                    <w:t>）</w:t>
                  </w:r>
                </w:p>
              </w:tc>
              <w:tc>
                <w:tcPr>
                  <w:tcW w:w="1436" w:type="dxa"/>
                  <w:tcBorders>
                    <w:top w:val="single" w:color="auto" w:sz="12" w:space="0"/>
                    <w:left w:val="single" w:color="auto" w:sz="4" w:space="0"/>
                    <w:bottom w:val="single" w:color="auto" w:sz="4" w:space="0"/>
                    <w:right w:val="single" w:color="auto" w:sz="4" w:space="0"/>
                  </w:tcBorders>
                  <w:vAlign w:val="center"/>
                </w:tcPr>
                <w:p w14:paraId="012A5008">
                  <w:pPr>
                    <w:overflowPunct w:val="0"/>
                    <w:adjustRightInd w:val="0"/>
                    <w:snapToGrid w:val="0"/>
                    <w:spacing w:beforeLines="20" w:afterLines="20"/>
                    <w:jc w:val="center"/>
                    <w:rPr>
                      <w:snapToGrid w:val="0"/>
                      <w:color w:val="auto"/>
                      <w:kern w:val="0"/>
                      <w:sz w:val="18"/>
                      <w:szCs w:val="18"/>
                      <w:highlight w:val="none"/>
                    </w:rPr>
                  </w:pPr>
                  <w:r>
                    <w:rPr>
                      <w:rFonts w:hint="default"/>
                      <w:snapToGrid w:val="0"/>
                      <w:color w:val="auto"/>
                      <w:kern w:val="0"/>
                      <w:sz w:val="18"/>
                      <w:szCs w:val="18"/>
                      <w:highlight w:val="none"/>
                    </w:rPr>
                    <w:t>标准值（μg/m</w:t>
                  </w:r>
                  <w:r>
                    <w:rPr>
                      <w:rFonts w:hint="default"/>
                      <w:snapToGrid w:val="0"/>
                      <w:color w:val="auto"/>
                      <w:kern w:val="0"/>
                      <w:sz w:val="18"/>
                      <w:szCs w:val="18"/>
                      <w:highlight w:val="none"/>
                      <w:vertAlign w:val="superscript"/>
                    </w:rPr>
                    <w:t>3</w:t>
                  </w:r>
                  <w:r>
                    <w:rPr>
                      <w:rFonts w:hint="default"/>
                      <w:snapToGrid w:val="0"/>
                      <w:color w:val="auto"/>
                      <w:kern w:val="0"/>
                      <w:sz w:val="18"/>
                      <w:szCs w:val="18"/>
                      <w:highlight w:val="none"/>
                    </w:rPr>
                    <w:t>）</w:t>
                  </w:r>
                </w:p>
              </w:tc>
              <w:tc>
                <w:tcPr>
                  <w:tcW w:w="888" w:type="dxa"/>
                  <w:tcBorders>
                    <w:top w:val="single" w:color="auto" w:sz="12" w:space="0"/>
                    <w:left w:val="single" w:color="auto" w:sz="4" w:space="0"/>
                    <w:bottom w:val="single" w:color="auto" w:sz="4" w:space="0"/>
                    <w:right w:val="nil"/>
                  </w:tcBorders>
                  <w:vAlign w:val="center"/>
                </w:tcPr>
                <w:p w14:paraId="5A26B81A">
                  <w:pPr>
                    <w:overflowPunct w:val="0"/>
                    <w:adjustRightInd w:val="0"/>
                    <w:snapToGrid w:val="0"/>
                    <w:spacing w:beforeLines="20" w:afterLines="20"/>
                    <w:jc w:val="center"/>
                    <w:rPr>
                      <w:rFonts w:hint="eastAsia"/>
                      <w:snapToGrid w:val="0"/>
                      <w:color w:val="auto"/>
                      <w:kern w:val="0"/>
                      <w:sz w:val="18"/>
                      <w:szCs w:val="18"/>
                      <w:highlight w:val="none"/>
                    </w:rPr>
                  </w:pPr>
                  <w:r>
                    <w:rPr>
                      <w:rFonts w:hint="default"/>
                      <w:snapToGrid w:val="0"/>
                      <w:color w:val="auto"/>
                      <w:kern w:val="0"/>
                      <w:sz w:val="18"/>
                      <w:szCs w:val="18"/>
                      <w:highlight w:val="none"/>
                    </w:rPr>
                    <w:t>占标率（%）</w:t>
                  </w:r>
                </w:p>
              </w:tc>
              <w:tc>
                <w:tcPr>
                  <w:tcW w:w="887" w:type="dxa"/>
                  <w:tcBorders>
                    <w:top w:val="single" w:color="auto" w:sz="12" w:space="0"/>
                    <w:left w:val="single" w:color="auto" w:sz="4" w:space="0"/>
                    <w:bottom w:val="single" w:color="auto" w:sz="4" w:space="0"/>
                    <w:right w:val="nil"/>
                  </w:tcBorders>
                  <w:vAlign w:val="center"/>
                </w:tcPr>
                <w:p w14:paraId="06A5D867">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达标情况</w:t>
                  </w:r>
                </w:p>
              </w:tc>
            </w:tr>
            <w:tr w14:paraId="73E62B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0" w:type="dxa"/>
                  <w:tcBorders>
                    <w:top w:val="single" w:color="auto" w:sz="4" w:space="0"/>
                    <w:left w:val="nil"/>
                    <w:bottom w:val="single" w:color="auto" w:sz="4" w:space="0"/>
                    <w:right w:val="single" w:color="auto" w:sz="4" w:space="0"/>
                  </w:tcBorders>
                  <w:vAlign w:val="center"/>
                </w:tcPr>
                <w:p w14:paraId="5198A417">
                  <w:pPr>
                    <w:overflowPunct w:val="0"/>
                    <w:adjustRightInd w:val="0"/>
                    <w:snapToGrid w:val="0"/>
                    <w:spacing w:beforeLines="20" w:afterLines="20"/>
                    <w:jc w:val="center"/>
                    <w:rPr>
                      <w:rFonts w:eastAsia="Times New Roman"/>
                      <w:snapToGrid w:val="0"/>
                      <w:color w:val="auto"/>
                      <w:kern w:val="0"/>
                      <w:sz w:val="18"/>
                      <w:szCs w:val="18"/>
                      <w:highlight w:val="none"/>
                    </w:rPr>
                  </w:pPr>
                  <w:r>
                    <w:rPr>
                      <w:rFonts w:eastAsia="Times New Roman"/>
                      <w:snapToGrid w:val="0"/>
                      <w:color w:val="auto"/>
                      <w:kern w:val="0"/>
                      <w:sz w:val="18"/>
                      <w:szCs w:val="18"/>
                      <w:highlight w:val="none"/>
                    </w:rPr>
                    <w:t>SO</w:t>
                  </w:r>
                  <w:r>
                    <w:rPr>
                      <w:rFonts w:eastAsia="Times New Roman"/>
                      <w:snapToGrid w:val="0"/>
                      <w:color w:val="auto"/>
                      <w:kern w:val="0"/>
                      <w:sz w:val="18"/>
                      <w:szCs w:val="18"/>
                      <w:highlight w:val="none"/>
                      <w:vertAlign w:val="subscript"/>
                    </w:rPr>
                    <w:t>2</w:t>
                  </w:r>
                </w:p>
              </w:tc>
              <w:tc>
                <w:tcPr>
                  <w:tcW w:w="2728" w:type="dxa"/>
                  <w:vMerge w:val="restart"/>
                  <w:tcBorders>
                    <w:top w:val="single" w:color="auto" w:sz="4" w:space="0"/>
                    <w:left w:val="single" w:color="auto" w:sz="4" w:space="0"/>
                    <w:bottom w:val="single" w:color="auto" w:sz="4" w:space="0"/>
                    <w:right w:val="single" w:color="auto" w:sz="4" w:space="0"/>
                  </w:tcBorders>
                  <w:vAlign w:val="center"/>
                </w:tcPr>
                <w:p w14:paraId="439C8E2E">
                  <w:pPr>
                    <w:overflowPunct w:val="0"/>
                    <w:adjustRightInd w:val="0"/>
                    <w:snapToGrid w:val="0"/>
                    <w:spacing w:beforeLines="20" w:afterLines="20"/>
                    <w:jc w:val="center"/>
                    <w:rPr>
                      <w:snapToGrid w:val="0"/>
                      <w:color w:val="auto"/>
                      <w:kern w:val="0"/>
                      <w:sz w:val="18"/>
                      <w:szCs w:val="18"/>
                      <w:highlight w:val="none"/>
                    </w:rPr>
                  </w:pPr>
                  <w:r>
                    <w:rPr>
                      <w:rFonts w:hint="eastAsia"/>
                      <w:snapToGrid w:val="0"/>
                      <w:color w:val="auto"/>
                      <w:kern w:val="0"/>
                      <w:sz w:val="18"/>
                      <w:szCs w:val="18"/>
                      <w:highlight w:val="none"/>
                    </w:rPr>
                    <w:t>年平均质量浓度</w:t>
                  </w:r>
                </w:p>
              </w:tc>
              <w:tc>
                <w:tcPr>
                  <w:tcW w:w="1268" w:type="dxa"/>
                  <w:tcBorders>
                    <w:top w:val="single" w:color="auto" w:sz="4" w:space="0"/>
                    <w:left w:val="single" w:color="auto" w:sz="4" w:space="0"/>
                    <w:bottom w:val="single" w:color="auto" w:sz="4" w:space="0"/>
                    <w:right w:val="single" w:color="auto" w:sz="4" w:space="0"/>
                  </w:tcBorders>
                  <w:vAlign w:val="center"/>
                </w:tcPr>
                <w:p w14:paraId="13F2FFF2">
                  <w:pPr>
                    <w:overflowPunct w:val="0"/>
                    <w:adjustRightInd w:val="0"/>
                    <w:snapToGrid w:val="0"/>
                    <w:spacing w:beforeLines="20" w:afterLines="20"/>
                    <w:jc w:val="center"/>
                    <w:rPr>
                      <w:snapToGrid w:val="0"/>
                      <w:color w:val="auto"/>
                      <w:kern w:val="0"/>
                      <w:sz w:val="18"/>
                      <w:szCs w:val="18"/>
                      <w:highlight w:val="none"/>
                    </w:rPr>
                  </w:pPr>
                  <w:r>
                    <w:rPr>
                      <w:rFonts w:hint="eastAsia"/>
                      <w:snapToGrid w:val="0"/>
                      <w:color w:val="auto"/>
                      <w:kern w:val="0"/>
                      <w:sz w:val="18"/>
                      <w:szCs w:val="18"/>
                      <w:highlight w:val="none"/>
                      <w:lang w:val="en-US" w:eastAsia="zh-CN"/>
                    </w:rPr>
                    <w:t>6</w:t>
                  </w:r>
                </w:p>
              </w:tc>
              <w:tc>
                <w:tcPr>
                  <w:tcW w:w="1436" w:type="dxa"/>
                  <w:tcBorders>
                    <w:top w:val="single" w:color="auto" w:sz="4" w:space="0"/>
                    <w:left w:val="single" w:color="auto" w:sz="4" w:space="0"/>
                    <w:bottom w:val="single" w:color="auto" w:sz="4" w:space="0"/>
                    <w:right w:val="single" w:color="auto" w:sz="4" w:space="0"/>
                  </w:tcBorders>
                  <w:vAlign w:val="center"/>
                </w:tcPr>
                <w:p w14:paraId="0098C35E">
                  <w:pPr>
                    <w:overflowPunct w:val="0"/>
                    <w:adjustRightInd w:val="0"/>
                    <w:snapToGrid w:val="0"/>
                    <w:spacing w:beforeLines="20" w:afterLines="20"/>
                    <w:jc w:val="center"/>
                    <w:rPr>
                      <w:rFonts w:hint="eastAsia"/>
                      <w:snapToGrid w:val="0"/>
                      <w:color w:val="auto"/>
                      <w:kern w:val="0"/>
                      <w:sz w:val="18"/>
                      <w:szCs w:val="18"/>
                      <w:highlight w:val="none"/>
                      <w:lang w:val="en-US" w:eastAsia="zh-CN"/>
                    </w:rPr>
                  </w:pPr>
                  <w:r>
                    <w:rPr>
                      <w:rFonts w:hint="default"/>
                      <w:snapToGrid w:val="0"/>
                      <w:color w:val="auto"/>
                      <w:kern w:val="0"/>
                      <w:sz w:val="18"/>
                      <w:szCs w:val="18"/>
                      <w:highlight w:val="none"/>
                    </w:rPr>
                    <w:t>60</w:t>
                  </w:r>
                </w:p>
              </w:tc>
              <w:tc>
                <w:tcPr>
                  <w:tcW w:w="888" w:type="dxa"/>
                  <w:tcBorders>
                    <w:top w:val="single" w:color="auto" w:sz="4" w:space="0"/>
                    <w:left w:val="single" w:color="auto" w:sz="4" w:space="0"/>
                    <w:bottom w:val="single" w:color="auto" w:sz="4" w:space="0"/>
                    <w:right w:val="nil"/>
                  </w:tcBorders>
                  <w:vAlign w:val="center"/>
                </w:tcPr>
                <w:p w14:paraId="2FFAEFDF">
                  <w:pPr>
                    <w:overflowPunct w:val="0"/>
                    <w:adjustRightInd w:val="0"/>
                    <w:snapToGrid w:val="0"/>
                    <w:spacing w:beforeLines="20" w:afterLines="20"/>
                    <w:jc w:val="center"/>
                    <w:rPr>
                      <w:snapToGrid w:val="0"/>
                      <w:color w:val="auto"/>
                      <w:kern w:val="0"/>
                      <w:sz w:val="18"/>
                      <w:szCs w:val="18"/>
                      <w:highlight w:val="none"/>
                    </w:rPr>
                  </w:pPr>
                  <w:r>
                    <w:rPr>
                      <w:rFonts w:hint="default"/>
                      <w:snapToGrid w:val="0"/>
                      <w:color w:val="auto"/>
                      <w:kern w:val="0"/>
                      <w:sz w:val="18"/>
                      <w:szCs w:val="18"/>
                      <w:highlight w:val="none"/>
                    </w:rPr>
                    <w:t>1</w:t>
                  </w:r>
                  <w:r>
                    <w:rPr>
                      <w:rFonts w:hint="eastAsia"/>
                      <w:snapToGrid w:val="0"/>
                      <w:color w:val="auto"/>
                      <w:kern w:val="0"/>
                      <w:sz w:val="18"/>
                      <w:szCs w:val="18"/>
                      <w:highlight w:val="none"/>
                      <w:lang w:val="en-US" w:eastAsia="zh-CN"/>
                    </w:rPr>
                    <w:t>0</w:t>
                  </w:r>
                </w:p>
              </w:tc>
              <w:tc>
                <w:tcPr>
                  <w:tcW w:w="887" w:type="dxa"/>
                  <w:tcBorders>
                    <w:top w:val="single" w:color="auto" w:sz="4" w:space="0"/>
                    <w:left w:val="single" w:color="auto" w:sz="4" w:space="0"/>
                    <w:bottom w:val="single" w:color="auto" w:sz="4" w:space="0"/>
                    <w:right w:val="nil"/>
                  </w:tcBorders>
                  <w:vAlign w:val="center"/>
                </w:tcPr>
                <w:p w14:paraId="010CE865">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color w:val="auto"/>
                      <w:sz w:val="18"/>
                      <w:szCs w:val="18"/>
                      <w:highlight w:val="none"/>
                    </w:rPr>
                    <w:t>达标</w:t>
                  </w:r>
                </w:p>
              </w:tc>
            </w:tr>
            <w:tr w14:paraId="5FFA52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0" w:type="dxa"/>
                  <w:tcBorders>
                    <w:top w:val="single" w:color="auto" w:sz="4" w:space="0"/>
                    <w:left w:val="nil"/>
                    <w:bottom w:val="single" w:color="auto" w:sz="4" w:space="0"/>
                    <w:right w:val="single" w:color="auto" w:sz="4" w:space="0"/>
                  </w:tcBorders>
                  <w:vAlign w:val="center"/>
                </w:tcPr>
                <w:p w14:paraId="54A500D3">
                  <w:pPr>
                    <w:overflowPunct w:val="0"/>
                    <w:adjustRightInd w:val="0"/>
                    <w:snapToGrid w:val="0"/>
                    <w:spacing w:beforeLines="20" w:afterLines="20"/>
                    <w:jc w:val="center"/>
                    <w:rPr>
                      <w:rFonts w:eastAsia="Times New Roman"/>
                      <w:snapToGrid w:val="0"/>
                      <w:color w:val="auto"/>
                      <w:kern w:val="0"/>
                      <w:sz w:val="18"/>
                      <w:szCs w:val="18"/>
                      <w:highlight w:val="none"/>
                    </w:rPr>
                  </w:pPr>
                  <w:r>
                    <w:rPr>
                      <w:rFonts w:eastAsia="Times New Roman"/>
                      <w:snapToGrid w:val="0"/>
                      <w:color w:val="auto"/>
                      <w:kern w:val="0"/>
                      <w:sz w:val="18"/>
                      <w:szCs w:val="18"/>
                      <w:highlight w:val="none"/>
                    </w:rPr>
                    <w:t>NO</w:t>
                  </w:r>
                  <w:r>
                    <w:rPr>
                      <w:rFonts w:eastAsia="Times New Roman"/>
                      <w:snapToGrid w:val="0"/>
                      <w:color w:val="auto"/>
                      <w:kern w:val="0"/>
                      <w:sz w:val="18"/>
                      <w:szCs w:val="18"/>
                      <w:highlight w:val="none"/>
                      <w:vertAlign w:val="subscript"/>
                    </w:rPr>
                    <w:t>2</w:t>
                  </w:r>
                </w:p>
              </w:tc>
              <w:tc>
                <w:tcPr>
                  <w:tcW w:w="2728" w:type="dxa"/>
                  <w:vMerge w:val="continue"/>
                  <w:tcBorders>
                    <w:top w:val="single" w:color="auto" w:sz="4" w:space="0"/>
                    <w:left w:val="single" w:color="auto" w:sz="4" w:space="0"/>
                    <w:bottom w:val="single" w:color="auto" w:sz="4" w:space="0"/>
                    <w:right w:val="single" w:color="auto" w:sz="4" w:space="0"/>
                  </w:tcBorders>
                  <w:vAlign w:val="center"/>
                </w:tcPr>
                <w:p w14:paraId="47637C8F">
                  <w:pPr>
                    <w:overflowPunct w:val="0"/>
                    <w:adjustRightInd w:val="0"/>
                    <w:snapToGrid w:val="0"/>
                    <w:spacing w:beforeLines="20" w:afterLines="20"/>
                    <w:jc w:val="center"/>
                    <w:rPr>
                      <w:rFonts w:eastAsia="Times New Roman"/>
                      <w:snapToGrid w:val="0"/>
                      <w:color w:val="auto"/>
                      <w:kern w:val="0"/>
                      <w:sz w:val="18"/>
                      <w:szCs w:val="18"/>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14:paraId="3AE2FB1C">
                  <w:pPr>
                    <w:overflowPunct w:val="0"/>
                    <w:adjustRightInd w:val="0"/>
                    <w:snapToGrid w:val="0"/>
                    <w:spacing w:beforeLines="20" w:afterLines="20"/>
                    <w:jc w:val="center"/>
                    <w:rPr>
                      <w:snapToGrid w:val="0"/>
                      <w:color w:val="auto"/>
                      <w:kern w:val="0"/>
                      <w:sz w:val="18"/>
                      <w:szCs w:val="18"/>
                      <w:highlight w:val="none"/>
                    </w:rPr>
                  </w:pPr>
                  <w:r>
                    <w:rPr>
                      <w:rFonts w:hint="eastAsia"/>
                      <w:snapToGrid w:val="0"/>
                      <w:color w:val="auto"/>
                      <w:kern w:val="0"/>
                      <w:sz w:val="18"/>
                      <w:szCs w:val="18"/>
                      <w:highlight w:val="none"/>
                      <w:lang w:val="en-US" w:eastAsia="zh-CN"/>
                    </w:rPr>
                    <w:t>28</w:t>
                  </w:r>
                </w:p>
              </w:tc>
              <w:tc>
                <w:tcPr>
                  <w:tcW w:w="1436" w:type="dxa"/>
                  <w:tcBorders>
                    <w:top w:val="single" w:color="auto" w:sz="4" w:space="0"/>
                    <w:left w:val="single" w:color="auto" w:sz="4" w:space="0"/>
                    <w:bottom w:val="single" w:color="auto" w:sz="4" w:space="0"/>
                    <w:right w:val="single" w:color="auto" w:sz="4" w:space="0"/>
                  </w:tcBorders>
                  <w:vAlign w:val="center"/>
                </w:tcPr>
                <w:p w14:paraId="0C4451BA">
                  <w:pPr>
                    <w:overflowPunct w:val="0"/>
                    <w:adjustRightInd w:val="0"/>
                    <w:snapToGrid w:val="0"/>
                    <w:spacing w:beforeLines="20" w:afterLines="20"/>
                    <w:jc w:val="center"/>
                    <w:rPr>
                      <w:rFonts w:hint="default"/>
                      <w:snapToGrid w:val="0"/>
                      <w:color w:val="auto"/>
                      <w:kern w:val="0"/>
                      <w:sz w:val="18"/>
                      <w:szCs w:val="18"/>
                      <w:highlight w:val="none"/>
                      <w:lang w:val="en-US" w:eastAsia="zh-CN"/>
                    </w:rPr>
                  </w:pPr>
                  <w:r>
                    <w:rPr>
                      <w:rFonts w:hint="default"/>
                      <w:snapToGrid w:val="0"/>
                      <w:color w:val="auto"/>
                      <w:kern w:val="0"/>
                      <w:sz w:val="18"/>
                      <w:szCs w:val="18"/>
                      <w:highlight w:val="none"/>
                    </w:rPr>
                    <w:t>40</w:t>
                  </w:r>
                </w:p>
              </w:tc>
              <w:tc>
                <w:tcPr>
                  <w:tcW w:w="888" w:type="dxa"/>
                  <w:tcBorders>
                    <w:top w:val="single" w:color="auto" w:sz="4" w:space="0"/>
                    <w:left w:val="single" w:color="auto" w:sz="4" w:space="0"/>
                    <w:bottom w:val="single" w:color="auto" w:sz="4" w:space="0"/>
                    <w:right w:val="nil"/>
                  </w:tcBorders>
                  <w:vAlign w:val="center"/>
                </w:tcPr>
                <w:p w14:paraId="1FFEFE9D">
                  <w:pPr>
                    <w:overflowPunct w:val="0"/>
                    <w:adjustRightInd w:val="0"/>
                    <w:snapToGrid w:val="0"/>
                    <w:spacing w:beforeLines="20" w:afterLines="20"/>
                    <w:jc w:val="center"/>
                    <w:rPr>
                      <w:snapToGrid w:val="0"/>
                      <w:color w:val="auto"/>
                      <w:kern w:val="0"/>
                      <w:sz w:val="18"/>
                      <w:szCs w:val="18"/>
                      <w:highlight w:val="none"/>
                    </w:rPr>
                  </w:pPr>
                  <w:r>
                    <w:rPr>
                      <w:rFonts w:hint="eastAsia"/>
                      <w:snapToGrid w:val="0"/>
                      <w:color w:val="auto"/>
                      <w:kern w:val="0"/>
                      <w:sz w:val="18"/>
                      <w:szCs w:val="18"/>
                      <w:highlight w:val="none"/>
                      <w:lang w:val="en-US" w:eastAsia="zh-CN"/>
                    </w:rPr>
                    <w:t>70</w:t>
                  </w:r>
                </w:p>
              </w:tc>
              <w:tc>
                <w:tcPr>
                  <w:tcW w:w="887" w:type="dxa"/>
                  <w:tcBorders>
                    <w:top w:val="single" w:color="auto" w:sz="4" w:space="0"/>
                    <w:left w:val="single" w:color="auto" w:sz="4" w:space="0"/>
                    <w:bottom w:val="single" w:color="auto" w:sz="4" w:space="0"/>
                    <w:right w:val="nil"/>
                  </w:tcBorders>
                  <w:vAlign w:val="center"/>
                </w:tcPr>
                <w:p w14:paraId="33965505">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color w:val="auto"/>
                      <w:sz w:val="18"/>
                      <w:szCs w:val="18"/>
                      <w:highlight w:val="none"/>
                    </w:rPr>
                    <w:t>达标</w:t>
                  </w:r>
                </w:p>
              </w:tc>
            </w:tr>
            <w:tr w14:paraId="635800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0" w:type="dxa"/>
                  <w:tcBorders>
                    <w:top w:val="single" w:color="auto" w:sz="4" w:space="0"/>
                    <w:left w:val="nil"/>
                    <w:bottom w:val="single" w:color="auto" w:sz="4" w:space="0"/>
                    <w:right w:val="single" w:color="auto" w:sz="4" w:space="0"/>
                  </w:tcBorders>
                  <w:vAlign w:val="center"/>
                </w:tcPr>
                <w:p w14:paraId="5FCF5F76">
                  <w:pPr>
                    <w:overflowPunct w:val="0"/>
                    <w:adjustRightInd w:val="0"/>
                    <w:snapToGrid w:val="0"/>
                    <w:spacing w:beforeLines="20" w:afterLines="20"/>
                    <w:jc w:val="center"/>
                    <w:rPr>
                      <w:rFonts w:eastAsia="Times New Roman"/>
                      <w:snapToGrid w:val="0"/>
                      <w:color w:val="auto"/>
                      <w:kern w:val="0"/>
                      <w:sz w:val="18"/>
                      <w:szCs w:val="18"/>
                      <w:highlight w:val="none"/>
                    </w:rPr>
                  </w:pPr>
                  <w:r>
                    <w:rPr>
                      <w:rFonts w:eastAsia="Times New Roman"/>
                      <w:snapToGrid w:val="0"/>
                      <w:color w:val="auto"/>
                      <w:kern w:val="0"/>
                      <w:sz w:val="18"/>
                      <w:szCs w:val="18"/>
                      <w:highlight w:val="none"/>
                    </w:rPr>
                    <w:t>PM</w:t>
                  </w:r>
                  <w:r>
                    <w:rPr>
                      <w:rFonts w:eastAsia="Times New Roman"/>
                      <w:snapToGrid w:val="0"/>
                      <w:color w:val="auto"/>
                      <w:kern w:val="0"/>
                      <w:sz w:val="18"/>
                      <w:szCs w:val="18"/>
                      <w:highlight w:val="none"/>
                      <w:vertAlign w:val="subscript"/>
                    </w:rPr>
                    <w:t>10</w:t>
                  </w:r>
                </w:p>
              </w:tc>
              <w:tc>
                <w:tcPr>
                  <w:tcW w:w="2728" w:type="dxa"/>
                  <w:vMerge w:val="continue"/>
                  <w:tcBorders>
                    <w:top w:val="single" w:color="auto" w:sz="4" w:space="0"/>
                    <w:left w:val="single" w:color="auto" w:sz="4" w:space="0"/>
                    <w:bottom w:val="single" w:color="auto" w:sz="4" w:space="0"/>
                    <w:right w:val="single" w:color="auto" w:sz="4" w:space="0"/>
                  </w:tcBorders>
                  <w:vAlign w:val="center"/>
                </w:tcPr>
                <w:p w14:paraId="44369439">
                  <w:pPr>
                    <w:overflowPunct w:val="0"/>
                    <w:adjustRightInd w:val="0"/>
                    <w:snapToGrid w:val="0"/>
                    <w:spacing w:beforeLines="20" w:afterLines="20"/>
                    <w:jc w:val="center"/>
                    <w:rPr>
                      <w:rFonts w:eastAsia="Times New Roman"/>
                      <w:snapToGrid w:val="0"/>
                      <w:color w:val="auto"/>
                      <w:kern w:val="0"/>
                      <w:sz w:val="18"/>
                      <w:szCs w:val="18"/>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14:paraId="1C53500A">
                  <w:pPr>
                    <w:overflowPunct w:val="0"/>
                    <w:adjustRightInd w:val="0"/>
                    <w:snapToGrid w:val="0"/>
                    <w:spacing w:beforeLines="20" w:afterLines="20"/>
                    <w:jc w:val="center"/>
                    <w:rPr>
                      <w:snapToGrid w:val="0"/>
                      <w:color w:val="auto"/>
                      <w:kern w:val="0"/>
                      <w:sz w:val="18"/>
                      <w:szCs w:val="18"/>
                      <w:highlight w:val="none"/>
                    </w:rPr>
                  </w:pPr>
                  <w:r>
                    <w:rPr>
                      <w:rFonts w:hint="default"/>
                      <w:snapToGrid w:val="0"/>
                      <w:color w:val="auto"/>
                      <w:kern w:val="0"/>
                      <w:sz w:val="18"/>
                      <w:szCs w:val="18"/>
                      <w:highlight w:val="none"/>
                    </w:rPr>
                    <w:t>4</w:t>
                  </w:r>
                  <w:r>
                    <w:rPr>
                      <w:rFonts w:hint="eastAsia"/>
                      <w:snapToGrid w:val="0"/>
                      <w:color w:val="auto"/>
                      <w:kern w:val="0"/>
                      <w:sz w:val="18"/>
                      <w:szCs w:val="18"/>
                      <w:highlight w:val="none"/>
                      <w:lang w:val="en-US" w:eastAsia="zh-CN"/>
                    </w:rPr>
                    <w:t>8</w:t>
                  </w:r>
                </w:p>
              </w:tc>
              <w:tc>
                <w:tcPr>
                  <w:tcW w:w="1436" w:type="dxa"/>
                  <w:tcBorders>
                    <w:top w:val="single" w:color="auto" w:sz="4" w:space="0"/>
                    <w:left w:val="single" w:color="auto" w:sz="4" w:space="0"/>
                    <w:bottom w:val="single" w:color="auto" w:sz="4" w:space="0"/>
                    <w:right w:val="single" w:color="auto" w:sz="4" w:space="0"/>
                  </w:tcBorders>
                  <w:vAlign w:val="center"/>
                </w:tcPr>
                <w:p w14:paraId="0ABBD25C">
                  <w:pPr>
                    <w:overflowPunct w:val="0"/>
                    <w:adjustRightInd w:val="0"/>
                    <w:snapToGrid w:val="0"/>
                    <w:spacing w:beforeLines="20" w:afterLines="20"/>
                    <w:jc w:val="center"/>
                    <w:rPr>
                      <w:rFonts w:hint="default"/>
                      <w:snapToGrid w:val="0"/>
                      <w:color w:val="auto"/>
                      <w:kern w:val="0"/>
                      <w:sz w:val="18"/>
                      <w:szCs w:val="18"/>
                      <w:highlight w:val="none"/>
                      <w:lang w:val="en-US" w:eastAsia="zh-CN"/>
                    </w:rPr>
                  </w:pPr>
                  <w:r>
                    <w:rPr>
                      <w:snapToGrid w:val="0"/>
                      <w:color w:val="auto"/>
                      <w:kern w:val="0"/>
                      <w:sz w:val="18"/>
                      <w:szCs w:val="18"/>
                      <w:highlight w:val="none"/>
                    </w:rPr>
                    <w:t>60</w:t>
                  </w:r>
                </w:p>
              </w:tc>
              <w:tc>
                <w:tcPr>
                  <w:tcW w:w="888" w:type="dxa"/>
                  <w:tcBorders>
                    <w:top w:val="single" w:color="auto" w:sz="4" w:space="0"/>
                    <w:left w:val="single" w:color="auto" w:sz="4" w:space="0"/>
                    <w:bottom w:val="single" w:color="auto" w:sz="4" w:space="0"/>
                    <w:right w:val="nil"/>
                  </w:tcBorders>
                  <w:vAlign w:val="center"/>
                </w:tcPr>
                <w:p w14:paraId="69882FB1">
                  <w:pPr>
                    <w:overflowPunct w:val="0"/>
                    <w:adjustRightInd w:val="0"/>
                    <w:snapToGrid w:val="0"/>
                    <w:spacing w:beforeLines="20" w:afterLines="20"/>
                    <w:jc w:val="center"/>
                    <w:rPr>
                      <w:rFonts w:hint="eastAsia"/>
                      <w:snapToGrid w:val="0"/>
                      <w:color w:val="auto"/>
                      <w:kern w:val="0"/>
                      <w:sz w:val="18"/>
                      <w:szCs w:val="18"/>
                      <w:highlight w:val="none"/>
                      <w:lang w:val="en-US" w:eastAsia="zh-CN"/>
                    </w:rPr>
                  </w:pPr>
                  <w:r>
                    <w:rPr>
                      <w:rFonts w:hint="eastAsia"/>
                      <w:snapToGrid w:val="0"/>
                      <w:color w:val="auto"/>
                      <w:kern w:val="0"/>
                      <w:sz w:val="18"/>
                      <w:szCs w:val="18"/>
                      <w:highlight w:val="none"/>
                      <w:lang w:val="en-US" w:eastAsia="zh-CN"/>
                    </w:rPr>
                    <w:t>80</w:t>
                  </w:r>
                </w:p>
              </w:tc>
              <w:tc>
                <w:tcPr>
                  <w:tcW w:w="887" w:type="dxa"/>
                  <w:tcBorders>
                    <w:top w:val="single" w:color="auto" w:sz="4" w:space="0"/>
                    <w:left w:val="single" w:color="auto" w:sz="4" w:space="0"/>
                    <w:bottom w:val="single" w:color="auto" w:sz="4" w:space="0"/>
                    <w:right w:val="nil"/>
                  </w:tcBorders>
                  <w:vAlign w:val="center"/>
                </w:tcPr>
                <w:p w14:paraId="48881EA7">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color w:val="auto"/>
                      <w:sz w:val="18"/>
                      <w:szCs w:val="18"/>
                      <w:highlight w:val="none"/>
                    </w:rPr>
                    <w:t>达标</w:t>
                  </w:r>
                </w:p>
              </w:tc>
            </w:tr>
            <w:tr w14:paraId="0F6480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0" w:type="dxa"/>
                  <w:tcBorders>
                    <w:top w:val="single" w:color="auto" w:sz="4" w:space="0"/>
                    <w:left w:val="nil"/>
                    <w:bottom w:val="single" w:color="auto" w:sz="4" w:space="0"/>
                    <w:right w:val="single" w:color="auto" w:sz="4" w:space="0"/>
                  </w:tcBorders>
                  <w:vAlign w:val="center"/>
                </w:tcPr>
                <w:p w14:paraId="3FE4E6DE">
                  <w:pPr>
                    <w:overflowPunct w:val="0"/>
                    <w:adjustRightInd w:val="0"/>
                    <w:snapToGrid w:val="0"/>
                    <w:spacing w:beforeLines="20" w:afterLines="20"/>
                    <w:jc w:val="center"/>
                    <w:rPr>
                      <w:rFonts w:eastAsia="Times New Roman"/>
                      <w:snapToGrid w:val="0"/>
                      <w:color w:val="auto"/>
                      <w:kern w:val="0"/>
                      <w:sz w:val="18"/>
                      <w:szCs w:val="18"/>
                      <w:highlight w:val="none"/>
                    </w:rPr>
                  </w:pPr>
                  <w:r>
                    <w:rPr>
                      <w:rFonts w:eastAsia="Times New Roman"/>
                      <w:snapToGrid w:val="0"/>
                      <w:color w:val="auto"/>
                      <w:kern w:val="0"/>
                      <w:sz w:val="18"/>
                      <w:szCs w:val="18"/>
                      <w:highlight w:val="none"/>
                    </w:rPr>
                    <w:t>PM</w:t>
                  </w:r>
                  <w:r>
                    <w:rPr>
                      <w:rFonts w:eastAsia="Times New Roman"/>
                      <w:snapToGrid w:val="0"/>
                      <w:color w:val="auto"/>
                      <w:kern w:val="0"/>
                      <w:sz w:val="18"/>
                      <w:szCs w:val="18"/>
                      <w:highlight w:val="none"/>
                      <w:vertAlign w:val="subscript"/>
                    </w:rPr>
                    <w:t>2.5</w:t>
                  </w:r>
                </w:p>
              </w:tc>
              <w:tc>
                <w:tcPr>
                  <w:tcW w:w="2728" w:type="dxa"/>
                  <w:vMerge w:val="continue"/>
                  <w:tcBorders>
                    <w:top w:val="single" w:color="auto" w:sz="4" w:space="0"/>
                    <w:left w:val="single" w:color="auto" w:sz="4" w:space="0"/>
                    <w:bottom w:val="single" w:color="auto" w:sz="4" w:space="0"/>
                    <w:right w:val="single" w:color="auto" w:sz="4" w:space="0"/>
                  </w:tcBorders>
                  <w:vAlign w:val="center"/>
                </w:tcPr>
                <w:p w14:paraId="4CFDC0F3">
                  <w:pPr>
                    <w:overflowPunct w:val="0"/>
                    <w:adjustRightInd w:val="0"/>
                    <w:snapToGrid w:val="0"/>
                    <w:spacing w:beforeLines="20" w:afterLines="20"/>
                    <w:jc w:val="center"/>
                    <w:rPr>
                      <w:rFonts w:eastAsia="Times New Roman"/>
                      <w:snapToGrid w:val="0"/>
                      <w:color w:val="auto"/>
                      <w:kern w:val="0"/>
                      <w:sz w:val="18"/>
                      <w:szCs w:val="18"/>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14:paraId="4B3166F6">
                  <w:pPr>
                    <w:overflowPunct w:val="0"/>
                    <w:adjustRightInd w:val="0"/>
                    <w:snapToGrid w:val="0"/>
                    <w:spacing w:beforeLines="20" w:afterLines="20"/>
                    <w:jc w:val="center"/>
                    <w:rPr>
                      <w:snapToGrid w:val="0"/>
                      <w:color w:val="auto"/>
                      <w:kern w:val="0"/>
                      <w:sz w:val="18"/>
                      <w:szCs w:val="18"/>
                      <w:highlight w:val="none"/>
                    </w:rPr>
                  </w:pPr>
                  <w:r>
                    <w:rPr>
                      <w:rFonts w:hint="default"/>
                      <w:snapToGrid w:val="0"/>
                      <w:color w:val="auto"/>
                      <w:kern w:val="0"/>
                      <w:sz w:val="18"/>
                      <w:szCs w:val="18"/>
                      <w:highlight w:val="none"/>
                    </w:rPr>
                    <w:t>2</w:t>
                  </w:r>
                  <w:r>
                    <w:rPr>
                      <w:rFonts w:hint="eastAsia"/>
                      <w:snapToGrid w:val="0"/>
                      <w:color w:val="auto"/>
                      <w:kern w:val="0"/>
                      <w:sz w:val="18"/>
                      <w:szCs w:val="18"/>
                      <w:highlight w:val="none"/>
                      <w:lang w:val="en-US" w:eastAsia="zh-CN"/>
                    </w:rPr>
                    <w:t>8</w:t>
                  </w:r>
                </w:p>
              </w:tc>
              <w:tc>
                <w:tcPr>
                  <w:tcW w:w="1436" w:type="dxa"/>
                  <w:tcBorders>
                    <w:top w:val="single" w:color="auto" w:sz="4" w:space="0"/>
                    <w:left w:val="single" w:color="auto" w:sz="4" w:space="0"/>
                    <w:bottom w:val="single" w:color="auto" w:sz="4" w:space="0"/>
                    <w:right w:val="single" w:color="auto" w:sz="4" w:space="0"/>
                  </w:tcBorders>
                  <w:vAlign w:val="center"/>
                </w:tcPr>
                <w:p w14:paraId="4D6DEF4C">
                  <w:pPr>
                    <w:overflowPunct w:val="0"/>
                    <w:adjustRightInd w:val="0"/>
                    <w:snapToGrid w:val="0"/>
                    <w:spacing w:beforeLines="20" w:afterLines="20"/>
                    <w:jc w:val="center"/>
                    <w:rPr>
                      <w:rFonts w:hint="default"/>
                      <w:snapToGrid w:val="0"/>
                      <w:color w:val="auto"/>
                      <w:kern w:val="0"/>
                      <w:sz w:val="18"/>
                      <w:szCs w:val="18"/>
                      <w:highlight w:val="none"/>
                      <w:lang w:val="en-US" w:eastAsia="zh-CN"/>
                    </w:rPr>
                  </w:pPr>
                  <w:r>
                    <w:rPr>
                      <w:snapToGrid w:val="0"/>
                      <w:color w:val="auto"/>
                      <w:kern w:val="0"/>
                      <w:sz w:val="18"/>
                      <w:szCs w:val="18"/>
                      <w:highlight w:val="none"/>
                    </w:rPr>
                    <w:t>30</w:t>
                  </w:r>
                </w:p>
              </w:tc>
              <w:tc>
                <w:tcPr>
                  <w:tcW w:w="888" w:type="dxa"/>
                  <w:tcBorders>
                    <w:top w:val="single" w:color="auto" w:sz="4" w:space="0"/>
                    <w:left w:val="single" w:color="auto" w:sz="4" w:space="0"/>
                    <w:bottom w:val="single" w:color="auto" w:sz="4" w:space="0"/>
                    <w:right w:val="nil"/>
                  </w:tcBorders>
                  <w:vAlign w:val="center"/>
                </w:tcPr>
                <w:p w14:paraId="338AC759">
                  <w:pPr>
                    <w:overflowPunct w:val="0"/>
                    <w:adjustRightInd w:val="0"/>
                    <w:snapToGrid w:val="0"/>
                    <w:spacing w:beforeLines="20" w:afterLines="20"/>
                    <w:jc w:val="center"/>
                    <w:rPr>
                      <w:rFonts w:hint="eastAsia"/>
                      <w:snapToGrid w:val="0"/>
                      <w:color w:val="auto"/>
                      <w:kern w:val="0"/>
                      <w:sz w:val="18"/>
                      <w:szCs w:val="18"/>
                      <w:highlight w:val="none"/>
                      <w:lang w:val="en-US" w:eastAsia="zh-CN"/>
                    </w:rPr>
                  </w:pPr>
                  <w:r>
                    <w:rPr>
                      <w:rFonts w:hint="eastAsia"/>
                      <w:snapToGrid w:val="0"/>
                      <w:color w:val="auto"/>
                      <w:kern w:val="0"/>
                      <w:sz w:val="18"/>
                      <w:szCs w:val="18"/>
                      <w:highlight w:val="none"/>
                      <w:lang w:val="en-US" w:eastAsia="zh-CN"/>
                    </w:rPr>
                    <w:t>93</w:t>
                  </w:r>
                </w:p>
              </w:tc>
              <w:tc>
                <w:tcPr>
                  <w:tcW w:w="887" w:type="dxa"/>
                  <w:tcBorders>
                    <w:top w:val="single" w:color="auto" w:sz="4" w:space="0"/>
                    <w:left w:val="single" w:color="auto" w:sz="4" w:space="0"/>
                    <w:bottom w:val="single" w:color="auto" w:sz="4" w:space="0"/>
                    <w:right w:val="nil"/>
                  </w:tcBorders>
                  <w:vAlign w:val="center"/>
                </w:tcPr>
                <w:p w14:paraId="5FC8665D">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color w:val="auto"/>
                      <w:sz w:val="18"/>
                      <w:szCs w:val="18"/>
                      <w:highlight w:val="none"/>
                    </w:rPr>
                    <w:t>达标</w:t>
                  </w:r>
                </w:p>
              </w:tc>
            </w:tr>
            <w:tr w14:paraId="02961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0" w:type="dxa"/>
                  <w:tcBorders>
                    <w:top w:val="single" w:color="auto" w:sz="4" w:space="0"/>
                    <w:left w:val="nil"/>
                    <w:bottom w:val="single" w:color="auto" w:sz="4" w:space="0"/>
                    <w:right w:val="single" w:color="auto" w:sz="4" w:space="0"/>
                  </w:tcBorders>
                  <w:vAlign w:val="center"/>
                </w:tcPr>
                <w:p w14:paraId="5B82EFE8">
                  <w:pPr>
                    <w:overflowPunct w:val="0"/>
                    <w:adjustRightInd w:val="0"/>
                    <w:snapToGrid w:val="0"/>
                    <w:spacing w:beforeLines="20" w:afterLines="20"/>
                    <w:jc w:val="center"/>
                    <w:rPr>
                      <w:rFonts w:eastAsia="Times New Roman"/>
                      <w:snapToGrid w:val="0"/>
                      <w:color w:val="auto"/>
                      <w:kern w:val="0"/>
                      <w:sz w:val="18"/>
                      <w:szCs w:val="18"/>
                      <w:highlight w:val="none"/>
                    </w:rPr>
                  </w:pPr>
                  <w:r>
                    <w:rPr>
                      <w:rFonts w:eastAsia="Times New Roman"/>
                      <w:snapToGrid w:val="0"/>
                      <w:color w:val="auto"/>
                      <w:kern w:val="0"/>
                      <w:sz w:val="18"/>
                      <w:szCs w:val="18"/>
                      <w:highlight w:val="none"/>
                    </w:rPr>
                    <w:t>CO</w:t>
                  </w:r>
                </w:p>
              </w:tc>
              <w:tc>
                <w:tcPr>
                  <w:tcW w:w="2728" w:type="dxa"/>
                  <w:tcBorders>
                    <w:top w:val="single" w:color="auto" w:sz="4" w:space="0"/>
                    <w:left w:val="single" w:color="auto" w:sz="4" w:space="0"/>
                    <w:bottom w:val="single" w:color="auto" w:sz="4" w:space="0"/>
                    <w:right w:val="single" w:color="auto" w:sz="4" w:space="0"/>
                  </w:tcBorders>
                  <w:vAlign w:val="center"/>
                </w:tcPr>
                <w:p w14:paraId="68FFF57D">
                  <w:pPr>
                    <w:overflowPunct w:val="0"/>
                    <w:adjustRightInd w:val="0"/>
                    <w:snapToGrid w:val="0"/>
                    <w:spacing w:beforeLines="20" w:afterLines="20"/>
                    <w:jc w:val="center"/>
                    <w:rPr>
                      <w:rFonts w:eastAsia="Times New Roman"/>
                      <w:snapToGrid w:val="0"/>
                      <w:color w:val="auto"/>
                      <w:kern w:val="0"/>
                      <w:sz w:val="18"/>
                      <w:szCs w:val="18"/>
                      <w:highlight w:val="none"/>
                    </w:rPr>
                  </w:pPr>
                  <w:r>
                    <w:rPr>
                      <w:snapToGrid w:val="0"/>
                      <w:color w:val="auto"/>
                      <w:kern w:val="0"/>
                      <w:sz w:val="18"/>
                      <w:szCs w:val="18"/>
                      <w:highlight w:val="none"/>
                    </w:rPr>
                    <w:t>24h</w:t>
                  </w:r>
                  <w:r>
                    <w:rPr>
                      <w:rFonts w:hint="eastAsia"/>
                      <w:snapToGrid w:val="0"/>
                      <w:color w:val="auto"/>
                      <w:kern w:val="0"/>
                      <w:sz w:val="18"/>
                      <w:szCs w:val="18"/>
                      <w:highlight w:val="none"/>
                    </w:rPr>
                    <w:t>平均第</w:t>
                  </w:r>
                  <w:r>
                    <w:rPr>
                      <w:snapToGrid w:val="0"/>
                      <w:color w:val="auto"/>
                      <w:kern w:val="0"/>
                      <w:sz w:val="18"/>
                      <w:szCs w:val="18"/>
                      <w:highlight w:val="none"/>
                    </w:rPr>
                    <w:t>95</w:t>
                  </w:r>
                  <w:r>
                    <w:rPr>
                      <w:rFonts w:hint="eastAsia"/>
                      <w:snapToGrid w:val="0"/>
                      <w:color w:val="auto"/>
                      <w:kern w:val="0"/>
                      <w:sz w:val="18"/>
                      <w:szCs w:val="18"/>
                      <w:highlight w:val="none"/>
                    </w:rPr>
                    <w:t>百分位数</w:t>
                  </w:r>
                </w:p>
              </w:tc>
              <w:tc>
                <w:tcPr>
                  <w:tcW w:w="1268" w:type="dxa"/>
                  <w:tcBorders>
                    <w:top w:val="single" w:color="auto" w:sz="4" w:space="0"/>
                    <w:left w:val="single" w:color="auto" w:sz="4" w:space="0"/>
                    <w:bottom w:val="single" w:color="auto" w:sz="4" w:space="0"/>
                    <w:right w:val="single" w:color="auto" w:sz="4" w:space="0"/>
                  </w:tcBorders>
                  <w:vAlign w:val="center"/>
                </w:tcPr>
                <w:p w14:paraId="16A8BFB9">
                  <w:pPr>
                    <w:overflowPunct w:val="0"/>
                    <w:adjustRightInd w:val="0"/>
                    <w:snapToGrid w:val="0"/>
                    <w:spacing w:beforeLines="20" w:afterLines="20"/>
                    <w:jc w:val="center"/>
                    <w:rPr>
                      <w:snapToGrid w:val="0"/>
                      <w:color w:val="auto"/>
                      <w:kern w:val="0"/>
                      <w:sz w:val="18"/>
                      <w:szCs w:val="18"/>
                      <w:highlight w:val="none"/>
                    </w:rPr>
                  </w:pPr>
                  <w:r>
                    <w:rPr>
                      <w:rFonts w:hint="eastAsia"/>
                      <w:snapToGrid w:val="0"/>
                      <w:color w:val="auto"/>
                      <w:kern w:val="0"/>
                      <w:sz w:val="18"/>
                      <w:szCs w:val="18"/>
                      <w:highlight w:val="none"/>
                      <w:lang w:val="en-US" w:eastAsia="zh-CN"/>
                    </w:rPr>
                    <w:t>0.9</w:t>
                  </w:r>
                  <w:r>
                    <w:rPr>
                      <w:rFonts w:hint="default"/>
                      <w:snapToGrid w:val="0"/>
                      <w:color w:val="auto"/>
                      <w:kern w:val="0"/>
                      <w:sz w:val="18"/>
                      <w:szCs w:val="18"/>
                      <w:highlight w:val="none"/>
                    </w:rPr>
                    <w:t>mg/m</w:t>
                  </w:r>
                  <w:r>
                    <w:rPr>
                      <w:rFonts w:hint="default"/>
                      <w:snapToGrid w:val="0"/>
                      <w:color w:val="auto"/>
                      <w:kern w:val="0"/>
                      <w:sz w:val="18"/>
                      <w:szCs w:val="18"/>
                      <w:highlight w:val="none"/>
                      <w:vertAlign w:val="superscript"/>
                    </w:rPr>
                    <w:t>3</w:t>
                  </w:r>
                </w:p>
              </w:tc>
              <w:tc>
                <w:tcPr>
                  <w:tcW w:w="1436" w:type="dxa"/>
                  <w:tcBorders>
                    <w:top w:val="single" w:color="auto" w:sz="4" w:space="0"/>
                    <w:left w:val="single" w:color="auto" w:sz="4" w:space="0"/>
                    <w:bottom w:val="single" w:color="auto" w:sz="4" w:space="0"/>
                    <w:right w:val="single" w:color="auto" w:sz="4" w:space="0"/>
                  </w:tcBorders>
                  <w:vAlign w:val="center"/>
                </w:tcPr>
                <w:p w14:paraId="69DA3A1D">
                  <w:pPr>
                    <w:overflowPunct w:val="0"/>
                    <w:adjustRightInd w:val="0"/>
                    <w:snapToGrid w:val="0"/>
                    <w:spacing w:beforeLines="20" w:afterLines="20"/>
                    <w:jc w:val="center"/>
                    <w:rPr>
                      <w:rFonts w:hint="default"/>
                      <w:snapToGrid w:val="0"/>
                      <w:color w:val="auto"/>
                      <w:kern w:val="0"/>
                      <w:sz w:val="18"/>
                      <w:szCs w:val="18"/>
                      <w:highlight w:val="none"/>
                      <w:lang w:val="en-US" w:eastAsia="zh-CN"/>
                    </w:rPr>
                  </w:pPr>
                  <w:r>
                    <w:rPr>
                      <w:rFonts w:hint="default"/>
                      <w:snapToGrid w:val="0"/>
                      <w:color w:val="auto"/>
                      <w:kern w:val="0"/>
                      <w:sz w:val="18"/>
                      <w:szCs w:val="18"/>
                      <w:highlight w:val="none"/>
                    </w:rPr>
                    <w:t>4mg/m</w:t>
                  </w:r>
                  <w:r>
                    <w:rPr>
                      <w:rFonts w:hint="default"/>
                      <w:snapToGrid w:val="0"/>
                      <w:color w:val="auto"/>
                      <w:kern w:val="0"/>
                      <w:sz w:val="18"/>
                      <w:szCs w:val="18"/>
                      <w:highlight w:val="none"/>
                      <w:vertAlign w:val="superscript"/>
                    </w:rPr>
                    <w:t>3</w:t>
                  </w:r>
                </w:p>
              </w:tc>
              <w:tc>
                <w:tcPr>
                  <w:tcW w:w="888" w:type="dxa"/>
                  <w:tcBorders>
                    <w:top w:val="single" w:color="auto" w:sz="4" w:space="0"/>
                    <w:left w:val="single" w:color="auto" w:sz="4" w:space="0"/>
                    <w:bottom w:val="single" w:color="auto" w:sz="4" w:space="0"/>
                    <w:right w:val="nil"/>
                  </w:tcBorders>
                  <w:vAlign w:val="center"/>
                </w:tcPr>
                <w:p w14:paraId="65373791">
                  <w:pPr>
                    <w:overflowPunct w:val="0"/>
                    <w:adjustRightInd w:val="0"/>
                    <w:snapToGrid w:val="0"/>
                    <w:spacing w:beforeLines="20" w:afterLines="20"/>
                    <w:jc w:val="center"/>
                    <w:rPr>
                      <w:snapToGrid w:val="0"/>
                      <w:color w:val="auto"/>
                      <w:kern w:val="0"/>
                      <w:sz w:val="18"/>
                      <w:szCs w:val="18"/>
                      <w:highlight w:val="none"/>
                    </w:rPr>
                  </w:pPr>
                  <w:r>
                    <w:rPr>
                      <w:rFonts w:hint="eastAsia"/>
                      <w:snapToGrid w:val="0"/>
                      <w:color w:val="auto"/>
                      <w:kern w:val="0"/>
                      <w:sz w:val="18"/>
                      <w:szCs w:val="18"/>
                      <w:highlight w:val="none"/>
                      <w:lang w:val="en-US" w:eastAsia="zh-CN"/>
                    </w:rPr>
                    <w:t>23</w:t>
                  </w:r>
                </w:p>
              </w:tc>
              <w:tc>
                <w:tcPr>
                  <w:tcW w:w="887" w:type="dxa"/>
                  <w:tcBorders>
                    <w:top w:val="single" w:color="auto" w:sz="4" w:space="0"/>
                    <w:left w:val="single" w:color="auto" w:sz="4" w:space="0"/>
                    <w:bottom w:val="single" w:color="auto" w:sz="4" w:space="0"/>
                    <w:right w:val="nil"/>
                  </w:tcBorders>
                  <w:vAlign w:val="center"/>
                </w:tcPr>
                <w:p w14:paraId="5CA1300F">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color w:val="auto"/>
                      <w:sz w:val="18"/>
                      <w:szCs w:val="18"/>
                      <w:highlight w:val="none"/>
                    </w:rPr>
                    <w:t>达标</w:t>
                  </w:r>
                </w:p>
              </w:tc>
            </w:tr>
            <w:tr w14:paraId="181086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0" w:type="dxa"/>
                  <w:tcBorders>
                    <w:top w:val="single" w:color="auto" w:sz="4" w:space="0"/>
                    <w:left w:val="nil"/>
                    <w:bottom w:val="single" w:color="auto" w:sz="12" w:space="0"/>
                    <w:right w:val="single" w:color="auto" w:sz="4" w:space="0"/>
                  </w:tcBorders>
                  <w:vAlign w:val="center"/>
                </w:tcPr>
                <w:p w14:paraId="25287E43">
                  <w:pPr>
                    <w:overflowPunct w:val="0"/>
                    <w:adjustRightInd w:val="0"/>
                    <w:snapToGrid w:val="0"/>
                    <w:spacing w:beforeLines="20" w:afterLines="20"/>
                    <w:jc w:val="center"/>
                    <w:rPr>
                      <w:rFonts w:eastAsia="Times New Roman"/>
                      <w:snapToGrid w:val="0"/>
                      <w:color w:val="auto"/>
                      <w:kern w:val="0"/>
                      <w:sz w:val="18"/>
                      <w:szCs w:val="18"/>
                      <w:highlight w:val="none"/>
                    </w:rPr>
                  </w:pPr>
                  <w:r>
                    <w:rPr>
                      <w:rFonts w:eastAsia="Times New Roman"/>
                      <w:snapToGrid w:val="0"/>
                      <w:color w:val="auto"/>
                      <w:kern w:val="0"/>
                      <w:sz w:val="18"/>
                      <w:szCs w:val="18"/>
                      <w:highlight w:val="none"/>
                    </w:rPr>
                    <w:t>O</w:t>
                  </w:r>
                  <w:r>
                    <w:rPr>
                      <w:rFonts w:eastAsia="Times New Roman"/>
                      <w:snapToGrid w:val="0"/>
                      <w:color w:val="auto"/>
                      <w:kern w:val="0"/>
                      <w:sz w:val="18"/>
                      <w:szCs w:val="18"/>
                      <w:highlight w:val="none"/>
                      <w:vertAlign w:val="subscript"/>
                    </w:rPr>
                    <w:t>3</w:t>
                  </w:r>
                </w:p>
              </w:tc>
              <w:tc>
                <w:tcPr>
                  <w:tcW w:w="2728" w:type="dxa"/>
                  <w:tcBorders>
                    <w:top w:val="single" w:color="auto" w:sz="4" w:space="0"/>
                    <w:left w:val="single" w:color="auto" w:sz="4" w:space="0"/>
                    <w:bottom w:val="single" w:color="auto" w:sz="12" w:space="0"/>
                    <w:right w:val="single" w:color="auto" w:sz="4" w:space="0"/>
                  </w:tcBorders>
                  <w:vAlign w:val="center"/>
                </w:tcPr>
                <w:p w14:paraId="4C7BC9AC">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日最大</w:t>
                  </w:r>
                  <w:r>
                    <w:rPr>
                      <w:snapToGrid w:val="0"/>
                      <w:color w:val="auto"/>
                      <w:kern w:val="0"/>
                      <w:sz w:val="18"/>
                      <w:szCs w:val="18"/>
                      <w:highlight w:val="none"/>
                    </w:rPr>
                    <w:t>8h</w:t>
                  </w:r>
                  <w:r>
                    <w:rPr>
                      <w:rFonts w:hint="eastAsia"/>
                      <w:snapToGrid w:val="0"/>
                      <w:color w:val="auto"/>
                      <w:kern w:val="0"/>
                      <w:sz w:val="18"/>
                      <w:szCs w:val="18"/>
                      <w:highlight w:val="none"/>
                    </w:rPr>
                    <w:t>滑动平均值的第</w:t>
                  </w:r>
                  <w:r>
                    <w:rPr>
                      <w:snapToGrid w:val="0"/>
                      <w:color w:val="auto"/>
                      <w:kern w:val="0"/>
                      <w:sz w:val="18"/>
                      <w:szCs w:val="18"/>
                      <w:highlight w:val="none"/>
                    </w:rPr>
                    <w:t>90</w:t>
                  </w:r>
                  <w:r>
                    <w:rPr>
                      <w:rFonts w:hint="eastAsia"/>
                      <w:snapToGrid w:val="0"/>
                      <w:color w:val="auto"/>
                      <w:kern w:val="0"/>
                      <w:sz w:val="18"/>
                      <w:szCs w:val="18"/>
                      <w:highlight w:val="none"/>
                    </w:rPr>
                    <w:t>百分位数</w:t>
                  </w:r>
                </w:p>
              </w:tc>
              <w:tc>
                <w:tcPr>
                  <w:tcW w:w="1268" w:type="dxa"/>
                  <w:tcBorders>
                    <w:top w:val="single" w:color="auto" w:sz="4" w:space="0"/>
                    <w:left w:val="single" w:color="auto" w:sz="4" w:space="0"/>
                    <w:bottom w:val="single" w:color="auto" w:sz="12" w:space="0"/>
                    <w:right w:val="single" w:color="auto" w:sz="4" w:space="0"/>
                  </w:tcBorders>
                  <w:vAlign w:val="center"/>
                </w:tcPr>
                <w:p w14:paraId="65DEAF40">
                  <w:pPr>
                    <w:overflowPunct w:val="0"/>
                    <w:adjustRightInd w:val="0"/>
                    <w:snapToGrid w:val="0"/>
                    <w:spacing w:beforeLines="20" w:afterLines="20"/>
                    <w:jc w:val="center"/>
                    <w:rPr>
                      <w:snapToGrid w:val="0"/>
                      <w:color w:val="auto"/>
                      <w:kern w:val="0"/>
                      <w:sz w:val="18"/>
                      <w:szCs w:val="18"/>
                      <w:highlight w:val="none"/>
                    </w:rPr>
                  </w:pPr>
                  <w:r>
                    <w:rPr>
                      <w:rFonts w:hint="eastAsia"/>
                      <w:snapToGrid w:val="0"/>
                      <w:color w:val="auto"/>
                      <w:kern w:val="0"/>
                      <w:sz w:val="18"/>
                      <w:szCs w:val="18"/>
                      <w:highlight w:val="none"/>
                      <w:lang w:val="en-US" w:eastAsia="zh-CN"/>
                    </w:rPr>
                    <w:t>174</w:t>
                  </w:r>
                </w:p>
              </w:tc>
              <w:tc>
                <w:tcPr>
                  <w:tcW w:w="1436" w:type="dxa"/>
                  <w:tcBorders>
                    <w:top w:val="single" w:color="auto" w:sz="4" w:space="0"/>
                    <w:left w:val="single" w:color="auto" w:sz="4" w:space="0"/>
                    <w:bottom w:val="single" w:color="auto" w:sz="12" w:space="0"/>
                    <w:right w:val="single" w:color="auto" w:sz="4" w:space="0"/>
                  </w:tcBorders>
                  <w:vAlign w:val="center"/>
                </w:tcPr>
                <w:p w14:paraId="0D6B08C3">
                  <w:pPr>
                    <w:overflowPunct w:val="0"/>
                    <w:adjustRightInd w:val="0"/>
                    <w:snapToGrid w:val="0"/>
                    <w:spacing w:beforeLines="20" w:afterLines="20"/>
                    <w:jc w:val="center"/>
                    <w:rPr>
                      <w:rFonts w:hint="default"/>
                      <w:snapToGrid w:val="0"/>
                      <w:color w:val="auto"/>
                      <w:kern w:val="0"/>
                      <w:sz w:val="18"/>
                      <w:szCs w:val="18"/>
                      <w:highlight w:val="none"/>
                      <w:lang w:val="en-US" w:eastAsia="zh-CN"/>
                    </w:rPr>
                  </w:pPr>
                  <w:r>
                    <w:rPr>
                      <w:rFonts w:hint="default"/>
                      <w:snapToGrid w:val="0"/>
                      <w:color w:val="auto"/>
                      <w:kern w:val="0"/>
                      <w:sz w:val="18"/>
                      <w:szCs w:val="18"/>
                      <w:highlight w:val="none"/>
                    </w:rPr>
                    <w:t>160</w:t>
                  </w:r>
                </w:p>
              </w:tc>
              <w:tc>
                <w:tcPr>
                  <w:tcW w:w="888" w:type="dxa"/>
                  <w:tcBorders>
                    <w:top w:val="single" w:color="auto" w:sz="4" w:space="0"/>
                    <w:left w:val="single" w:color="auto" w:sz="4" w:space="0"/>
                    <w:bottom w:val="single" w:color="auto" w:sz="12" w:space="0"/>
                    <w:right w:val="nil"/>
                  </w:tcBorders>
                  <w:vAlign w:val="center"/>
                </w:tcPr>
                <w:p w14:paraId="0EA4BB20">
                  <w:pPr>
                    <w:overflowPunct w:val="0"/>
                    <w:adjustRightInd w:val="0"/>
                    <w:snapToGrid w:val="0"/>
                    <w:spacing w:beforeLines="20" w:afterLines="20"/>
                    <w:jc w:val="center"/>
                    <w:rPr>
                      <w:snapToGrid w:val="0"/>
                      <w:color w:val="auto"/>
                      <w:kern w:val="0"/>
                      <w:sz w:val="18"/>
                      <w:szCs w:val="18"/>
                      <w:highlight w:val="none"/>
                    </w:rPr>
                  </w:pPr>
                  <w:r>
                    <w:rPr>
                      <w:rFonts w:hint="default"/>
                      <w:snapToGrid w:val="0"/>
                      <w:color w:val="auto"/>
                      <w:kern w:val="0"/>
                      <w:sz w:val="18"/>
                      <w:szCs w:val="18"/>
                      <w:highlight w:val="none"/>
                    </w:rPr>
                    <w:t>10</w:t>
                  </w:r>
                  <w:r>
                    <w:rPr>
                      <w:rFonts w:hint="eastAsia"/>
                      <w:snapToGrid w:val="0"/>
                      <w:color w:val="auto"/>
                      <w:kern w:val="0"/>
                      <w:sz w:val="18"/>
                      <w:szCs w:val="18"/>
                      <w:highlight w:val="none"/>
                      <w:lang w:val="en-US" w:eastAsia="zh-CN"/>
                    </w:rPr>
                    <w:t>9</w:t>
                  </w:r>
                </w:p>
              </w:tc>
              <w:tc>
                <w:tcPr>
                  <w:tcW w:w="887" w:type="dxa"/>
                  <w:tcBorders>
                    <w:top w:val="single" w:color="auto" w:sz="4" w:space="0"/>
                    <w:left w:val="single" w:color="auto" w:sz="4" w:space="0"/>
                    <w:bottom w:val="single" w:color="auto" w:sz="12" w:space="0"/>
                    <w:right w:val="nil"/>
                  </w:tcBorders>
                  <w:vAlign w:val="center"/>
                </w:tcPr>
                <w:p w14:paraId="6A651797">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color w:val="auto"/>
                      <w:sz w:val="18"/>
                      <w:szCs w:val="18"/>
                      <w:highlight w:val="none"/>
                    </w:rPr>
                    <w:t>不达标</w:t>
                  </w:r>
                </w:p>
              </w:tc>
            </w:tr>
          </w:tbl>
          <w:p w14:paraId="464AFA52">
            <w:pPr>
              <w:spacing w:line="360" w:lineRule="auto"/>
              <w:ind w:firstLine="420" w:firstLineChars="200"/>
              <w:rPr>
                <w:rFonts w:hint="eastAsia"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据上表，项目所在区O</w:t>
            </w:r>
            <w:r>
              <w:rPr>
                <w:rFonts w:hint="eastAsia" w:ascii="Times New Roman" w:hAnsi="Times New Roman" w:eastAsia="宋体" w:cs="Times New Roman"/>
                <w:bCs/>
                <w:color w:val="auto"/>
                <w:szCs w:val="21"/>
                <w:highlight w:val="none"/>
                <w:vertAlign w:val="subscript"/>
              </w:rPr>
              <w:t>3</w:t>
            </w:r>
            <w:r>
              <w:rPr>
                <w:rFonts w:hint="eastAsia" w:ascii="Times New Roman" w:hAnsi="Times New Roman" w:eastAsia="宋体" w:cs="Times New Roman"/>
                <w:bCs/>
                <w:color w:val="auto"/>
                <w:szCs w:val="21"/>
                <w:highlight w:val="none"/>
              </w:rPr>
              <w:t>超标，因此判定为不达标区。</w:t>
            </w:r>
          </w:p>
          <w:p w14:paraId="08DA3648">
            <w:pPr>
              <w:spacing w:line="360" w:lineRule="auto"/>
              <w:ind w:firstLine="420" w:firstLineChars="200"/>
              <w:rPr>
                <w:bCs/>
                <w:color w:val="auto"/>
                <w:szCs w:val="21"/>
                <w:highlight w:val="none"/>
              </w:rPr>
            </w:pPr>
            <w:r>
              <w:rPr>
                <w:rFonts w:hint="eastAsia" w:ascii="Times New Roman" w:hAnsi="Times New Roman" w:eastAsia="宋体" w:cs="Times New Roman"/>
                <w:bCs/>
                <w:color w:val="auto"/>
                <w:szCs w:val="21"/>
                <w:highlight w:val="none"/>
              </w:rPr>
              <w:t>为了进一步改善环境质量，根据《苏州市空气质量持续改善行动计划实施方案》（苏府</w:t>
            </w:r>
            <w:r>
              <w:rPr>
                <w:rFonts w:hint="eastAsia" w:cs="Times New Roman"/>
                <w:bCs/>
                <w:color w:val="auto"/>
                <w:szCs w:val="21"/>
                <w:highlight w:val="none"/>
                <w:lang w:eastAsia="zh-CN"/>
              </w:rPr>
              <w:t>〔</w:t>
            </w:r>
            <w:r>
              <w:rPr>
                <w:rFonts w:hint="eastAsia" w:ascii="Times New Roman" w:hAnsi="Times New Roman" w:eastAsia="宋体" w:cs="Times New Roman"/>
                <w:bCs/>
                <w:color w:val="auto"/>
                <w:szCs w:val="21"/>
                <w:highlight w:val="none"/>
              </w:rPr>
              <w:t>2024</w:t>
            </w:r>
            <w:r>
              <w:rPr>
                <w:rFonts w:hint="eastAsia" w:cs="Times New Roman"/>
                <w:bCs/>
                <w:color w:val="auto"/>
                <w:szCs w:val="21"/>
                <w:highlight w:val="none"/>
                <w:lang w:eastAsia="zh-CN"/>
              </w:rPr>
              <w:t>〕</w:t>
            </w:r>
            <w:r>
              <w:rPr>
                <w:rFonts w:hint="eastAsia" w:ascii="Times New Roman" w:hAnsi="Times New Roman" w:eastAsia="宋体" w:cs="Times New Roman"/>
                <w:bCs/>
                <w:color w:val="auto"/>
                <w:szCs w:val="21"/>
                <w:highlight w:val="none"/>
              </w:rPr>
              <w:t>50号）要求，“到2025年，全市PM</w:t>
            </w:r>
            <w:r>
              <w:rPr>
                <w:rFonts w:hint="eastAsia" w:ascii="Times New Roman" w:hAnsi="Times New Roman" w:eastAsia="宋体" w:cs="Times New Roman"/>
                <w:bCs/>
                <w:color w:val="auto"/>
                <w:szCs w:val="21"/>
                <w:highlight w:val="none"/>
                <w:vertAlign w:val="subscript"/>
              </w:rPr>
              <w:t>2.5</w:t>
            </w:r>
            <w:r>
              <w:rPr>
                <w:rFonts w:hint="eastAsia" w:ascii="Times New Roman" w:hAnsi="Times New Roman" w:eastAsia="宋体" w:cs="Times New Roman"/>
                <w:bCs/>
                <w:color w:val="auto"/>
                <w:szCs w:val="21"/>
                <w:highlight w:val="none"/>
              </w:rPr>
              <w:t>浓度稳定在30μg/m</w:t>
            </w:r>
            <w:r>
              <w:rPr>
                <w:rFonts w:hint="eastAsia" w:ascii="Times New Roman" w:hAnsi="Times New Roman" w:eastAsia="宋体" w:cs="Times New Roman"/>
                <w:bCs/>
                <w:color w:val="auto"/>
                <w:szCs w:val="21"/>
                <w:highlight w:val="none"/>
                <w:vertAlign w:val="superscript"/>
              </w:rPr>
              <w:t>3</w:t>
            </w:r>
            <w:r>
              <w:rPr>
                <w:rFonts w:hint="eastAsia" w:ascii="Times New Roman" w:hAnsi="Times New Roman" w:eastAsia="宋体" w:cs="Times New Roman"/>
                <w:bCs/>
                <w:color w:val="auto"/>
                <w:szCs w:val="21"/>
                <w:highlight w:val="none"/>
              </w:rPr>
              <w:t>以下，重度及以上污染天数控制在1天以内；氮氧化物和VOCs排放总量比2020年分别下降10%以上，完成省下达的减排目标，通过采取如下措施：1）优化产业结构，促进产业绿色低碳升级（坚决遏制高耗能、高排放、低水平项目盲目上马、加快退出重点行业落后产能、推进园区、产业集群绿色低碳化改造与综合整治、优化含VOCs原辅材料和产品结构）；2）优化能源结构，加快能源清洁低碳高效发展（大力发展新能源和清洁能源、严格合理控制煤炭消费总量、持续降低重点领域能耗强度、推进燃煤锅炉关停整合和工业炉窑清洁能源替代）；3）优化交通结构，大力发展绿色运输体系（持续优化调整货物运输结构、加快提升机动车清洁化水平、强化非道路移动源综合治理）；4）强化面源污染治理，提升精细化管理水平（加强扬尘精细化管控、加强秸秆综合利用和禁烧、加强烟花爆竹禁放管理）；5）强化多污染物减排，切实降低排放强度（强化VOCs全流程、全环节综合治理、推进重点行业超低排放与提标改造、开展餐饮油烟、恶臭异味专项治理、稳步推进大气氨污染防控）；6）加强机制建设，完善大气环境管理体系（实施区域联防联控和城市空气质量达标管理、完善重污染天气应对机制）。届时，吴江区大气环境质量状况可以得到持续改善</w:t>
            </w:r>
            <w:r>
              <w:rPr>
                <w:rFonts w:hint="eastAsia"/>
                <w:bCs/>
                <w:color w:val="auto"/>
                <w:szCs w:val="21"/>
                <w:highlight w:val="none"/>
              </w:rPr>
              <w:t>。</w:t>
            </w:r>
          </w:p>
          <w:p w14:paraId="00EFCDD6">
            <w:pPr>
              <w:spacing w:line="360" w:lineRule="auto"/>
              <w:ind w:firstLine="420" w:firstLineChars="200"/>
              <w:rPr>
                <w:bCs/>
                <w:color w:val="auto"/>
                <w:szCs w:val="21"/>
                <w:highlight w:val="none"/>
              </w:rPr>
            </w:pPr>
            <w:r>
              <w:rPr>
                <w:rFonts w:hint="eastAsia"/>
                <w:bCs/>
                <w:color w:val="auto"/>
                <w:szCs w:val="21"/>
                <w:highlight w:val="none"/>
              </w:rPr>
              <w:t>同时为改善吴江区环境质量状况，吴江区生态环境局已根据《关于印发</w:t>
            </w:r>
            <w:r>
              <w:rPr>
                <w:bCs/>
                <w:color w:val="auto"/>
                <w:szCs w:val="21"/>
                <w:highlight w:val="none"/>
              </w:rPr>
              <w:t>&lt;</w:t>
            </w:r>
            <w:r>
              <w:rPr>
                <w:rFonts w:hint="eastAsia"/>
                <w:bCs/>
                <w:color w:val="auto"/>
                <w:szCs w:val="21"/>
                <w:highlight w:val="none"/>
              </w:rPr>
              <w:t>吴江区改善空气质量强制污染减排强化工作方案</w:t>
            </w:r>
            <w:r>
              <w:rPr>
                <w:bCs/>
                <w:color w:val="auto"/>
                <w:szCs w:val="21"/>
                <w:highlight w:val="none"/>
              </w:rPr>
              <w:t>&gt;</w:t>
            </w:r>
            <w:r>
              <w:rPr>
                <w:rFonts w:hint="eastAsia"/>
                <w:bCs/>
                <w:color w:val="auto"/>
                <w:szCs w:val="21"/>
                <w:highlight w:val="none"/>
              </w:rPr>
              <w:t>的通知》（吴环气</w:t>
            </w:r>
            <w:r>
              <w:rPr>
                <w:rFonts w:hint="eastAsia"/>
                <w:bCs/>
                <w:color w:val="auto"/>
                <w:szCs w:val="21"/>
                <w:highlight w:val="none"/>
                <w:lang w:eastAsia="zh-CN"/>
              </w:rPr>
              <w:t>〔</w:t>
            </w:r>
            <w:r>
              <w:rPr>
                <w:bCs/>
                <w:color w:val="auto"/>
                <w:szCs w:val="21"/>
                <w:highlight w:val="none"/>
              </w:rPr>
              <w:t>2018</w:t>
            </w:r>
            <w:r>
              <w:rPr>
                <w:rFonts w:hint="eastAsia"/>
                <w:bCs/>
                <w:color w:val="auto"/>
                <w:szCs w:val="21"/>
                <w:highlight w:val="none"/>
                <w:lang w:eastAsia="zh-CN"/>
              </w:rPr>
              <w:t>〕</w:t>
            </w:r>
            <w:r>
              <w:rPr>
                <w:bCs/>
                <w:color w:val="auto"/>
                <w:szCs w:val="21"/>
                <w:highlight w:val="none"/>
              </w:rPr>
              <w:t>15</w:t>
            </w:r>
            <w:r>
              <w:rPr>
                <w:rFonts w:hint="eastAsia"/>
                <w:bCs/>
                <w:color w:val="auto"/>
                <w:szCs w:val="21"/>
                <w:highlight w:val="none"/>
              </w:rPr>
              <w:t>号）、《关于开展颗粒物无组织排放深度治理的通知》（吴环气</w:t>
            </w:r>
            <w:r>
              <w:rPr>
                <w:rFonts w:hint="eastAsia"/>
                <w:bCs/>
                <w:color w:val="auto"/>
                <w:szCs w:val="21"/>
                <w:highlight w:val="none"/>
                <w:lang w:eastAsia="zh-CN"/>
              </w:rPr>
              <w:t>〔</w:t>
            </w:r>
            <w:r>
              <w:rPr>
                <w:bCs/>
                <w:color w:val="auto"/>
                <w:szCs w:val="21"/>
                <w:highlight w:val="none"/>
              </w:rPr>
              <w:t>2018</w:t>
            </w:r>
            <w:r>
              <w:rPr>
                <w:rFonts w:hint="eastAsia"/>
                <w:bCs/>
                <w:color w:val="auto"/>
                <w:szCs w:val="21"/>
                <w:highlight w:val="none"/>
                <w:lang w:eastAsia="zh-CN"/>
              </w:rPr>
              <w:t>〕</w:t>
            </w:r>
            <w:r>
              <w:rPr>
                <w:bCs/>
                <w:color w:val="auto"/>
                <w:szCs w:val="21"/>
                <w:highlight w:val="none"/>
              </w:rPr>
              <w:t>13</w:t>
            </w:r>
            <w:r>
              <w:rPr>
                <w:rFonts w:hint="eastAsia"/>
                <w:bCs/>
                <w:color w:val="auto"/>
                <w:szCs w:val="21"/>
                <w:highlight w:val="none"/>
              </w:rPr>
              <w:t>号）、《关于下达吴江区大气污染防治</w:t>
            </w:r>
            <w:r>
              <w:rPr>
                <w:bCs/>
                <w:color w:val="auto"/>
                <w:szCs w:val="21"/>
                <w:highlight w:val="none"/>
              </w:rPr>
              <w:t>2018</w:t>
            </w:r>
            <w:r>
              <w:rPr>
                <w:rFonts w:hint="eastAsia"/>
                <w:bCs/>
                <w:color w:val="auto"/>
                <w:szCs w:val="21"/>
                <w:highlight w:val="none"/>
              </w:rPr>
              <w:t>年度工作任务的通知》（吴环气</w:t>
            </w:r>
            <w:r>
              <w:rPr>
                <w:rFonts w:hint="eastAsia"/>
                <w:bCs/>
                <w:color w:val="auto"/>
                <w:szCs w:val="21"/>
                <w:highlight w:val="none"/>
                <w:lang w:eastAsia="zh-CN"/>
              </w:rPr>
              <w:t>〔</w:t>
            </w:r>
            <w:r>
              <w:rPr>
                <w:bCs/>
                <w:color w:val="auto"/>
                <w:szCs w:val="21"/>
                <w:highlight w:val="none"/>
              </w:rPr>
              <w:t>2018</w:t>
            </w:r>
            <w:r>
              <w:rPr>
                <w:rFonts w:hint="eastAsia"/>
                <w:bCs/>
                <w:color w:val="auto"/>
                <w:szCs w:val="21"/>
                <w:highlight w:val="none"/>
                <w:lang w:eastAsia="zh-CN"/>
              </w:rPr>
              <w:t>〕</w:t>
            </w:r>
            <w:r>
              <w:rPr>
                <w:bCs/>
                <w:color w:val="auto"/>
                <w:szCs w:val="21"/>
                <w:highlight w:val="none"/>
              </w:rPr>
              <w:t>9</w:t>
            </w:r>
            <w:r>
              <w:rPr>
                <w:rFonts w:hint="eastAsia"/>
                <w:bCs/>
                <w:color w:val="auto"/>
                <w:szCs w:val="21"/>
                <w:highlight w:val="none"/>
              </w:rPr>
              <w:t>号）等文件的要求，采取一系列措施，以减少</w:t>
            </w:r>
            <w:r>
              <w:rPr>
                <w:bCs/>
                <w:color w:val="auto"/>
                <w:szCs w:val="21"/>
                <w:highlight w:val="none"/>
              </w:rPr>
              <w:t>NOx</w:t>
            </w:r>
            <w:r>
              <w:rPr>
                <w:rFonts w:hint="eastAsia"/>
                <w:bCs/>
                <w:color w:val="auto"/>
                <w:szCs w:val="21"/>
                <w:highlight w:val="none"/>
              </w:rPr>
              <w:t>、颗粒物和臭氧前体物（</w:t>
            </w:r>
            <w:r>
              <w:rPr>
                <w:bCs/>
                <w:color w:val="auto"/>
                <w:szCs w:val="21"/>
                <w:highlight w:val="none"/>
              </w:rPr>
              <w:t>VOC</w:t>
            </w:r>
            <w:r>
              <w:rPr>
                <w:rFonts w:hint="eastAsia"/>
                <w:bCs/>
                <w:color w:val="auto"/>
                <w:szCs w:val="21"/>
                <w:highlight w:val="none"/>
              </w:rPr>
              <w:t>、</w:t>
            </w:r>
            <w:r>
              <w:rPr>
                <w:bCs/>
                <w:color w:val="auto"/>
                <w:szCs w:val="21"/>
                <w:highlight w:val="none"/>
              </w:rPr>
              <w:t>CO</w:t>
            </w:r>
            <w:r>
              <w:rPr>
                <w:rFonts w:hint="eastAsia"/>
                <w:bCs/>
                <w:color w:val="auto"/>
                <w:szCs w:val="21"/>
                <w:highlight w:val="none"/>
              </w:rPr>
              <w:t>）的排放。</w:t>
            </w:r>
          </w:p>
          <w:p w14:paraId="443AB0B9">
            <w:pPr>
              <w:adjustRightInd w:val="0"/>
              <w:snapToGrid w:val="0"/>
              <w:spacing w:line="360" w:lineRule="auto"/>
              <w:rPr>
                <w:b/>
                <w:bCs/>
                <w:snapToGrid w:val="0"/>
                <w:color w:val="auto"/>
                <w:spacing w:val="-2"/>
                <w:kern w:val="0"/>
                <w:szCs w:val="21"/>
                <w:highlight w:val="none"/>
              </w:rPr>
            </w:pPr>
            <w:r>
              <w:rPr>
                <w:b/>
                <w:bCs/>
                <w:snapToGrid w:val="0"/>
                <w:color w:val="auto"/>
                <w:spacing w:val="-2"/>
                <w:kern w:val="0"/>
                <w:szCs w:val="21"/>
                <w:highlight w:val="none"/>
              </w:rPr>
              <w:t>2</w:t>
            </w:r>
            <w:r>
              <w:rPr>
                <w:rFonts w:hint="eastAsia"/>
                <w:b/>
                <w:bCs/>
                <w:snapToGrid w:val="0"/>
                <w:color w:val="auto"/>
                <w:spacing w:val="-2"/>
                <w:kern w:val="0"/>
                <w:szCs w:val="21"/>
                <w:highlight w:val="none"/>
              </w:rPr>
              <w:t>、地表水环境质量现状</w:t>
            </w:r>
          </w:p>
          <w:p w14:paraId="79480186">
            <w:pPr>
              <w:overflowPunct w:val="0"/>
              <w:adjustRightInd w:val="0"/>
              <w:snapToGrid w:val="0"/>
              <w:spacing w:line="360" w:lineRule="auto"/>
              <w:ind w:firstLine="420" w:firstLineChars="200"/>
              <w:jc w:val="left"/>
              <w:rPr>
                <w:rFonts w:hint="eastAsia"/>
                <w:color w:val="auto"/>
                <w:highlight w:val="none"/>
                <w:lang w:val="en-US" w:eastAsia="zh-CN"/>
              </w:rPr>
            </w:pPr>
            <w:r>
              <w:rPr>
                <w:rFonts w:hint="eastAsia"/>
                <w:color w:val="auto"/>
                <w:highlight w:val="none"/>
              </w:rPr>
              <w:t>根据《</w:t>
            </w:r>
            <w:r>
              <w:rPr>
                <w:rFonts w:hint="eastAsia"/>
                <w:color w:val="auto"/>
                <w:highlight w:val="none"/>
                <w:lang w:eastAsia="zh-CN"/>
              </w:rPr>
              <w:t>2025年度苏州市生态环境状况</w:t>
            </w:r>
            <w:r>
              <w:rPr>
                <w:rFonts w:hint="eastAsia"/>
                <w:color w:val="auto"/>
                <w:highlight w:val="none"/>
              </w:rPr>
              <w:t>》，纳入“十四五”国家地表水环境质量考核的30个断面中，年均水质达到或优于《地表水环境质量标准》（GB3838—2002）Ⅲ类标准的断面比例为96.7%，同比上升3.4个百分点，仅有1个湖泊断面为Ⅳ类</w:t>
            </w:r>
            <w:r>
              <w:rPr>
                <w:rFonts w:hint="eastAsia"/>
                <w:color w:val="auto"/>
                <w:highlight w:val="none"/>
                <w:lang w:eastAsia="zh-CN"/>
              </w:rPr>
              <w:t>，纳入江苏省“十四五”水环境质量考核的80个地表水断面（含国考断面）中，年均水质达到或优于《地表水环境质量标准》（GB3838—2002）Ⅲ类标准的断面比例为98.8%，同比上升1.3个百分点，仅有1个湖泊断面为Ⅳ类。年均水质达到Ⅱ类标准的断面比例为73.8%，同比上升5.0个百分点</w:t>
            </w:r>
            <w:r>
              <w:rPr>
                <w:rFonts w:hint="eastAsia"/>
                <w:color w:val="auto"/>
                <w:highlight w:val="none"/>
              </w:rPr>
              <w:t>。年均水质达到Ⅱ类标准的断面比例为70%，同比上升6.7个百分点。</w:t>
            </w:r>
            <w:r>
              <w:rPr>
                <w:rFonts w:hint="eastAsia"/>
                <w:color w:val="auto"/>
                <w:highlight w:val="none"/>
                <w:lang w:val="en-US" w:eastAsia="zh-CN"/>
              </w:rPr>
              <w:t>本项目生活污水抽运至苏州市吴江桃源生活污水处理有限公司处理</w:t>
            </w:r>
            <w:r>
              <w:rPr>
                <w:rFonts w:hint="eastAsia"/>
                <w:color w:val="auto"/>
                <w:highlight w:val="none"/>
              </w:rPr>
              <w:t>，</w:t>
            </w:r>
            <w:r>
              <w:rPr>
                <w:rFonts w:hint="eastAsia"/>
                <w:color w:val="auto"/>
                <w:highlight w:val="none"/>
                <w:lang w:eastAsia="zh-CN"/>
              </w:rPr>
              <w:t>生产废水</w:t>
            </w:r>
            <w:r>
              <w:rPr>
                <w:rFonts w:hint="eastAsia"/>
                <w:color w:val="auto"/>
                <w:highlight w:val="none"/>
              </w:rPr>
              <w:t>接管至苏州市桃源富乡污水处理有限公司处理后</w:t>
            </w:r>
            <w:r>
              <w:rPr>
                <w:rFonts w:hint="eastAsia"/>
                <w:color w:val="auto"/>
                <w:highlight w:val="none"/>
                <w:lang w:val="en-US" w:eastAsia="zh-CN"/>
              </w:rPr>
              <w:t>76%</w:t>
            </w:r>
            <w:r>
              <w:rPr>
                <w:rFonts w:hint="eastAsia"/>
                <w:color w:val="auto"/>
                <w:highlight w:val="none"/>
              </w:rPr>
              <w:t>回用</w:t>
            </w:r>
            <w:r>
              <w:rPr>
                <w:rFonts w:hint="eastAsia"/>
                <w:color w:val="auto"/>
                <w:highlight w:val="none"/>
                <w:lang w:eastAsia="zh-CN"/>
              </w:rPr>
              <w:t>，</w:t>
            </w:r>
            <w:r>
              <w:rPr>
                <w:rFonts w:hint="eastAsia"/>
                <w:color w:val="auto"/>
                <w:highlight w:val="none"/>
                <w:lang w:val="en-US" w:eastAsia="zh-CN"/>
              </w:rPr>
              <w:t>其余达标排入鳑鲏港。</w:t>
            </w:r>
          </w:p>
          <w:p w14:paraId="03CFBA31">
            <w:pPr>
              <w:tabs>
                <w:tab w:val="center" w:pos="4156"/>
                <w:tab w:val="left" w:pos="5964"/>
              </w:tabs>
              <w:adjustRightInd w:val="0"/>
              <w:snapToGrid w:val="0"/>
              <w:jc w:val="center"/>
              <w:rPr>
                <w:rFonts w:eastAsia="宋?"/>
                <w:b/>
                <w:snapToGrid w:val="0"/>
                <w:color w:val="000000"/>
                <w:szCs w:val="21"/>
              </w:rPr>
            </w:pPr>
            <w:r>
              <w:rPr>
                <w:rFonts w:hint="eastAsia" w:eastAsia="宋?"/>
                <w:b/>
                <w:snapToGrid w:val="0"/>
                <w:color w:val="000000"/>
                <w:szCs w:val="21"/>
              </w:rPr>
              <w:t>表</w:t>
            </w:r>
            <w:r>
              <w:rPr>
                <w:rFonts w:eastAsia="宋?"/>
                <w:b/>
                <w:snapToGrid w:val="0"/>
                <w:color w:val="000000"/>
                <w:szCs w:val="21"/>
              </w:rPr>
              <w:t xml:space="preserve">3-2  </w:t>
            </w:r>
            <w:r>
              <w:rPr>
                <w:rFonts w:hint="eastAsia" w:eastAsia="宋?"/>
                <w:b/>
                <w:snapToGrid w:val="0"/>
                <w:color w:val="000000"/>
                <w:szCs w:val="21"/>
              </w:rPr>
              <w:t>项目地周边地表水环境功能现状一览表</w:t>
            </w:r>
          </w:p>
          <w:tbl>
            <w:tblPr>
              <w:tblStyle w:val="26"/>
              <w:tblW w:w="8144"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395"/>
              <w:gridCol w:w="634"/>
              <w:gridCol w:w="705"/>
              <w:gridCol w:w="970"/>
              <w:gridCol w:w="1134"/>
              <w:gridCol w:w="1553"/>
              <w:gridCol w:w="1753"/>
            </w:tblGrid>
            <w:tr w14:paraId="0BA27E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395" w:type="dxa"/>
                  <w:vMerge w:val="restart"/>
                  <w:tcBorders>
                    <w:tl2br w:val="nil"/>
                    <w:tr2bl w:val="nil"/>
                  </w:tcBorders>
                  <w:vAlign w:val="center"/>
                </w:tcPr>
                <w:p w14:paraId="75BDC1A8">
                  <w:pPr>
                    <w:overflowPunct w:val="0"/>
                    <w:adjustRightInd w:val="0"/>
                    <w:snapToGrid w:val="0"/>
                    <w:jc w:val="center"/>
                    <w:rPr>
                      <w:rFonts w:eastAsia="宋?"/>
                      <w:color w:val="000000"/>
                      <w:sz w:val="18"/>
                      <w:szCs w:val="18"/>
                    </w:rPr>
                  </w:pPr>
                  <w:r>
                    <w:rPr>
                      <w:rFonts w:hint="eastAsia" w:eastAsia="宋?"/>
                      <w:color w:val="000000"/>
                      <w:sz w:val="18"/>
                      <w:szCs w:val="18"/>
                    </w:rPr>
                    <w:t>水环境保护目标</w:t>
                  </w:r>
                </w:p>
              </w:tc>
              <w:tc>
                <w:tcPr>
                  <w:tcW w:w="1339" w:type="dxa"/>
                  <w:gridSpan w:val="2"/>
                  <w:tcBorders>
                    <w:tl2br w:val="nil"/>
                    <w:tr2bl w:val="nil"/>
                  </w:tcBorders>
                  <w:vAlign w:val="center"/>
                </w:tcPr>
                <w:p w14:paraId="161F96E5">
                  <w:pPr>
                    <w:jc w:val="center"/>
                    <w:rPr>
                      <w:rFonts w:eastAsia="宋?"/>
                      <w:color w:val="000000"/>
                      <w:sz w:val="18"/>
                      <w:szCs w:val="18"/>
                    </w:rPr>
                  </w:pPr>
                  <w:r>
                    <w:rPr>
                      <w:rFonts w:hint="eastAsia" w:eastAsia="宋?"/>
                      <w:color w:val="000000"/>
                      <w:sz w:val="18"/>
                      <w:szCs w:val="18"/>
                    </w:rPr>
                    <w:t>坐标</w:t>
                  </w:r>
                </w:p>
              </w:tc>
              <w:tc>
                <w:tcPr>
                  <w:tcW w:w="970" w:type="dxa"/>
                  <w:vMerge w:val="restart"/>
                  <w:tcBorders>
                    <w:tl2br w:val="nil"/>
                    <w:tr2bl w:val="nil"/>
                  </w:tcBorders>
                  <w:vAlign w:val="center"/>
                </w:tcPr>
                <w:p w14:paraId="7C778DC5">
                  <w:pPr>
                    <w:overflowPunct w:val="0"/>
                    <w:adjustRightInd w:val="0"/>
                    <w:snapToGrid w:val="0"/>
                    <w:jc w:val="center"/>
                    <w:rPr>
                      <w:rFonts w:eastAsia="宋?"/>
                      <w:color w:val="000000"/>
                      <w:sz w:val="18"/>
                      <w:szCs w:val="18"/>
                    </w:rPr>
                  </w:pPr>
                  <w:r>
                    <w:rPr>
                      <w:rFonts w:hint="eastAsia" w:eastAsia="宋?"/>
                      <w:color w:val="000000"/>
                      <w:sz w:val="18"/>
                      <w:szCs w:val="18"/>
                    </w:rPr>
                    <w:t>环境功能</w:t>
                  </w:r>
                </w:p>
              </w:tc>
              <w:tc>
                <w:tcPr>
                  <w:tcW w:w="1134" w:type="dxa"/>
                  <w:vMerge w:val="restart"/>
                  <w:tcBorders>
                    <w:tl2br w:val="nil"/>
                    <w:tr2bl w:val="nil"/>
                  </w:tcBorders>
                  <w:vAlign w:val="center"/>
                </w:tcPr>
                <w:p w14:paraId="3B553712">
                  <w:pPr>
                    <w:overflowPunct w:val="0"/>
                    <w:adjustRightInd w:val="0"/>
                    <w:snapToGrid w:val="0"/>
                    <w:jc w:val="center"/>
                    <w:rPr>
                      <w:rFonts w:eastAsia="宋?"/>
                      <w:color w:val="000000"/>
                      <w:sz w:val="18"/>
                      <w:szCs w:val="18"/>
                    </w:rPr>
                  </w:pPr>
                  <w:r>
                    <w:rPr>
                      <w:rFonts w:hint="eastAsia" w:eastAsia="宋?"/>
                      <w:color w:val="000000"/>
                      <w:sz w:val="18"/>
                      <w:szCs w:val="18"/>
                    </w:rPr>
                    <w:t>相对厂址方位</w:t>
                  </w:r>
                </w:p>
              </w:tc>
              <w:tc>
                <w:tcPr>
                  <w:tcW w:w="1553" w:type="dxa"/>
                  <w:vMerge w:val="restart"/>
                  <w:tcBorders>
                    <w:tl2br w:val="nil"/>
                    <w:tr2bl w:val="nil"/>
                  </w:tcBorders>
                  <w:vAlign w:val="center"/>
                </w:tcPr>
                <w:p w14:paraId="4F34CBC6">
                  <w:pPr>
                    <w:overflowPunct w:val="0"/>
                    <w:adjustRightInd w:val="0"/>
                    <w:snapToGrid w:val="0"/>
                    <w:jc w:val="center"/>
                    <w:rPr>
                      <w:rFonts w:eastAsia="宋?"/>
                      <w:color w:val="000000"/>
                      <w:sz w:val="18"/>
                      <w:szCs w:val="18"/>
                    </w:rPr>
                  </w:pPr>
                  <w:r>
                    <w:rPr>
                      <w:rFonts w:hint="eastAsia" w:eastAsia="宋?"/>
                      <w:color w:val="000000"/>
                      <w:sz w:val="18"/>
                      <w:szCs w:val="18"/>
                    </w:rPr>
                    <w:t>相对厂址距离（</w:t>
                  </w:r>
                  <w:r>
                    <w:rPr>
                      <w:rFonts w:eastAsia="宋?"/>
                      <w:color w:val="000000"/>
                      <w:sz w:val="18"/>
                      <w:szCs w:val="18"/>
                    </w:rPr>
                    <w:t>m</w:t>
                  </w:r>
                  <w:r>
                    <w:rPr>
                      <w:rFonts w:hint="eastAsia" w:eastAsia="宋?"/>
                      <w:color w:val="000000"/>
                      <w:sz w:val="18"/>
                      <w:szCs w:val="18"/>
                    </w:rPr>
                    <w:t>）</w:t>
                  </w:r>
                </w:p>
              </w:tc>
              <w:tc>
                <w:tcPr>
                  <w:tcW w:w="1753" w:type="dxa"/>
                  <w:vMerge w:val="restart"/>
                  <w:tcBorders>
                    <w:tl2br w:val="nil"/>
                    <w:tr2bl w:val="nil"/>
                  </w:tcBorders>
                  <w:vAlign w:val="center"/>
                </w:tcPr>
                <w:p w14:paraId="27FB1689">
                  <w:pPr>
                    <w:overflowPunct w:val="0"/>
                    <w:adjustRightInd w:val="0"/>
                    <w:snapToGrid w:val="0"/>
                    <w:jc w:val="center"/>
                    <w:rPr>
                      <w:rFonts w:eastAsia="宋?"/>
                      <w:color w:val="000000"/>
                      <w:sz w:val="18"/>
                      <w:szCs w:val="18"/>
                    </w:rPr>
                  </w:pPr>
                  <w:r>
                    <w:rPr>
                      <w:rFonts w:hint="eastAsia" w:eastAsia="宋?"/>
                      <w:color w:val="000000"/>
                      <w:sz w:val="18"/>
                      <w:szCs w:val="18"/>
                    </w:rPr>
                    <w:t>备注</w:t>
                  </w:r>
                </w:p>
              </w:tc>
            </w:tr>
            <w:tr w14:paraId="585F75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395" w:type="dxa"/>
                  <w:vMerge w:val="continue"/>
                  <w:tcBorders>
                    <w:tl2br w:val="nil"/>
                    <w:tr2bl w:val="nil"/>
                  </w:tcBorders>
                  <w:vAlign w:val="center"/>
                </w:tcPr>
                <w:p w14:paraId="5952DBE6">
                  <w:pPr>
                    <w:overflowPunct w:val="0"/>
                    <w:adjustRightInd w:val="0"/>
                    <w:snapToGrid w:val="0"/>
                    <w:jc w:val="center"/>
                    <w:rPr>
                      <w:rFonts w:eastAsia="宋?"/>
                      <w:color w:val="000000"/>
                      <w:sz w:val="18"/>
                      <w:szCs w:val="18"/>
                    </w:rPr>
                  </w:pPr>
                </w:p>
              </w:tc>
              <w:tc>
                <w:tcPr>
                  <w:tcW w:w="634" w:type="dxa"/>
                  <w:tcBorders>
                    <w:tl2br w:val="nil"/>
                    <w:tr2bl w:val="nil"/>
                  </w:tcBorders>
                  <w:vAlign w:val="center"/>
                </w:tcPr>
                <w:p w14:paraId="2A4333C7">
                  <w:pPr>
                    <w:overflowPunct w:val="0"/>
                    <w:adjustRightInd w:val="0"/>
                    <w:snapToGrid w:val="0"/>
                    <w:jc w:val="center"/>
                    <w:rPr>
                      <w:rFonts w:eastAsia="宋?"/>
                      <w:color w:val="000000"/>
                      <w:sz w:val="18"/>
                      <w:szCs w:val="18"/>
                    </w:rPr>
                  </w:pPr>
                  <w:r>
                    <w:rPr>
                      <w:rFonts w:eastAsia="宋?"/>
                      <w:color w:val="000000"/>
                      <w:sz w:val="18"/>
                      <w:szCs w:val="18"/>
                    </w:rPr>
                    <w:t>X</w:t>
                  </w:r>
                </w:p>
              </w:tc>
              <w:tc>
                <w:tcPr>
                  <w:tcW w:w="705" w:type="dxa"/>
                  <w:tcBorders>
                    <w:tl2br w:val="nil"/>
                    <w:tr2bl w:val="nil"/>
                  </w:tcBorders>
                  <w:vAlign w:val="center"/>
                </w:tcPr>
                <w:p w14:paraId="238B98A1">
                  <w:pPr>
                    <w:overflowPunct w:val="0"/>
                    <w:adjustRightInd w:val="0"/>
                    <w:snapToGrid w:val="0"/>
                    <w:jc w:val="center"/>
                    <w:rPr>
                      <w:rFonts w:eastAsia="宋?"/>
                      <w:color w:val="000000"/>
                      <w:sz w:val="18"/>
                      <w:szCs w:val="18"/>
                    </w:rPr>
                  </w:pPr>
                  <w:r>
                    <w:rPr>
                      <w:rFonts w:eastAsia="宋?"/>
                      <w:color w:val="000000"/>
                      <w:sz w:val="18"/>
                      <w:szCs w:val="18"/>
                    </w:rPr>
                    <w:t>Y</w:t>
                  </w:r>
                </w:p>
              </w:tc>
              <w:tc>
                <w:tcPr>
                  <w:tcW w:w="970" w:type="dxa"/>
                  <w:vMerge w:val="continue"/>
                  <w:tcBorders>
                    <w:tl2br w:val="nil"/>
                    <w:tr2bl w:val="nil"/>
                  </w:tcBorders>
                  <w:vAlign w:val="center"/>
                </w:tcPr>
                <w:p w14:paraId="2163243E">
                  <w:pPr>
                    <w:overflowPunct w:val="0"/>
                    <w:adjustRightInd w:val="0"/>
                    <w:snapToGrid w:val="0"/>
                    <w:jc w:val="center"/>
                    <w:rPr>
                      <w:rFonts w:eastAsia="宋?"/>
                      <w:color w:val="000000"/>
                      <w:sz w:val="18"/>
                      <w:szCs w:val="18"/>
                    </w:rPr>
                  </w:pPr>
                </w:p>
              </w:tc>
              <w:tc>
                <w:tcPr>
                  <w:tcW w:w="1134" w:type="dxa"/>
                  <w:vMerge w:val="continue"/>
                  <w:tcBorders>
                    <w:tl2br w:val="nil"/>
                    <w:tr2bl w:val="nil"/>
                  </w:tcBorders>
                  <w:vAlign w:val="center"/>
                </w:tcPr>
                <w:p w14:paraId="22279EB8">
                  <w:pPr>
                    <w:overflowPunct w:val="0"/>
                    <w:adjustRightInd w:val="0"/>
                    <w:snapToGrid w:val="0"/>
                    <w:jc w:val="center"/>
                    <w:rPr>
                      <w:rFonts w:eastAsia="宋?"/>
                      <w:color w:val="000000"/>
                      <w:sz w:val="18"/>
                      <w:szCs w:val="18"/>
                    </w:rPr>
                  </w:pPr>
                </w:p>
              </w:tc>
              <w:tc>
                <w:tcPr>
                  <w:tcW w:w="1553" w:type="dxa"/>
                  <w:vMerge w:val="continue"/>
                  <w:tcBorders>
                    <w:tl2br w:val="nil"/>
                    <w:tr2bl w:val="nil"/>
                  </w:tcBorders>
                  <w:vAlign w:val="center"/>
                </w:tcPr>
                <w:p w14:paraId="4CB61B0C">
                  <w:pPr>
                    <w:overflowPunct w:val="0"/>
                    <w:adjustRightInd w:val="0"/>
                    <w:snapToGrid w:val="0"/>
                    <w:jc w:val="center"/>
                    <w:rPr>
                      <w:rFonts w:eastAsia="宋?"/>
                      <w:color w:val="000000"/>
                      <w:sz w:val="18"/>
                      <w:szCs w:val="18"/>
                    </w:rPr>
                  </w:pPr>
                </w:p>
              </w:tc>
              <w:tc>
                <w:tcPr>
                  <w:tcW w:w="1753" w:type="dxa"/>
                  <w:vMerge w:val="continue"/>
                  <w:tcBorders>
                    <w:tl2br w:val="nil"/>
                    <w:tr2bl w:val="nil"/>
                  </w:tcBorders>
                  <w:vAlign w:val="center"/>
                </w:tcPr>
                <w:p w14:paraId="7E01DAC7">
                  <w:pPr>
                    <w:overflowPunct w:val="0"/>
                    <w:adjustRightInd w:val="0"/>
                    <w:snapToGrid w:val="0"/>
                    <w:jc w:val="center"/>
                    <w:rPr>
                      <w:rFonts w:eastAsia="宋?"/>
                      <w:color w:val="000000"/>
                      <w:sz w:val="18"/>
                      <w:szCs w:val="18"/>
                    </w:rPr>
                  </w:pPr>
                </w:p>
              </w:tc>
            </w:tr>
            <w:tr w14:paraId="22E825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395" w:type="dxa"/>
                  <w:tcBorders>
                    <w:tl2br w:val="nil"/>
                    <w:tr2bl w:val="nil"/>
                  </w:tcBorders>
                  <w:vAlign w:val="center"/>
                </w:tcPr>
                <w:p w14:paraId="64F09FF2">
                  <w:pPr>
                    <w:overflowPunct w:val="0"/>
                    <w:adjustRightInd w:val="0"/>
                    <w:snapToGrid w:val="0"/>
                    <w:jc w:val="center"/>
                    <w:rPr>
                      <w:rFonts w:hint="default" w:eastAsia="宋?"/>
                      <w:color w:val="000000"/>
                      <w:sz w:val="18"/>
                      <w:szCs w:val="18"/>
                      <w:lang w:val="en-US" w:eastAsia="zh-CN"/>
                    </w:rPr>
                  </w:pPr>
                  <w:r>
                    <w:rPr>
                      <w:rFonts w:hint="eastAsia" w:eastAsia="宋?"/>
                      <w:color w:val="000000"/>
                      <w:sz w:val="18"/>
                      <w:szCs w:val="18"/>
                      <w:lang w:val="en-US" w:eastAsia="zh-CN"/>
                    </w:rPr>
                    <w:t>鳑鲏港</w:t>
                  </w:r>
                </w:p>
              </w:tc>
              <w:tc>
                <w:tcPr>
                  <w:tcW w:w="634" w:type="dxa"/>
                  <w:tcBorders>
                    <w:tl2br w:val="nil"/>
                    <w:tr2bl w:val="nil"/>
                  </w:tcBorders>
                  <w:vAlign w:val="center"/>
                </w:tcPr>
                <w:p w14:paraId="0538710B">
                  <w:pPr>
                    <w:overflowPunct w:val="0"/>
                    <w:adjustRightInd w:val="0"/>
                    <w:snapToGrid w:val="0"/>
                    <w:jc w:val="center"/>
                    <w:rPr>
                      <w:rFonts w:hint="default" w:eastAsia="宋?"/>
                      <w:color w:val="000000"/>
                      <w:sz w:val="18"/>
                      <w:szCs w:val="18"/>
                      <w:lang w:val="en-US" w:eastAsia="zh-CN"/>
                    </w:rPr>
                  </w:pPr>
                  <w:r>
                    <w:rPr>
                      <w:rFonts w:hint="eastAsia" w:eastAsia="宋?"/>
                      <w:color w:val="000000"/>
                      <w:sz w:val="18"/>
                      <w:szCs w:val="18"/>
                      <w:lang w:val="en-US" w:eastAsia="zh-CN"/>
                    </w:rPr>
                    <w:t>364</w:t>
                  </w:r>
                </w:p>
              </w:tc>
              <w:tc>
                <w:tcPr>
                  <w:tcW w:w="705" w:type="dxa"/>
                  <w:tcBorders>
                    <w:tl2br w:val="nil"/>
                    <w:tr2bl w:val="nil"/>
                  </w:tcBorders>
                  <w:vAlign w:val="center"/>
                </w:tcPr>
                <w:p w14:paraId="4B894BA9">
                  <w:pPr>
                    <w:overflowPunct w:val="0"/>
                    <w:adjustRightInd w:val="0"/>
                    <w:snapToGrid w:val="0"/>
                    <w:jc w:val="center"/>
                    <w:rPr>
                      <w:rFonts w:hint="default" w:eastAsia="宋?"/>
                      <w:color w:val="000000"/>
                      <w:sz w:val="18"/>
                      <w:szCs w:val="18"/>
                      <w:lang w:val="en-US" w:eastAsia="zh-CN"/>
                    </w:rPr>
                  </w:pPr>
                  <w:r>
                    <w:rPr>
                      <w:rFonts w:hint="eastAsia" w:eastAsia="宋?"/>
                      <w:color w:val="000000"/>
                      <w:sz w:val="18"/>
                      <w:szCs w:val="18"/>
                      <w:lang w:val="en-US" w:eastAsia="zh-CN"/>
                    </w:rPr>
                    <w:t>0</w:t>
                  </w:r>
                </w:p>
              </w:tc>
              <w:tc>
                <w:tcPr>
                  <w:tcW w:w="970" w:type="dxa"/>
                  <w:tcBorders>
                    <w:tl2br w:val="nil"/>
                    <w:tr2bl w:val="nil"/>
                  </w:tcBorders>
                  <w:vAlign w:val="center"/>
                </w:tcPr>
                <w:p w14:paraId="076752B7">
                  <w:pPr>
                    <w:overflowPunct w:val="0"/>
                    <w:adjustRightInd w:val="0"/>
                    <w:snapToGrid w:val="0"/>
                    <w:jc w:val="center"/>
                    <w:rPr>
                      <w:rFonts w:eastAsia="宋?"/>
                      <w:color w:val="000000"/>
                      <w:sz w:val="18"/>
                      <w:szCs w:val="18"/>
                    </w:rPr>
                  </w:pPr>
                  <w:r>
                    <w:rPr>
                      <w:rFonts w:eastAsia="宋?"/>
                      <w:color w:val="000000"/>
                      <w:sz w:val="18"/>
                      <w:szCs w:val="18"/>
                    </w:rPr>
                    <w:t>IV</w:t>
                  </w:r>
                </w:p>
              </w:tc>
              <w:tc>
                <w:tcPr>
                  <w:tcW w:w="1134" w:type="dxa"/>
                  <w:tcBorders>
                    <w:tl2br w:val="nil"/>
                    <w:tr2bl w:val="nil"/>
                  </w:tcBorders>
                  <w:vAlign w:val="center"/>
                </w:tcPr>
                <w:p w14:paraId="02A4CC04">
                  <w:pPr>
                    <w:overflowPunct w:val="0"/>
                    <w:adjustRightInd w:val="0"/>
                    <w:snapToGrid w:val="0"/>
                    <w:jc w:val="center"/>
                    <w:rPr>
                      <w:rFonts w:hint="default" w:eastAsia="宋?"/>
                      <w:color w:val="000000"/>
                      <w:sz w:val="18"/>
                      <w:szCs w:val="18"/>
                      <w:lang w:val="en-US" w:eastAsia="zh-CN"/>
                    </w:rPr>
                  </w:pPr>
                  <w:r>
                    <w:rPr>
                      <w:rFonts w:hint="eastAsia" w:eastAsia="宋?"/>
                      <w:color w:val="000000"/>
                      <w:sz w:val="18"/>
                      <w:szCs w:val="18"/>
                      <w:lang w:val="en-US" w:eastAsia="zh-CN"/>
                    </w:rPr>
                    <w:t>东</w:t>
                  </w:r>
                </w:p>
              </w:tc>
              <w:tc>
                <w:tcPr>
                  <w:tcW w:w="1553" w:type="dxa"/>
                  <w:tcBorders>
                    <w:tl2br w:val="nil"/>
                    <w:tr2bl w:val="nil"/>
                  </w:tcBorders>
                  <w:vAlign w:val="center"/>
                </w:tcPr>
                <w:p w14:paraId="106E1BFC">
                  <w:pPr>
                    <w:overflowPunct w:val="0"/>
                    <w:adjustRightInd w:val="0"/>
                    <w:snapToGrid w:val="0"/>
                    <w:jc w:val="center"/>
                    <w:rPr>
                      <w:rFonts w:hint="default" w:eastAsia="宋?"/>
                      <w:color w:val="000000"/>
                      <w:sz w:val="18"/>
                      <w:szCs w:val="18"/>
                      <w:lang w:val="en-US" w:eastAsia="zh-CN"/>
                    </w:rPr>
                  </w:pPr>
                  <w:r>
                    <w:rPr>
                      <w:rFonts w:hint="eastAsia" w:eastAsia="宋?"/>
                      <w:color w:val="000000"/>
                      <w:sz w:val="18"/>
                      <w:szCs w:val="18"/>
                      <w:lang w:val="en-US" w:eastAsia="zh-CN"/>
                    </w:rPr>
                    <w:t>364</w:t>
                  </w:r>
                </w:p>
              </w:tc>
              <w:tc>
                <w:tcPr>
                  <w:tcW w:w="1753" w:type="dxa"/>
                  <w:tcBorders>
                    <w:tl2br w:val="nil"/>
                    <w:tr2bl w:val="nil"/>
                  </w:tcBorders>
                  <w:vAlign w:val="center"/>
                </w:tcPr>
                <w:p w14:paraId="0FE0E96F">
                  <w:pPr>
                    <w:overflowPunct w:val="0"/>
                    <w:adjustRightInd w:val="0"/>
                    <w:snapToGrid w:val="0"/>
                    <w:jc w:val="center"/>
                    <w:rPr>
                      <w:rFonts w:hint="eastAsia" w:eastAsia="宋?"/>
                      <w:color w:val="000000"/>
                      <w:sz w:val="18"/>
                      <w:szCs w:val="18"/>
                    </w:rPr>
                  </w:pPr>
                  <w:r>
                    <w:rPr>
                      <w:rFonts w:hint="eastAsia" w:eastAsia="宋?"/>
                      <w:color w:val="000000"/>
                      <w:sz w:val="18"/>
                      <w:szCs w:val="18"/>
                    </w:rPr>
                    <w:t>纳污河流</w:t>
                  </w:r>
                </w:p>
              </w:tc>
            </w:tr>
            <w:tr w14:paraId="395928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395" w:type="dxa"/>
                  <w:tcBorders>
                    <w:tl2br w:val="nil"/>
                    <w:tr2bl w:val="nil"/>
                  </w:tcBorders>
                  <w:vAlign w:val="center"/>
                </w:tcPr>
                <w:p w14:paraId="50387CDA">
                  <w:pPr>
                    <w:overflowPunct w:val="0"/>
                    <w:adjustRightInd w:val="0"/>
                    <w:snapToGrid w:val="0"/>
                    <w:jc w:val="center"/>
                    <w:rPr>
                      <w:rFonts w:hint="default" w:eastAsia="宋?"/>
                      <w:color w:val="000000"/>
                      <w:sz w:val="18"/>
                      <w:szCs w:val="18"/>
                      <w:lang w:val="en-US" w:eastAsia="zh-CN"/>
                    </w:rPr>
                  </w:pPr>
                  <w:r>
                    <w:rPr>
                      <w:rFonts w:hint="eastAsia" w:eastAsia="宋?"/>
                      <w:color w:val="000000"/>
                      <w:sz w:val="18"/>
                      <w:szCs w:val="18"/>
                      <w:lang w:val="en-US" w:eastAsia="zh-CN"/>
                    </w:rPr>
                    <w:t>文家港</w:t>
                  </w:r>
                </w:p>
              </w:tc>
              <w:tc>
                <w:tcPr>
                  <w:tcW w:w="634" w:type="dxa"/>
                  <w:tcBorders>
                    <w:tl2br w:val="nil"/>
                    <w:tr2bl w:val="nil"/>
                  </w:tcBorders>
                  <w:vAlign w:val="center"/>
                </w:tcPr>
                <w:p w14:paraId="08CC5818">
                  <w:pPr>
                    <w:overflowPunct w:val="0"/>
                    <w:adjustRightInd w:val="0"/>
                    <w:snapToGrid w:val="0"/>
                    <w:jc w:val="center"/>
                    <w:rPr>
                      <w:rFonts w:hint="default" w:eastAsia="宋?"/>
                      <w:color w:val="000000"/>
                      <w:sz w:val="18"/>
                      <w:szCs w:val="18"/>
                      <w:lang w:val="en-US" w:eastAsia="zh-CN"/>
                    </w:rPr>
                  </w:pPr>
                  <w:r>
                    <w:rPr>
                      <w:rFonts w:hint="eastAsia" w:eastAsia="宋?"/>
                      <w:color w:val="000000"/>
                      <w:sz w:val="18"/>
                      <w:szCs w:val="18"/>
                      <w:lang w:val="en-US" w:eastAsia="zh-CN"/>
                    </w:rPr>
                    <w:t>-3225</w:t>
                  </w:r>
                </w:p>
              </w:tc>
              <w:tc>
                <w:tcPr>
                  <w:tcW w:w="705" w:type="dxa"/>
                  <w:tcBorders>
                    <w:tl2br w:val="nil"/>
                    <w:tr2bl w:val="nil"/>
                  </w:tcBorders>
                  <w:vAlign w:val="center"/>
                </w:tcPr>
                <w:p w14:paraId="3C5E815F">
                  <w:pPr>
                    <w:overflowPunct w:val="0"/>
                    <w:adjustRightInd w:val="0"/>
                    <w:snapToGrid w:val="0"/>
                    <w:jc w:val="center"/>
                    <w:rPr>
                      <w:rFonts w:hint="default" w:eastAsia="宋?"/>
                      <w:color w:val="000000"/>
                      <w:sz w:val="18"/>
                      <w:szCs w:val="18"/>
                      <w:lang w:val="en-US" w:eastAsia="zh-CN"/>
                    </w:rPr>
                  </w:pPr>
                  <w:r>
                    <w:rPr>
                      <w:rFonts w:hint="eastAsia" w:eastAsia="宋?"/>
                      <w:color w:val="000000"/>
                      <w:sz w:val="18"/>
                      <w:szCs w:val="18"/>
                      <w:lang w:val="en-US" w:eastAsia="zh-CN"/>
                    </w:rPr>
                    <w:t>-4953</w:t>
                  </w:r>
                </w:p>
              </w:tc>
              <w:tc>
                <w:tcPr>
                  <w:tcW w:w="970" w:type="dxa"/>
                  <w:tcBorders>
                    <w:tl2br w:val="nil"/>
                    <w:tr2bl w:val="nil"/>
                  </w:tcBorders>
                  <w:vAlign w:val="center"/>
                </w:tcPr>
                <w:p w14:paraId="21367C63">
                  <w:pPr>
                    <w:overflowPunct w:val="0"/>
                    <w:adjustRightInd w:val="0"/>
                    <w:snapToGrid w:val="0"/>
                    <w:jc w:val="center"/>
                    <w:rPr>
                      <w:rFonts w:eastAsia="宋?"/>
                      <w:color w:val="000000"/>
                      <w:sz w:val="18"/>
                      <w:szCs w:val="18"/>
                    </w:rPr>
                  </w:pPr>
                  <w:r>
                    <w:rPr>
                      <w:rFonts w:eastAsia="宋?"/>
                      <w:color w:val="000000"/>
                      <w:sz w:val="18"/>
                      <w:szCs w:val="18"/>
                    </w:rPr>
                    <w:t>IV</w:t>
                  </w:r>
                </w:p>
              </w:tc>
              <w:tc>
                <w:tcPr>
                  <w:tcW w:w="1134" w:type="dxa"/>
                  <w:tcBorders>
                    <w:tl2br w:val="nil"/>
                    <w:tr2bl w:val="nil"/>
                  </w:tcBorders>
                  <w:vAlign w:val="center"/>
                </w:tcPr>
                <w:p w14:paraId="069A0FDC">
                  <w:pPr>
                    <w:overflowPunct w:val="0"/>
                    <w:adjustRightInd w:val="0"/>
                    <w:snapToGrid w:val="0"/>
                    <w:jc w:val="center"/>
                    <w:rPr>
                      <w:rFonts w:hint="default" w:eastAsia="宋?"/>
                      <w:color w:val="000000"/>
                      <w:sz w:val="18"/>
                      <w:szCs w:val="18"/>
                      <w:lang w:val="en-US" w:eastAsia="zh-CN"/>
                    </w:rPr>
                  </w:pPr>
                  <w:r>
                    <w:rPr>
                      <w:rFonts w:hint="eastAsia" w:eastAsia="宋?"/>
                      <w:color w:val="000000"/>
                      <w:sz w:val="18"/>
                      <w:szCs w:val="18"/>
                      <w:lang w:val="en-US" w:eastAsia="zh-CN"/>
                    </w:rPr>
                    <w:t>西南</w:t>
                  </w:r>
                </w:p>
              </w:tc>
              <w:tc>
                <w:tcPr>
                  <w:tcW w:w="1553" w:type="dxa"/>
                  <w:tcBorders>
                    <w:tl2br w:val="nil"/>
                    <w:tr2bl w:val="nil"/>
                  </w:tcBorders>
                  <w:vAlign w:val="center"/>
                </w:tcPr>
                <w:p w14:paraId="22D8799A">
                  <w:pPr>
                    <w:overflowPunct w:val="0"/>
                    <w:adjustRightInd w:val="0"/>
                    <w:snapToGrid w:val="0"/>
                    <w:jc w:val="center"/>
                    <w:rPr>
                      <w:rFonts w:hint="default" w:eastAsia="宋?"/>
                      <w:color w:val="000000"/>
                      <w:sz w:val="18"/>
                      <w:szCs w:val="18"/>
                      <w:lang w:val="en-US" w:eastAsia="zh-CN"/>
                    </w:rPr>
                  </w:pPr>
                  <w:r>
                    <w:rPr>
                      <w:rFonts w:hint="eastAsia" w:eastAsia="宋?"/>
                      <w:color w:val="000000"/>
                      <w:sz w:val="18"/>
                      <w:szCs w:val="18"/>
                      <w:lang w:val="en-US" w:eastAsia="zh-CN"/>
                    </w:rPr>
                    <w:t>5910</w:t>
                  </w:r>
                </w:p>
              </w:tc>
              <w:tc>
                <w:tcPr>
                  <w:tcW w:w="1753" w:type="dxa"/>
                  <w:tcBorders>
                    <w:tl2br w:val="nil"/>
                    <w:tr2bl w:val="nil"/>
                  </w:tcBorders>
                  <w:vAlign w:val="center"/>
                </w:tcPr>
                <w:p w14:paraId="04B020A9">
                  <w:pPr>
                    <w:overflowPunct w:val="0"/>
                    <w:adjustRightInd w:val="0"/>
                    <w:snapToGrid w:val="0"/>
                    <w:jc w:val="center"/>
                    <w:rPr>
                      <w:rFonts w:hint="eastAsia" w:eastAsia="宋?"/>
                      <w:color w:val="000000"/>
                      <w:sz w:val="18"/>
                      <w:szCs w:val="18"/>
                    </w:rPr>
                  </w:pPr>
                  <w:r>
                    <w:rPr>
                      <w:rFonts w:hint="eastAsia" w:eastAsia="宋?"/>
                      <w:color w:val="000000"/>
                      <w:sz w:val="18"/>
                      <w:szCs w:val="18"/>
                    </w:rPr>
                    <w:t>纳污河流</w:t>
                  </w:r>
                </w:p>
              </w:tc>
            </w:tr>
            <w:tr w14:paraId="666E6E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395" w:type="dxa"/>
                  <w:tcBorders>
                    <w:tl2br w:val="nil"/>
                    <w:tr2bl w:val="nil"/>
                  </w:tcBorders>
                  <w:vAlign w:val="center"/>
                </w:tcPr>
                <w:p w14:paraId="012C68F8">
                  <w:pPr>
                    <w:overflowPunct w:val="0"/>
                    <w:adjustRightInd w:val="0"/>
                    <w:snapToGrid w:val="0"/>
                    <w:jc w:val="center"/>
                    <w:rPr>
                      <w:rFonts w:hint="eastAsia" w:eastAsia="宋?"/>
                      <w:color w:val="000000"/>
                      <w:sz w:val="18"/>
                      <w:szCs w:val="18"/>
                      <w:lang w:val="en-US" w:eastAsia="zh-CN"/>
                    </w:rPr>
                  </w:pPr>
                  <w:r>
                    <w:rPr>
                      <w:rFonts w:hint="eastAsia" w:eastAsia="宋?"/>
                      <w:color w:val="000000"/>
                      <w:sz w:val="18"/>
                      <w:szCs w:val="18"/>
                      <w:lang w:val="en-US" w:eastAsia="zh-CN"/>
                    </w:rPr>
                    <w:t>西</w:t>
                  </w:r>
                  <w:r>
                    <w:rPr>
                      <w:rFonts w:hint="eastAsia" w:eastAsia="宋?"/>
                      <w:color w:val="000000"/>
                      <w:sz w:val="18"/>
                      <w:szCs w:val="18"/>
                    </w:rPr>
                    <w:t>侧小河</w:t>
                  </w:r>
                </w:p>
              </w:tc>
              <w:tc>
                <w:tcPr>
                  <w:tcW w:w="634" w:type="dxa"/>
                  <w:tcBorders>
                    <w:tl2br w:val="nil"/>
                    <w:tr2bl w:val="nil"/>
                  </w:tcBorders>
                  <w:vAlign w:val="center"/>
                </w:tcPr>
                <w:p w14:paraId="59D69EB2">
                  <w:pPr>
                    <w:overflowPunct w:val="0"/>
                    <w:adjustRightInd w:val="0"/>
                    <w:snapToGrid w:val="0"/>
                    <w:jc w:val="center"/>
                    <w:rPr>
                      <w:rFonts w:hint="default" w:eastAsia="宋?"/>
                      <w:color w:val="000000"/>
                      <w:sz w:val="18"/>
                      <w:szCs w:val="18"/>
                      <w:lang w:val="en-US" w:eastAsia="zh-CN"/>
                    </w:rPr>
                  </w:pPr>
                  <w:r>
                    <w:rPr>
                      <w:rFonts w:hint="eastAsia" w:eastAsia="宋?"/>
                      <w:color w:val="000000"/>
                      <w:sz w:val="18"/>
                      <w:szCs w:val="18"/>
                      <w:lang w:val="en-US" w:eastAsia="zh-CN"/>
                    </w:rPr>
                    <w:t>-93</w:t>
                  </w:r>
                </w:p>
              </w:tc>
              <w:tc>
                <w:tcPr>
                  <w:tcW w:w="705" w:type="dxa"/>
                  <w:tcBorders>
                    <w:tl2br w:val="nil"/>
                    <w:tr2bl w:val="nil"/>
                  </w:tcBorders>
                  <w:vAlign w:val="center"/>
                </w:tcPr>
                <w:p w14:paraId="314CC821">
                  <w:pPr>
                    <w:overflowPunct w:val="0"/>
                    <w:adjustRightInd w:val="0"/>
                    <w:snapToGrid w:val="0"/>
                    <w:jc w:val="center"/>
                    <w:rPr>
                      <w:rFonts w:hint="default" w:eastAsia="宋?"/>
                      <w:color w:val="000000"/>
                      <w:sz w:val="18"/>
                      <w:szCs w:val="18"/>
                      <w:lang w:val="en-US" w:eastAsia="zh-CN"/>
                    </w:rPr>
                  </w:pPr>
                  <w:r>
                    <w:rPr>
                      <w:rFonts w:hint="eastAsia" w:eastAsia="宋?"/>
                      <w:color w:val="000000"/>
                      <w:sz w:val="18"/>
                      <w:szCs w:val="18"/>
                      <w:lang w:val="en-US" w:eastAsia="zh-CN"/>
                    </w:rPr>
                    <w:t>-0</w:t>
                  </w:r>
                </w:p>
              </w:tc>
              <w:tc>
                <w:tcPr>
                  <w:tcW w:w="970" w:type="dxa"/>
                  <w:tcBorders>
                    <w:tl2br w:val="nil"/>
                    <w:tr2bl w:val="nil"/>
                  </w:tcBorders>
                  <w:vAlign w:val="center"/>
                </w:tcPr>
                <w:p w14:paraId="36366DF5">
                  <w:pPr>
                    <w:overflowPunct w:val="0"/>
                    <w:adjustRightInd w:val="0"/>
                    <w:snapToGrid w:val="0"/>
                    <w:jc w:val="center"/>
                    <w:rPr>
                      <w:rFonts w:eastAsia="宋?"/>
                      <w:color w:val="000000"/>
                      <w:sz w:val="18"/>
                      <w:szCs w:val="18"/>
                    </w:rPr>
                  </w:pPr>
                  <w:r>
                    <w:rPr>
                      <w:rFonts w:eastAsia="宋?"/>
                      <w:color w:val="000000"/>
                      <w:sz w:val="18"/>
                      <w:szCs w:val="18"/>
                    </w:rPr>
                    <w:t>IV</w:t>
                  </w:r>
                </w:p>
              </w:tc>
              <w:tc>
                <w:tcPr>
                  <w:tcW w:w="1134" w:type="dxa"/>
                  <w:tcBorders>
                    <w:tl2br w:val="nil"/>
                    <w:tr2bl w:val="nil"/>
                  </w:tcBorders>
                  <w:vAlign w:val="center"/>
                </w:tcPr>
                <w:p w14:paraId="4B65901F">
                  <w:pPr>
                    <w:overflowPunct w:val="0"/>
                    <w:adjustRightInd w:val="0"/>
                    <w:snapToGrid w:val="0"/>
                    <w:jc w:val="center"/>
                    <w:rPr>
                      <w:rFonts w:hint="default" w:eastAsia="宋?"/>
                      <w:color w:val="000000"/>
                      <w:sz w:val="18"/>
                      <w:szCs w:val="18"/>
                      <w:lang w:val="en-US" w:eastAsia="zh-CN"/>
                    </w:rPr>
                  </w:pPr>
                  <w:r>
                    <w:rPr>
                      <w:rFonts w:hint="eastAsia" w:eastAsia="宋?"/>
                      <w:color w:val="000000"/>
                      <w:sz w:val="18"/>
                      <w:szCs w:val="18"/>
                      <w:lang w:val="en-US" w:eastAsia="zh-CN"/>
                    </w:rPr>
                    <w:t>西</w:t>
                  </w:r>
                </w:p>
              </w:tc>
              <w:tc>
                <w:tcPr>
                  <w:tcW w:w="1553" w:type="dxa"/>
                  <w:tcBorders>
                    <w:tl2br w:val="nil"/>
                    <w:tr2bl w:val="nil"/>
                  </w:tcBorders>
                  <w:vAlign w:val="center"/>
                </w:tcPr>
                <w:p w14:paraId="070D9942">
                  <w:pPr>
                    <w:overflowPunct w:val="0"/>
                    <w:adjustRightInd w:val="0"/>
                    <w:snapToGrid w:val="0"/>
                    <w:jc w:val="center"/>
                    <w:rPr>
                      <w:rFonts w:hint="default" w:eastAsia="宋?"/>
                      <w:color w:val="000000"/>
                      <w:sz w:val="18"/>
                      <w:szCs w:val="18"/>
                      <w:lang w:val="en-US" w:eastAsia="zh-CN"/>
                    </w:rPr>
                  </w:pPr>
                  <w:r>
                    <w:rPr>
                      <w:rFonts w:hint="eastAsia" w:eastAsia="宋?"/>
                      <w:color w:val="000000"/>
                      <w:sz w:val="18"/>
                      <w:szCs w:val="18"/>
                      <w:lang w:val="en-US" w:eastAsia="zh-CN"/>
                    </w:rPr>
                    <w:t>93</w:t>
                  </w:r>
                </w:p>
              </w:tc>
              <w:tc>
                <w:tcPr>
                  <w:tcW w:w="1753" w:type="dxa"/>
                  <w:tcBorders>
                    <w:tl2br w:val="nil"/>
                    <w:tr2bl w:val="nil"/>
                  </w:tcBorders>
                  <w:vAlign w:val="center"/>
                </w:tcPr>
                <w:p w14:paraId="6E66DC50">
                  <w:pPr>
                    <w:overflowPunct w:val="0"/>
                    <w:adjustRightInd w:val="0"/>
                    <w:snapToGrid w:val="0"/>
                    <w:jc w:val="center"/>
                    <w:rPr>
                      <w:rFonts w:hint="eastAsia" w:eastAsia="宋?"/>
                      <w:color w:val="000000"/>
                      <w:sz w:val="18"/>
                      <w:szCs w:val="18"/>
                    </w:rPr>
                  </w:pPr>
                  <w:r>
                    <w:rPr>
                      <w:rFonts w:hint="eastAsia" w:eastAsia="宋?"/>
                      <w:color w:val="000000"/>
                      <w:sz w:val="18"/>
                      <w:szCs w:val="18"/>
                    </w:rPr>
                    <w:t>周边河流</w:t>
                  </w:r>
                </w:p>
              </w:tc>
            </w:tr>
          </w:tbl>
          <w:p w14:paraId="36F4B8DF">
            <w:pPr>
              <w:adjustRightInd w:val="0"/>
              <w:snapToGrid w:val="0"/>
              <w:spacing w:line="360" w:lineRule="auto"/>
              <w:rPr>
                <w:b/>
                <w:bCs/>
                <w:snapToGrid w:val="0"/>
                <w:color w:val="auto"/>
                <w:spacing w:val="-2"/>
                <w:kern w:val="0"/>
                <w:szCs w:val="21"/>
                <w:highlight w:val="none"/>
              </w:rPr>
            </w:pPr>
            <w:r>
              <w:rPr>
                <w:b/>
                <w:bCs/>
                <w:snapToGrid w:val="0"/>
                <w:color w:val="auto"/>
                <w:spacing w:val="-2"/>
                <w:kern w:val="0"/>
                <w:szCs w:val="21"/>
                <w:highlight w:val="none"/>
              </w:rPr>
              <w:t>3</w:t>
            </w:r>
            <w:r>
              <w:rPr>
                <w:rFonts w:hint="eastAsia"/>
                <w:b/>
                <w:bCs/>
                <w:snapToGrid w:val="0"/>
                <w:color w:val="auto"/>
                <w:spacing w:val="-2"/>
                <w:kern w:val="0"/>
                <w:szCs w:val="21"/>
                <w:highlight w:val="none"/>
              </w:rPr>
              <w:t>、声环境质量现状</w:t>
            </w:r>
          </w:p>
          <w:p w14:paraId="62D355AF">
            <w:pPr>
              <w:overflowPunct w:val="0"/>
              <w:adjustRightInd w:val="0"/>
              <w:snapToGrid w:val="0"/>
              <w:spacing w:line="360" w:lineRule="auto"/>
              <w:ind w:firstLine="420" w:firstLineChars="200"/>
              <w:jc w:val="left"/>
              <w:rPr>
                <w:rFonts w:hint="eastAsia"/>
                <w:color w:val="auto"/>
                <w:szCs w:val="21"/>
                <w:highlight w:val="none"/>
              </w:rPr>
            </w:pPr>
            <w:r>
              <w:rPr>
                <w:rFonts w:hint="eastAsia" w:hAnsi="Cambria Math"/>
                <w:color w:val="auto"/>
                <w:highlight w:val="none"/>
              </w:rPr>
              <w:t>根据《</w:t>
            </w:r>
            <w:r>
              <w:rPr>
                <w:rFonts w:hint="eastAsia" w:hAnsi="Cambria Math"/>
                <w:color w:val="auto"/>
                <w:highlight w:val="none"/>
                <w:lang w:eastAsia="zh-CN"/>
              </w:rPr>
              <w:t>2025年度苏州市生态环境状况</w:t>
            </w:r>
            <w:r>
              <w:rPr>
                <w:rFonts w:hint="eastAsia" w:hAnsi="Cambria Math"/>
                <w:color w:val="auto"/>
                <w:highlight w:val="none"/>
              </w:rPr>
              <w:t>》，2025年，全市声环境质量总体保持稳定。全市昼间区域声环境质量和道路交通声环境质量略有下降。</w:t>
            </w:r>
          </w:p>
          <w:p w14:paraId="7019E746">
            <w:pPr>
              <w:overflowPunct w:val="0"/>
              <w:adjustRightInd w:val="0"/>
              <w:snapToGrid w:val="0"/>
              <w:spacing w:line="360" w:lineRule="auto"/>
              <w:ind w:firstLine="420" w:firstLineChars="200"/>
              <w:jc w:val="left"/>
              <w:rPr>
                <w:rFonts w:eastAsia="宋体"/>
                <w:color w:val="auto"/>
                <w:szCs w:val="21"/>
                <w:highlight w:val="none"/>
              </w:rPr>
            </w:pPr>
            <w:r>
              <w:rPr>
                <w:rFonts w:hint="eastAsia" w:eastAsia="宋体"/>
                <w:color w:val="auto"/>
                <w:szCs w:val="21"/>
                <w:highlight w:val="none"/>
              </w:rPr>
              <w:t>本项目委托苏州</w:t>
            </w:r>
            <w:r>
              <w:rPr>
                <w:rFonts w:hint="eastAsia" w:eastAsia="宋体"/>
                <w:color w:val="auto"/>
                <w:szCs w:val="21"/>
                <w:highlight w:val="none"/>
                <w:lang w:val="en-US" w:eastAsia="zh-CN"/>
              </w:rPr>
              <w:t>市科旺检测技术</w:t>
            </w:r>
            <w:r>
              <w:rPr>
                <w:rFonts w:hint="eastAsia" w:eastAsia="宋体"/>
                <w:color w:val="auto"/>
                <w:szCs w:val="21"/>
                <w:highlight w:val="none"/>
              </w:rPr>
              <w:t>有限公司进行对本项目</w:t>
            </w:r>
            <w:r>
              <w:rPr>
                <w:rFonts w:eastAsia="宋体"/>
                <w:color w:val="auto"/>
                <w:szCs w:val="21"/>
                <w:highlight w:val="none"/>
              </w:rPr>
              <w:t>1m</w:t>
            </w:r>
            <w:r>
              <w:rPr>
                <w:rFonts w:hint="eastAsia" w:eastAsia="宋体"/>
                <w:color w:val="auto"/>
                <w:szCs w:val="21"/>
                <w:highlight w:val="none"/>
              </w:rPr>
              <w:t>范围边界</w:t>
            </w:r>
            <w:r>
              <w:rPr>
                <w:rFonts w:hint="eastAsia"/>
                <w:color w:val="auto"/>
                <w:szCs w:val="21"/>
                <w:highlight w:val="none"/>
                <w:lang w:val="en-US" w:eastAsia="zh-CN"/>
              </w:rPr>
              <w:t>及高路村居民点</w:t>
            </w:r>
            <w:r>
              <w:rPr>
                <w:rFonts w:hint="eastAsia" w:eastAsia="宋体"/>
                <w:color w:val="auto"/>
                <w:szCs w:val="21"/>
                <w:highlight w:val="none"/>
              </w:rPr>
              <w:t>进行噪声监测，监测</w:t>
            </w:r>
            <w:r>
              <w:rPr>
                <w:rFonts w:eastAsia="宋体"/>
                <w:color w:val="auto"/>
                <w:szCs w:val="21"/>
                <w:highlight w:val="none"/>
              </w:rPr>
              <w:t>1</w:t>
            </w:r>
            <w:r>
              <w:rPr>
                <w:rFonts w:hint="eastAsia" w:eastAsia="宋体"/>
                <w:color w:val="auto"/>
                <w:szCs w:val="21"/>
                <w:highlight w:val="none"/>
              </w:rPr>
              <w:t>天，昼夜各监测</w:t>
            </w:r>
            <w:r>
              <w:rPr>
                <w:rFonts w:eastAsia="宋体"/>
                <w:color w:val="auto"/>
                <w:szCs w:val="21"/>
                <w:highlight w:val="none"/>
              </w:rPr>
              <w:t>1</w:t>
            </w:r>
            <w:r>
              <w:rPr>
                <w:rFonts w:hint="eastAsia" w:eastAsia="宋体"/>
                <w:color w:val="auto"/>
                <w:szCs w:val="21"/>
                <w:highlight w:val="none"/>
              </w:rPr>
              <w:t>次，监测时间为</w:t>
            </w:r>
            <w:r>
              <w:rPr>
                <w:rFonts w:eastAsia="宋体"/>
                <w:color w:val="auto"/>
                <w:szCs w:val="21"/>
                <w:highlight w:val="none"/>
              </w:rPr>
              <w:t>202</w:t>
            </w:r>
            <w:r>
              <w:rPr>
                <w:rFonts w:hint="eastAsia" w:eastAsia="宋体"/>
                <w:color w:val="auto"/>
                <w:szCs w:val="21"/>
                <w:highlight w:val="none"/>
                <w:lang w:val="en-US" w:eastAsia="zh-CN"/>
              </w:rPr>
              <w:t>5</w:t>
            </w:r>
            <w:r>
              <w:rPr>
                <w:rFonts w:hint="eastAsia" w:eastAsia="宋体"/>
                <w:color w:val="auto"/>
                <w:szCs w:val="21"/>
                <w:highlight w:val="none"/>
              </w:rPr>
              <w:t>年</w:t>
            </w:r>
            <w:r>
              <w:rPr>
                <w:rFonts w:hint="eastAsia"/>
                <w:color w:val="auto"/>
                <w:szCs w:val="21"/>
                <w:highlight w:val="none"/>
                <w:lang w:val="en-US" w:eastAsia="zh-CN"/>
              </w:rPr>
              <w:t>9</w:t>
            </w:r>
            <w:r>
              <w:rPr>
                <w:rFonts w:hint="eastAsia" w:eastAsia="宋体"/>
                <w:color w:val="auto"/>
                <w:szCs w:val="21"/>
                <w:highlight w:val="none"/>
              </w:rPr>
              <w:t>月</w:t>
            </w:r>
            <w:r>
              <w:rPr>
                <w:rFonts w:hint="eastAsia"/>
                <w:color w:val="auto"/>
                <w:szCs w:val="21"/>
                <w:highlight w:val="none"/>
                <w:lang w:val="en-US" w:eastAsia="zh-CN"/>
              </w:rPr>
              <w:t>12</w:t>
            </w:r>
            <w:r>
              <w:rPr>
                <w:rFonts w:hint="eastAsia" w:eastAsia="宋体"/>
                <w:color w:val="auto"/>
                <w:szCs w:val="21"/>
                <w:highlight w:val="none"/>
              </w:rPr>
              <w:t>日，监测点布设和监测数据见</w:t>
            </w:r>
            <w:r>
              <w:rPr>
                <w:rFonts w:hint="eastAsia"/>
                <w:color w:val="auto"/>
                <w:szCs w:val="21"/>
                <w:highlight w:val="none"/>
                <w:lang w:val="en-US" w:eastAsia="zh-CN"/>
              </w:rPr>
              <w:t>下</w:t>
            </w:r>
            <w:r>
              <w:rPr>
                <w:rFonts w:hint="eastAsia" w:eastAsia="宋体"/>
                <w:color w:val="auto"/>
                <w:szCs w:val="21"/>
                <w:highlight w:val="none"/>
              </w:rPr>
              <w:t>表。</w:t>
            </w:r>
          </w:p>
          <w:p w14:paraId="675C0103">
            <w:pPr>
              <w:tabs>
                <w:tab w:val="center" w:pos="4156"/>
                <w:tab w:val="left" w:pos="5964"/>
              </w:tabs>
              <w:adjustRightInd w:val="0"/>
              <w:snapToGrid w:val="0"/>
              <w:jc w:val="center"/>
              <w:rPr>
                <w:rFonts w:eastAsia="宋体"/>
                <w:b/>
                <w:snapToGrid w:val="0"/>
                <w:color w:val="auto"/>
                <w:szCs w:val="21"/>
                <w:highlight w:val="none"/>
              </w:rPr>
            </w:pPr>
            <w:r>
              <w:rPr>
                <w:rFonts w:hint="eastAsia" w:eastAsia="宋体"/>
                <w:b/>
                <w:snapToGrid w:val="0"/>
                <w:color w:val="auto"/>
                <w:szCs w:val="21"/>
                <w:highlight w:val="none"/>
              </w:rPr>
              <w:t>表</w:t>
            </w:r>
            <w:r>
              <w:rPr>
                <w:rFonts w:eastAsia="宋体"/>
                <w:b/>
                <w:snapToGrid w:val="0"/>
                <w:color w:val="auto"/>
                <w:szCs w:val="21"/>
                <w:highlight w:val="none"/>
              </w:rPr>
              <w:t xml:space="preserve">3-3  </w:t>
            </w:r>
            <w:r>
              <w:rPr>
                <w:rFonts w:hint="eastAsia" w:eastAsia="宋体"/>
                <w:b/>
                <w:snapToGrid w:val="0"/>
                <w:color w:val="auto"/>
                <w:szCs w:val="21"/>
                <w:highlight w:val="none"/>
              </w:rPr>
              <w:t>声环境质量现状监测结果</w:t>
            </w:r>
            <w:r>
              <w:rPr>
                <w:rFonts w:eastAsia="宋体"/>
                <w:b/>
                <w:snapToGrid w:val="0"/>
                <w:color w:val="auto"/>
                <w:szCs w:val="21"/>
                <w:highlight w:val="none"/>
              </w:rPr>
              <w:t xml:space="preserve">    </w:t>
            </w:r>
            <w:r>
              <w:rPr>
                <w:rFonts w:hint="eastAsia" w:eastAsia="宋体"/>
                <w:b/>
                <w:snapToGrid w:val="0"/>
                <w:color w:val="auto"/>
                <w:szCs w:val="21"/>
                <w:highlight w:val="none"/>
              </w:rPr>
              <w:t>单位：</w:t>
            </w:r>
            <w:r>
              <w:rPr>
                <w:rFonts w:eastAsia="宋体"/>
                <w:b/>
                <w:snapToGrid w:val="0"/>
                <w:color w:val="auto"/>
                <w:szCs w:val="21"/>
                <w:highlight w:val="none"/>
              </w:rPr>
              <w:t>dB(A)</w:t>
            </w:r>
          </w:p>
          <w:tbl>
            <w:tblPr>
              <w:tblStyle w:val="2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57"/>
              <w:gridCol w:w="1253"/>
              <w:gridCol w:w="905"/>
              <w:gridCol w:w="905"/>
              <w:gridCol w:w="905"/>
              <w:gridCol w:w="905"/>
              <w:gridCol w:w="905"/>
              <w:gridCol w:w="906"/>
              <w:gridCol w:w="906"/>
            </w:tblGrid>
            <w:tr w14:paraId="482538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771" w:type="dxa"/>
                  <w:gridSpan w:val="2"/>
                  <w:tcBorders>
                    <w:tl2br w:val="nil"/>
                    <w:tr2bl w:val="nil"/>
                  </w:tcBorders>
                  <w:vAlign w:val="center"/>
                </w:tcPr>
                <w:p w14:paraId="7D5BF5E3">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监测点位及名称</w:t>
                  </w:r>
                </w:p>
              </w:tc>
              <w:tc>
                <w:tcPr>
                  <w:tcW w:w="886" w:type="dxa"/>
                  <w:tcBorders>
                    <w:tl2br w:val="nil"/>
                    <w:tr2bl w:val="nil"/>
                  </w:tcBorders>
                  <w:vAlign w:val="center"/>
                </w:tcPr>
                <w:p w14:paraId="768ED362">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环境功能</w:t>
                  </w:r>
                </w:p>
              </w:tc>
              <w:tc>
                <w:tcPr>
                  <w:tcW w:w="886" w:type="dxa"/>
                  <w:tcBorders>
                    <w:tl2br w:val="nil"/>
                    <w:tr2bl w:val="nil"/>
                  </w:tcBorders>
                  <w:vAlign w:val="center"/>
                </w:tcPr>
                <w:p w14:paraId="5ECF3B13">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昼间</w:t>
                  </w:r>
                </w:p>
              </w:tc>
              <w:tc>
                <w:tcPr>
                  <w:tcW w:w="886" w:type="dxa"/>
                  <w:tcBorders>
                    <w:tl2br w:val="nil"/>
                    <w:tr2bl w:val="nil"/>
                  </w:tcBorders>
                  <w:vAlign w:val="center"/>
                </w:tcPr>
                <w:p w14:paraId="4E27C626">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标准值</w:t>
                  </w:r>
                </w:p>
              </w:tc>
              <w:tc>
                <w:tcPr>
                  <w:tcW w:w="886" w:type="dxa"/>
                  <w:tcBorders>
                    <w:tl2br w:val="nil"/>
                    <w:tr2bl w:val="nil"/>
                  </w:tcBorders>
                  <w:vAlign w:val="center"/>
                </w:tcPr>
                <w:p w14:paraId="768DCDE5">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达标情况</w:t>
                  </w:r>
                </w:p>
              </w:tc>
              <w:tc>
                <w:tcPr>
                  <w:tcW w:w="886" w:type="dxa"/>
                  <w:tcBorders>
                    <w:tl2br w:val="nil"/>
                    <w:tr2bl w:val="nil"/>
                  </w:tcBorders>
                  <w:vAlign w:val="center"/>
                </w:tcPr>
                <w:p w14:paraId="3EE094A9">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夜间</w:t>
                  </w:r>
                </w:p>
              </w:tc>
              <w:tc>
                <w:tcPr>
                  <w:tcW w:w="886" w:type="dxa"/>
                  <w:tcBorders>
                    <w:tl2br w:val="nil"/>
                    <w:tr2bl w:val="nil"/>
                  </w:tcBorders>
                  <w:vAlign w:val="center"/>
                </w:tcPr>
                <w:p w14:paraId="70937915">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标准值</w:t>
                  </w:r>
                </w:p>
              </w:tc>
              <w:tc>
                <w:tcPr>
                  <w:tcW w:w="886" w:type="dxa"/>
                  <w:tcBorders>
                    <w:tl2br w:val="nil"/>
                    <w:tr2bl w:val="nil"/>
                  </w:tcBorders>
                  <w:vAlign w:val="center"/>
                </w:tcPr>
                <w:p w14:paraId="1FD88971">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达标情况</w:t>
                  </w:r>
                </w:p>
              </w:tc>
            </w:tr>
            <w:tr w14:paraId="5308D0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45" w:type="dxa"/>
                  <w:tcBorders>
                    <w:tl2br w:val="nil"/>
                    <w:tr2bl w:val="nil"/>
                  </w:tcBorders>
                  <w:vAlign w:val="center"/>
                </w:tcPr>
                <w:p w14:paraId="09AF010D">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N1</w:t>
                  </w:r>
                </w:p>
              </w:tc>
              <w:tc>
                <w:tcPr>
                  <w:tcW w:w="1226" w:type="dxa"/>
                  <w:tcBorders>
                    <w:tl2br w:val="nil"/>
                    <w:tr2bl w:val="nil"/>
                  </w:tcBorders>
                  <w:vAlign w:val="center"/>
                </w:tcPr>
                <w:p w14:paraId="75946AFA">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项目</w:t>
                  </w:r>
                  <w:r>
                    <w:rPr>
                      <w:rFonts w:hint="eastAsia"/>
                      <w:bCs/>
                      <w:snapToGrid w:val="0"/>
                      <w:color w:val="auto"/>
                      <w:sz w:val="18"/>
                      <w:szCs w:val="18"/>
                      <w:highlight w:val="none"/>
                      <w:lang w:val="en-US" w:eastAsia="zh-CN"/>
                    </w:rPr>
                    <w:t>东</w:t>
                  </w:r>
                  <w:r>
                    <w:rPr>
                      <w:rFonts w:hint="eastAsia" w:eastAsia="宋体"/>
                      <w:bCs/>
                      <w:snapToGrid w:val="0"/>
                      <w:color w:val="auto"/>
                      <w:sz w:val="18"/>
                      <w:szCs w:val="18"/>
                      <w:highlight w:val="none"/>
                    </w:rPr>
                    <w:t>侧外</w:t>
                  </w:r>
                  <w:r>
                    <w:rPr>
                      <w:rFonts w:eastAsia="宋体"/>
                      <w:bCs/>
                      <w:snapToGrid w:val="0"/>
                      <w:color w:val="auto"/>
                      <w:sz w:val="18"/>
                      <w:szCs w:val="18"/>
                      <w:highlight w:val="none"/>
                    </w:rPr>
                    <w:t>1m</w:t>
                  </w:r>
                </w:p>
              </w:tc>
              <w:tc>
                <w:tcPr>
                  <w:tcW w:w="886" w:type="dxa"/>
                  <w:tcBorders>
                    <w:tl2br w:val="nil"/>
                    <w:tr2bl w:val="nil"/>
                  </w:tcBorders>
                  <w:vAlign w:val="center"/>
                </w:tcPr>
                <w:p w14:paraId="67CB1CBE">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2</w:t>
                  </w:r>
                  <w:r>
                    <w:rPr>
                      <w:rFonts w:hint="eastAsia" w:eastAsia="宋体"/>
                      <w:bCs/>
                      <w:snapToGrid w:val="0"/>
                      <w:color w:val="auto"/>
                      <w:sz w:val="18"/>
                      <w:szCs w:val="18"/>
                      <w:highlight w:val="none"/>
                    </w:rPr>
                    <w:t>类</w:t>
                  </w:r>
                </w:p>
              </w:tc>
              <w:tc>
                <w:tcPr>
                  <w:tcW w:w="886" w:type="dxa"/>
                  <w:tcBorders>
                    <w:tl2br w:val="nil"/>
                    <w:tr2bl w:val="nil"/>
                  </w:tcBorders>
                  <w:vAlign w:val="center"/>
                </w:tcPr>
                <w:p w14:paraId="31AA702A">
                  <w:pPr>
                    <w:overflowPunct w:val="0"/>
                    <w:adjustRightInd w:val="0"/>
                    <w:snapToGrid w:val="0"/>
                    <w:jc w:val="center"/>
                    <w:rPr>
                      <w:rFonts w:hint="default" w:eastAsia="宋体"/>
                      <w:bCs/>
                      <w:snapToGrid w:val="0"/>
                      <w:color w:val="auto"/>
                      <w:sz w:val="18"/>
                      <w:szCs w:val="18"/>
                      <w:highlight w:val="none"/>
                      <w:lang w:val="en-US" w:eastAsia="zh-CN"/>
                    </w:rPr>
                  </w:pPr>
                  <w:r>
                    <w:rPr>
                      <w:rFonts w:eastAsia="宋体"/>
                      <w:bCs/>
                      <w:snapToGrid w:val="0"/>
                      <w:color w:val="auto"/>
                      <w:sz w:val="18"/>
                      <w:szCs w:val="18"/>
                      <w:highlight w:val="none"/>
                    </w:rPr>
                    <w:t>58</w:t>
                  </w:r>
                  <w:r>
                    <w:rPr>
                      <w:rFonts w:hint="eastAsia" w:eastAsia="宋体"/>
                      <w:bCs/>
                      <w:snapToGrid w:val="0"/>
                      <w:color w:val="auto"/>
                      <w:sz w:val="18"/>
                      <w:szCs w:val="18"/>
                      <w:highlight w:val="none"/>
                      <w:lang w:val="en-US" w:eastAsia="zh-CN"/>
                    </w:rPr>
                    <w:t>.</w:t>
                  </w:r>
                  <w:r>
                    <w:rPr>
                      <w:rFonts w:hint="eastAsia"/>
                      <w:bCs/>
                      <w:snapToGrid w:val="0"/>
                      <w:color w:val="auto"/>
                      <w:sz w:val="18"/>
                      <w:szCs w:val="18"/>
                      <w:highlight w:val="none"/>
                      <w:lang w:val="en-US" w:eastAsia="zh-CN"/>
                    </w:rPr>
                    <w:t>9</w:t>
                  </w:r>
                </w:p>
              </w:tc>
              <w:tc>
                <w:tcPr>
                  <w:tcW w:w="886" w:type="dxa"/>
                  <w:tcBorders>
                    <w:tl2br w:val="nil"/>
                    <w:tr2bl w:val="nil"/>
                  </w:tcBorders>
                  <w:vAlign w:val="center"/>
                </w:tcPr>
                <w:p w14:paraId="17339B3E">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60</w:t>
                  </w:r>
                </w:p>
              </w:tc>
              <w:tc>
                <w:tcPr>
                  <w:tcW w:w="886" w:type="dxa"/>
                  <w:tcBorders>
                    <w:tl2br w:val="nil"/>
                    <w:tr2bl w:val="nil"/>
                  </w:tcBorders>
                  <w:vAlign w:val="center"/>
                </w:tcPr>
                <w:p w14:paraId="7E8768D7">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达标</w:t>
                  </w:r>
                </w:p>
              </w:tc>
              <w:tc>
                <w:tcPr>
                  <w:tcW w:w="886" w:type="dxa"/>
                  <w:tcBorders>
                    <w:tl2br w:val="nil"/>
                    <w:tr2bl w:val="nil"/>
                  </w:tcBorders>
                  <w:vAlign w:val="center"/>
                </w:tcPr>
                <w:p w14:paraId="2A30BDFC">
                  <w:pPr>
                    <w:overflowPunct w:val="0"/>
                    <w:adjustRightInd w:val="0"/>
                    <w:snapToGrid w:val="0"/>
                    <w:jc w:val="center"/>
                    <w:rPr>
                      <w:rFonts w:hint="default" w:eastAsia="宋体"/>
                      <w:bCs/>
                      <w:snapToGrid w:val="0"/>
                      <w:color w:val="auto"/>
                      <w:sz w:val="18"/>
                      <w:szCs w:val="18"/>
                      <w:highlight w:val="none"/>
                      <w:lang w:val="en-US" w:eastAsia="zh-CN"/>
                    </w:rPr>
                  </w:pPr>
                  <w:r>
                    <w:rPr>
                      <w:rFonts w:eastAsia="宋体"/>
                      <w:bCs/>
                      <w:snapToGrid w:val="0"/>
                      <w:color w:val="auto"/>
                      <w:sz w:val="18"/>
                      <w:szCs w:val="18"/>
                      <w:highlight w:val="none"/>
                    </w:rPr>
                    <w:t>4</w:t>
                  </w:r>
                  <w:r>
                    <w:rPr>
                      <w:rFonts w:hint="eastAsia"/>
                      <w:bCs/>
                      <w:snapToGrid w:val="0"/>
                      <w:color w:val="auto"/>
                      <w:sz w:val="18"/>
                      <w:szCs w:val="18"/>
                      <w:highlight w:val="none"/>
                      <w:lang w:val="en-US" w:eastAsia="zh-CN"/>
                    </w:rPr>
                    <w:t>8.6</w:t>
                  </w:r>
                </w:p>
              </w:tc>
              <w:tc>
                <w:tcPr>
                  <w:tcW w:w="886" w:type="dxa"/>
                  <w:tcBorders>
                    <w:tl2br w:val="nil"/>
                    <w:tr2bl w:val="nil"/>
                  </w:tcBorders>
                  <w:vAlign w:val="center"/>
                </w:tcPr>
                <w:p w14:paraId="401515D1">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50</w:t>
                  </w:r>
                </w:p>
              </w:tc>
              <w:tc>
                <w:tcPr>
                  <w:tcW w:w="886" w:type="dxa"/>
                  <w:tcBorders>
                    <w:tl2br w:val="nil"/>
                    <w:tr2bl w:val="nil"/>
                  </w:tcBorders>
                  <w:vAlign w:val="center"/>
                </w:tcPr>
                <w:p w14:paraId="4D4F8C7C">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达标</w:t>
                  </w:r>
                </w:p>
              </w:tc>
            </w:tr>
            <w:tr w14:paraId="5D350B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45" w:type="dxa"/>
                  <w:tcBorders>
                    <w:tl2br w:val="nil"/>
                    <w:tr2bl w:val="nil"/>
                  </w:tcBorders>
                  <w:vAlign w:val="center"/>
                </w:tcPr>
                <w:p w14:paraId="05148F5B">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N2</w:t>
                  </w:r>
                </w:p>
              </w:tc>
              <w:tc>
                <w:tcPr>
                  <w:tcW w:w="1226" w:type="dxa"/>
                  <w:tcBorders>
                    <w:tl2br w:val="nil"/>
                    <w:tr2bl w:val="nil"/>
                  </w:tcBorders>
                  <w:vAlign w:val="center"/>
                </w:tcPr>
                <w:p w14:paraId="71A70624">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项目</w:t>
                  </w:r>
                  <w:r>
                    <w:rPr>
                      <w:rFonts w:hint="eastAsia"/>
                      <w:bCs/>
                      <w:snapToGrid w:val="0"/>
                      <w:color w:val="auto"/>
                      <w:sz w:val="18"/>
                      <w:szCs w:val="18"/>
                      <w:highlight w:val="none"/>
                      <w:lang w:val="en-US" w:eastAsia="zh-CN"/>
                    </w:rPr>
                    <w:t>南</w:t>
                  </w:r>
                  <w:r>
                    <w:rPr>
                      <w:rFonts w:hint="eastAsia" w:eastAsia="宋体"/>
                      <w:bCs/>
                      <w:snapToGrid w:val="0"/>
                      <w:color w:val="auto"/>
                      <w:sz w:val="18"/>
                      <w:szCs w:val="18"/>
                      <w:highlight w:val="none"/>
                    </w:rPr>
                    <w:t>侧外</w:t>
                  </w:r>
                  <w:r>
                    <w:rPr>
                      <w:rFonts w:eastAsia="宋体"/>
                      <w:bCs/>
                      <w:snapToGrid w:val="0"/>
                      <w:color w:val="auto"/>
                      <w:sz w:val="18"/>
                      <w:szCs w:val="18"/>
                      <w:highlight w:val="none"/>
                    </w:rPr>
                    <w:t>1m</w:t>
                  </w:r>
                </w:p>
              </w:tc>
              <w:tc>
                <w:tcPr>
                  <w:tcW w:w="886" w:type="dxa"/>
                  <w:tcBorders>
                    <w:tl2br w:val="nil"/>
                    <w:tr2bl w:val="nil"/>
                  </w:tcBorders>
                  <w:vAlign w:val="center"/>
                </w:tcPr>
                <w:p w14:paraId="3C79FA9F">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2</w:t>
                  </w:r>
                  <w:r>
                    <w:rPr>
                      <w:rFonts w:hint="eastAsia" w:eastAsia="宋体"/>
                      <w:bCs/>
                      <w:snapToGrid w:val="0"/>
                      <w:color w:val="auto"/>
                      <w:sz w:val="18"/>
                      <w:szCs w:val="18"/>
                      <w:highlight w:val="none"/>
                    </w:rPr>
                    <w:t>类</w:t>
                  </w:r>
                </w:p>
              </w:tc>
              <w:tc>
                <w:tcPr>
                  <w:tcW w:w="886" w:type="dxa"/>
                  <w:tcBorders>
                    <w:tl2br w:val="nil"/>
                    <w:tr2bl w:val="nil"/>
                  </w:tcBorders>
                  <w:vAlign w:val="center"/>
                </w:tcPr>
                <w:p w14:paraId="78ACD277">
                  <w:pPr>
                    <w:overflowPunct w:val="0"/>
                    <w:adjustRightInd w:val="0"/>
                    <w:snapToGrid w:val="0"/>
                    <w:jc w:val="center"/>
                    <w:rPr>
                      <w:rFonts w:hint="default" w:eastAsia="宋体"/>
                      <w:bCs/>
                      <w:snapToGrid w:val="0"/>
                      <w:color w:val="auto"/>
                      <w:sz w:val="18"/>
                      <w:szCs w:val="18"/>
                      <w:highlight w:val="none"/>
                      <w:lang w:val="en-US" w:eastAsia="zh-CN"/>
                    </w:rPr>
                  </w:pPr>
                  <w:r>
                    <w:rPr>
                      <w:rFonts w:eastAsia="宋体"/>
                      <w:bCs/>
                      <w:snapToGrid w:val="0"/>
                      <w:color w:val="auto"/>
                      <w:sz w:val="18"/>
                      <w:szCs w:val="18"/>
                      <w:highlight w:val="none"/>
                    </w:rPr>
                    <w:t>5</w:t>
                  </w:r>
                  <w:r>
                    <w:rPr>
                      <w:rFonts w:hint="eastAsia"/>
                      <w:bCs/>
                      <w:snapToGrid w:val="0"/>
                      <w:color w:val="auto"/>
                      <w:sz w:val="18"/>
                      <w:szCs w:val="18"/>
                      <w:highlight w:val="none"/>
                      <w:lang w:val="en-US" w:eastAsia="zh-CN"/>
                    </w:rPr>
                    <w:t>9.2</w:t>
                  </w:r>
                </w:p>
              </w:tc>
              <w:tc>
                <w:tcPr>
                  <w:tcW w:w="886" w:type="dxa"/>
                  <w:tcBorders>
                    <w:tl2br w:val="nil"/>
                    <w:tr2bl w:val="nil"/>
                  </w:tcBorders>
                  <w:vAlign w:val="center"/>
                </w:tcPr>
                <w:p w14:paraId="1C0DAA1D">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60</w:t>
                  </w:r>
                </w:p>
              </w:tc>
              <w:tc>
                <w:tcPr>
                  <w:tcW w:w="886" w:type="dxa"/>
                  <w:tcBorders>
                    <w:tl2br w:val="nil"/>
                    <w:tr2bl w:val="nil"/>
                  </w:tcBorders>
                  <w:vAlign w:val="center"/>
                </w:tcPr>
                <w:p w14:paraId="77C0C097">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达标</w:t>
                  </w:r>
                </w:p>
              </w:tc>
              <w:tc>
                <w:tcPr>
                  <w:tcW w:w="886" w:type="dxa"/>
                  <w:tcBorders>
                    <w:tl2br w:val="nil"/>
                    <w:tr2bl w:val="nil"/>
                  </w:tcBorders>
                  <w:vAlign w:val="center"/>
                </w:tcPr>
                <w:p w14:paraId="25039E7E">
                  <w:pPr>
                    <w:overflowPunct w:val="0"/>
                    <w:adjustRightInd w:val="0"/>
                    <w:snapToGrid w:val="0"/>
                    <w:jc w:val="center"/>
                    <w:rPr>
                      <w:rFonts w:hint="default" w:eastAsia="宋体"/>
                      <w:bCs/>
                      <w:snapToGrid w:val="0"/>
                      <w:color w:val="auto"/>
                      <w:sz w:val="18"/>
                      <w:szCs w:val="18"/>
                      <w:highlight w:val="none"/>
                      <w:lang w:val="en-US" w:eastAsia="zh-CN"/>
                    </w:rPr>
                  </w:pPr>
                  <w:r>
                    <w:rPr>
                      <w:rFonts w:eastAsia="宋体"/>
                      <w:bCs/>
                      <w:snapToGrid w:val="0"/>
                      <w:color w:val="auto"/>
                      <w:sz w:val="18"/>
                      <w:szCs w:val="18"/>
                      <w:highlight w:val="none"/>
                    </w:rPr>
                    <w:t>4</w:t>
                  </w:r>
                  <w:r>
                    <w:rPr>
                      <w:rFonts w:hint="eastAsia" w:eastAsia="宋体"/>
                      <w:bCs/>
                      <w:snapToGrid w:val="0"/>
                      <w:color w:val="auto"/>
                      <w:sz w:val="18"/>
                      <w:szCs w:val="18"/>
                      <w:highlight w:val="none"/>
                      <w:lang w:val="en-US" w:eastAsia="zh-CN"/>
                    </w:rPr>
                    <w:t>9.</w:t>
                  </w:r>
                  <w:r>
                    <w:rPr>
                      <w:rFonts w:hint="eastAsia"/>
                      <w:bCs/>
                      <w:snapToGrid w:val="0"/>
                      <w:color w:val="auto"/>
                      <w:sz w:val="18"/>
                      <w:szCs w:val="18"/>
                      <w:highlight w:val="none"/>
                      <w:lang w:val="en-US" w:eastAsia="zh-CN"/>
                    </w:rPr>
                    <w:t>4</w:t>
                  </w:r>
                </w:p>
              </w:tc>
              <w:tc>
                <w:tcPr>
                  <w:tcW w:w="886" w:type="dxa"/>
                  <w:tcBorders>
                    <w:tl2br w:val="nil"/>
                    <w:tr2bl w:val="nil"/>
                  </w:tcBorders>
                  <w:vAlign w:val="center"/>
                </w:tcPr>
                <w:p w14:paraId="4BB6B1D3">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50</w:t>
                  </w:r>
                </w:p>
              </w:tc>
              <w:tc>
                <w:tcPr>
                  <w:tcW w:w="886" w:type="dxa"/>
                  <w:tcBorders>
                    <w:tl2br w:val="nil"/>
                    <w:tr2bl w:val="nil"/>
                  </w:tcBorders>
                  <w:vAlign w:val="center"/>
                </w:tcPr>
                <w:p w14:paraId="55E7D31A">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达标</w:t>
                  </w:r>
                </w:p>
              </w:tc>
            </w:tr>
            <w:tr w14:paraId="135E55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45" w:type="dxa"/>
                  <w:tcBorders>
                    <w:tl2br w:val="nil"/>
                    <w:tr2bl w:val="nil"/>
                  </w:tcBorders>
                  <w:vAlign w:val="center"/>
                </w:tcPr>
                <w:p w14:paraId="5BC40D20">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N3</w:t>
                  </w:r>
                </w:p>
              </w:tc>
              <w:tc>
                <w:tcPr>
                  <w:tcW w:w="1226" w:type="dxa"/>
                  <w:tcBorders>
                    <w:tl2br w:val="nil"/>
                    <w:tr2bl w:val="nil"/>
                  </w:tcBorders>
                  <w:vAlign w:val="center"/>
                </w:tcPr>
                <w:p w14:paraId="3D8B4515">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项目</w:t>
                  </w:r>
                  <w:r>
                    <w:rPr>
                      <w:rFonts w:hint="eastAsia"/>
                      <w:bCs/>
                      <w:snapToGrid w:val="0"/>
                      <w:color w:val="auto"/>
                      <w:sz w:val="18"/>
                      <w:szCs w:val="18"/>
                      <w:highlight w:val="none"/>
                      <w:lang w:val="en-US" w:eastAsia="zh-CN"/>
                    </w:rPr>
                    <w:t>西</w:t>
                  </w:r>
                  <w:r>
                    <w:rPr>
                      <w:rFonts w:hint="eastAsia" w:eastAsia="宋体"/>
                      <w:bCs/>
                      <w:snapToGrid w:val="0"/>
                      <w:color w:val="auto"/>
                      <w:sz w:val="18"/>
                      <w:szCs w:val="18"/>
                      <w:highlight w:val="none"/>
                    </w:rPr>
                    <w:t>侧外</w:t>
                  </w:r>
                  <w:r>
                    <w:rPr>
                      <w:rFonts w:eastAsia="宋体"/>
                      <w:bCs/>
                      <w:snapToGrid w:val="0"/>
                      <w:color w:val="auto"/>
                      <w:sz w:val="18"/>
                      <w:szCs w:val="18"/>
                      <w:highlight w:val="none"/>
                    </w:rPr>
                    <w:t>1m</w:t>
                  </w:r>
                </w:p>
              </w:tc>
              <w:tc>
                <w:tcPr>
                  <w:tcW w:w="886" w:type="dxa"/>
                  <w:tcBorders>
                    <w:tl2br w:val="nil"/>
                    <w:tr2bl w:val="nil"/>
                  </w:tcBorders>
                  <w:vAlign w:val="center"/>
                </w:tcPr>
                <w:p w14:paraId="068C4F27">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2</w:t>
                  </w:r>
                  <w:r>
                    <w:rPr>
                      <w:rFonts w:hint="eastAsia" w:eastAsia="宋体"/>
                      <w:bCs/>
                      <w:snapToGrid w:val="0"/>
                      <w:color w:val="auto"/>
                      <w:sz w:val="18"/>
                      <w:szCs w:val="18"/>
                      <w:highlight w:val="none"/>
                    </w:rPr>
                    <w:t>类</w:t>
                  </w:r>
                </w:p>
              </w:tc>
              <w:tc>
                <w:tcPr>
                  <w:tcW w:w="886" w:type="dxa"/>
                  <w:tcBorders>
                    <w:tl2br w:val="nil"/>
                    <w:tr2bl w:val="nil"/>
                  </w:tcBorders>
                  <w:vAlign w:val="center"/>
                </w:tcPr>
                <w:p w14:paraId="71A272BE">
                  <w:pPr>
                    <w:overflowPunct w:val="0"/>
                    <w:adjustRightInd w:val="0"/>
                    <w:snapToGrid w:val="0"/>
                    <w:jc w:val="center"/>
                    <w:rPr>
                      <w:rFonts w:hint="default" w:eastAsia="宋体"/>
                      <w:bCs/>
                      <w:snapToGrid w:val="0"/>
                      <w:color w:val="auto"/>
                      <w:sz w:val="18"/>
                      <w:szCs w:val="18"/>
                      <w:highlight w:val="none"/>
                      <w:lang w:val="en-US" w:eastAsia="zh-CN"/>
                    </w:rPr>
                  </w:pPr>
                  <w:r>
                    <w:rPr>
                      <w:rFonts w:eastAsia="宋体"/>
                      <w:bCs/>
                      <w:snapToGrid w:val="0"/>
                      <w:color w:val="auto"/>
                      <w:sz w:val="18"/>
                      <w:szCs w:val="18"/>
                      <w:highlight w:val="none"/>
                    </w:rPr>
                    <w:t>5</w:t>
                  </w:r>
                  <w:r>
                    <w:rPr>
                      <w:rFonts w:hint="eastAsia"/>
                      <w:bCs/>
                      <w:snapToGrid w:val="0"/>
                      <w:color w:val="auto"/>
                      <w:sz w:val="18"/>
                      <w:szCs w:val="18"/>
                      <w:highlight w:val="none"/>
                      <w:lang w:val="en-US" w:eastAsia="zh-CN"/>
                    </w:rPr>
                    <w:t>7.7</w:t>
                  </w:r>
                </w:p>
              </w:tc>
              <w:tc>
                <w:tcPr>
                  <w:tcW w:w="886" w:type="dxa"/>
                  <w:tcBorders>
                    <w:tl2br w:val="nil"/>
                    <w:tr2bl w:val="nil"/>
                  </w:tcBorders>
                  <w:vAlign w:val="center"/>
                </w:tcPr>
                <w:p w14:paraId="2974DB2D">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60</w:t>
                  </w:r>
                </w:p>
              </w:tc>
              <w:tc>
                <w:tcPr>
                  <w:tcW w:w="886" w:type="dxa"/>
                  <w:tcBorders>
                    <w:tl2br w:val="nil"/>
                    <w:tr2bl w:val="nil"/>
                  </w:tcBorders>
                  <w:vAlign w:val="center"/>
                </w:tcPr>
                <w:p w14:paraId="26F76420">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达标</w:t>
                  </w:r>
                </w:p>
              </w:tc>
              <w:tc>
                <w:tcPr>
                  <w:tcW w:w="886" w:type="dxa"/>
                  <w:tcBorders>
                    <w:tl2br w:val="nil"/>
                    <w:tr2bl w:val="nil"/>
                  </w:tcBorders>
                  <w:vAlign w:val="center"/>
                </w:tcPr>
                <w:p w14:paraId="735D5537">
                  <w:pPr>
                    <w:overflowPunct w:val="0"/>
                    <w:adjustRightInd w:val="0"/>
                    <w:snapToGrid w:val="0"/>
                    <w:jc w:val="center"/>
                    <w:rPr>
                      <w:rFonts w:hint="default" w:eastAsia="宋体"/>
                      <w:bCs/>
                      <w:snapToGrid w:val="0"/>
                      <w:color w:val="auto"/>
                      <w:sz w:val="18"/>
                      <w:szCs w:val="18"/>
                      <w:highlight w:val="none"/>
                      <w:lang w:val="en-US" w:eastAsia="zh-CN"/>
                    </w:rPr>
                  </w:pPr>
                  <w:r>
                    <w:rPr>
                      <w:rFonts w:eastAsia="宋体"/>
                      <w:bCs/>
                      <w:snapToGrid w:val="0"/>
                      <w:color w:val="auto"/>
                      <w:sz w:val="18"/>
                      <w:szCs w:val="18"/>
                      <w:highlight w:val="none"/>
                    </w:rPr>
                    <w:t>4</w:t>
                  </w:r>
                  <w:r>
                    <w:rPr>
                      <w:rFonts w:hint="eastAsia"/>
                      <w:bCs/>
                      <w:snapToGrid w:val="0"/>
                      <w:color w:val="auto"/>
                      <w:sz w:val="18"/>
                      <w:szCs w:val="18"/>
                      <w:highlight w:val="none"/>
                      <w:lang w:val="en-US" w:eastAsia="zh-CN"/>
                    </w:rPr>
                    <w:t>6.3</w:t>
                  </w:r>
                </w:p>
              </w:tc>
              <w:tc>
                <w:tcPr>
                  <w:tcW w:w="886" w:type="dxa"/>
                  <w:tcBorders>
                    <w:tl2br w:val="nil"/>
                    <w:tr2bl w:val="nil"/>
                  </w:tcBorders>
                  <w:vAlign w:val="center"/>
                </w:tcPr>
                <w:p w14:paraId="770068C5">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50</w:t>
                  </w:r>
                </w:p>
              </w:tc>
              <w:tc>
                <w:tcPr>
                  <w:tcW w:w="886" w:type="dxa"/>
                  <w:tcBorders>
                    <w:tl2br w:val="nil"/>
                    <w:tr2bl w:val="nil"/>
                  </w:tcBorders>
                  <w:vAlign w:val="center"/>
                </w:tcPr>
                <w:p w14:paraId="18A55A59">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达标</w:t>
                  </w:r>
                </w:p>
              </w:tc>
            </w:tr>
            <w:tr w14:paraId="4C0362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2" w:hRule="atLeast"/>
              </w:trPr>
              <w:tc>
                <w:tcPr>
                  <w:tcW w:w="545" w:type="dxa"/>
                  <w:tcBorders>
                    <w:tl2br w:val="nil"/>
                    <w:tr2bl w:val="nil"/>
                  </w:tcBorders>
                  <w:vAlign w:val="center"/>
                </w:tcPr>
                <w:p w14:paraId="653A2C5D">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N4</w:t>
                  </w:r>
                </w:p>
              </w:tc>
              <w:tc>
                <w:tcPr>
                  <w:tcW w:w="1226" w:type="dxa"/>
                  <w:tcBorders>
                    <w:tl2br w:val="nil"/>
                    <w:tr2bl w:val="nil"/>
                  </w:tcBorders>
                  <w:vAlign w:val="center"/>
                </w:tcPr>
                <w:p w14:paraId="7CF4B4A8">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项目</w:t>
                  </w:r>
                  <w:r>
                    <w:rPr>
                      <w:rFonts w:hint="eastAsia"/>
                      <w:bCs/>
                      <w:snapToGrid w:val="0"/>
                      <w:color w:val="auto"/>
                      <w:sz w:val="18"/>
                      <w:szCs w:val="18"/>
                      <w:highlight w:val="none"/>
                      <w:lang w:val="en-US" w:eastAsia="zh-CN"/>
                    </w:rPr>
                    <w:t>北</w:t>
                  </w:r>
                  <w:r>
                    <w:rPr>
                      <w:rFonts w:hint="eastAsia" w:eastAsia="宋体"/>
                      <w:bCs/>
                      <w:snapToGrid w:val="0"/>
                      <w:color w:val="auto"/>
                      <w:sz w:val="18"/>
                      <w:szCs w:val="18"/>
                      <w:highlight w:val="none"/>
                    </w:rPr>
                    <w:t>侧外</w:t>
                  </w:r>
                  <w:r>
                    <w:rPr>
                      <w:rFonts w:eastAsia="宋体"/>
                      <w:bCs/>
                      <w:snapToGrid w:val="0"/>
                      <w:color w:val="auto"/>
                      <w:sz w:val="18"/>
                      <w:szCs w:val="18"/>
                      <w:highlight w:val="none"/>
                    </w:rPr>
                    <w:t>1m</w:t>
                  </w:r>
                </w:p>
              </w:tc>
              <w:tc>
                <w:tcPr>
                  <w:tcW w:w="886" w:type="dxa"/>
                  <w:tcBorders>
                    <w:tl2br w:val="nil"/>
                    <w:tr2bl w:val="nil"/>
                  </w:tcBorders>
                  <w:vAlign w:val="center"/>
                </w:tcPr>
                <w:p w14:paraId="5F87A76B">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2</w:t>
                  </w:r>
                  <w:r>
                    <w:rPr>
                      <w:rFonts w:hint="eastAsia" w:eastAsia="宋体"/>
                      <w:bCs/>
                      <w:snapToGrid w:val="0"/>
                      <w:color w:val="auto"/>
                      <w:sz w:val="18"/>
                      <w:szCs w:val="18"/>
                      <w:highlight w:val="none"/>
                    </w:rPr>
                    <w:t>类</w:t>
                  </w:r>
                </w:p>
              </w:tc>
              <w:tc>
                <w:tcPr>
                  <w:tcW w:w="886" w:type="dxa"/>
                  <w:tcBorders>
                    <w:tl2br w:val="nil"/>
                    <w:tr2bl w:val="nil"/>
                  </w:tcBorders>
                  <w:vAlign w:val="center"/>
                </w:tcPr>
                <w:p w14:paraId="3512AC2A">
                  <w:pPr>
                    <w:overflowPunct w:val="0"/>
                    <w:adjustRightInd w:val="0"/>
                    <w:snapToGrid w:val="0"/>
                    <w:jc w:val="center"/>
                    <w:rPr>
                      <w:rFonts w:hint="default" w:eastAsia="宋体"/>
                      <w:bCs/>
                      <w:snapToGrid w:val="0"/>
                      <w:color w:val="auto"/>
                      <w:sz w:val="18"/>
                      <w:szCs w:val="18"/>
                      <w:highlight w:val="none"/>
                      <w:lang w:val="en-US" w:eastAsia="zh-CN"/>
                    </w:rPr>
                  </w:pPr>
                  <w:r>
                    <w:rPr>
                      <w:rFonts w:eastAsia="宋体"/>
                      <w:bCs/>
                      <w:snapToGrid w:val="0"/>
                      <w:color w:val="auto"/>
                      <w:sz w:val="18"/>
                      <w:szCs w:val="18"/>
                      <w:highlight w:val="none"/>
                    </w:rPr>
                    <w:t>5</w:t>
                  </w:r>
                  <w:r>
                    <w:rPr>
                      <w:rFonts w:hint="eastAsia"/>
                      <w:bCs/>
                      <w:snapToGrid w:val="0"/>
                      <w:color w:val="auto"/>
                      <w:sz w:val="18"/>
                      <w:szCs w:val="18"/>
                      <w:highlight w:val="none"/>
                      <w:lang w:val="en-US" w:eastAsia="zh-CN"/>
                    </w:rPr>
                    <w:t>9.5</w:t>
                  </w:r>
                </w:p>
              </w:tc>
              <w:tc>
                <w:tcPr>
                  <w:tcW w:w="886" w:type="dxa"/>
                  <w:tcBorders>
                    <w:tl2br w:val="nil"/>
                    <w:tr2bl w:val="nil"/>
                  </w:tcBorders>
                  <w:vAlign w:val="center"/>
                </w:tcPr>
                <w:p w14:paraId="0D72D3BD">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60</w:t>
                  </w:r>
                </w:p>
              </w:tc>
              <w:tc>
                <w:tcPr>
                  <w:tcW w:w="886" w:type="dxa"/>
                  <w:tcBorders>
                    <w:tl2br w:val="nil"/>
                    <w:tr2bl w:val="nil"/>
                  </w:tcBorders>
                  <w:vAlign w:val="center"/>
                </w:tcPr>
                <w:p w14:paraId="1636AB2D">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达标</w:t>
                  </w:r>
                </w:p>
              </w:tc>
              <w:tc>
                <w:tcPr>
                  <w:tcW w:w="886" w:type="dxa"/>
                  <w:tcBorders>
                    <w:tl2br w:val="nil"/>
                    <w:tr2bl w:val="nil"/>
                  </w:tcBorders>
                  <w:vAlign w:val="center"/>
                </w:tcPr>
                <w:p w14:paraId="28491E3D">
                  <w:pPr>
                    <w:overflowPunct w:val="0"/>
                    <w:adjustRightInd w:val="0"/>
                    <w:snapToGrid w:val="0"/>
                    <w:jc w:val="center"/>
                    <w:rPr>
                      <w:rFonts w:hint="default" w:eastAsia="宋体"/>
                      <w:bCs/>
                      <w:snapToGrid w:val="0"/>
                      <w:color w:val="auto"/>
                      <w:sz w:val="18"/>
                      <w:szCs w:val="18"/>
                      <w:highlight w:val="none"/>
                      <w:lang w:val="en-US" w:eastAsia="zh-CN"/>
                    </w:rPr>
                  </w:pPr>
                  <w:r>
                    <w:rPr>
                      <w:rFonts w:eastAsia="宋体"/>
                      <w:bCs/>
                      <w:snapToGrid w:val="0"/>
                      <w:color w:val="auto"/>
                      <w:sz w:val="18"/>
                      <w:szCs w:val="18"/>
                      <w:highlight w:val="none"/>
                    </w:rPr>
                    <w:t>4</w:t>
                  </w:r>
                  <w:r>
                    <w:rPr>
                      <w:rFonts w:hint="eastAsia" w:eastAsia="宋体"/>
                      <w:bCs/>
                      <w:snapToGrid w:val="0"/>
                      <w:color w:val="auto"/>
                      <w:sz w:val="18"/>
                      <w:szCs w:val="18"/>
                      <w:highlight w:val="none"/>
                      <w:lang w:val="en-US" w:eastAsia="zh-CN"/>
                    </w:rPr>
                    <w:t>8.</w:t>
                  </w:r>
                  <w:r>
                    <w:rPr>
                      <w:rFonts w:hint="eastAsia"/>
                      <w:bCs/>
                      <w:snapToGrid w:val="0"/>
                      <w:color w:val="auto"/>
                      <w:sz w:val="18"/>
                      <w:szCs w:val="18"/>
                      <w:highlight w:val="none"/>
                      <w:lang w:val="en-US" w:eastAsia="zh-CN"/>
                    </w:rPr>
                    <w:t>1</w:t>
                  </w:r>
                </w:p>
              </w:tc>
              <w:tc>
                <w:tcPr>
                  <w:tcW w:w="886" w:type="dxa"/>
                  <w:tcBorders>
                    <w:tl2br w:val="nil"/>
                    <w:tr2bl w:val="nil"/>
                  </w:tcBorders>
                  <w:vAlign w:val="center"/>
                </w:tcPr>
                <w:p w14:paraId="38D2C64A">
                  <w:pPr>
                    <w:overflowPunct w:val="0"/>
                    <w:adjustRightInd w:val="0"/>
                    <w:snapToGrid w:val="0"/>
                    <w:jc w:val="center"/>
                    <w:rPr>
                      <w:rFonts w:eastAsia="宋体"/>
                      <w:bCs/>
                      <w:snapToGrid w:val="0"/>
                      <w:color w:val="auto"/>
                      <w:sz w:val="18"/>
                      <w:szCs w:val="18"/>
                      <w:highlight w:val="none"/>
                    </w:rPr>
                  </w:pPr>
                  <w:r>
                    <w:rPr>
                      <w:rFonts w:eastAsia="宋体"/>
                      <w:bCs/>
                      <w:snapToGrid w:val="0"/>
                      <w:color w:val="auto"/>
                      <w:sz w:val="18"/>
                      <w:szCs w:val="18"/>
                      <w:highlight w:val="none"/>
                    </w:rPr>
                    <w:t>50</w:t>
                  </w:r>
                </w:p>
              </w:tc>
              <w:tc>
                <w:tcPr>
                  <w:tcW w:w="886" w:type="dxa"/>
                  <w:tcBorders>
                    <w:tl2br w:val="nil"/>
                    <w:tr2bl w:val="nil"/>
                  </w:tcBorders>
                  <w:vAlign w:val="center"/>
                </w:tcPr>
                <w:p w14:paraId="0D5484D0">
                  <w:pPr>
                    <w:overflowPunct w:val="0"/>
                    <w:adjustRightInd w:val="0"/>
                    <w:snapToGrid w:val="0"/>
                    <w:jc w:val="center"/>
                    <w:rPr>
                      <w:rFonts w:eastAsia="宋体"/>
                      <w:bCs/>
                      <w:snapToGrid w:val="0"/>
                      <w:color w:val="auto"/>
                      <w:sz w:val="18"/>
                      <w:szCs w:val="18"/>
                      <w:highlight w:val="none"/>
                    </w:rPr>
                  </w:pPr>
                  <w:r>
                    <w:rPr>
                      <w:rFonts w:hint="eastAsia" w:eastAsia="宋体"/>
                      <w:bCs/>
                      <w:snapToGrid w:val="0"/>
                      <w:color w:val="auto"/>
                      <w:sz w:val="18"/>
                      <w:szCs w:val="18"/>
                      <w:highlight w:val="none"/>
                    </w:rPr>
                    <w:t>达标</w:t>
                  </w:r>
                </w:p>
              </w:tc>
            </w:tr>
          </w:tbl>
          <w:p w14:paraId="3BD588FD">
            <w:pPr>
              <w:overflowPunct w:val="0"/>
              <w:adjustRightInd w:val="0"/>
              <w:snapToGrid w:val="0"/>
              <w:spacing w:line="360" w:lineRule="auto"/>
              <w:ind w:firstLine="420" w:firstLineChars="200"/>
              <w:jc w:val="left"/>
              <w:rPr>
                <w:rFonts w:hAnsi="Cambria Math"/>
                <w:color w:val="auto"/>
                <w:highlight w:val="none"/>
              </w:rPr>
            </w:pPr>
            <w:r>
              <w:rPr>
                <w:rFonts w:hint="eastAsia" w:hAnsi="Cambria Math"/>
                <w:color w:val="auto"/>
                <w:highlight w:val="none"/>
              </w:rPr>
              <w:t>根据《市政府关于印发苏州市市区声环境功能区划分规定（</w:t>
            </w:r>
            <w:r>
              <w:rPr>
                <w:rFonts w:hAnsi="Cambria Math"/>
                <w:color w:val="auto"/>
                <w:highlight w:val="none"/>
              </w:rPr>
              <w:t>2018</w:t>
            </w:r>
            <w:r>
              <w:rPr>
                <w:rFonts w:hint="eastAsia" w:hAnsi="Cambria Math"/>
                <w:color w:val="auto"/>
                <w:highlight w:val="none"/>
              </w:rPr>
              <w:t>年修订版）的通知》，本项目为</w:t>
            </w:r>
            <w:r>
              <w:rPr>
                <w:rFonts w:hAnsi="Cambria Math"/>
                <w:color w:val="auto"/>
                <w:highlight w:val="none"/>
              </w:rPr>
              <w:t>2</w:t>
            </w:r>
            <w:r>
              <w:rPr>
                <w:rFonts w:hint="eastAsia" w:hAnsi="Cambria Math"/>
                <w:color w:val="auto"/>
                <w:highlight w:val="none"/>
              </w:rPr>
              <w:t>类声环境功能区，执行《声环境质量标准》（</w:t>
            </w:r>
            <w:r>
              <w:rPr>
                <w:rFonts w:hAnsi="Cambria Math"/>
                <w:color w:val="auto"/>
                <w:highlight w:val="none"/>
              </w:rPr>
              <w:t>GB 3096-2008</w:t>
            </w:r>
            <w:r>
              <w:rPr>
                <w:rFonts w:hint="eastAsia" w:hAnsi="Cambria Math"/>
                <w:color w:val="auto"/>
                <w:highlight w:val="none"/>
              </w:rPr>
              <w:t>）</w:t>
            </w:r>
            <w:r>
              <w:rPr>
                <w:rFonts w:hAnsi="Cambria Math"/>
                <w:color w:val="auto"/>
                <w:highlight w:val="none"/>
              </w:rPr>
              <w:t>2</w:t>
            </w:r>
            <w:r>
              <w:rPr>
                <w:rFonts w:hint="eastAsia" w:hAnsi="Cambria Math"/>
                <w:color w:val="auto"/>
                <w:highlight w:val="none"/>
              </w:rPr>
              <w:t>类标准。由表</w:t>
            </w:r>
            <w:r>
              <w:rPr>
                <w:rFonts w:hAnsi="Cambria Math"/>
                <w:color w:val="auto"/>
                <w:highlight w:val="none"/>
              </w:rPr>
              <w:t>3-3</w:t>
            </w:r>
            <w:r>
              <w:rPr>
                <w:rFonts w:hint="eastAsia" w:hAnsi="Cambria Math"/>
                <w:color w:val="auto"/>
                <w:highlight w:val="none"/>
              </w:rPr>
              <w:t>可见，项目所在地声环境质量现状能达到标准要求。</w:t>
            </w:r>
          </w:p>
          <w:p w14:paraId="6A65C41F">
            <w:pPr>
              <w:numPr>
                <w:ilvl w:val="0"/>
                <w:numId w:val="5"/>
              </w:numPr>
              <w:adjustRightInd w:val="0"/>
              <w:snapToGrid w:val="0"/>
              <w:spacing w:line="360" w:lineRule="auto"/>
              <w:rPr>
                <w:b/>
                <w:bCs/>
                <w:snapToGrid w:val="0"/>
                <w:color w:val="auto"/>
                <w:spacing w:val="-2"/>
                <w:kern w:val="0"/>
                <w:szCs w:val="21"/>
                <w:highlight w:val="none"/>
              </w:rPr>
            </w:pPr>
            <w:r>
              <w:rPr>
                <w:rFonts w:hint="eastAsia"/>
                <w:b/>
                <w:bCs/>
                <w:snapToGrid w:val="0"/>
                <w:color w:val="auto"/>
                <w:spacing w:val="-2"/>
                <w:kern w:val="0"/>
                <w:szCs w:val="21"/>
                <w:highlight w:val="none"/>
              </w:rPr>
              <w:t>地下水、土壤环境质量现状</w:t>
            </w:r>
          </w:p>
          <w:p w14:paraId="19D9187D">
            <w:pPr>
              <w:overflowPunct w:val="0"/>
              <w:adjustRightInd w:val="0"/>
              <w:snapToGrid w:val="0"/>
              <w:spacing w:line="360" w:lineRule="auto"/>
              <w:ind w:firstLine="420" w:firstLineChars="200"/>
              <w:jc w:val="left"/>
              <w:rPr>
                <w:rFonts w:hAnsi="Cambria Math"/>
                <w:color w:val="auto"/>
                <w:highlight w:val="none"/>
              </w:rPr>
            </w:pPr>
            <w:r>
              <w:rPr>
                <w:rFonts w:hint="eastAsia" w:hAnsi="Cambria Math"/>
                <w:color w:val="auto"/>
                <w:highlight w:val="none"/>
              </w:rPr>
              <w:t>本项目位于苏州市</w:t>
            </w:r>
            <w:r>
              <w:rPr>
                <w:rFonts w:hint="eastAsia" w:hAnsi="Cambria Math"/>
                <w:color w:val="auto"/>
                <w:highlight w:val="none"/>
                <w:lang w:eastAsia="zh-CN"/>
              </w:rPr>
              <w:t>吴江区桃源镇澄源村</w:t>
            </w:r>
            <w:r>
              <w:rPr>
                <w:rFonts w:hint="eastAsia" w:hAnsi="Cambria Math"/>
                <w:color w:val="auto"/>
                <w:highlight w:val="none"/>
              </w:rPr>
              <w:t>，厂界外</w:t>
            </w:r>
            <w:r>
              <w:rPr>
                <w:rFonts w:hAnsi="Cambria Math"/>
                <w:color w:val="auto"/>
                <w:highlight w:val="none"/>
              </w:rPr>
              <w:t>500m</w:t>
            </w:r>
            <w:r>
              <w:rPr>
                <w:rFonts w:hint="eastAsia" w:hAnsi="Cambria Math"/>
                <w:color w:val="auto"/>
                <w:highlight w:val="none"/>
              </w:rPr>
              <w:t>范围内无地下水集中式饮用水源和热水、矿泉水、温泉等。本项目原辅料及危险废物均储存于室内，且室内已做好水泥硬化和防渗漏，因此不存在土壤、地下水环境污染途径。根据《建设项目环境影响报告表编制技术指南（污染影响类）（试行）》要求，</w:t>
            </w:r>
            <w:r>
              <w:rPr>
                <w:rFonts w:hint="eastAsia" w:hAnsi="Cambria Math"/>
                <w:color w:val="auto"/>
                <w:highlight w:val="none"/>
                <w:lang w:val="en-US" w:eastAsia="zh-CN"/>
              </w:rPr>
              <w:t>无</w:t>
            </w:r>
            <w:r>
              <w:rPr>
                <w:rFonts w:hint="eastAsia" w:hAnsi="Cambria Math"/>
                <w:color w:val="auto"/>
                <w:highlight w:val="none"/>
              </w:rPr>
              <w:t>需进行地下水和土壤现状调查。</w:t>
            </w:r>
          </w:p>
          <w:p w14:paraId="7BB6C81B">
            <w:pPr>
              <w:adjustRightInd w:val="0"/>
              <w:snapToGrid w:val="0"/>
              <w:spacing w:line="360" w:lineRule="auto"/>
              <w:rPr>
                <w:b/>
                <w:bCs/>
                <w:snapToGrid w:val="0"/>
                <w:color w:val="auto"/>
                <w:spacing w:val="-2"/>
                <w:kern w:val="0"/>
                <w:szCs w:val="21"/>
                <w:highlight w:val="none"/>
              </w:rPr>
            </w:pPr>
            <w:r>
              <w:rPr>
                <w:b/>
                <w:bCs/>
                <w:snapToGrid w:val="0"/>
                <w:color w:val="auto"/>
                <w:spacing w:val="-2"/>
                <w:kern w:val="0"/>
                <w:szCs w:val="21"/>
                <w:highlight w:val="none"/>
              </w:rPr>
              <w:t>5</w:t>
            </w:r>
            <w:r>
              <w:rPr>
                <w:rFonts w:hint="eastAsia"/>
                <w:b/>
                <w:bCs/>
                <w:snapToGrid w:val="0"/>
                <w:color w:val="auto"/>
                <w:spacing w:val="-2"/>
                <w:kern w:val="0"/>
                <w:szCs w:val="21"/>
                <w:highlight w:val="none"/>
              </w:rPr>
              <w:t>、生态环境质量现状</w:t>
            </w:r>
          </w:p>
          <w:p w14:paraId="3D4BF27F">
            <w:pPr>
              <w:overflowPunct w:val="0"/>
              <w:adjustRightInd w:val="0"/>
              <w:snapToGrid w:val="0"/>
              <w:spacing w:line="360" w:lineRule="auto"/>
              <w:ind w:firstLine="420" w:firstLineChars="200"/>
              <w:jc w:val="left"/>
              <w:rPr>
                <w:rFonts w:hAnsi="Cambria Math"/>
                <w:color w:val="auto"/>
                <w:highlight w:val="none"/>
              </w:rPr>
            </w:pPr>
            <w:r>
              <w:rPr>
                <w:rFonts w:hint="eastAsia" w:hAnsi="Cambria Math"/>
                <w:color w:val="auto"/>
                <w:highlight w:val="none"/>
              </w:rPr>
              <w:t>本项目位于苏州市</w:t>
            </w:r>
            <w:r>
              <w:rPr>
                <w:rFonts w:hint="eastAsia" w:hAnsi="Cambria Math"/>
                <w:color w:val="auto"/>
                <w:highlight w:val="none"/>
                <w:lang w:eastAsia="zh-CN"/>
              </w:rPr>
              <w:t>吴江区桃源镇澄源村</w:t>
            </w:r>
            <w:r>
              <w:rPr>
                <w:rFonts w:hint="eastAsia" w:hAnsi="Cambria Math"/>
                <w:color w:val="auto"/>
                <w:highlight w:val="none"/>
              </w:rPr>
              <w:t>，位于已建厂区内，不另外新增用地，用地范围内无生态环境保护目标。根据《建设项目环境影响报告表编制技术指南》（污染影响类）（试行）的要求，不需要进行生态现状调查。</w:t>
            </w:r>
          </w:p>
          <w:p w14:paraId="19DEF965">
            <w:pPr>
              <w:adjustRightInd w:val="0"/>
              <w:snapToGrid w:val="0"/>
              <w:spacing w:line="360" w:lineRule="auto"/>
              <w:rPr>
                <w:b/>
                <w:bCs/>
                <w:snapToGrid w:val="0"/>
                <w:color w:val="auto"/>
                <w:spacing w:val="-2"/>
                <w:kern w:val="0"/>
                <w:szCs w:val="21"/>
                <w:highlight w:val="none"/>
              </w:rPr>
            </w:pPr>
            <w:r>
              <w:rPr>
                <w:b/>
                <w:bCs/>
                <w:snapToGrid w:val="0"/>
                <w:color w:val="auto"/>
                <w:spacing w:val="-2"/>
                <w:kern w:val="0"/>
                <w:szCs w:val="21"/>
                <w:highlight w:val="none"/>
              </w:rPr>
              <w:t>6</w:t>
            </w:r>
            <w:r>
              <w:rPr>
                <w:rFonts w:hint="eastAsia"/>
                <w:b/>
                <w:bCs/>
                <w:snapToGrid w:val="0"/>
                <w:color w:val="auto"/>
                <w:spacing w:val="-2"/>
                <w:kern w:val="0"/>
                <w:szCs w:val="21"/>
                <w:highlight w:val="none"/>
              </w:rPr>
              <w:t>、电磁辐射环境质量现状</w:t>
            </w:r>
          </w:p>
          <w:p w14:paraId="3324CC26">
            <w:pPr>
              <w:overflowPunct w:val="0"/>
              <w:adjustRightInd w:val="0"/>
              <w:snapToGrid w:val="0"/>
              <w:spacing w:line="360" w:lineRule="auto"/>
              <w:ind w:firstLine="420" w:firstLineChars="200"/>
              <w:jc w:val="left"/>
              <w:rPr>
                <w:rFonts w:hAnsi="Cambria Math"/>
                <w:color w:val="auto"/>
                <w:highlight w:val="none"/>
              </w:rPr>
            </w:pPr>
            <w:r>
              <w:rPr>
                <w:rFonts w:hint="eastAsia" w:hAnsi="Cambria Math"/>
                <w:color w:val="auto"/>
                <w:highlight w:val="none"/>
              </w:rPr>
              <w:t>本项目不涉及电磁辐射类项目，不开展电磁辐射现状监测与评价。</w:t>
            </w:r>
          </w:p>
        </w:tc>
      </w:tr>
      <w:tr w14:paraId="341C18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7" w:type="dxa"/>
            <w:vAlign w:val="center"/>
          </w:tcPr>
          <w:p w14:paraId="57A4C529">
            <w:pPr>
              <w:adjustRightInd w:val="0"/>
              <w:snapToGrid w:val="0"/>
              <w:jc w:val="center"/>
              <w:rPr>
                <w:rFonts w:ascii="宋体" w:cs="宋体"/>
                <w:color w:val="auto"/>
                <w:kern w:val="0"/>
                <w:szCs w:val="21"/>
                <w:highlight w:val="none"/>
              </w:rPr>
            </w:pPr>
            <w:r>
              <w:rPr>
                <w:rFonts w:hint="eastAsia" w:ascii="宋体" w:hAnsi="宋体" w:cs="宋体"/>
                <w:color w:val="auto"/>
                <w:kern w:val="0"/>
                <w:szCs w:val="21"/>
                <w:highlight w:val="none"/>
              </w:rPr>
              <w:t>环境</w:t>
            </w:r>
          </w:p>
          <w:p w14:paraId="4CC72AE1">
            <w:pPr>
              <w:adjustRightInd w:val="0"/>
              <w:snapToGrid w:val="0"/>
              <w:jc w:val="center"/>
              <w:rPr>
                <w:rFonts w:ascii="宋体" w:cs="宋体"/>
                <w:color w:val="auto"/>
                <w:kern w:val="0"/>
                <w:szCs w:val="21"/>
                <w:highlight w:val="none"/>
              </w:rPr>
            </w:pPr>
            <w:r>
              <w:rPr>
                <w:rFonts w:hint="eastAsia" w:ascii="宋体" w:hAnsi="宋体" w:cs="宋体"/>
                <w:color w:val="auto"/>
                <w:kern w:val="0"/>
                <w:szCs w:val="21"/>
                <w:highlight w:val="none"/>
              </w:rPr>
              <w:t>保护</w:t>
            </w:r>
          </w:p>
          <w:p w14:paraId="0CD393FA">
            <w:pPr>
              <w:adjustRightInd w:val="0"/>
              <w:snapToGrid w:val="0"/>
              <w:jc w:val="center"/>
              <w:rPr>
                <w:rFonts w:ascii="宋体" w:cs="宋体"/>
                <w:color w:val="auto"/>
                <w:kern w:val="0"/>
                <w:szCs w:val="21"/>
                <w:highlight w:val="none"/>
              </w:rPr>
            </w:pPr>
            <w:r>
              <w:rPr>
                <w:rFonts w:hint="eastAsia" w:ascii="宋体" w:hAnsi="宋体" w:cs="宋体"/>
                <w:color w:val="auto"/>
                <w:kern w:val="0"/>
                <w:szCs w:val="21"/>
                <w:highlight w:val="none"/>
              </w:rPr>
              <w:t>目标</w:t>
            </w:r>
          </w:p>
        </w:tc>
        <w:tc>
          <w:tcPr>
            <w:tcW w:w="8363" w:type="dxa"/>
            <w:vAlign w:val="top"/>
          </w:tcPr>
          <w:p w14:paraId="61B0B66E">
            <w:pPr>
              <w:adjustRightInd w:val="0"/>
              <w:snapToGrid w:val="0"/>
              <w:spacing w:line="360" w:lineRule="auto"/>
              <w:rPr>
                <w:b/>
                <w:bCs/>
                <w:snapToGrid w:val="0"/>
                <w:color w:val="auto"/>
                <w:spacing w:val="-2"/>
                <w:kern w:val="0"/>
                <w:szCs w:val="21"/>
                <w:highlight w:val="none"/>
              </w:rPr>
            </w:pPr>
            <w:r>
              <w:rPr>
                <w:b/>
                <w:bCs/>
                <w:snapToGrid w:val="0"/>
                <w:color w:val="auto"/>
                <w:spacing w:val="-2"/>
                <w:kern w:val="0"/>
                <w:szCs w:val="21"/>
                <w:highlight w:val="none"/>
              </w:rPr>
              <w:t>1</w:t>
            </w:r>
            <w:r>
              <w:rPr>
                <w:rFonts w:hint="eastAsia"/>
                <w:b/>
                <w:bCs/>
                <w:snapToGrid w:val="0"/>
                <w:color w:val="auto"/>
                <w:spacing w:val="-2"/>
                <w:kern w:val="0"/>
                <w:szCs w:val="21"/>
                <w:highlight w:val="none"/>
              </w:rPr>
              <w:t>、大气环境</w:t>
            </w:r>
          </w:p>
          <w:p w14:paraId="686D417C">
            <w:pPr>
              <w:overflowPunct w:val="0"/>
              <w:adjustRightInd w:val="0"/>
              <w:snapToGrid w:val="0"/>
              <w:spacing w:line="360" w:lineRule="auto"/>
              <w:ind w:firstLine="420" w:firstLineChars="200"/>
              <w:jc w:val="left"/>
              <w:rPr>
                <w:rFonts w:hAnsi="Cambria Math"/>
                <w:color w:val="auto"/>
                <w:highlight w:val="none"/>
              </w:rPr>
            </w:pPr>
            <w:r>
              <w:rPr>
                <w:rFonts w:hint="eastAsia" w:hAnsi="Cambria Math"/>
                <w:color w:val="auto"/>
                <w:highlight w:val="none"/>
              </w:rPr>
              <w:t>本项目位于</w:t>
            </w:r>
            <w:r>
              <w:rPr>
                <w:rFonts w:hint="eastAsia" w:hAnsi="Cambria Math"/>
                <w:color w:val="auto"/>
                <w:highlight w:val="none"/>
                <w:lang w:eastAsia="zh-CN"/>
              </w:rPr>
              <w:t>江苏省苏州市吴江区桃源镇澄源村</w:t>
            </w:r>
            <w:r>
              <w:rPr>
                <w:rFonts w:hint="eastAsia" w:hAnsi="Cambria Math"/>
                <w:color w:val="auto"/>
                <w:highlight w:val="none"/>
              </w:rPr>
              <w:t>，本项目大气环境保护目标见表</w:t>
            </w:r>
            <w:r>
              <w:rPr>
                <w:rFonts w:hAnsi="Cambria Math"/>
                <w:color w:val="auto"/>
                <w:highlight w:val="none"/>
              </w:rPr>
              <w:t>3-4</w:t>
            </w:r>
            <w:r>
              <w:rPr>
                <w:rFonts w:hint="eastAsia" w:hAnsi="Cambria Math"/>
                <w:color w:val="auto"/>
                <w:highlight w:val="none"/>
              </w:rPr>
              <w:t>。</w:t>
            </w:r>
          </w:p>
          <w:p w14:paraId="76412AF5">
            <w:pPr>
              <w:tabs>
                <w:tab w:val="center" w:pos="4156"/>
                <w:tab w:val="left" w:pos="5964"/>
              </w:tabs>
              <w:adjustRightInd w:val="0"/>
              <w:snapToGrid w:val="0"/>
              <w:jc w:val="center"/>
              <w:rPr>
                <w:b/>
                <w:snapToGrid w:val="0"/>
                <w:color w:val="auto"/>
                <w:szCs w:val="21"/>
                <w:highlight w:val="none"/>
              </w:rPr>
            </w:pPr>
            <w:r>
              <w:rPr>
                <w:rFonts w:hint="eastAsia"/>
                <w:b/>
                <w:snapToGrid w:val="0"/>
                <w:color w:val="auto"/>
                <w:szCs w:val="21"/>
                <w:highlight w:val="none"/>
              </w:rPr>
              <w:t>表</w:t>
            </w:r>
            <w:r>
              <w:rPr>
                <w:b/>
                <w:snapToGrid w:val="0"/>
                <w:color w:val="auto"/>
                <w:szCs w:val="21"/>
                <w:highlight w:val="none"/>
              </w:rPr>
              <w:t xml:space="preserve">3-4  </w:t>
            </w:r>
            <w:r>
              <w:rPr>
                <w:rFonts w:hint="eastAsia"/>
                <w:b/>
                <w:snapToGrid w:val="0"/>
                <w:color w:val="auto"/>
                <w:szCs w:val="21"/>
                <w:highlight w:val="none"/>
              </w:rPr>
              <w:t>大气环境保护目标</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948"/>
              <w:gridCol w:w="736"/>
              <w:gridCol w:w="690"/>
              <w:gridCol w:w="905"/>
              <w:gridCol w:w="876"/>
              <w:gridCol w:w="1043"/>
              <w:gridCol w:w="890"/>
              <w:gridCol w:w="1059"/>
            </w:tblGrid>
            <w:tr w14:paraId="7A05E6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948" w:type="dxa"/>
                  <w:vMerge w:val="restart"/>
                  <w:tcBorders>
                    <w:tl2br w:val="nil"/>
                    <w:tr2bl w:val="nil"/>
                  </w:tcBorders>
                  <w:vAlign w:val="center"/>
                </w:tcPr>
                <w:p w14:paraId="58B72F72">
                  <w:pPr>
                    <w:overflowPunct w:val="0"/>
                    <w:adjustRightInd w:val="0"/>
                    <w:snapToGrid w:val="0"/>
                    <w:jc w:val="center"/>
                    <w:rPr>
                      <w:snapToGrid w:val="0"/>
                      <w:color w:val="auto"/>
                      <w:kern w:val="0"/>
                      <w:sz w:val="18"/>
                      <w:szCs w:val="18"/>
                      <w:highlight w:val="none"/>
                    </w:rPr>
                  </w:pPr>
                  <w:r>
                    <w:rPr>
                      <w:rFonts w:hint="eastAsia"/>
                      <w:snapToGrid w:val="0"/>
                      <w:color w:val="auto"/>
                      <w:kern w:val="0"/>
                      <w:sz w:val="18"/>
                      <w:szCs w:val="18"/>
                      <w:highlight w:val="none"/>
                    </w:rPr>
                    <w:t>名称</w:t>
                  </w:r>
                </w:p>
              </w:tc>
              <w:tc>
                <w:tcPr>
                  <w:tcW w:w="1426" w:type="dxa"/>
                  <w:gridSpan w:val="2"/>
                  <w:tcBorders>
                    <w:tl2br w:val="nil"/>
                    <w:tr2bl w:val="nil"/>
                  </w:tcBorders>
                  <w:vAlign w:val="center"/>
                </w:tcPr>
                <w:p w14:paraId="1960B421">
                  <w:pPr>
                    <w:overflowPunct w:val="0"/>
                    <w:adjustRightInd w:val="0"/>
                    <w:snapToGrid w:val="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坐标</w:t>
                  </w:r>
                  <w:r>
                    <w:rPr>
                      <w:snapToGrid w:val="0"/>
                      <w:color w:val="auto"/>
                      <w:kern w:val="0"/>
                      <w:sz w:val="18"/>
                      <w:szCs w:val="18"/>
                      <w:highlight w:val="none"/>
                    </w:rPr>
                    <w:t>/m</w:t>
                  </w:r>
                </w:p>
              </w:tc>
              <w:tc>
                <w:tcPr>
                  <w:tcW w:w="905" w:type="dxa"/>
                  <w:vMerge w:val="restart"/>
                  <w:tcBorders>
                    <w:tl2br w:val="nil"/>
                    <w:tr2bl w:val="nil"/>
                  </w:tcBorders>
                  <w:vAlign w:val="center"/>
                </w:tcPr>
                <w:p w14:paraId="279F1087">
                  <w:pPr>
                    <w:overflowPunct w:val="0"/>
                    <w:adjustRightInd w:val="0"/>
                    <w:snapToGrid w:val="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保护对象</w:t>
                  </w:r>
                </w:p>
              </w:tc>
              <w:tc>
                <w:tcPr>
                  <w:tcW w:w="876" w:type="dxa"/>
                  <w:vMerge w:val="restart"/>
                  <w:tcBorders>
                    <w:tl2br w:val="nil"/>
                    <w:tr2bl w:val="nil"/>
                  </w:tcBorders>
                  <w:vAlign w:val="center"/>
                </w:tcPr>
                <w:p w14:paraId="02E2516F">
                  <w:pPr>
                    <w:overflowPunct w:val="0"/>
                    <w:adjustRightInd w:val="0"/>
                    <w:snapToGrid w:val="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保护内容</w:t>
                  </w:r>
                </w:p>
              </w:tc>
              <w:tc>
                <w:tcPr>
                  <w:tcW w:w="1043" w:type="dxa"/>
                  <w:vMerge w:val="restart"/>
                  <w:tcBorders>
                    <w:tl2br w:val="nil"/>
                    <w:tr2bl w:val="nil"/>
                  </w:tcBorders>
                  <w:vAlign w:val="center"/>
                </w:tcPr>
                <w:p w14:paraId="02AADE55">
                  <w:pPr>
                    <w:overflowPunct w:val="0"/>
                    <w:adjustRightInd w:val="0"/>
                    <w:snapToGrid w:val="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环境功能区</w:t>
                  </w:r>
                </w:p>
              </w:tc>
              <w:tc>
                <w:tcPr>
                  <w:tcW w:w="890" w:type="dxa"/>
                  <w:vMerge w:val="restart"/>
                  <w:tcBorders>
                    <w:tl2br w:val="nil"/>
                    <w:tr2bl w:val="nil"/>
                  </w:tcBorders>
                  <w:vAlign w:val="center"/>
                </w:tcPr>
                <w:p w14:paraId="0275EA84">
                  <w:pPr>
                    <w:overflowPunct w:val="0"/>
                    <w:adjustRightInd w:val="0"/>
                    <w:snapToGrid w:val="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相对厂址方位</w:t>
                  </w:r>
                </w:p>
              </w:tc>
              <w:tc>
                <w:tcPr>
                  <w:tcW w:w="1059" w:type="dxa"/>
                  <w:vMerge w:val="restart"/>
                  <w:tcBorders>
                    <w:tl2br w:val="nil"/>
                    <w:tr2bl w:val="nil"/>
                  </w:tcBorders>
                  <w:vAlign w:val="center"/>
                </w:tcPr>
                <w:p w14:paraId="30EFF5A5">
                  <w:pPr>
                    <w:overflowPunct w:val="0"/>
                    <w:adjustRightInd w:val="0"/>
                    <w:snapToGrid w:val="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相对本项目距离</w:t>
                  </w:r>
                  <w:r>
                    <w:rPr>
                      <w:snapToGrid w:val="0"/>
                      <w:color w:val="auto"/>
                      <w:kern w:val="0"/>
                      <w:sz w:val="18"/>
                      <w:szCs w:val="18"/>
                      <w:highlight w:val="none"/>
                    </w:rPr>
                    <w:t>/m</w:t>
                  </w:r>
                </w:p>
              </w:tc>
            </w:tr>
            <w:tr w14:paraId="00116A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948" w:type="dxa"/>
                  <w:vMerge w:val="continue"/>
                  <w:tcBorders>
                    <w:tl2br w:val="nil"/>
                    <w:tr2bl w:val="nil"/>
                  </w:tcBorders>
                  <w:vAlign w:val="center"/>
                </w:tcPr>
                <w:p w14:paraId="769A6970">
                  <w:pPr>
                    <w:overflowPunct w:val="0"/>
                    <w:adjustRightInd w:val="0"/>
                    <w:snapToGrid w:val="0"/>
                    <w:jc w:val="center"/>
                    <w:rPr>
                      <w:rFonts w:eastAsia="Times New Roman"/>
                      <w:snapToGrid w:val="0"/>
                      <w:color w:val="auto"/>
                      <w:kern w:val="0"/>
                      <w:sz w:val="18"/>
                      <w:szCs w:val="18"/>
                      <w:highlight w:val="none"/>
                    </w:rPr>
                  </w:pPr>
                </w:p>
              </w:tc>
              <w:tc>
                <w:tcPr>
                  <w:tcW w:w="736" w:type="dxa"/>
                  <w:tcBorders>
                    <w:tl2br w:val="nil"/>
                    <w:tr2bl w:val="nil"/>
                  </w:tcBorders>
                  <w:vAlign w:val="center"/>
                </w:tcPr>
                <w:p w14:paraId="0F1FE40A">
                  <w:pPr>
                    <w:overflowPunct w:val="0"/>
                    <w:adjustRightInd w:val="0"/>
                    <w:snapToGrid w:val="0"/>
                    <w:jc w:val="center"/>
                    <w:rPr>
                      <w:rFonts w:eastAsia="Times New Roman"/>
                      <w:snapToGrid w:val="0"/>
                      <w:color w:val="auto"/>
                      <w:kern w:val="0"/>
                      <w:sz w:val="18"/>
                      <w:szCs w:val="18"/>
                      <w:highlight w:val="none"/>
                    </w:rPr>
                  </w:pPr>
                  <w:r>
                    <w:rPr>
                      <w:rFonts w:eastAsia="Times New Roman"/>
                      <w:snapToGrid w:val="0"/>
                      <w:color w:val="auto"/>
                      <w:kern w:val="0"/>
                      <w:sz w:val="18"/>
                      <w:szCs w:val="18"/>
                      <w:highlight w:val="none"/>
                    </w:rPr>
                    <w:t>X</w:t>
                  </w:r>
                </w:p>
              </w:tc>
              <w:tc>
                <w:tcPr>
                  <w:tcW w:w="690" w:type="dxa"/>
                  <w:tcBorders>
                    <w:tl2br w:val="nil"/>
                    <w:tr2bl w:val="nil"/>
                  </w:tcBorders>
                  <w:vAlign w:val="center"/>
                </w:tcPr>
                <w:p w14:paraId="35C99EF7">
                  <w:pPr>
                    <w:overflowPunct w:val="0"/>
                    <w:adjustRightInd w:val="0"/>
                    <w:snapToGrid w:val="0"/>
                    <w:jc w:val="center"/>
                    <w:rPr>
                      <w:rFonts w:eastAsia="Times New Roman"/>
                      <w:snapToGrid w:val="0"/>
                      <w:color w:val="auto"/>
                      <w:kern w:val="0"/>
                      <w:sz w:val="18"/>
                      <w:szCs w:val="18"/>
                      <w:highlight w:val="none"/>
                    </w:rPr>
                  </w:pPr>
                  <w:r>
                    <w:rPr>
                      <w:snapToGrid w:val="0"/>
                      <w:color w:val="auto"/>
                      <w:kern w:val="0"/>
                      <w:sz w:val="18"/>
                      <w:szCs w:val="18"/>
                      <w:highlight w:val="none"/>
                    </w:rPr>
                    <w:t>Y</w:t>
                  </w:r>
                </w:p>
              </w:tc>
              <w:tc>
                <w:tcPr>
                  <w:tcW w:w="905" w:type="dxa"/>
                  <w:vMerge w:val="continue"/>
                  <w:tcBorders>
                    <w:tl2br w:val="nil"/>
                    <w:tr2bl w:val="nil"/>
                  </w:tcBorders>
                  <w:vAlign w:val="center"/>
                </w:tcPr>
                <w:p w14:paraId="0BD6266F">
                  <w:pPr>
                    <w:overflowPunct w:val="0"/>
                    <w:adjustRightInd w:val="0"/>
                    <w:snapToGrid w:val="0"/>
                    <w:jc w:val="center"/>
                    <w:rPr>
                      <w:rFonts w:eastAsia="Times New Roman"/>
                      <w:snapToGrid w:val="0"/>
                      <w:color w:val="auto"/>
                      <w:kern w:val="0"/>
                      <w:sz w:val="18"/>
                      <w:szCs w:val="18"/>
                      <w:highlight w:val="none"/>
                    </w:rPr>
                  </w:pPr>
                </w:p>
              </w:tc>
              <w:tc>
                <w:tcPr>
                  <w:tcW w:w="876" w:type="dxa"/>
                  <w:vMerge w:val="continue"/>
                  <w:tcBorders>
                    <w:tl2br w:val="nil"/>
                    <w:tr2bl w:val="nil"/>
                  </w:tcBorders>
                  <w:vAlign w:val="center"/>
                </w:tcPr>
                <w:p w14:paraId="7998FB62">
                  <w:pPr>
                    <w:overflowPunct w:val="0"/>
                    <w:adjustRightInd w:val="0"/>
                    <w:snapToGrid w:val="0"/>
                    <w:jc w:val="center"/>
                    <w:rPr>
                      <w:rFonts w:eastAsia="Times New Roman"/>
                      <w:snapToGrid w:val="0"/>
                      <w:color w:val="auto"/>
                      <w:kern w:val="0"/>
                      <w:sz w:val="18"/>
                      <w:szCs w:val="18"/>
                      <w:highlight w:val="none"/>
                    </w:rPr>
                  </w:pPr>
                </w:p>
              </w:tc>
              <w:tc>
                <w:tcPr>
                  <w:tcW w:w="1043" w:type="dxa"/>
                  <w:vMerge w:val="continue"/>
                  <w:tcBorders>
                    <w:tl2br w:val="nil"/>
                    <w:tr2bl w:val="nil"/>
                  </w:tcBorders>
                  <w:vAlign w:val="center"/>
                </w:tcPr>
                <w:p w14:paraId="1D101B98">
                  <w:pPr>
                    <w:overflowPunct w:val="0"/>
                    <w:adjustRightInd w:val="0"/>
                    <w:snapToGrid w:val="0"/>
                    <w:jc w:val="center"/>
                    <w:rPr>
                      <w:rFonts w:eastAsia="Times New Roman"/>
                      <w:snapToGrid w:val="0"/>
                      <w:color w:val="auto"/>
                      <w:kern w:val="0"/>
                      <w:sz w:val="18"/>
                      <w:szCs w:val="18"/>
                      <w:highlight w:val="none"/>
                    </w:rPr>
                  </w:pPr>
                </w:p>
              </w:tc>
              <w:tc>
                <w:tcPr>
                  <w:tcW w:w="890" w:type="dxa"/>
                  <w:vMerge w:val="continue"/>
                  <w:tcBorders>
                    <w:tl2br w:val="nil"/>
                    <w:tr2bl w:val="nil"/>
                  </w:tcBorders>
                  <w:vAlign w:val="center"/>
                </w:tcPr>
                <w:p w14:paraId="0421EA8A">
                  <w:pPr>
                    <w:overflowPunct w:val="0"/>
                    <w:adjustRightInd w:val="0"/>
                    <w:snapToGrid w:val="0"/>
                    <w:jc w:val="center"/>
                    <w:rPr>
                      <w:rFonts w:eastAsia="Times New Roman"/>
                      <w:snapToGrid w:val="0"/>
                      <w:color w:val="auto"/>
                      <w:kern w:val="0"/>
                      <w:sz w:val="18"/>
                      <w:szCs w:val="18"/>
                      <w:highlight w:val="none"/>
                    </w:rPr>
                  </w:pPr>
                </w:p>
              </w:tc>
              <w:tc>
                <w:tcPr>
                  <w:tcW w:w="1059" w:type="dxa"/>
                  <w:vMerge w:val="continue"/>
                  <w:tcBorders>
                    <w:tl2br w:val="nil"/>
                    <w:tr2bl w:val="nil"/>
                  </w:tcBorders>
                  <w:vAlign w:val="center"/>
                </w:tcPr>
                <w:p w14:paraId="1F83C7E4">
                  <w:pPr>
                    <w:overflowPunct w:val="0"/>
                    <w:adjustRightInd w:val="0"/>
                    <w:snapToGrid w:val="0"/>
                    <w:jc w:val="center"/>
                    <w:rPr>
                      <w:rFonts w:eastAsia="Times New Roman"/>
                      <w:snapToGrid w:val="0"/>
                      <w:color w:val="auto"/>
                      <w:kern w:val="0"/>
                      <w:sz w:val="18"/>
                      <w:szCs w:val="18"/>
                      <w:highlight w:val="none"/>
                    </w:rPr>
                  </w:pPr>
                </w:p>
              </w:tc>
            </w:tr>
            <w:tr w14:paraId="722D40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948" w:type="dxa"/>
                  <w:tcBorders>
                    <w:tl2br w:val="nil"/>
                    <w:tr2bl w:val="nil"/>
                  </w:tcBorders>
                  <w:vAlign w:val="center"/>
                </w:tcPr>
                <w:p w14:paraId="5F2758D1">
                  <w:pPr>
                    <w:pStyle w:val="62"/>
                    <w:adjustRightInd w:val="0"/>
                    <w:snapToGrid w:val="0"/>
                    <w:spacing w:beforeLines="0"/>
                    <w:rPr>
                      <w:rFonts w:hint="default" w:eastAsia="宋体"/>
                      <w:snapToGrid w:val="0"/>
                      <w:color w:val="auto"/>
                      <w:sz w:val="18"/>
                      <w:szCs w:val="18"/>
                      <w:highlight w:val="none"/>
                      <w:lang w:val="en-US" w:eastAsia="zh-CN"/>
                    </w:rPr>
                  </w:pPr>
                  <w:r>
                    <w:rPr>
                      <w:rFonts w:hint="eastAsia"/>
                      <w:snapToGrid w:val="0"/>
                      <w:color w:val="auto"/>
                      <w:sz w:val="18"/>
                      <w:szCs w:val="18"/>
                      <w:highlight w:val="none"/>
                      <w:lang w:val="en-US" w:eastAsia="zh-CN"/>
                    </w:rPr>
                    <w:t>南埭</w:t>
                  </w:r>
                </w:p>
              </w:tc>
              <w:tc>
                <w:tcPr>
                  <w:tcW w:w="736" w:type="dxa"/>
                  <w:tcBorders>
                    <w:tl2br w:val="nil"/>
                    <w:tr2bl w:val="nil"/>
                  </w:tcBorders>
                  <w:vAlign w:val="center"/>
                </w:tcPr>
                <w:p w14:paraId="3B599B78">
                  <w:pPr>
                    <w:adjustRightInd w:val="0"/>
                    <w:snapToGrid w:val="0"/>
                    <w:jc w:val="center"/>
                    <w:rPr>
                      <w:rFonts w:hint="default" w:eastAsia="宋体"/>
                      <w:snapToGrid w:val="0"/>
                      <w:color w:val="auto"/>
                      <w:kern w:val="0"/>
                      <w:sz w:val="18"/>
                      <w:szCs w:val="18"/>
                      <w:highlight w:val="none"/>
                      <w:lang w:val="en-US" w:eastAsia="zh-CN"/>
                    </w:rPr>
                  </w:pPr>
                  <w:r>
                    <w:rPr>
                      <w:rFonts w:hint="eastAsia"/>
                      <w:snapToGrid w:val="0"/>
                      <w:color w:val="auto"/>
                      <w:kern w:val="0"/>
                      <w:sz w:val="18"/>
                      <w:szCs w:val="18"/>
                      <w:highlight w:val="none"/>
                      <w:lang w:val="en-US" w:eastAsia="zh-CN"/>
                    </w:rPr>
                    <w:t>-372</w:t>
                  </w:r>
                </w:p>
              </w:tc>
              <w:tc>
                <w:tcPr>
                  <w:tcW w:w="690" w:type="dxa"/>
                  <w:tcBorders>
                    <w:tl2br w:val="nil"/>
                    <w:tr2bl w:val="nil"/>
                  </w:tcBorders>
                  <w:vAlign w:val="center"/>
                </w:tcPr>
                <w:p w14:paraId="548FB820">
                  <w:pPr>
                    <w:adjustRightInd w:val="0"/>
                    <w:snapToGrid w:val="0"/>
                    <w:jc w:val="center"/>
                    <w:rPr>
                      <w:rFonts w:hint="default" w:eastAsia="宋体"/>
                      <w:snapToGrid w:val="0"/>
                      <w:color w:val="auto"/>
                      <w:kern w:val="0"/>
                      <w:sz w:val="18"/>
                      <w:szCs w:val="18"/>
                      <w:highlight w:val="none"/>
                      <w:lang w:val="en-US" w:eastAsia="zh-CN"/>
                    </w:rPr>
                  </w:pPr>
                  <w:r>
                    <w:rPr>
                      <w:rFonts w:hint="eastAsia"/>
                      <w:snapToGrid w:val="0"/>
                      <w:color w:val="auto"/>
                      <w:kern w:val="0"/>
                      <w:sz w:val="18"/>
                      <w:szCs w:val="18"/>
                      <w:highlight w:val="none"/>
                      <w:lang w:val="en-US" w:eastAsia="zh-CN"/>
                    </w:rPr>
                    <w:t>140</w:t>
                  </w:r>
                </w:p>
              </w:tc>
              <w:tc>
                <w:tcPr>
                  <w:tcW w:w="905" w:type="dxa"/>
                  <w:tcBorders>
                    <w:tl2br w:val="nil"/>
                    <w:tr2bl w:val="nil"/>
                  </w:tcBorders>
                  <w:vAlign w:val="center"/>
                </w:tcPr>
                <w:p w14:paraId="3307D16B">
                  <w:pPr>
                    <w:pStyle w:val="62"/>
                    <w:adjustRightInd w:val="0"/>
                    <w:snapToGrid w:val="0"/>
                    <w:spacing w:beforeLines="0"/>
                    <w:rPr>
                      <w:snapToGrid w:val="0"/>
                      <w:color w:val="auto"/>
                      <w:sz w:val="18"/>
                      <w:szCs w:val="18"/>
                      <w:highlight w:val="none"/>
                    </w:rPr>
                  </w:pPr>
                  <w:r>
                    <w:rPr>
                      <w:rFonts w:hint="eastAsia"/>
                      <w:color w:val="auto"/>
                      <w:sz w:val="18"/>
                      <w:szCs w:val="18"/>
                      <w:highlight w:val="none"/>
                    </w:rPr>
                    <w:t>居民</w:t>
                  </w:r>
                </w:p>
              </w:tc>
              <w:tc>
                <w:tcPr>
                  <w:tcW w:w="876" w:type="dxa"/>
                  <w:tcBorders>
                    <w:tl2br w:val="nil"/>
                    <w:tr2bl w:val="nil"/>
                  </w:tcBorders>
                  <w:vAlign w:val="center"/>
                </w:tcPr>
                <w:p w14:paraId="04B68DC7">
                  <w:pPr>
                    <w:pStyle w:val="62"/>
                    <w:adjustRightInd w:val="0"/>
                    <w:snapToGrid w:val="0"/>
                    <w:spacing w:beforeLines="0"/>
                    <w:rPr>
                      <w:snapToGrid w:val="0"/>
                      <w:color w:val="auto"/>
                      <w:sz w:val="18"/>
                      <w:szCs w:val="18"/>
                      <w:highlight w:val="none"/>
                    </w:rPr>
                  </w:pPr>
                  <w:r>
                    <w:rPr>
                      <w:color w:val="auto"/>
                      <w:sz w:val="18"/>
                      <w:szCs w:val="18"/>
                      <w:highlight w:val="none"/>
                    </w:rPr>
                    <w:t>50</w:t>
                  </w:r>
                  <w:r>
                    <w:rPr>
                      <w:rFonts w:hint="eastAsia"/>
                      <w:color w:val="auto"/>
                      <w:sz w:val="18"/>
                      <w:szCs w:val="18"/>
                      <w:highlight w:val="none"/>
                    </w:rPr>
                    <w:t>人</w:t>
                  </w:r>
                </w:p>
              </w:tc>
              <w:tc>
                <w:tcPr>
                  <w:tcW w:w="1043" w:type="dxa"/>
                  <w:tcBorders>
                    <w:tl2br w:val="nil"/>
                    <w:tr2bl w:val="nil"/>
                  </w:tcBorders>
                  <w:vAlign w:val="center"/>
                </w:tcPr>
                <w:p w14:paraId="68A68707">
                  <w:pPr>
                    <w:overflowPunct w:val="0"/>
                    <w:adjustRightInd w:val="0"/>
                    <w:snapToGrid w:val="0"/>
                    <w:jc w:val="center"/>
                    <w:rPr>
                      <w:snapToGrid w:val="0"/>
                      <w:color w:val="auto"/>
                      <w:kern w:val="0"/>
                      <w:sz w:val="18"/>
                      <w:szCs w:val="18"/>
                      <w:highlight w:val="none"/>
                    </w:rPr>
                  </w:pPr>
                  <w:r>
                    <w:rPr>
                      <w:rFonts w:hint="eastAsia"/>
                      <w:snapToGrid w:val="0"/>
                      <w:color w:val="auto"/>
                      <w:kern w:val="0"/>
                      <w:sz w:val="18"/>
                      <w:szCs w:val="18"/>
                      <w:highlight w:val="none"/>
                    </w:rPr>
                    <w:t>二类区</w:t>
                  </w:r>
                </w:p>
              </w:tc>
              <w:tc>
                <w:tcPr>
                  <w:tcW w:w="890" w:type="dxa"/>
                  <w:tcBorders>
                    <w:tl2br w:val="nil"/>
                    <w:tr2bl w:val="nil"/>
                  </w:tcBorders>
                  <w:vAlign w:val="center"/>
                </w:tcPr>
                <w:p w14:paraId="594E73B4">
                  <w:pPr>
                    <w:pStyle w:val="62"/>
                    <w:adjustRightInd w:val="0"/>
                    <w:snapToGrid w:val="0"/>
                    <w:spacing w:beforeLines="0"/>
                    <w:rPr>
                      <w:rFonts w:hint="default" w:eastAsia="宋体"/>
                      <w:snapToGrid w:val="0"/>
                      <w:color w:val="auto"/>
                      <w:sz w:val="18"/>
                      <w:szCs w:val="18"/>
                      <w:highlight w:val="none"/>
                      <w:lang w:val="en-US" w:eastAsia="zh-CN"/>
                    </w:rPr>
                  </w:pPr>
                  <w:r>
                    <w:rPr>
                      <w:rFonts w:hint="eastAsia"/>
                      <w:snapToGrid w:val="0"/>
                      <w:color w:val="auto"/>
                      <w:sz w:val="18"/>
                      <w:szCs w:val="18"/>
                      <w:highlight w:val="none"/>
                      <w:lang w:val="en-US" w:eastAsia="zh-CN"/>
                    </w:rPr>
                    <w:t>西北</w:t>
                  </w:r>
                </w:p>
              </w:tc>
              <w:tc>
                <w:tcPr>
                  <w:tcW w:w="1059" w:type="dxa"/>
                  <w:tcBorders>
                    <w:tl2br w:val="nil"/>
                    <w:tr2bl w:val="nil"/>
                  </w:tcBorders>
                  <w:vAlign w:val="center"/>
                </w:tcPr>
                <w:p w14:paraId="564CC9FE">
                  <w:pPr>
                    <w:pStyle w:val="62"/>
                    <w:adjustRightInd w:val="0"/>
                    <w:snapToGrid w:val="0"/>
                    <w:spacing w:beforeLines="0"/>
                    <w:rPr>
                      <w:rFonts w:hint="default" w:eastAsia="宋体"/>
                      <w:snapToGrid w:val="0"/>
                      <w:color w:val="auto"/>
                      <w:sz w:val="18"/>
                      <w:szCs w:val="18"/>
                      <w:highlight w:val="none"/>
                      <w:lang w:val="en-US" w:eastAsia="zh-CN"/>
                    </w:rPr>
                  </w:pPr>
                  <w:r>
                    <w:rPr>
                      <w:rFonts w:hint="eastAsia"/>
                      <w:snapToGrid w:val="0"/>
                      <w:color w:val="auto"/>
                      <w:sz w:val="18"/>
                      <w:szCs w:val="18"/>
                      <w:highlight w:val="none"/>
                      <w:lang w:val="en-US" w:eastAsia="zh-CN"/>
                    </w:rPr>
                    <w:t>397</w:t>
                  </w:r>
                </w:p>
              </w:tc>
            </w:tr>
            <w:tr w14:paraId="427D9C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948" w:type="dxa"/>
                  <w:tcBorders>
                    <w:tl2br w:val="nil"/>
                    <w:tr2bl w:val="nil"/>
                  </w:tcBorders>
                  <w:vAlign w:val="center"/>
                </w:tcPr>
                <w:p w14:paraId="1E1395D6">
                  <w:pPr>
                    <w:pStyle w:val="62"/>
                    <w:adjustRightInd w:val="0"/>
                    <w:snapToGrid w:val="0"/>
                    <w:spacing w:beforeLines="0"/>
                    <w:rPr>
                      <w:rFonts w:hint="default"/>
                      <w:color w:val="auto"/>
                      <w:sz w:val="18"/>
                      <w:szCs w:val="18"/>
                      <w:highlight w:val="none"/>
                      <w:lang w:val="en-US" w:eastAsia="zh-CN"/>
                    </w:rPr>
                  </w:pPr>
                  <w:r>
                    <w:rPr>
                      <w:rFonts w:hint="eastAsia"/>
                      <w:color w:val="auto"/>
                      <w:sz w:val="18"/>
                      <w:szCs w:val="18"/>
                      <w:highlight w:val="none"/>
                      <w:lang w:val="en-US" w:eastAsia="zh-CN"/>
                    </w:rPr>
                    <w:t>杨家埭</w:t>
                  </w:r>
                </w:p>
              </w:tc>
              <w:tc>
                <w:tcPr>
                  <w:tcW w:w="736" w:type="dxa"/>
                  <w:tcBorders>
                    <w:tl2br w:val="nil"/>
                    <w:tr2bl w:val="nil"/>
                  </w:tcBorders>
                  <w:vAlign w:val="center"/>
                </w:tcPr>
                <w:p w14:paraId="1A28FE62">
                  <w:pPr>
                    <w:adjustRightInd w:val="0"/>
                    <w:snapToGrid w:val="0"/>
                    <w:jc w:val="center"/>
                    <w:rPr>
                      <w:rFonts w:hint="default" w:eastAsia="宋体"/>
                      <w:snapToGrid w:val="0"/>
                      <w:color w:val="auto"/>
                      <w:kern w:val="0"/>
                      <w:sz w:val="18"/>
                      <w:szCs w:val="18"/>
                      <w:highlight w:val="none"/>
                      <w:lang w:val="en-US" w:eastAsia="zh-CN"/>
                    </w:rPr>
                  </w:pPr>
                  <w:r>
                    <w:rPr>
                      <w:rFonts w:hint="eastAsia"/>
                      <w:snapToGrid w:val="0"/>
                      <w:color w:val="auto"/>
                      <w:kern w:val="0"/>
                      <w:sz w:val="18"/>
                      <w:szCs w:val="18"/>
                      <w:highlight w:val="none"/>
                      <w:lang w:val="en-US" w:eastAsia="zh-CN"/>
                    </w:rPr>
                    <w:t>0</w:t>
                  </w:r>
                </w:p>
              </w:tc>
              <w:tc>
                <w:tcPr>
                  <w:tcW w:w="690" w:type="dxa"/>
                  <w:tcBorders>
                    <w:tl2br w:val="nil"/>
                    <w:tr2bl w:val="nil"/>
                  </w:tcBorders>
                  <w:vAlign w:val="center"/>
                </w:tcPr>
                <w:p w14:paraId="7D87034F">
                  <w:pPr>
                    <w:adjustRightInd w:val="0"/>
                    <w:snapToGrid w:val="0"/>
                    <w:jc w:val="center"/>
                    <w:rPr>
                      <w:rFonts w:hint="default" w:eastAsia="宋体"/>
                      <w:snapToGrid w:val="0"/>
                      <w:color w:val="auto"/>
                      <w:kern w:val="0"/>
                      <w:sz w:val="18"/>
                      <w:szCs w:val="18"/>
                      <w:highlight w:val="none"/>
                      <w:lang w:val="en-US" w:eastAsia="zh-CN"/>
                    </w:rPr>
                  </w:pPr>
                  <w:r>
                    <w:rPr>
                      <w:rFonts w:hint="eastAsia"/>
                      <w:snapToGrid w:val="0"/>
                      <w:color w:val="auto"/>
                      <w:kern w:val="0"/>
                      <w:sz w:val="18"/>
                      <w:szCs w:val="18"/>
                      <w:highlight w:val="none"/>
                      <w:lang w:val="en-US" w:eastAsia="zh-CN"/>
                    </w:rPr>
                    <w:t>486</w:t>
                  </w:r>
                </w:p>
              </w:tc>
              <w:tc>
                <w:tcPr>
                  <w:tcW w:w="905" w:type="dxa"/>
                  <w:tcBorders>
                    <w:tl2br w:val="nil"/>
                    <w:tr2bl w:val="nil"/>
                  </w:tcBorders>
                  <w:vAlign w:val="center"/>
                </w:tcPr>
                <w:p w14:paraId="1F9412F5">
                  <w:pPr>
                    <w:pStyle w:val="62"/>
                    <w:adjustRightInd w:val="0"/>
                    <w:snapToGrid w:val="0"/>
                    <w:spacing w:beforeLines="0"/>
                    <w:rPr>
                      <w:rFonts w:hint="eastAsia"/>
                      <w:color w:val="auto"/>
                      <w:sz w:val="18"/>
                      <w:szCs w:val="18"/>
                      <w:highlight w:val="none"/>
                    </w:rPr>
                  </w:pPr>
                  <w:r>
                    <w:rPr>
                      <w:rFonts w:hint="eastAsia"/>
                      <w:color w:val="auto"/>
                      <w:sz w:val="18"/>
                      <w:szCs w:val="18"/>
                      <w:highlight w:val="none"/>
                    </w:rPr>
                    <w:t>居民</w:t>
                  </w:r>
                </w:p>
              </w:tc>
              <w:tc>
                <w:tcPr>
                  <w:tcW w:w="876" w:type="dxa"/>
                  <w:tcBorders>
                    <w:tl2br w:val="nil"/>
                    <w:tr2bl w:val="nil"/>
                  </w:tcBorders>
                  <w:vAlign w:val="center"/>
                </w:tcPr>
                <w:p w14:paraId="563DE487">
                  <w:pPr>
                    <w:pStyle w:val="62"/>
                    <w:adjustRightInd w:val="0"/>
                    <w:snapToGrid w:val="0"/>
                    <w:spacing w:beforeLines="0"/>
                    <w:rPr>
                      <w:rFonts w:hint="default" w:eastAsia="宋体"/>
                      <w:color w:val="auto"/>
                      <w:sz w:val="18"/>
                      <w:szCs w:val="18"/>
                      <w:highlight w:val="none"/>
                      <w:lang w:val="en-US" w:eastAsia="zh-CN"/>
                    </w:rPr>
                  </w:pPr>
                  <w:r>
                    <w:rPr>
                      <w:rFonts w:hint="eastAsia"/>
                      <w:color w:val="auto"/>
                      <w:sz w:val="18"/>
                      <w:szCs w:val="18"/>
                      <w:highlight w:val="none"/>
                      <w:lang w:val="en-US" w:eastAsia="zh-CN"/>
                    </w:rPr>
                    <w:t>250人</w:t>
                  </w:r>
                </w:p>
              </w:tc>
              <w:tc>
                <w:tcPr>
                  <w:tcW w:w="1043" w:type="dxa"/>
                  <w:tcBorders>
                    <w:tl2br w:val="nil"/>
                    <w:tr2bl w:val="nil"/>
                  </w:tcBorders>
                  <w:vAlign w:val="center"/>
                </w:tcPr>
                <w:p w14:paraId="18C24A27">
                  <w:pPr>
                    <w:overflowPunct w:val="0"/>
                    <w:adjustRightInd w:val="0"/>
                    <w:snapToGrid w:val="0"/>
                    <w:jc w:val="center"/>
                    <w:rPr>
                      <w:rFonts w:hint="eastAsia"/>
                      <w:snapToGrid w:val="0"/>
                      <w:color w:val="auto"/>
                      <w:kern w:val="0"/>
                      <w:sz w:val="18"/>
                      <w:szCs w:val="18"/>
                      <w:highlight w:val="none"/>
                    </w:rPr>
                  </w:pPr>
                  <w:r>
                    <w:rPr>
                      <w:rFonts w:hint="eastAsia"/>
                      <w:snapToGrid w:val="0"/>
                      <w:color w:val="auto"/>
                      <w:kern w:val="0"/>
                      <w:sz w:val="18"/>
                      <w:szCs w:val="18"/>
                      <w:highlight w:val="none"/>
                    </w:rPr>
                    <w:t>二类区</w:t>
                  </w:r>
                </w:p>
              </w:tc>
              <w:tc>
                <w:tcPr>
                  <w:tcW w:w="890" w:type="dxa"/>
                  <w:tcBorders>
                    <w:tl2br w:val="nil"/>
                    <w:tr2bl w:val="nil"/>
                  </w:tcBorders>
                  <w:vAlign w:val="center"/>
                </w:tcPr>
                <w:p w14:paraId="44B0187A">
                  <w:pPr>
                    <w:pStyle w:val="62"/>
                    <w:adjustRightInd w:val="0"/>
                    <w:snapToGrid w:val="0"/>
                    <w:spacing w:beforeLines="0"/>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正北</w:t>
                  </w:r>
                </w:p>
              </w:tc>
              <w:tc>
                <w:tcPr>
                  <w:tcW w:w="1059" w:type="dxa"/>
                  <w:tcBorders>
                    <w:tl2br w:val="nil"/>
                    <w:tr2bl w:val="nil"/>
                  </w:tcBorders>
                  <w:vAlign w:val="center"/>
                </w:tcPr>
                <w:p w14:paraId="18E28855">
                  <w:pPr>
                    <w:pStyle w:val="62"/>
                    <w:adjustRightInd w:val="0"/>
                    <w:snapToGrid w:val="0"/>
                    <w:spacing w:beforeLines="0"/>
                    <w:rPr>
                      <w:rFonts w:hint="default" w:eastAsia="宋体"/>
                      <w:color w:val="auto"/>
                      <w:sz w:val="18"/>
                      <w:szCs w:val="18"/>
                      <w:highlight w:val="none"/>
                      <w:lang w:val="en-US" w:eastAsia="zh-CN"/>
                    </w:rPr>
                  </w:pPr>
                  <w:r>
                    <w:rPr>
                      <w:rFonts w:hint="eastAsia"/>
                      <w:color w:val="auto"/>
                      <w:sz w:val="18"/>
                      <w:szCs w:val="18"/>
                      <w:highlight w:val="none"/>
                      <w:lang w:val="en-US" w:eastAsia="zh-CN"/>
                    </w:rPr>
                    <w:t>496</w:t>
                  </w:r>
                </w:p>
              </w:tc>
            </w:tr>
          </w:tbl>
          <w:p w14:paraId="7020BF7D">
            <w:pPr>
              <w:widowControl/>
              <w:overflowPunct w:val="0"/>
              <w:adjustRightInd w:val="0"/>
              <w:snapToGrid w:val="0"/>
              <w:spacing w:line="360" w:lineRule="auto"/>
              <w:rPr>
                <w:snapToGrid w:val="0"/>
                <w:color w:val="auto"/>
                <w:kern w:val="28"/>
                <w:sz w:val="18"/>
                <w:szCs w:val="18"/>
                <w:highlight w:val="none"/>
              </w:rPr>
            </w:pPr>
            <w:r>
              <w:rPr>
                <w:rFonts w:hint="eastAsia"/>
                <w:snapToGrid w:val="0"/>
                <w:color w:val="auto"/>
                <w:kern w:val="28"/>
                <w:sz w:val="18"/>
                <w:szCs w:val="18"/>
                <w:highlight w:val="none"/>
              </w:rPr>
              <w:t>注：坐标原点为本项目几何中心，东西方向为</w:t>
            </w:r>
            <w:r>
              <w:rPr>
                <w:snapToGrid w:val="0"/>
                <w:color w:val="auto"/>
                <w:kern w:val="28"/>
                <w:sz w:val="18"/>
                <w:szCs w:val="18"/>
                <w:highlight w:val="none"/>
              </w:rPr>
              <w:t>X</w:t>
            </w:r>
            <w:r>
              <w:rPr>
                <w:rFonts w:hint="eastAsia"/>
                <w:snapToGrid w:val="0"/>
                <w:color w:val="auto"/>
                <w:kern w:val="28"/>
                <w:sz w:val="18"/>
                <w:szCs w:val="18"/>
                <w:highlight w:val="none"/>
              </w:rPr>
              <w:t>轴、南北方向为</w:t>
            </w:r>
            <w:r>
              <w:rPr>
                <w:snapToGrid w:val="0"/>
                <w:color w:val="auto"/>
                <w:kern w:val="28"/>
                <w:sz w:val="18"/>
                <w:szCs w:val="18"/>
                <w:highlight w:val="none"/>
              </w:rPr>
              <w:t>Y</w:t>
            </w:r>
            <w:r>
              <w:rPr>
                <w:rFonts w:hint="eastAsia"/>
                <w:snapToGrid w:val="0"/>
                <w:color w:val="auto"/>
                <w:kern w:val="28"/>
                <w:sz w:val="18"/>
                <w:szCs w:val="18"/>
                <w:highlight w:val="none"/>
              </w:rPr>
              <w:t>轴。</w:t>
            </w:r>
          </w:p>
          <w:p w14:paraId="50BC4CE1">
            <w:pPr>
              <w:overflowPunct w:val="0"/>
              <w:adjustRightInd w:val="0"/>
              <w:snapToGrid w:val="0"/>
              <w:spacing w:line="360" w:lineRule="auto"/>
              <w:jc w:val="left"/>
              <w:rPr>
                <w:snapToGrid w:val="0"/>
                <w:color w:val="auto"/>
                <w:szCs w:val="21"/>
                <w:highlight w:val="none"/>
              </w:rPr>
            </w:pPr>
            <w:r>
              <w:rPr>
                <w:b/>
                <w:bCs/>
                <w:snapToGrid w:val="0"/>
                <w:color w:val="auto"/>
                <w:spacing w:val="-2"/>
                <w:kern w:val="0"/>
                <w:szCs w:val="21"/>
                <w:highlight w:val="none"/>
              </w:rPr>
              <w:t>2</w:t>
            </w:r>
            <w:r>
              <w:rPr>
                <w:rFonts w:hint="eastAsia"/>
                <w:b/>
                <w:bCs/>
                <w:snapToGrid w:val="0"/>
                <w:color w:val="auto"/>
                <w:spacing w:val="-2"/>
                <w:kern w:val="0"/>
                <w:szCs w:val="21"/>
                <w:highlight w:val="none"/>
              </w:rPr>
              <w:t>、</w:t>
            </w:r>
            <w:bookmarkStart w:id="64" w:name="_Hlk49154927"/>
            <w:r>
              <w:rPr>
                <w:rFonts w:hint="eastAsia"/>
                <w:b/>
                <w:bCs/>
                <w:snapToGrid w:val="0"/>
                <w:color w:val="auto"/>
                <w:spacing w:val="-2"/>
                <w:kern w:val="0"/>
                <w:szCs w:val="21"/>
                <w:highlight w:val="none"/>
              </w:rPr>
              <w:t>声环境</w:t>
            </w:r>
          </w:p>
          <w:bookmarkEnd w:id="64"/>
          <w:p w14:paraId="7DEC4A18">
            <w:pPr>
              <w:overflowPunct w:val="0"/>
              <w:adjustRightInd w:val="0"/>
              <w:snapToGrid w:val="0"/>
              <w:spacing w:line="360" w:lineRule="auto"/>
              <w:ind w:firstLine="420" w:firstLineChars="200"/>
              <w:jc w:val="left"/>
              <w:rPr>
                <w:rFonts w:hint="eastAsia" w:hAnsi="Cambria Math" w:eastAsia="宋?"/>
                <w:color w:val="000000"/>
                <w:lang w:eastAsia="zh-CN"/>
              </w:rPr>
            </w:pPr>
            <w:bookmarkStart w:id="65" w:name="_Hlk49155033"/>
            <w:r>
              <w:rPr>
                <w:rFonts w:hint="eastAsia" w:hAnsi="Cambria Math" w:eastAsia="宋?"/>
                <w:color w:val="000000"/>
              </w:rPr>
              <w:t>本项目厂界外</w:t>
            </w:r>
            <w:r>
              <w:rPr>
                <w:rFonts w:hAnsi="Cambria Math" w:eastAsia="宋?"/>
                <w:color w:val="000000"/>
              </w:rPr>
              <w:t>50m</w:t>
            </w:r>
            <w:r>
              <w:rPr>
                <w:rFonts w:hint="eastAsia" w:hAnsi="Cambria Math" w:eastAsia="宋?"/>
                <w:color w:val="000000"/>
              </w:rPr>
              <w:t>范围内</w:t>
            </w:r>
            <w:r>
              <w:rPr>
                <w:rFonts w:hint="eastAsia" w:hAnsi="Cambria Math" w:eastAsia="宋?"/>
                <w:color w:val="000000"/>
                <w:lang w:val="en-US" w:eastAsia="zh-CN"/>
              </w:rPr>
              <w:t>无</w:t>
            </w:r>
            <w:r>
              <w:rPr>
                <w:rFonts w:hint="eastAsia" w:hAnsi="Cambria Math" w:eastAsia="宋?"/>
                <w:color w:val="000000"/>
              </w:rPr>
              <w:t>声环境保护目标</w:t>
            </w:r>
            <w:r>
              <w:rPr>
                <w:rFonts w:hint="eastAsia" w:hAnsi="Cambria Math" w:eastAsia="宋?"/>
                <w:color w:val="000000"/>
                <w:lang w:eastAsia="zh-CN"/>
              </w:rPr>
              <w:t>。</w:t>
            </w:r>
          </w:p>
          <w:bookmarkEnd w:id="65"/>
          <w:p w14:paraId="68A4D32D">
            <w:pPr>
              <w:overflowPunct w:val="0"/>
              <w:adjustRightInd w:val="0"/>
              <w:snapToGrid w:val="0"/>
              <w:spacing w:line="360" w:lineRule="auto"/>
              <w:jc w:val="left"/>
              <w:rPr>
                <w:snapToGrid w:val="0"/>
                <w:color w:val="auto"/>
                <w:szCs w:val="21"/>
                <w:highlight w:val="none"/>
              </w:rPr>
            </w:pPr>
            <w:r>
              <w:rPr>
                <w:b/>
                <w:bCs/>
                <w:snapToGrid w:val="0"/>
                <w:color w:val="auto"/>
                <w:spacing w:val="-2"/>
                <w:kern w:val="0"/>
                <w:szCs w:val="21"/>
                <w:highlight w:val="none"/>
              </w:rPr>
              <w:t>3</w:t>
            </w:r>
            <w:r>
              <w:rPr>
                <w:rFonts w:hint="eastAsia"/>
                <w:b/>
                <w:bCs/>
                <w:snapToGrid w:val="0"/>
                <w:color w:val="auto"/>
                <w:spacing w:val="-2"/>
                <w:kern w:val="0"/>
                <w:szCs w:val="21"/>
                <w:highlight w:val="none"/>
              </w:rPr>
              <w:t>、地下水环境</w:t>
            </w:r>
          </w:p>
          <w:p w14:paraId="210917A5">
            <w:pPr>
              <w:adjustRightInd w:val="0"/>
              <w:snapToGrid w:val="0"/>
              <w:spacing w:line="360" w:lineRule="auto"/>
              <w:ind w:firstLine="420" w:firstLineChars="200"/>
              <w:rPr>
                <w:rFonts w:hAnsi="Cambria Math"/>
                <w:color w:val="auto"/>
                <w:highlight w:val="none"/>
              </w:rPr>
            </w:pPr>
            <w:r>
              <w:rPr>
                <w:rFonts w:hint="eastAsia" w:hAnsi="Cambria Math"/>
                <w:color w:val="auto"/>
                <w:highlight w:val="none"/>
              </w:rPr>
              <w:t>本项目厂界外500m范围内无地下水集中式饮用水水源和热水、矿泉水、温泉等。</w:t>
            </w:r>
          </w:p>
          <w:p w14:paraId="54689673">
            <w:pPr>
              <w:overflowPunct w:val="0"/>
              <w:adjustRightInd w:val="0"/>
              <w:snapToGrid w:val="0"/>
              <w:spacing w:line="360" w:lineRule="auto"/>
              <w:jc w:val="left"/>
              <w:rPr>
                <w:snapToGrid w:val="0"/>
                <w:color w:val="auto"/>
                <w:szCs w:val="21"/>
                <w:highlight w:val="none"/>
              </w:rPr>
            </w:pPr>
            <w:r>
              <w:rPr>
                <w:b/>
                <w:bCs/>
                <w:snapToGrid w:val="0"/>
                <w:color w:val="auto"/>
                <w:spacing w:val="-2"/>
                <w:kern w:val="0"/>
                <w:szCs w:val="21"/>
                <w:highlight w:val="none"/>
              </w:rPr>
              <w:t>4</w:t>
            </w:r>
            <w:r>
              <w:rPr>
                <w:rFonts w:hint="eastAsia"/>
                <w:b/>
                <w:bCs/>
                <w:snapToGrid w:val="0"/>
                <w:color w:val="auto"/>
                <w:spacing w:val="-2"/>
                <w:kern w:val="0"/>
                <w:szCs w:val="21"/>
                <w:highlight w:val="none"/>
              </w:rPr>
              <w:t>、生态环境</w:t>
            </w:r>
          </w:p>
          <w:p w14:paraId="52D89BA4">
            <w:pPr>
              <w:adjustRightInd w:val="0"/>
              <w:snapToGrid w:val="0"/>
              <w:spacing w:line="360" w:lineRule="auto"/>
              <w:ind w:firstLine="420" w:firstLineChars="200"/>
              <w:rPr>
                <w:rFonts w:hAnsi="Cambria Math"/>
                <w:color w:val="auto"/>
                <w:highlight w:val="none"/>
              </w:rPr>
            </w:pPr>
            <w:r>
              <w:rPr>
                <w:rFonts w:hint="eastAsia" w:hAnsi="Cambria Math"/>
                <w:color w:val="auto"/>
                <w:highlight w:val="none"/>
              </w:rPr>
              <w:t>本项目</w:t>
            </w:r>
            <w:r>
              <w:rPr>
                <w:rFonts w:hint="eastAsia" w:hAnsi="Cambria Math"/>
                <w:color w:val="auto"/>
                <w:highlight w:val="none"/>
                <w:lang w:val="en-US" w:eastAsia="zh-CN"/>
              </w:rPr>
              <w:t>新建厂房</w:t>
            </w:r>
            <w:r>
              <w:rPr>
                <w:rFonts w:hint="eastAsia" w:hAnsi="Cambria Math"/>
                <w:color w:val="auto"/>
                <w:highlight w:val="none"/>
              </w:rPr>
              <w:t>，用地性质为工业用地，不涉及生态环境保护目标。</w:t>
            </w:r>
          </w:p>
        </w:tc>
      </w:tr>
      <w:tr w14:paraId="23D2C2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627" w:type="dxa"/>
            <w:tcMar>
              <w:left w:w="28" w:type="dxa"/>
              <w:right w:w="28" w:type="dxa"/>
            </w:tcMar>
            <w:vAlign w:val="center"/>
          </w:tcPr>
          <w:p w14:paraId="14C87183">
            <w:pPr>
              <w:adjustRightInd w:val="0"/>
              <w:snapToGrid w:val="0"/>
              <w:jc w:val="center"/>
              <w:rPr>
                <w:rFonts w:ascii="宋体" w:cs="宋体"/>
                <w:color w:val="auto"/>
                <w:kern w:val="0"/>
                <w:szCs w:val="21"/>
                <w:highlight w:val="none"/>
              </w:rPr>
            </w:pPr>
            <w:bookmarkStart w:id="66" w:name="OLE_LINK1"/>
            <w:r>
              <w:rPr>
                <w:rFonts w:hint="eastAsia" w:ascii="宋体" w:hAnsi="宋体" w:cs="宋体"/>
                <w:color w:val="auto"/>
                <w:kern w:val="0"/>
                <w:szCs w:val="21"/>
                <w:highlight w:val="none"/>
              </w:rPr>
              <w:t>污染物排放控制标准</w:t>
            </w:r>
            <w:bookmarkEnd w:id="66"/>
          </w:p>
        </w:tc>
        <w:tc>
          <w:tcPr>
            <w:tcW w:w="8363" w:type="dxa"/>
            <w:vAlign w:val="top"/>
          </w:tcPr>
          <w:p w14:paraId="78F280D4">
            <w:pPr>
              <w:overflowPunct w:val="0"/>
              <w:adjustRightInd w:val="0"/>
              <w:snapToGrid w:val="0"/>
              <w:spacing w:line="360" w:lineRule="auto"/>
              <w:jc w:val="left"/>
              <w:rPr>
                <w:rFonts w:ascii="Times New Roman" w:hAnsi="Times New Roman" w:eastAsia="宋体" w:cs="Times New Roman"/>
                <w:b/>
                <w:bCs/>
                <w:snapToGrid w:val="0"/>
                <w:color w:val="auto"/>
                <w:spacing w:val="-2"/>
                <w:kern w:val="0"/>
                <w:szCs w:val="21"/>
                <w:highlight w:val="none"/>
              </w:rPr>
            </w:pPr>
            <w:r>
              <w:rPr>
                <w:rFonts w:ascii="Times New Roman" w:hAnsi="Times New Roman" w:eastAsia="宋体" w:cs="Times New Roman"/>
                <w:b/>
                <w:bCs/>
                <w:snapToGrid w:val="0"/>
                <w:color w:val="auto"/>
                <w:spacing w:val="-2"/>
                <w:kern w:val="0"/>
                <w:szCs w:val="21"/>
                <w:highlight w:val="none"/>
              </w:rPr>
              <w:t>1、废气</w:t>
            </w:r>
          </w:p>
          <w:p w14:paraId="036298D9">
            <w:pPr>
              <w:adjustRightInd w:val="0"/>
              <w:snapToGrid w:val="0"/>
              <w:spacing w:line="360" w:lineRule="auto"/>
              <w:ind w:firstLine="420" w:firstLineChars="200"/>
              <w:rPr>
                <w:rFonts w:hint="eastAsia" w:ascii="Times New Roman" w:hAnsi="Cambria Math" w:eastAsia="宋体" w:cs="Times New Roman"/>
                <w:color w:val="auto"/>
                <w:highlight w:val="none"/>
              </w:rPr>
            </w:pPr>
            <w:r>
              <w:rPr>
                <w:rFonts w:hint="eastAsia" w:ascii="Times New Roman" w:hAnsi="Cambria Math" w:eastAsia="宋体" w:cs="Times New Roman"/>
                <w:color w:val="auto"/>
                <w:highlight w:val="none"/>
              </w:rPr>
              <w:t>本项目排放的</w:t>
            </w:r>
            <w:r>
              <w:rPr>
                <w:rFonts w:hint="eastAsia" w:ascii="Times New Roman" w:hAnsi="Cambria Math" w:eastAsia="宋体" w:cs="Times New Roman"/>
                <w:color w:val="auto"/>
                <w:highlight w:val="none"/>
                <w:lang w:val="en-US" w:eastAsia="zh-CN"/>
              </w:rPr>
              <w:t>有组织</w:t>
            </w:r>
            <w:r>
              <w:rPr>
                <w:rFonts w:hint="eastAsia" w:ascii="Times New Roman" w:hAnsi="Cambria Math" w:eastAsia="宋体" w:cs="Times New Roman"/>
                <w:color w:val="auto"/>
                <w:highlight w:val="none"/>
              </w:rPr>
              <w:t>非甲烷总烃</w:t>
            </w:r>
            <w:r>
              <w:rPr>
                <w:rFonts w:hint="eastAsia" w:ascii="Times New Roman" w:hAnsi="Cambria Math" w:eastAsia="宋体" w:cs="Times New Roman"/>
                <w:color w:val="auto"/>
                <w:highlight w:val="none"/>
                <w:lang w:eastAsia="zh-CN"/>
              </w:rPr>
              <w:t>、</w:t>
            </w:r>
            <w:r>
              <w:rPr>
                <w:rFonts w:hint="eastAsia" w:ascii="Times New Roman" w:hAnsi="Cambria Math" w:eastAsia="宋体" w:cs="Times New Roman"/>
                <w:color w:val="auto"/>
                <w:highlight w:val="none"/>
                <w:lang w:val="en-US" w:eastAsia="zh-CN"/>
              </w:rPr>
              <w:t>甲醇</w:t>
            </w:r>
            <w:r>
              <w:rPr>
                <w:rFonts w:hint="eastAsia" w:ascii="Times New Roman" w:hAnsi="Cambria Math" w:eastAsia="宋体" w:cs="Times New Roman"/>
                <w:color w:val="auto"/>
                <w:highlight w:val="none"/>
              </w:rPr>
              <w:t>废气执行《大气综合排放标准》（DB32/4041-2021）</w:t>
            </w:r>
            <w:r>
              <w:rPr>
                <w:rFonts w:hint="eastAsia" w:ascii="Times New Roman" w:hAnsi="Cambria Math" w:eastAsia="宋体" w:cs="Times New Roman"/>
                <w:color w:val="auto"/>
                <w:highlight w:val="none"/>
                <w:lang w:val="en-US" w:eastAsia="zh-CN"/>
              </w:rPr>
              <w:t>表1</w:t>
            </w:r>
            <w:r>
              <w:rPr>
                <w:rFonts w:hint="eastAsia" w:ascii="Times New Roman" w:hAnsi="Cambria Math" w:eastAsia="宋体" w:cs="Times New Roman"/>
                <w:color w:val="auto"/>
                <w:highlight w:val="none"/>
              </w:rPr>
              <w:t>限值</w:t>
            </w:r>
            <w:r>
              <w:rPr>
                <w:rFonts w:hint="eastAsia" w:ascii="Times New Roman" w:hAnsi="Cambria Math" w:eastAsia="宋体" w:cs="Times New Roman"/>
                <w:color w:val="auto"/>
                <w:highlight w:val="none"/>
                <w:lang w:eastAsia="zh-CN"/>
              </w:rPr>
              <w:t>，</w:t>
            </w:r>
            <w:r>
              <w:rPr>
                <w:rFonts w:hint="eastAsia" w:ascii="Times New Roman" w:hAnsi="Cambria Math" w:eastAsia="宋体" w:cs="Times New Roman"/>
                <w:color w:val="auto"/>
                <w:highlight w:val="none"/>
                <w:lang w:val="en-US" w:eastAsia="zh-CN"/>
              </w:rPr>
              <w:t>无组织非甲烷总烃、甲醇、氯化氢、硫酸雾、氮氧化物执行《大气综合排放标准》（DB32/4041-2021）表3限值，</w:t>
            </w:r>
            <w:r>
              <w:rPr>
                <w:rFonts w:hint="eastAsia" w:ascii="Times New Roman" w:hAnsi="Cambria Math" w:eastAsia="宋体" w:cs="Times New Roman"/>
                <w:color w:val="auto"/>
                <w:highlight w:val="none"/>
              </w:rPr>
              <w:t>厂区内挥发性有机物无组织排放限值执行《大气综合排放标准》（DB32/4041-2021）表2中限值。相关排放速率及限值详见下表。</w:t>
            </w:r>
          </w:p>
          <w:p w14:paraId="2785A466">
            <w:pPr>
              <w:tabs>
                <w:tab w:val="center" w:pos="4156"/>
                <w:tab w:val="left" w:pos="5964"/>
              </w:tabs>
              <w:adjustRightInd w:val="0"/>
              <w:snapToGrid w:val="0"/>
              <w:jc w:val="center"/>
              <w:rPr>
                <w:rFonts w:hint="eastAsia" w:ascii="Times New Roman" w:hAnsi="Times New Roman" w:eastAsia="宋体" w:cs="Times New Roman"/>
                <w:b/>
                <w:snapToGrid w:val="0"/>
                <w:color w:val="auto"/>
                <w:szCs w:val="21"/>
                <w:highlight w:val="none"/>
              </w:rPr>
            </w:pPr>
            <w:r>
              <w:rPr>
                <w:rFonts w:hint="eastAsia" w:ascii="Times New Roman" w:hAnsi="Times New Roman" w:eastAsia="宋体" w:cs="Times New Roman"/>
                <w:b/>
                <w:snapToGrid w:val="0"/>
                <w:color w:val="auto"/>
                <w:szCs w:val="21"/>
                <w:highlight w:val="none"/>
              </w:rPr>
              <w:t>表3-</w:t>
            </w:r>
            <w:r>
              <w:rPr>
                <w:rFonts w:hint="eastAsia" w:cs="Times New Roman"/>
                <w:b/>
                <w:snapToGrid w:val="0"/>
                <w:color w:val="auto"/>
                <w:szCs w:val="21"/>
                <w:highlight w:val="none"/>
                <w:lang w:val="en-US" w:eastAsia="zh-CN"/>
              </w:rPr>
              <w:t>5</w:t>
            </w:r>
            <w:r>
              <w:rPr>
                <w:rFonts w:hint="eastAsia" w:ascii="Times New Roman" w:hAnsi="Times New Roman" w:eastAsia="宋体" w:cs="Times New Roman"/>
                <w:b/>
                <w:snapToGrid w:val="0"/>
                <w:color w:val="auto"/>
                <w:szCs w:val="21"/>
                <w:highlight w:val="none"/>
              </w:rPr>
              <w:t>废气</w:t>
            </w:r>
            <w:r>
              <w:rPr>
                <w:rFonts w:hint="eastAsia" w:ascii="Times New Roman" w:hAnsi="Times New Roman" w:eastAsia="宋体" w:cs="Times New Roman"/>
                <w:b/>
                <w:snapToGrid w:val="0"/>
                <w:color w:val="auto"/>
                <w:szCs w:val="21"/>
                <w:highlight w:val="none"/>
                <w:lang w:val="en-US" w:eastAsia="zh-CN"/>
              </w:rPr>
              <w:t>有组织</w:t>
            </w:r>
            <w:r>
              <w:rPr>
                <w:rFonts w:hint="eastAsia" w:ascii="Times New Roman" w:hAnsi="Times New Roman" w:eastAsia="宋体" w:cs="Times New Roman"/>
                <w:b/>
                <w:snapToGrid w:val="0"/>
                <w:color w:val="auto"/>
                <w:szCs w:val="21"/>
                <w:highlight w:val="none"/>
              </w:rPr>
              <w:t>排放标准限值</w:t>
            </w:r>
          </w:p>
          <w:tbl>
            <w:tblPr>
              <w:tblStyle w:val="26"/>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01"/>
              <w:gridCol w:w="986"/>
              <w:gridCol w:w="1021"/>
              <w:gridCol w:w="792"/>
              <w:gridCol w:w="1321"/>
              <w:gridCol w:w="1356"/>
              <w:gridCol w:w="2169"/>
            </w:tblGrid>
            <w:tr w14:paraId="30D774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1" w:type="dxa"/>
                  <w:vMerge w:val="restart"/>
                  <w:tcBorders>
                    <w:tl2br w:val="nil"/>
                    <w:tr2bl w:val="nil"/>
                  </w:tcBorders>
                  <w:vAlign w:val="center"/>
                </w:tcPr>
                <w:p w14:paraId="71428CCB">
                  <w:pPr>
                    <w:topLinePunct/>
                    <w:adjustRightInd w:val="0"/>
                    <w:snapToGrid w:val="0"/>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序号</w:t>
                  </w:r>
                </w:p>
              </w:tc>
              <w:tc>
                <w:tcPr>
                  <w:tcW w:w="986" w:type="dxa"/>
                  <w:vMerge w:val="restart"/>
                  <w:tcBorders>
                    <w:tl2br w:val="nil"/>
                    <w:tr2bl w:val="nil"/>
                  </w:tcBorders>
                  <w:vAlign w:val="center"/>
                </w:tcPr>
                <w:p w14:paraId="45E36266">
                  <w:pPr>
                    <w:topLinePunct/>
                    <w:adjustRightInd w:val="0"/>
                    <w:snapToGrid w:val="0"/>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排气筒编号</w:t>
                  </w:r>
                </w:p>
              </w:tc>
              <w:tc>
                <w:tcPr>
                  <w:tcW w:w="1021" w:type="dxa"/>
                  <w:vMerge w:val="restart"/>
                  <w:tcBorders>
                    <w:tl2br w:val="nil"/>
                    <w:tr2bl w:val="nil"/>
                  </w:tcBorders>
                  <w:vAlign w:val="center"/>
                </w:tcPr>
                <w:p w14:paraId="2AC9C82F">
                  <w:pPr>
                    <w:topLinePunct/>
                    <w:adjustRightInd w:val="0"/>
                    <w:snapToGrid w:val="0"/>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排气筒高度</w:t>
                  </w:r>
                </w:p>
              </w:tc>
              <w:tc>
                <w:tcPr>
                  <w:tcW w:w="792" w:type="dxa"/>
                  <w:vMerge w:val="restart"/>
                  <w:tcBorders>
                    <w:tl2br w:val="nil"/>
                    <w:tr2bl w:val="nil"/>
                  </w:tcBorders>
                  <w:vAlign w:val="center"/>
                </w:tcPr>
                <w:p w14:paraId="58E3646B">
                  <w:pPr>
                    <w:topLinePunct/>
                    <w:adjustRightInd w:val="0"/>
                    <w:snapToGrid w:val="0"/>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污染物</w:t>
                  </w:r>
                </w:p>
              </w:tc>
              <w:tc>
                <w:tcPr>
                  <w:tcW w:w="2677" w:type="dxa"/>
                  <w:gridSpan w:val="2"/>
                  <w:tcBorders>
                    <w:tl2br w:val="nil"/>
                    <w:tr2bl w:val="nil"/>
                  </w:tcBorders>
                  <w:vAlign w:val="center"/>
                </w:tcPr>
                <w:p w14:paraId="4C276A73">
                  <w:pPr>
                    <w:topLinePunct/>
                    <w:adjustRightInd w:val="0"/>
                    <w:snapToGrid w:val="0"/>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最高允许排放限值</w:t>
                  </w:r>
                </w:p>
              </w:tc>
              <w:tc>
                <w:tcPr>
                  <w:tcW w:w="2169" w:type="dxa"/>
                  <w:vMerge w:val="restart"/>
                  <w:tcBorders>
                    <w:tl2br w:val="nil"/>
                    <w:tr2bl w:val="nil"/>
                  </w:tcBorders>
                  <w:vAlign w:val="center"/>
                </w:tcPr>
                <w:p w14:paraId="5887A0C8">
                  <w:pPr>
                    <w:topLinePunct/>
                    <w:adjustRightInd w:val="0"/>
                    <w:snapToGrid w:val="0"/>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执行标准</w:t>
                  </w:r>
                </w:p>
              </w:tc>
            </w:tr>
            <w:tr w14:paraId="0DEC96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1" w:type="dxa"/>
                  <w:vMerge w:val="continue"/>
                  <w:tcBorders>
                    <w:tl2br w:val="nil"/>
                    <w:tr2bl w:val="nil"/>
                  </w:tcBorders>
                  <w:vAlign w:val="center"/>
                </w:tcPr>
                <w:p w14:paraId="0780C388">
                  <w:pPr>
                    <w:topLinePunct/>
                    <w:adjustRightInd w:val="0"/>
                    <w:snapToGrid w:val="0"/>
                    <w:spacing w:before="48" w:beforeLines="20" w:after="48" w:afterLines="20"/>
                    <w:jc w:val="center"/>
                    <w:rPr>
                      <w:rFonts w:ascii="Times New Roman" w:hAnsi="Times New Roman" w:eastAsia="宋体" w:cs="Times New Roman"/>
                      <w:snapToGrid w:val="0"/>
                      <w:sz w:val="18"/>
                      <w:szCs w:val="18"/>
                    </w:rPr>
                  </w:pPr>
                </w:p>
              </w:tc>
              <w:tc>
                <w:tcPr>
                  <w:tcW w:w="986" w:type="dxa"/>
                  <w:vMerge w:val="continue"/>
                  <w:tcBorders>
                    <w:tl2br w:val="nil"/>
                    <w:tr2bl w:val="nil"/>
                  </w:tcBorders>
                  <w:vAlign w:val="center"/>
                </w:tcPr>
                <w:p w14:paraId="558F09E2">
                  <w:pPr>
                    <w:topLinePunct/>
                    <w:adjustRightInd w:val="0"/>
                    <w:snapToGrid w:val="0"/>
                    <w:spacing w:before="48" w:beforeLines="20" w:after="48" w:afterLines="20"/>
                    <w:jc w:val="center"/>
                    <w:rPr>
                      <w:rFonts w:ascii="Times New Roman" w:hAnsi="Times New Roman" w:eastAsia="宋体" w:cs="Times New Roman"/>
                      <w:snapToGrid w:val="0"/>
                      <w:sz w:val="18"/>
                      <w:szCs w:val="18"/>
                    </w:rPr>
                  </w:pPr>
                </w:p>
              </w:tc>
              <w:tc>
                <w:tcPr>
                  <w:tcW w:w="1021" w:type="dxa"/>
                  <w:vMerge w:val="continue"/>
                  <w:tcBorders>
                    <w:tl2br w:val="nil"/>
                    <w:tr2bl w:val="nil"/>
                  </w:tcBorders>
                  <w:vAlign w:val="center"/>
                </w:tcPr>
                <w:p w14:paraId="73FBD3A5">
                  <w:pPr>
                    <w:topLinePunct/>
                    <w:adjustRightInd w:val="0"/>
                    <w:snapToGrid w:val="0"/>
                    <w:spacing w:before="48" w:beforeLines="20" w:after="48" w:afterLines="20"/>
                    <w:jc w:val="center"/>
                    <w:rPr>
                      <w:rFonts w:ascii="Times New Roman" w:hAnsi="Times New Roman" w:eastAsia="宋体" w:cs="Times New Roman"/>
                      <w:snapToGrid w:val="0"/>
                      <w:sz w:val="18"/>
                      <w:szCs w:val="18"/>
                    </w:rPr>
                  </w:pPr>
                </w:p>
              </w:tc>
              <w:tc>
                <w:tcPr>
                  <w:tcW w:w="792" w:type="dxa"/>
                  <w:vMerge w:val="continue"/>
                  <w:tcBorders>
                    <w:tl2br w:val="nil"/>
                    <w:tr2bl w:val="nil"/>
                  </w:tcBorders>
                  <w:vAlign w:val="center"/>
                </w:tcPr>
                <w:p w14:paraId="3AC6A3A0">
                  <w:pPr>
                    <w:topLinePunct/>
                    <w:adjustRightInd w:val="0"/>
                    <w:snapToGrid w:val="0"/>
                    <w:spacing w:before="48" w:beforeLines="20" w:after="48" w:afterLines="20"/>
                    <w:jc w:val="center"/>
                    <w:rPr>
                      <w:rFonts w:ascii="Times New Roman" w:hAnsi="Times New Roman" w:eastAsia="宋体" w:cs="Times New Roman"/>
                      <w:snapToGrid w:val="0"/>
                      <w:sz w:val="18"/>
                      <w:szCs w:val="18"/>
                    </w:rPr>
                  </w:pPr>
                </w:p>
              </w:tc>
              <w:tc>
                <w:tcPr>
                  <w:tcW w:w="1321" w:type="dxa"/>
                  <w:tcBorders>
                    <w:tl2br w:val="nil"/>
                    <w:tr2bl w:val="nil"/>
                  </w:tcBorders>
                  <w:vAlign w:val="center"/>
                </w:tcPr>
                <w:p w14:paraId="5254EF3A">
                  <w:pPr>
                    <w:topLinePunct/>
                    <w:adjustRightInd w:val="0"/>
                    <w:snapToGrid w:val="0"/>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浓度mg/m</w:t>
                  </w:r>
                  <w:r>
                    <w:rPr>
                      <w:rFonts w:ascii="Times New Roman" w:hAnsi="Times New Roman" w:eastAsia="宋体" w:cs="Times New Roman"/>
                      <w:snapToGrid w:val="0"/>
                      <w:sz w:val="18"/>
                      <w:szCs w:val="18"/>
                      <w:vertAlign w:val="superscript"/>
                    </w:rPr>
                    <w:t>3</w:t>
                  </w:r>
                </w:p>
              </w:tc>
              <w:tc>
                <w:tcPr>
                  <w:tcW w:w="1356" w:type="dxa"/>
                  <w:tcBorders>
                    <w:tl2br w:val="nil"/>
                    <w:tr2bl w:val="nil"/>
                  </w:tcBorders>
                  <w:vAlign w:val="center"/>
                </w:tcPr>
                <w:p w14:paraId="030AF472">
                  <w:pPr>
                    <w:topLinePunct/>
                    <w:adjustRightInd w:val="0"/>
                    <w:snapToGrid w:val="0"/>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排放速率kg/h</w:t>
                  </w:r>
                </w:p>
              </w:tc>
              <w:tc>
                <w:tcPr>
                  <w:tcW w:w="2169" w:type="dxa"/>
                  <w:vMerge w:val="continue"/>
                  <w:tcBorders>
                    <w:tl2br w:val="nil"/>
                    <w:tr2bl w:val="nil"/>
                  </w:tcBorders>
                  <w:vAlign w:val="center"/>
                </w:tcPr>
                <w:p w14:paraId="5EC26F49">
                  <w:pPr>
                    <w:topLinePunct/>
                    <w:adjustRightInd w:val="0"/>
                    <w:snapToGrid w:val="0"/>
                    <w:spacing w:before="48" w:beforeLines="20" w:after="48" w:afterLines="20"/>
                    <w:jc w:val="center"/>
                    <w:rPr>
                      <w:rFonts w:ascii="Times New Roman" w:hAnsi="Times New Roman" w:eastAsia="宋体" w:cs="Times New Roman"/>
                      <w:snapToGrid w:val="0"/>
                      <w:sz w:val="18"/>
                      <w:szCs w:val="18"/>
                    </w:rPr>
                  </w:pPr>
                </w:p>
              </w:tc>
            </w:tr>
            <w:tr w14:paraId="1B965A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501" w:type="dxa"/>
                  <w:vMerge w:val="restart"/>
                  <w:tcBorders>
                    <w:tl2br w:val="nil"/>
                    <w:tr2bl w:val="nil"/>
                  </w:tcBorders>
                  <w:vAlign w:val="center"/>
                </w:tcPr>
                <w:p w14:paraId="4BE437B2">
                  <w:pPr>
                    <w:topLinePunct/>
                    <w:adjustRightInd w:val="0"/>
                    <w:snapToGrid w:val="0"/>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1</w:t>
                  </w:r>
                </w:p>
              </w:tc>
              <w:tc>
                <w:tcPr>
                  <w:tcW w:w="986" w:type="dxa"/>
                  <w:vMerge w:val="restart"/>
                  <w:tcBorders>
                    <w:tl2br w:val="nil"/>
                    <w:tr2bl w:val="nil"/>
                  </w:tcBorders>
                  <w:vAlign w:val="center"/>
                </w:tcPr>
                <w:p w14:paraId="23AB2CB9">
                  <w:pPr>
                    <w:topLinePunct/>
                    <w:adjustRightInd w:val="0"/>
                    <w:snapToGrid w:val="0"/>
                    <w:spacing w:before="48" w:beforeLines="20" w:after="48" w:afterLines="20"/>
                    <w:jc w:val="center"/>
                    <w:rPr>
                      <w:rFonts w:hint="eastAsia" w:ascii="Times New Roman" w:hAnsi="Times New Roman" w:eastAsia="宋体" w:cs="Times New Roman"/>
                      <w:snapToGrid w:val="0"/>
                      <w:sz w:val="18"/>
                      <w:szCs w:val="18"/>
                      <w:lang w:eastAsia="zh-CN"/>
                    </w:rPr>
                  </w:pPr>
                  <w:r>
                    <w:rPr>
                      <w:rFonts w:ascii="Times New Roman" w:hAnsi="Times New Roman" w:eastAsia="宋体" w:cs="Times New Roman"/>
                      <w:snapToGrid w:val="0"/>
                      <w:sz w:val="18"/>
                      <w:szCs w:val="18"/>
                    </w:rPr>
                    <w:t>DA00</w:t>
                  </w:r>
                  <w:r>
                    <w:rPr>
                      <w:rFonts w:hint="eastAsia" w:ascii="Times New Roman" w:hAnsi="Times New Roman" w:eastAsia="宋体" w:cs="Times New Roman"/>
                      <w:snapToGrid w:val="0"/>
                      <w:sz w:val="18"/>
                      <w:szCs w:val="18"/>
                      <w:lang w:val="en-US" w:eastAsia="zh-CN"/>
                    </w:rPr>
                    <w:t>1</w:t>
                  </w:r>
                </w:p>
              </w:tc>
              <w:tc>
                <w:tcPr>
                  <w:tcW w:w="1021" w:type="dxa"/>
                  <w:vMerge w:val="restart"/>
                  <w:tcBorders>
                    <w:tl2br w:val="nil"/>
                    <w:tr2bl w:val="nil"/>
                  </w:tcBorders>
                  <w:vAlign w:val="center"/>
                </w:tcPr>
                <w:p w14:paraId="2FA39092">
                  <w:pPr>
                    <w:topLinePunct/>
                    <w:adjustRightInd w:val="0"/>
                    <w:snapToGrid w:val="0"/>
                    <w:spacing w:before="48" w:beforeLines="20" w:after="48" w:afterLines="20"/>
                    <w:jc w:val="center"/>
                    <w:rPr>
                      <w:rFonts w:ascii="Times New Roman" w:hAnsi="Times New Roman" w:eastAsia="宋体" w:cs="Times New Roman"/>
                      <w:snapToGrid w:val="0"/>
                      <w:sz w:val="18"/>
                      <w:szCs w:val="18"/>
                    </w:rPr>
                  </w:pPr>
                  <w:r>
                    <w:rPr>
                      <w:rFonts w:hint="eastAsia" w:ascii="Times New Roman" w:hAnsi="Times New Roman" w:eastAsia="宋体" w:cs="Times New Roman"/>
                      <w:snapToGrid w:val="0"/>
                      <w:sz w:val="18"/>
                      <w:szCs w:val="18"/>
                      <w:lang w:val="en-US" w:eastAsia="zh-CN"/>
                    </w:rPr>
                    <w:t>35</w:t>
                  </w:r>
                  <w:r>
                    <w:rPr>
                      <w:rFonts w:ascii="Times New Roman" w:hAnsi="Times New Roman" w:eastAsia="宋体" w:cs="Times New Roman"/>
                      <w:snapToGrid w:val="0"/>
                      <w:sz w:val="18"/>
                      <w:szCs w:val="18"/>
                    </w:rPr>
                    <w:t>m</w:t>
                  </w:r>
                </w:p>
              </w:tc>
              <w:tc>
                <w:tcPr>
                  <w:tcW w:w="792" w:type="dxa"/>
                  <w:tcBorders>
                    <w:tl2br w:val="nil"/>
                    <w:tr2bl w:val="nil"/>
                  </w:tcBorders>
                  <w:vAlign w:val="center"/>
                </w:tcPr>
                <w:p w14:paraId="5AE9EC50">
                  <w:pPr>
                    <w:widowControl w:val="0"/>
                    <w:spacing w:before="57" w:after="57" w:line="240" w:lineRule="exact"/>
                    <w:jc w:val="center"/>
                    <w:rPr>
                      <w:rFonts w:ascii="Times New Roman" w:hAnsi="Times New Roman" w:eastAsia="宋体" w:cs="Times New Roman"/>
                      <w:snapToGrid w:val="0"/>
                      <w:kern w:val="44"/>
                      <w:sz w:val="18"/>
                      <w:szCs w:val="18"/>
                      <w:lang w:val="en-US" w:eastAsia="zh-CN" w:bidi="ar-SA"/>
                    </w:rPr>
                  </w:pPr>
                  <w:r>
                    <w:rPr>
                      <w:rFonts w:ascii="Times New Roman" w:hAnsi="Times New Roman" w:eastAsia="宋体" w:cs="Times New Roman"/>
                      <w:kern w:val="44"/>
                      <w:sz w:val="18"/>
                      <w:szCs w:val="18"/>
                      <w:lang w:val="zh-CN" w:eastAsia="zh-CN" w:bidi="ar-SA"/>
                    </w:rPr>
                    <w:t>非甲烷总烃</w:t>
                  </w:r>
                </w:p>
              </w:tc>
              <w:tc>
                <w:tcPr>
                  <w:tcW w:w="1321" w:type="dxa"/>
                  <w:tcBorders>
                    <w:tl2br w:val="nil"/>
                    <w:tr2bl w:val="nil"/>
                  </w:tcBorders>
                  <w:vAlign w:val="center"/>
                </w:tcPr>
                <w:p w14:paraId="4026D079">
                  <w:pPr>
                    <w:topLinePunct/>
                    <w:adjustRightInd w:val="0"/>
                    <w:snapToGrid w:val="0"/>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60</w:t>
                  </w:r>
                </w:p>
              </w:tc>
              <w:tc>
                <w:tcPr>
                  <w:tcW w:w="1356" w:type="dxa"/>
                  <w:tcBorders>
                    <w:tl2br w:val="nil"/>
                    <w:tr2bl w:val="nil"/>
                  </w:tcBorders>
                  <w:vAlign w:val="center"/>
                </w:tcPr>
                <w:p w14:paraId="57F276BF">
                  <w:pPr>
                    <w:topLinePunct/>
                    <w:adjustRightInd w:val="0"/>
                    <w:snapToGrid w:val="0"/>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3</w:t>
                  </w:r>
                </w:p>
              </w:tc>
              <w:tc>
                <w:tcPr>
                  <w:tcW w:w="2169" w:type="dxa"/>
                  <w:vMerge w:val="restart"/>
                  <w:tcBorders>
                    <w:tl2br w:val="nil"/>
                    <w:tr2bl w:val="nil"/>
                  </w:tcBorders>
                  <w:vAlign w:val="center"/>
                </w:tcPr>
                <w:p w14:paraId="51FEA888">
                  <w:pPr>
                    <w:topLinePunct/>
                    <w:adjustRightInd w:val="0"/>
                    <w:snapToGrid w:val="0"/>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《大气综合排放标准》（DB32/4041-2021）</w:t>
                  </w:r>
                </w:p>
              </w:tc>
            </w:tr>
            <w:tr w14:paraId="7570DF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501" w:type="dxa"/>
                  <w:vMerge w:val="continue"/>
                  <w:tcBorders>
                    <w:tl2br w:val="nil"/>
                    <w:tr2bl w:val="nil"/>
                  </w:tcBorders>
                  <w:vAlign w:val="center"/>
                </w:tcPr>
                <w:p w14:paraId="6CA8766D">
                  <w:pPr>
                    <w:topLinePunct/>
                    <w:adjustRightInd w:val="0"/>
                    <w:snapToGrid w:val="0"/>
                    <w:spacing w:before="48" w:beforeLines="20" w:after="48" w:afterLines="20"/>
                    <w:jc w:val="center"/>
                    <w:rPr>
                      <w:rFonts w:ascii="Times New Roman" w:hAnsi="Times New Roman" w:eastAsia="宋体" w:cs="Times New Roman"/>
                      <w:snapToGrid w:val="0"/>
                      <w:sz w:val="18"/>
                      <w:szCs w:val="18"/>
                    </w:rPr>
                  </w:pPr>
                </w:p>
              </w:tc>
              <w:tc>
                <w:tcPr>
                  <w:tcW w:w="986" w:type="dxa"/>
                  <w:vMerge w:val="continue"/>
                  <w:tcBorders>
                    <w:tl2br w:val="nil"/>
                    <w:tr2bl w:val="nil"/>
                  </w:tcBorders>
                  <w:vAlign w:val="center"/>
                </w:tcPr>
                <w:p w14:paraId="5B2BA03F">
                  <w:pPr>
                    <w:topLinePunct/>
                    <w:adjustRightInd w:val="0"/>
                    <w:snapToGrid w:val="0"/>
                    <w:spacing w:before="48" w:beforeLines="20" w:after="48" w:afterLines="20"/>
                    <w:jc w:val="center"/>
                    <w:rPr>
                      <w:rFonts w:ascii="Times New Roman" w:hAnsi="Times New Roman" w:eastAsia="宋体" w:cs="Times New Roman"/>
                      <w:snapToGrid w:val="0"/>
                      <w:sz w:val="18"/>
                      <w:szCs w:val="18"/>
                    </w:rPr>
                  </w:pPr>
                </w:p>
              </w:tc>
              <w:tc>
                <w:tcPr>
                  <w:tcW w:w="1021" w:type="dxa"/>
                  <w:vMerge w:val="continue"/>
                  <w:tcBorders>
                    <w:tl2br w:val="nil"/>
                    <w:tr2bl w:val="nil"/>
                  </w:tcBorders>
                  <w:vAlign w:val="center"/>
                </w:tcPr>
                <w:p w14:paraId="7503FCF0">
                  <w:pPr>
                    <w:topLinePunct/>
                    <w:adjustRightInd w:val="0"/>
                    <w:snapToGrid w:val="0"/>
                    <w:spacing w:before="48" w:beforeLines="20" w:after="48" w:afterLines="20"/>
                    <w:jc w:val="center"/>
                    <w:rPr>
                      <w:rFonts w:ascii="Times New Roman" w:hAnsi="Times New Roman" w:eastAsia="宋体" w:cs="Times New Roman"/>
                      <w:snapToGrid w:val="0"/>
                      <w:sz w:val="18"/>
                      <w:szCs w:val="18"/>
                    </w:rPr>
                  </w:pPr>
                </w:p>
              </w:tc>
              <w:tc>
                <w:tcPr>
                  <w:tcW w:w="792" w:type="dxa"/>
                  <w:tcBorders>
                    <w:tl2br w:val="nil"/>
                    <w:tr2bl w:val="nil"/>
                  </w:tcBorders>
                  <w:vAlign w:val="center"/>
                </w:tcPr>
                <w:p w14:paraId="5310A73E">
                  <w:pPr>
                    <w:widowControl w:val="0"/>
                    <w:spacing w:before="57" w:after="57" w:line="240" w:lineRule="exact"/>
                    <w:jc w:val="center"/>
                    <w:rPr>
                      <w:rFonts w:hint="default" w:ascii="Times New Roman" w:hAnsi="Times New Roman" w:eastAsia="宋体" w:cs="Times New Roman"/>
                      <w:kern w:val="44"/>
                      <w:sz w:val="18"/>
                      <w:szCs w:val="18"/>
                      <w:lang w:val="en-US" w:eastAsia="zh-CN" w:bidi="ar-SA"/>
                    </w:rPr>
                  </w:pPr>
                  <w:r>
                    <w:rPr>
                      <w:rFonts w:hint="eastAsia" w:ascii="Times New Roman" w:hAnsi="Times New Roman" w:eastAsia="宋体" w:cs="Times New Roman"/>
                      <w:kern w:val="44"/>
                      <w:sz w:val="18"/>
                      <w:szCs w:val="18"/>
                      <w:lang w:val="en-US" w:eastAsia="zh-CN" w:bidi="ar-SA"/>
                    </w:rPr>
                    <w:t>颗粒物</w:t>
                  </w:r>
                </w:p>
              </w:tc>
              <w:tc>
                <w:tcPr>
                  <w:tcW w:w="1321" w:type="dxa"/>
                  <w:tcBorders>
                    <w:tl2br w:val="nil"/>
                    <w:tr2bl w:val="nil"/>
                  </w:tcBorders>
                  <w:vAlign w:val="center"/>
                </w:tcPr>
                <w:p w14:paraId="28CBEC87">
                  <w:pPr>
                    <w:topLinePunct/>
                    <w:adjustRightInd w:val="0"/>
                    <w:snapToGrid w:val="0"/>
                    <w:spacing w:before="48" w:beforeLines="20" w:after="48" w:afterLines="20"/>
                    <w:jc w:val="center"/>
                    <w:rPr>
                      <w:rFonts w:hint="default" w:ascii="Times New Roman" w:hAnsi="Times New Roman" w:eastAsia="宋体" w:cs="Times New Roman"/>
                      <w:snapToGrid w:val="0"/>
                      <w:sz w:val="18"/>
                      <w:szCs w:val="18"/>
                      <w:lang w:val="en-US" w:eastAsia="zh-CN"/>
                    </w:rPr>
                  </w:pPr>
                  <w:r>
                    <w:rPr>
                      <w:rFonts w:hint="eastAsia" w:ascii="Times New Roman" w:hAnsi="Times New Roman" w:eastAsia="宋体" w:cs="Times New Roman"/>
                      <w:snapToGrid w:val="0"/>
                      <w:sz w:val="18"/>
                      <w:szCs w:val="18"/>
                      <w:lang w:val="en-US" w:eastAsia="zh-CN"/>
                    </w:rPr>
                    <w:t>20</w:t>
                  </w:r>
                </w:p>
              </w:tc>
              <w:tc>
                <w:tcPr>
                  <w:tcW w:w="1356" w:type="dxa"/>
                  <w:tcBorders>
                    <w:tl2br w:val="nil"/>
                    <w:tr2bl w:val="nil"/>
                  </w:tcBorders>
                  <w:vAlign w:val="center"/>
                </w:tcPr>
                <w:p w14:paraId="1276BB9D">
                  <w:pPr>
                    <w:topLinePunct/>
                    <w:adjustRightInd w:val="0"/>
                    <w:snapToGrid w:val="0"/>
                    <w:spacing w:before="48" w:beforeLines="20" w:after="48" w:afterLines="20"/>
                    <w:jc w:val="center"/>
                    <w:rPr>
                      <w:rFonts w:hint="default" w:ascii="Times New Roman" w:hAnsi="Times New Roman" w:eastAsia="宋体" w:cs="Times New Roman"/>
                      <w:snapToGrid w:val="0"/>
                      <w:sz w:val="18"/>
                      <w:szCs w:val="18"/>
                      <w:lang w:val="en-US" w:eastAsia="zh-CN"/>
                    </w:rPr>
                  </w:pPr>
                  <w:r>
                    <w:rPr>
                      <w:rFonts w:hint="eastAsia" w:ascii="Times New Roman" w:hAnsi="Times New Roman" w:eastAsia="宋体" w:cs="Times New Roman"/>
                      <w:snapToGrid w:val="0"/>
                      <w:sz w:val="18"/>
                      <w:szCs w:val="18"/>
                      <w:lang w:val="en-US" w:eastAsia="zh-CN"/>
                    </w:rPr>
                    <w:t>1</w:t>
                  </w:r>
                </w:p>
              </w:tc>
              <w:tc>
                <w:tcPr>
                  <w:tcW w:w="2169" w:type="dxa"/>
                  <w:vMerge w:val="continue"/>
                  <w:tcBorders>
                    <w:tl2br w:val="nil"/>
                    <w:tr2bl w:val="nil"/>
                  </w:tcBorders>
                  <w:vAlign w:val="center"/>
                </w:tcPr>
                <w:p w14:paraId="114C5FB4">
                  <w:pPr>
                    <w:topLinePunct/>
                    <w:adjustRightInd w:val="0"/>
                    <w:snapToGrid w:val="0"/>
                    <w:spacing w:before="48" w:beforeLines="20" w:after="48" w:afterLines="20"/>
                    <w:jc w:val="center"/>
                    <w:rPr>
                      <w:rFonts w:ascii="Times New Roman" w:hAnsi="Times New Roman" w:eastAsia="宋体" w:cs="Times New Roman"/>
                      <w:snapToGrid w:val="0"/>
                      <w:sz w:val="18"/>
                      <w:szCs w:val="18"/>
                    </w:rPr>
                  </w:pPr>
                </w:p>
              </w:tc>
            </w:tr>
          </w:tbl>
          <w:p w14:paraId="3B720287">
            <w:pPr>
              <w:tabs>
                <w:tab w:val="center" w:pos="4156"/>
                <w:tab w:val="left" w:pos="5964"/>
              </w:tabs>
              <w:adjustRightInd w:val="0"/>
              <w:snapToGrid w:val="0"/>
              <w:jc w:val="center"/>
              <w:rPr>
                <w:rFonts w:hint="eastAsia" w:ascii="Times New Roman" w:hAnsi="Times New Roman" w:eastAsia="宋体" w:cs="Times New Roman"/>
                <w:b/>
                <w:snapToGrid w:val="0"/>
                <w:color w:val="auto"/>
                <w:szCs w:val="21"/>
                <w:highlight w:val="none"/>
              </w:rPr>
            </w:pPr>
            <w:r>
              <w:rPr>
                <w:rFonts w:hint="eastAsia" w:ascii="Times New Roman" w:hAnsi="Times New Roman" w:eastAsia="宋体" w:cs="Times New Roman"/>
                <w:b/>
                <w:snapToGrid w:val="0"/>
                <w:color w:val="auto"/>
                <w:szCs w:val="21"/>
                <w:highlight w:val="none"/>
              </w:rPr>
              <w:t>表3-</w:t>
            </w:r>
            <w:r>
              <w:rPr>
                <w:rFonts w:hint="eastAsia" w:cs="Times New Roman"/>
                <w:b/>
                <w:snapToGrid w:val="0"/>
                <w:color w:val="auto"/>
                <w:szCs w:val="21"/>
                <w:highlight w:val="none"/>
                <w:lang w:val="en-US" w:eastAsia="zh-CN"/>
              </w:rPr>
              <w:t>6</w:t>
            </w:r>
            <w:r>
              <w:rPr>
                <w:rFonts w:hint="eastAsia" w:ascii="Times New Roman" w:hAnsi="Times New Roman" w:eastAsia="宋体" w:cs="Times New Roman"/>
                <w:b/>
                <w:snapToGrid w:val="0"/>
                <w:color w:val="auto"/>
                <w:szCs w:val="21"/>
                <w:highlight w:val="none"/>
              </w:rPr>
              <w:t xml:space="preserve">    废气厂界外无组织标准限值</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583"/>
              <w:gridCol w:w="1484"/>
              <w:gridCol w:w="2420"/>
              <w:gridCol w:w="2166"/>
            </w:tblGrid>
            <w:tr w14:paraId="3F0AB7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94" w:type="dxa"/>
                  <w:vMerge w:val="restart"/>
                  <w:noWrap w:val="0"/>
                  <w:vAlign w:val="center"/>
                </w:tcPr>
                <w:p w14:paraId="180110A3">
                  <w:pPr>
                    <w:widowControl w:val="0"/>
                    <w:spacing w:before="57" w:after="57" w:line="240" w:lineRule="exact"/>
                    <w:jc w:val="center"/>
                    <w:rPr>
                      <w:rFonts w:ascii="Times New Roman" w:hAnsi="Times New Roman" w:eastAsia="宋体" w:cs="Times New Roman"/>
                      <w:kern w:val="44"/>
                      <w:sz w:val="18"/>
                      <w:szCs w:val="18"/>
                      <w:lang w:val="en-US" w:eastAsia="zh-CN" w:bidi="ar-SA"/>
                    </w:rPr>
                  </w:pPr>
                  <w:r>
                    <w:rPr>
                      <w:rFonts w:ascii="Times New Roman" w:hAnsi="Times New Roman" w:eastAsia="宋体" w:cs="Times New Roman"/>
                      <w:kern w:val="44"/>
                      <w:sz w:val="18"/>
                      <w:szCs w:val="18"/>
                      <w:lang w:val="en-US" w:eastAsia="zh-CN" w:bidi="ar-SA"/>
                    </w:rPr>
                    <w:t>序号</w:t>
                  </w:r>
                </w:p>
              </w:tc>
              <w:tc>
                <w:tcPr>
                  <w:tcW w:w="1583" w:type="dxa"/>
                  <w:vMerge w:val="restart"/>
                  <w:noWrap w:val="0"/>
                  <w:vAlign w:val="center"/>
                </w:tcPr>
                <w:p w14:paraId="52A644AD">
                  <w:pPr>
                    <w:widowControl w:val="0"/>
                    <w:spacing w:before="57" w:after="57" w:line="240" w:lineRule="exact"/>
                    <w:jc w:val="center"/>
                    <w:rPr>
                      <w:rFonts w:ascii="Times New Roman" w:hAnsi="Times New Roman" w:eastAsia="宋体" w:cs="Times New Roman"/>
                      <w:kern w:val="44"/>
                      <w:sz w:val="18"/>
                      <w:szCs w:val="18"/>
                      <w:lang w:val="en-US" w:eastAsia="zh-CN" w:bidi="ar-SA"/>
                    </w:rPr>
                  </w:pPr>
                  <w:r>
                    <w:rPr>
                      <w:rFonts w:ascii="Times New Roman" w:hAnsi="Times New Roman" w:eastAsia="宋体" w:cs="Times New Roman"/>
                      <w:kern w:val="44"/>
                      <w:sz w:val="18"/>
                      <w:szCs w:val="18"/>
                      <w:lang w:val="en-US" w:eastAsia="zh-CN" w:bidi="ar-SA"/>
                    </w:rPr>
                    <w:t>污染物</w:t>
                  </w:r>
                </w:p>
              </w:tc>
              <w:tc>
                <w:tcPr>
                  <w:tcW w:w="1484" w:type="dxa"/>
                  <w:vMerge w:val="restart"/>
                  <w:noWrap w:val="0"/>
                  <w:vAlign w:val="center"/>
                </w:tcPr>
                <w:p w14:paraId="6E0671E6">
                  <w:pPr>
                    <w:widowControl w:val="0"/>
                    <w:spacing w:before="57" w:after="57" w:line="240" w:lineRule="exact"/>
                    <w:jc w:val="center"/>
                    <w:rPr>
                      <w:rFonts w:ascii="Times New Roman" w:hAnsi="Times New Roman" w:eastAsia="宋体" w:cs="Times New Roman"/>
                      <w:kern w:val="44"/>
                      <w:sz w:val="18"/>
                      <w:szCs w:val="18"/>
                      <w:lang w:val="en-US" w:eastAsia="zh-CN" w:bidi="ar-SA"/>
                    </w:rPr>
                  </w:pPr>
                  <w:r>
                    <w:rPr>
                      <w:rFonts w:ascii="Times New Roman" w:hAnsi="Times New Roman" w:eastAsia="宋体" w:cs="Times New Roman"/>
                      <w:kern w:val="44"/>
                      <w:sz w:val="18"/>
                      <w:szCs w:val="18"/>
                      <w:lang w:val="en-US" w:eastAsia="zh-CN" w:bidi="ar-SA"/>
                    </w:rPr>
                    <w:t>监控点</w:t>
                  </w:r>
                </w:p>
              </w:tc>
              <w:tc>
                <w:tcPr>
                  <w:tcW w:w="2420" w:type="dxa"/>
                  <w:noWrap w:val="0"/>
                  <w:vAlign w:val="center"/>
                </w:tcPr>
                <w:p w14:paraId="67CCF312">
                  <w:pPr>
                    <w:widowControl w:val="0"/>
                    <w:spacing w:before="57" w:after="57" w:line="240" w:lineRule="exact"/>
                    <w:jc w:val="center"/>
                    <w:rPr>
                      <w:rFonts w:ascii="Times New Roman" w:hAnsi="Times New Roman" w:eastAsia="宋体" w:cs="Times New Roman"/>
                      <w:kern w:val="44"/>
                      <w:sz w:val="18"/>
                      <w:szCs w:val="18"/>
                      <w:lang w:val="en-US" w:eastAsia="zh-CN" w:bidi="ar-SA"/>
                    </w:rPr>
                  </w:pPr>
                  <w:r>
                    <w:rPr>
                      <w:rFonts w:ascii="Times New Roman" w:hAnsi="Times New Roman" w:eastAsia="宋体" w:cs="Times New Roman"/>
                      <w:kern w:val="44"/>
                      <w:sz w:val="18"/>
                      <w:szCs w:val="18"/>
                      <w:lang w:val="en-US" w:eastAsia="zh-CN" w:bidi="ar-SA"/>
                    </w:rPr>
                    <w:t>无组织排放监控浓度限值</w:t>
                  </w:r>
                </w:p>
              </w:tc>
              <w:tc>
                <w:tcPr>
                  <w:tcW w:w="2166" w:type="dxa"/>
                  <w:vMerge w:val="restart"/>
                  <w:noWrap w:val="0"/>
                  <w:vAlign w:val="center"/>
                </w:tcPr>
                <w:p w14:paraId="16D01813">
                  <w:pPr>
                    <w:widowControl w:val="0"/>
                    <w:spacing w:before="57" w:after="57" w:line="240" w:lineRule="exact"/>
                    <w:jc w:val="center"/>
                    <w:rPr>
                      <w:rFonts w:ascii="Times New Roman" w:hAnsi="Times New Roman" w:eastAsia="宋体" w:cs="Times New Roman"/>
                      <w:kern w:val="44"/>
                      <w:sz w:val="18"/>
                      <w:szCs w:val="18"/>
                      <w:lang w:val="en-US" w:eastAsia="zh-CN" w:bidi="ar-SA"/>
                    </w:rPr>
                  </w:pPr>
                  <w:r>
                    <w:rPr>
                      <w:rFonts w:ascii="Times New Roman" w:hAnsi="Times New Roman" w:eastAsia="宋体" w:cs="Times New Roman"/>
                      <w:kern w:val="44"/>
                      <w:sz w:val="18"/>
                      <w:szCs w:val="18"/>
                      <w:lang w:val="en-US" w:eastAsia="zh-CN" w:bidi="ar-SA"/>
                    </w:rPr>
                    <w:t>执行标准</w:t>
                  </w:r>
                </w:p>
              </w:tc>
            </w:tr>
            <w:tr w14:paraId="016CF2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noWrap w:val="0"/>
                  <w:vAlign w:val="center"/>
                </w:tcPr>
                <w:p w14:paraId="4788338C">
                  <w:pPr>
                    <w:widowControl w:val="0"/>
                    <w:spacing w:before="57" w:after="57" w:line="240" w:lineRule="exact"/>
                    <w:jc w:val="center"/>
                    <w:rPr>
                      <w:rFonts w:ascii="Times New Roman" w:hAnsi="Times New Roman" w:eastAsia="宋体" w:cs="Times New Roman"/>
                      <w:kern w:val="44"/>
                      <w:sz w:val="18"/>
                      <w:szCs w:val="18"/>
                      <w:lang w:val="en-US" w:eastAsia="zh-CN" w:bidi="ar-SA"/>
                    </w:rPr>
                  </w:pPr>
                </w:p>
              </w:tc>
              <w:tc>
                <w:tcPr>
                  <w:tcW w:w="1583" w:type="dxa"/>
                  <w:vMerge w:val="continue"/>
                  <w:noWrap w:val="0"/>
                  <w:vAlign w:val="center"/>
                </w:tcPr>
                <w:p w14:paraId="5607AC1E">
                  <w:pPr>
                    <w:widowControl w:val="0"/>
                    <w:spacing w:before="57" w:after="57" w:line="240" w:lineRule="exact"/>
                    <w:jc w:val="center"/>
                    <w:rPr>
                      <w:rFonts w:ascii="Times New Roman" w:hAnsi="Times New Roman" w:eastAsia="宋体" w:cs="Times New Roman"/>
                      <w:kern w:val="44"/>
                      <w:sz w:val="18"/>
                      <w:szCs w:val="18"/>
                      <w:lang w:val="en-US" w:eastAsia="zh-CN" w:bidi="ar-SA"/>
                    </w:rPr>
                  </w:pPr>
                </w:p>
              </w:tc>
              <w:tc>
                <w:tcPr>
                  <w:tcW w:w="1484" w:type="dxa"/>
                  <w:vMerge w:val="continue"/>
                  <w:noWrap w:val="0"/>
                  <w:vAlign w:val="center"/>
                </w:tcPr>
                <w:p w14:paraId="4565016F">
                  <w:pPr>
                    <w:widowControl w:val="0"/>
                    <w:spacing w:before="57" w:after="57" w:line="240" w:lineRule="exact"/>
                    <w:jc w:val="center"/>
                    <w:rPr>
                      <w:rFonts w:ascii="Times New Roman" w:hAnsi="Times New Roman" w:eastAsia="宋体" w:cs="Times New Roman"/>
                      <w:kern w:val="44"/>
                      <w:sz w:val="18"/>
                      <w:szCs w:val="18"/>
                      <w:lang w:val="en-US" w:eastAsia="zh-CN" w:bidi="ar-SA"/>
                    </w:rPr>
                  </w:pPr>
                </w:p>
              </w:tc>
              <w:tc>
                <w:tcPr>
                  <w:tcW w:w="2420" w:type="dxa"/>
                  <w:noWrap w:val="0"/>
                  <w:vAlign w:val="center"/>
                </w:tcPr>
                <w:p w14:paraId="66391344">
                  <w:pPr>
                    <w:widowControl w:val="0"/>
                    <w:spacing w:before="57" w:after="57" w:line="240" w:lineRule="exact"/>
                    <w:jc w:val="center"/>
                    <w:rPr>
                      <w:rFonts w:ascii="Times New Roman" w:hAnsi="Times New Roman" w:eastAsia="宋体" w:cs="Times New Roman"/>
                      <w:kern w:val="44"/>
                      <w:sz w:val="18"/>
                      <w:szCs w:val="18"/>
                      <w:lang w:val="en-US" w:eastAsia="zh-CN" w:bidi="ar-SA"/>
                    </w:rPr>
                  </w:pPr>
                  <w:r>
                    <w:rPr>
                      <w:rFonts w:ascii="Times New Roman" w:hAnsi="Times New Roman" w:eastAsia="宋体" w:cs="Times New Roman"/>
                      <w:kern w:val="44"/>
                      <w:sz w:val="18"/>
                      <w:szCs w:val="18"/>
                      <w:lang w:val="en-US" w:eastAsia="zh-CN" w:bidi="ar-SA"/>
                    </w:rPr>
                    <w:t>浓度mg/m</w:t>
                  </w:r>
                  <w:r>
                    <w:rPr>
                      <w:rFonts w:ascii="Times New Roman" w:hAnsi="Times New Roman" w:eastAsia="宋体" w:cs="Times New Roman"/>
                      <w:kern w:val="44"/>
                      <w:sz w:val="18"/>
                      <w:szCs w:val="18"/>
                      <w:vertAlign w:val="superscript"/>
                      <w:lang w:val="en-US" w:eastAsia="zh-CN" w:bidi="ar-SA"/>
                    </w:rPr>
                    <w:t>3</w:t>
                  </w:r>
                </w:p>
              </w:tc>
              <w:tc>
                <w:tcPr>
                  <w:tcW w:w="2166" w:type="dxa"/>
                  <w:vMerge w:val="continue"/>
                  <w:noWrap w:val="0"/>
                  <w:vAlign w:val="center"/>
                </w:tcPr>
                <w:p w14:paraId="596B167A">
                  <w:pPr>
                    <w:widowControl w:val="0"/>
                    <w:spacing w:before="57" w:after="57" w:line="240" w:lineRule="exact"/>
                    <w:jc w:val="center"/>
                    <w:rPr>
                      <w:rFonts w:ascii="Times New Roman" w:hAnsi="Times New Roman" w:eastAsia="宋体" w:cs="Times New Roman"/>
                      <w:kern w:val="44"/>
                      <w:sz w:val="18"/>
                      <w:szCs w:val="18"/>
                      <w:lang w:val="en-US" w:eastAsia="zh-CN" w:bidi="ar-SA"/>
                    </w:rPr>
                  </w:pPr>
                </w:p>
              </w:tc>
            </w:tr>
            <w:tr w14:paraId="4770FD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4" w:type="dxa"/>
                  <w:noWrap w:val="0"/>
                  <w:vAlign w:val="center"/>
                </w:tcPr>
                <w:p w14:paraId="0F532034">
                  <w:pPr>
                    <w:widowControl w:val="0"/>
                    <w:spacing w:before="57" w:after="57" w:line="240" w:lineRule="exact"/>
                    <w:jc w:val="center"/>
                    <w:rPr>
                      <w:rFonts w:ascii="Times New Roman" w:hAnsi="Times New Roman" w:eastAsia="宋体" w:cs="Times New Roman"/>
                      <w:kern w:val="44"/>
                      <w:sz w:val="18"/>
                      <w:szCs w:val="18"/>
                      <w:lang w:val="en-US" w:eastAsia="zh-CN" w:bidi="ar-SA"/>
                    </w:rPr>
                  </w:pPr>
                  <w:r>
                    <w:rPr>
                      <w:rFonts w:hint="eastAsia" w:ascii="Times New Roman" w:hAnsi="Times New Roman" w:eastAsia="宋体" w:cs="Times New Roman"/>
                      <w:kern w:val="44"/>
                      <w:sz w:val="18"/>
                      <w:szCs w:val="18"/>
                      <w:lang w:val="en-US" w:eastAsia="zh-CN" w:bidi="ar-SA"/>
                    </w:rPr>
                    <w:t>1</w:t>
                  </w:r>
                </w:p>
              </w:tc>
              <w:tc>
                <w:tcPr>
                  <w:tcW w:w="1583" w:type="dxa"/>
                  <w:noWrap w:val="0"/>
                  <w:vAlign w:val="center"/>
                </w:tcPr>
                <w:p w14:paraId="73A759D5">
                  <w:pPr>
                    <w:widowControl w:val="0"/>
                    <w:spacing w:before="57" w:after="57" w:line="240" w:lineRule="exact"/>
                    <w:jc w:val="center"/>
                    <w:rPr>
                      <w:rFonts w:ascii="Times New Roman" w:hAnsi="Times New Roman" w:eastAsia="宋体" w:cs="Times New Roman"/>
                      <w:kern w:val="44"/>
                      <w:sz w:val="18"/>
                      <w:szCs w:val="18"/>
                      <w:lang w:val="en-US" w:eastAsia="zh-CN" w:bidi="ar-SA"/>
                    </w:rPr>
                  </w:pPr>
                  <w:r>
                    <w:rPr>
                      <w:rFonts w:ascii="Times New Roman" w:hAnsi="Times New Roman" w:eastAsia="宋体" w:cs="Times New Roman"/>
                      <w:kern w:val="44"/>
                      <w:sz w:val="18"/>
                      <w:szCs w:val="18"/>
                      <w:lang w:val="en-US" w:eastAsia="zh-CN" w:bidi="ar-SA"/>
                    </w:rPr>
                    <w:t>非甲烷总烃</w:t>
                  </w:r>
                </w:p>
              </w:tc>
              <w:tc>
                <w:tcPr>
                  <w:tcW w:w="1484" w:type="dxa"/>
                  <w:vMerge w:val="restart"/>
                  <w:noWrap w:val="0"/>
                  <w:vAlign w:val="center"/>
                </w:tcPr>
                <w:p w14:paraId="68348EC2">
                  <w:pPr>
                    <w:widowControl w:val="0"/>
                    <w:spacing w:before="57" w:after="57" w:line="240" w:lineRule="exact"/>
                    <w:jc w:val="center"/>
                    <w:rPr>
                      <w:rFonts w:ascii="Times New Roman" w:hAnsi="Times New Roman" w:eastAsia="宋体" w:cs="Times New Roman"/>
                      <w:kern w:val="44"/>
                      <w:sz w:val="18"/>
                      <w:szCs w:val="18"/>
                      <w:lang w:val="en-US" w:eastAsia="zh-CN" w:bidi="ar-SA"/>
                    </w:rPr>
                  </w:pPr>
                  <w:r>
                    <w:rPr>
                      <w:rFonts w:ascii="Times New Roman" w:hAnsi="Times New Roman" w:eastAsia="宋体" w:cs="Times New Roman"/>
                      <w:kern w:val="44"/>
                      <w:sz w:val="18"/>
                      <w:szCs w:val="18"/>
                      <w:lang w:val="en-US" w:eastAsia="zh-CN" w:bidi="ar-SA"/>
                    </w:rPr>
                    <w:t>周界外浓度最高点</w:t>
                  </w:r>
                </w:p>
              </w:tc>
              <w:tc>
                <w:tcPr>
                  <w:tcW w:w="2420" w:type="dxa"/>
                  <w:noWrap w:val="0"/>
                  <w:vAlign w:val="center"/>
                </w:tcPr>
                <w:p w14:paraId="62EE0C9C">
                  <w:pPr>
                    <w:widowControl w:val="0"/>
                    <w:spacing w:before="57" w:after="57" w:line="240" w:lineRule="exact"/>
                    <w:jc w:val="center"/>
                    <w:rPr>
                      <w:rFonts w:hint="eastAsia" w:ascii="Times New Roman" w:hAnsi="Times New Roman" w:eastAsia="宋体" w:cs="Times New Roman"/>
                      <w:kern w:val="44"/>
                      <w:sz w:val="18"/>
                      <w:szCs w:val="18"/>
                      <w:lang w:val="en-US" w:eastAsia="zh-CN" w:bidi="ar-SA"/>
                    </w:rPr>
                  </w:pPr>
                  <w:r>
                    <w:rPr>
                      <w:rFonts w:hint="eastAsia" w:ascii="Times New Roman" w:hAnsi="Times New Roman" w:eastAsia="宋体" w:cs="Times New Roman"/>
                      <w:kern w:val="44"/>
                      <w:sz w:val="18"/>
                      <w:szCs w:val="18"/>
                      <w:lang w:val="en-US" w:eastAsia="zh-CN" w:bidi="ar-SA"/>
                    </w:rPr>
                    <w:t>4</w:t>
                  </w:r>
                </w:p>
              </w:tc>
              <w:tc>
                <w:tcPr>
                  <w:tcW w:w="2166" w:type="dxa"/>
                  <w:vMerge w:val="restart"/>
                  <w:noWrap w:val="0"/>
                  <w:vAlign w:val="center"/>
                </w:tcPr>
                <w:p w14:paraId="18BE07AA">
                  <w:pPr>
                    <w:widowControl w:val="0"/>
                    <w:spacing w:before="57" w:after="57" w:line="240" w:lineRule="exact"/>
                    <w:jc w:val="center"/>
                    <w:rPr>
                      <w:rFonts w:ascii="Times New Roman" w:hAnsi="Times New Roman" w:eastAsia="宋体" w:cs="Times New Roman"/>
                      <w:kern w:val="44"/>
                      <w:sz w:val="18"/>
                      <w:szCs w:val="18"/>
                      <w:lang w:val="en-US" w:eastAsia="zh-CN" w:bidi="ar-SA"/>
                    </w:rPr>
                  </w:pPr>
                  <w:r>
                    <w:rPr>
                      <w:rFonts w:ascii="Times New Roman" w:hAnsi="Times New Roman" w:eastAsia="宋体" w:cs="Times New Roman"/>
                      <w:kern w:val="44"/>
                      <w:sz w:val="18"/>
                      <w:szCs w:val="18"/>
                      <w:lang w:val="en-US" w:eastAsia="zh-CN" w:bidi="ar-SA"/>
                    </w:rPr>
                    <w:t>《大气综合排放标准》（DB32/4041-2021）</w:t>
                  </w:r>
                </w:p>
              </w:tc>
            </w:tr>
            <w:tr w14:paraId="623AC3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4" w:type="dxa"/>
                  <w:shd w:val="clear" w:color="auto" w:fill="auto"/>
                  <w:noWrap w:val="0"/>
                  <w:vAlign w:val="center"/>
                </w:tcPr>
                <w:p w14:paraId="43311900">
                  <w:pPr>
                    <w:widowControl w:val="0"/>
                    <w:spacing w:before="57" w:after="57" w:line="240" w:lineRule="exact"/>
                    <w:jc w:val="center"/>
                    <w:rPr>
                      <w:rFonts w:hint="eastAsia" w:ascii="Times New Roman" w:hAnsi="Times New Roman" w:eastAsia="宋体" w:cs="Times New Roman"/>
                      <w:kern w:val="44"/>
                      <w:sz w:val="18"/>
                      <w:szCs w:val="18"/>
                      <w:lang w:val="en-US" w:eastAsia="zh-CN" w:bidi="ar-SA"/>
                    </w:rPr>
                  </w:pPr>
                  <w:r>
                    <w:rPr>
                      <w:rFonts w:hint="eastAsia" w:ascii="Times New Roman" w:hAnsi="Times New Roman" w:eastAsia="宋体" w:cs="Times New Roman"/>
                      <w:kern w:val="44"/>
                      <w:sz w:val="18"/>
                      <w:szCs w:val="18"/>
                      <w:lang w:val="en-US" w:eastAsia="zh-CN" w:bidi="ar-SA"/>
                    </w:rPr>
                    <w:t>2</w:t>
                  </w:r>
                </w:p>
              </w:tc>
              <w:tc>
                <w:tcPr>
                  <w:tcW w:w="1583" w:type="dxa"/>
                  <w:noWrap w:val="0"/>
                  <w:vAlign w:val="center"/>
                </w:tcPr>
                <w:p w14:paraId="023DF42A">
                  <w:pPr>
                    <w:widowControl w:val="0"/>
                    <w:spacing w:before="57" w:after="57" w:line="240" w:lineRule="exact"/>
                    <w:jc w:val="center"/>
                    <w:rPr>
                      <w:rFonts w:hint="default" w:ascii="Times New Roman" w:hAnsi="Times New Roman" w:eastAsia="宋体" w:cs="Times New Roman"/>
                      <w:kern w:val="44"/>
                      <w:sz w:val="18"/>
                      <w:szCs w:val="18"/>
                      <w:lang w:val="en-US" w:eastAsia="zh-CN" w:bidi="ar-SA"/>
                    </w:rPr>
                  </w:pPr>
                  <w:r>
                    <w:rPr>
                      <w:rFonts w:hint="eastAsia" w:ascii="Times New Roman" w:hAnsi="Times New Roman" w:eastAsia="宋体" w:cs="Times New Roman"/>
                      <w:kern w:val="44"/>
                      <w:sz w:val="18"/>
                      <w:szCs w:val="18"/>
                      <w:lang w:val="en-US" w:eastAsia="zh-CN" w:bidi="ar-SA"/>
                    </w:rPr>
                    <w:t>颗粒物</w:t>
                  </w:r>
                </w:p>
              </w:tc>
              <w:tc>
                <w:tcPr>
                  <w:tcW w:w="1484" w:type="dxa"/>
                  <w:vMerge w:val="continue"/>
                  <w:noWrap w:val="0"/>
                  <w:vAlign w:val="center"/>
                </w:tcPr>
                <w:p w14:paraId="6F0E4933">
                  <w:pPr>
                    <w:widowControl w:val="0"/>
                    <w:spacing w:before="57" w:after="57" w:line="240" w:lineRule="exact"/>
                    <w:jc w:val="center"/>
                    <w:rPr>
                      <w:rFonts w:ascii="Times New Roman" w:hAnsi="Times New Roman" w:eastAsia="宋体" w:cs="Times New Roman"/>
                      <w:kern w:val="44"/>
                      <w:sz w:val="18"/>
                      <w:szCs w:val="18"/>
                      <w:lang w:val="en-US" w:eastAsia="zh-CN" w:bidi="ar-SA"/>
                    </w:rPr>
                  </w:pPr>
                </w:p>
              </w:tc>
              <w:tc>
                <w:tcPr>
                  <w:tcW w:w="2420" w:type="dxa"/>
                  <w:noWrap w:val="0"/>
                  <w:vAlign w:val="center"/>
                </w:tcPr>
                <w:p w14:paraId="13572A23">
                  <w:pPr>
                    <w:widowControl w:val="0"/>
                    <w:spacing w:before="57" w:after="57" w:line="240" w:lineRule="exact"/>
                    <w:jc w:val="center"/>
                    <w:rPr>
                      <w:rFonts w:hint="default" w:ascii="Times New Roman" w:hAnsi="Times New Roman" w:eastAsia="宋体" w:cs="Times New Roman"/>
                      <w:kern w:val="44"/>
                      <w:sz w:val="18"/>
                      <w:szCs w:val="18"/>
                      <w:lang w:val="en-US" w:eastAsia="zh-CN" w:bidi="ar-SA"/>
                    </w:rPr>
                  </w:pPr>
                  <w:r>
                    <w:rPr>
                      <w:rFonts w:hint="eastAsia" w:ascii="Times New Roman" w:hAnsi="Times New Roman" w:eastAsia="宋体" w:cs="Times New Roman"/>
                      <w:kern w:val="44"/>
                      <w:sz w:val="18"/>
                      <w:szCs w:val="18"/>
                      <w:lang w:val="en-US" w:eastAsia="zh-CN" w:bidi="ar-SA"/>
                    </w:rPr>
                    <w:t>0.5</w:t>
                  </w:r>
                </w:p>
              </w:tc>
              <w:tc>
                <w:tcPr>
                  <w:tcW w:w="2166" w:type="dxa"/>
                  <w:vMerge w:val="continue"/>
                  <w:noWrap w:val="0"/>
                  <w:vAlign w:val="center"/>
                </w:tcPr>
                <w:p w14:paraId="7F021C0E">
                  <w:pPr>
                    <w:widowControl w:val="0"/>
                    <w:spacing w:before="57" w:after="57" w:line="240" w:lineRule="exact"/>
                    <w:jc w:val="center"/>
                    <w:rPr>
                      <w:rFonts w:ascii="Times New Roman" w:hAnsi="Times New Roman" w:eastAsia="宋体" w:cs="Times New Roman"/>
                      <w:kern w:val="44"/>
                      <w:sz w:val="18"/>
                      <w:szCs w:val="18"/>
                      <w:lang w:val="en-US" w:eastAsia="zh-CN" w:bidi="ar-SA"/>
                    </w:rPr>
                  </w:pPr>
                </w:p>
              </w:tc>
            </w:tr>
          </w:tbl>
          <w:p w14:paraId="42EAF6A8">
            <w:pPr>
              <w:tabs>
                <w:tab w:val="center" w:pos="4156"/>
                <w:tab w:val="left" w:pos="5964"/>
              </w:tabs>
              <w:adjustRightInd w:val="0"/>
              <w:snapToGrid w:val="0"/>
              <w:jc w:val="center"/>
              <w:rPr>
                <w:rFonts w:hint="eastAsia" w:ascii="Times New Roman" w:hAnsi="Times New Roman" w:eastAsia="宋体" w:cs="Times New Roman"/>
                <w:b/>
                <w:snapToGrid w:val="0"/>
                <w:color w:val="auto"/>
                <w:szCs w:val="21"/>
                <w:highlight w:val="none"/>
                <w:lang w:val="en-US" w:eastAsia="zh-CN"/>
              </w:rPr>
            </w:pPr>
            <w:r>
              <w:rPr>
                <w:rFonts w:hint="eastAsia" w:ascii="Times New Roman" w:hAnsi="Times New Roman" w:eastAsia="宋体" w:cs="Times New Roman"/>
                <w:b/>
                <w:snapToGrid w:val="0"/>
                <w:color w:val="auto"/>
                <w:szCs w:val="21"/>
                <w:highlight w:val="none"/>
                <w:lang w:val="en-US" w:eastAsia="zh-CN"/>
              </w:rPr>
              <w:t>表3-</w:t>
            </w:r>
            <w:r>
              <w:rPr>
                <w:rFonts w:hint="eastAsia" w:cs="Times New Roman"/>
                <w:b/>
                <w:snapToGrid w:val="0"/>
                <w:color w:val="auto"/>
                <w:szCs w:val="21"/>
                <w:highlight w:val="none"/>
                <w:lang w:val="en-US" w:eastAsia="zh-CN"/>
              </w:rPr>
              <w:t>7</w:t>
            </w:r>
            <w:r>
              <w:rPr>
                <w:rFonts w:hint="eastAsia" w:ascii="Times New Roman" w:hAnsi="Times New Roman" w:eastAsia="宋体" w:cs="Times New Roman"/>
                <w:b/>
                <w:snapToGrid w:val="0"/>
                <w:color w:val="auto"/>
                <w:szCs w:val="21"/>
                <w:highlight w:val="none"/>
                <w:lang w:val="en-US" w:eastAsia="zh-CN"/>
              </w:rPr>
              <w:t>厂区内废气无组织排放标准限值表</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10"/>
              <w:gridCol w:w="1325"/>
              <w:gridCol w:w="940"/>
              <w:gridCol w:w="784"/>
              <w:gridCol w:w="2388"/>
              <w:gridCol w:w="2171"/>
            </w:tblGrid>
            <w:tr w14:paraId="54BF7C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933" w:hRule="atLeast"/>
                <w:jc w:val="center"/>
              </w:trPr>
              <w:tc>
                <w:tcPr>
                  <w:tcW w:w="539" w:type="dxa"/>
                  <w:tcBorders>
                    <w:top w:val="single" w:color="auto" w:sz="12" w:space="0"/>
                    <w:left w:val="nil"/>
                    <w:bottom w:val="single" w:color="auto" w:sz="6" w:space="0"/>
                  </w:tcBorders>
                  <w:vAlign w:val="center"/>
                </w:tcPr>
                <w:p w14:paraId="7DD05C72">
                  <w:pPr>
                    <w:spacing w:before="57" w:after="57" w:line="240" w:lineRule="exact"/>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序号</w:t>
                  </w:r>
                </w:p>
              </w:tc>
              <w:tc>
                <w:tcPr>
                  <w:tcW w:w="1411" w:type="dxa"/>
                  <w:tcBorders>
                    <w:top w:val="single" w:color="auto" w:sz="12" w:space="0"/>
                    <w:bottom w:val="single" w:color="auto" w:sz="6" w:space="0"/>
                  </w:tcBorders>
                  <w:vAlign w:val="center"/>
                </w:tcPr>
                <w:p w14:paraId="7D3FFB37">
                  <w:pPr>
                    <w:spacing w:before="57" w:after="57" w:line="24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污染物名称</w:t>
                  </w:r>
                </w:p>
              </w:tc>
              <w:tc>
                <w:tcPr>
                  <w:tcW w:w="999" w:type="dxa"/>
                  <w:tcBorders>
                    <w:top w:val="single" w:color="auto" w:sz="12" w:space="0"/>
                    <w:right w:val="nil"/>
                  </w:tcBorders>
                  <w:vAlign w:val="center"/>
                </w:tcPr>
                <w:p w14:paraId="05154DC6">
                  <w:pPr>
                    <w:autoSpaceDE w:val="0"/>
                    <w:spacing w:before="57" w:after="57" w:line="24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监控点</w:t>
                  </w:r>
                </w:p>
              </w:tc>
              <w:tc>
                <w:tcPr>
                  <w:tcW w:w="832" w:type="dxa"/>
                  <w:tcBorders>
                    <w:top w:val="single" w:color="auto" w:sz="12" w:space="0"/>
                    <w:right w:val="nil"/>
                  </w:tcBorders>
                  <w:vAlign w:val="center"/>
                </w:tcPr>
                <w:p w14:paraId="5BE9A9BB">
                  <w:pPr>
                    <w:spacing w:before="57" w:after="57" w:line="24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浓度限值mg/m</w:t>
                  </w:r>
                  <w:r>
                    <w:rPr>
                      <w:rFonts w:ascii="Times New Roman" w:hAnsi="Times New Roman" w:eastAsia="宋体" w:cs="Times New Roman"/>
                      <w:sz w:val="18"/>
                      <w:szCs w:val="18"/>
                      <w:vertAlign w:val="superscript"/>
                    </w:rPr>
                    <w:t>3</w:t>
                  </w:r>
                </w:p>
              </w:tc>
              <w:tc>
                <w:tcPr>
                  <w:tcW w:w="2550" w:type="dxa"/>
                  <w:tcBorders>
                    <w:top w:val="single" w:color="auto" w:sz="12" w:space="0"/>
                    <w:right w:val="nil"/>
                  </w:tcBorders>
                  <w:vAlign w:val="center"/>
                </w:tcPr>
                <w:p w14:paraId="6989A931">
                  <w:pPr>
                    <w:autoSpaceDE w:val="0"/>
                    <w:spacing w:before="57" w:after="57" w:line="24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限值含义</w:t>
                  </w:r>
                </w:p>
              </w:tc>
              <w:tc>
                <w:tcPr>
                  <w:tcW w:w="2318" w:type="dxa"/>
                  <w:tcBorders>
                    <w:top w:val="single" w:color="auto" w:sz="12" w:space="0"/>
                    <w:right w:val="nil"/>
                  </w:tcBorders>
                  <w:vAlign w:val="center"/>
                </w:tcPr>
                <w:p w14:paraId="01C8E3FC">
                  <w:pPr>
                    <w:spacing w:before="57" w:after="57" w:line="24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标准来源</w:t>
                  </w:r>
                </w:p>
              </w:tc>
            </w:tr>
            <w:tr w14:paraId="31D08B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exact"/>
                <w:jc w:val="center"/>
              </w:trPr>
              <w:tc>
                <w:tcPr>
                  <w:tcW w:w="539" w:type="dxa"/>
                  <w:vMerge w:val="restart"/>
                  <w:tcBorders>
                    <w:left w:val="nil"/>
                  </w:tcBorders>
                  <w:vAlign w:val="center"/>
                </w:tcPr>
                <w:p w14:paraId="658DCA0A">
                  <w:pPr>
                    <w:spacing w:before="57" w:after="57" w:line="24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1411" w:type="dxa"/>
                  <w:vMerge w:val="restart"/>
                  <w:vAlign w:val="center"/>
                </w:tcPr>
                <w:p w14:paraId="5ADB3EBF">
                  <w:pPr>
                    <w:spacing w:line="24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非甲烷总烃</w:t>
                  </w:r>
                </w:p>
              </w:tc>
              <w:tc>
                <w:tcPr>
                  <w:tcW w:w="999" w:type="dxa"/>
                  <w:vMerge w:val="restart"/>
                  <w:vAlign w:val="center"/>
                </w:tcPr>
                <w:p w14:paraId="49E4942E">
                  <w:pPr>
                    <w:spacing w:line="24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在厂房外设置监测点</w:t>
                  </w:r>
                </w:p>
              </w:tc>
              <w:tc>
                <w:tcPr>
                  <w:tcW w:w="832" w:type="dxa"/>
                  <w:vAlign w:val="center"/>
                </w:tcPr>
                <w:p w14:paraId="71230FA3">
                  <w:pPr>
                    <w:spacing w:line="24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6</w:t>
                  </w:r>
                </w:p>
              </w:tc>
              <w:tc>
                <w:tcPr>
                  <w:tcW w:w="2550" w:type="dxa"/>
                  <w:vAlign w:val="center"/>
                </w:tcPr>
                <w:p w14:paraId="589957CB">
                  <w:pPr>
                    <w:spacing w:line="24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监控点处1h平均浓度值</w:t>
                  </w:r>
                </w:p>
              </w:tc>
              <w:tc>
                <w:tcPr>
                  <w:tcW w:w="2318" w:type="dxa"/>
                  <w:vMerge w:val="restart"/>
                  <w:tcBorders>
                    <w:right w:val="nil"/>
                  </w:tcBorders>
                  <w:vAlign w:val="center"/>
                </w:tcPr>
                <w:p w14:paraId="75D463AB">
                  <w:pPr>
                    <w:spacing w:before="57" w:after="57" w:line="24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《大气综合排放标准》（DB32/4041-2021）</w:t>
                  </w:r>
                </w:p>
              </w:tc>
            </w:tr>
            <w:tr w14:paraId="3F1130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7" w:hRule="exact"/>
                <w:jc w:val="center"/>
              </w:trPr>
              <w:tc>
                <w:tcPr>
                  <w:tcW w:w="539" w:type="dxa"/>
                  <w:vMerge w:val="continue"/>
                  <w:tcBorders>
                    <w:left w:val="nil"/>
                  </w:tcBorders>
                  <w:vAlign w:val="center"/>
                </w:tcPr>
                <w:p w14:paraId="3523D647">
                  <w:pPr>
                    <w:spacing w:before="57" w:after="57" w:line="240" w:lineRule="exact"/>
                    <w:jc w:val="center"/>
                    <w:rPr>
                      <w:rFonts w:ascii="Times New Roman" w:hAnsi="Times New Roman" w:eastAsia="宋体" w:cs="Times New Roman"/>
                      <w:sz w:val="18"/>
                      <w:szCs w:val="18"/>
                    </w:rPr>
                  </w:pPr>
                </w:p>
              </w:tc>
              <w:tc>
                <w:tcPr>
                  <w:tcW w:w="1411" w:type="dxa"/>
                  <w:vMerge w:val="continue"/>
                  <w:vAlign w:val="center"/>
                </w:tcPr>
                <w:p w14:paraId="0CA8102E">
                  <w:pPr>
                    <w:spacing w:line="240" w:lineRule="exact"/>
                    <w:jc w:val="center"/>
                    <w:rPr>
                      <w:rFonts w:ascii="Times New Roman" w:hAnsi="Times New Roman" w:eastAsia="宋体" w:cs="Times New Roman"/>
                      <w:sz w:val="18"/>
                      <w:szCs w:val="18"/>
                    </w:rPr>
                  </w:pPr>
                </w:p>
              </w:tc>
              <w:tc>
                <w:tcPr>
                  <w:tcW w:w="999" w:type="dxa"/>
                  <w:vMerge w:val="continue"/>
                  <w:vAlign w:val="center"/>
                </w:tcPr>
                <w:p w14:paraId="7E557FA4">
                  <w:pPr>
                    <w:spacing w:line="240" w:lineRule="exact"/>
                    <w:jc w:val="center"/>
                    <w:rPr>
                      <w:rFonts w:ascii="Times New Roman" w:hAnsi="Times New Roman" w:eastAsia="宋体" w:cs="Times New Roman"/>
                      <w:sz w:val="18"/>
                      <w:szCs w:val="18"/>
                    </w:rPr>
                  </w:pPr>
                </w:p>
              </w:tc>
              <w:tc>
                <w:tcPr>
                  <w:tcW w:w="832" w:type="dxa"/>
                  <w:vAlign w:val="center"/>
                </w:tcPr>
                <w:p w14:paraId="31F05283">
                  <w:pPr>
                    <w:spacing w:line="24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20</w:t>
                  </w:r>
                </w:p>
              </w:tc>
              <w:tc>
                <w:tcPr>
                  <w:tcW w:w="2550" w:type="dxa"/>
                  <w:vAlign w:val="center"/>
                </w:tcPr>
                <w:p w14:paraId="382E303D">
                  <w:pPr>
                    <w:spacing w:line="24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监控点处任意一次浓度值</w:t>
                  </w:r>
                </w:p>
              </w:tc>
              <w:tc>
                <w:tcPr>
                  <w:tcW w:w="2318" w:type="dxa"/>
                  <w:vMerge w:val="continue"/>
                  <w:tcBorders>
                    <w:right w:val="nil"/>
                  </w:tcBorders>
                  <w:vAlign w:val="center"/>
                </w:tcPr>
                <w:p w14:paraId="6441BCC6">
                  <w:pPr>
                    <w:spacing w:before="57" w:after="57" w:line="240" w:lineRule="exact"/>
                    <w:jc w:val="center"/>
                    <w:rPr>
                      <w:rFonts w:ascii="Times New Roman" w:hAnsi="Times New Roman" w:eastAsia="宋体" w:cs="Times New Roman"/>
                      <w:sz w:val="18"/>
                      <w:szCs w:val="18"/>
                    </w:rPr>
                  </w:pPr>
                </w:p>
              </w:tc>
            </w:tr>
          </w:tbl>
          <w:p w14:paraId="31CBB318">
            <w:pPr>
              <w:overflowPunct w:val="0"/>
              <w:adjustRightInd w:val="0"/>
              <w:snapToGrid w:val="0"/>
              <w:spacing w:line="360" w:lineRule="auto"/>
              <w:jc w:val="left"/>
              <w:rPr>
                <w:b/>
                <w:bCs/>
                <w:snapToGrid w:val="0"/>
                <w:color w:val="auto"/>
                <w:spacing w:val="-2"/>
                <w:kern w:val="0"/>
                <w:szCs w:val="21"/>
                <w:highlight w:val="none"/>
              </w:rPr>
            </w:pPr>
            <w:r>
              <w:rPr>
                <w:b/>
                <w:bCs/>
                <w:snapToGrid w:val="0"/>
                <w:color w:val="auto"/>
                <w:spacing w:val="-2"/>
                <w:kern w:val="0"/>
                <w:szCs w:val="21"/>
                <w:highlight w:val="none"/>
              </w:rPr>
              <w:t>2</w:t>
            </w:r>
            <w:r>
              <w:rPr>
                <w:rFonts w:hint="eastAsia"/>
                <w:b/>
                <w:bCs/>
                <w:snapToGrid w:val="0"/>
                <w:color w:val="auto"/>
                <w:spacing w:val="-2"/>
                <w:kern w:val="0"/>
                <w:szCs w:val="21"/>
                <w:highlight w:val="none"/>
              </w:rPr>
              <w:t>、废水</w:t>
            </w:r>
          </w:p>
          <w:p w14:paraId="62EE0EF8">
            <w:pPr>
              <w:adjustRightInd w:val="0"/>
              <w:snapToGrid w:val="0"/>
              <w:spacing w:line="360" w:lineRule="auto"/>
              <w:ind w:firstLine="420" w:firstLineChars="200"/>
              <w:jc w:val="left"/>
              <w:rPr>
                <w:color w:val="auto"/>
                <w:szCs w:val="21"/>
                <w:highlight w:val="none"/>
              </w:rPr>
            </w:pPr>
            <w:r>
              <w:rPr>
                <w:rFonts w:hint="eastAsia" w:ascii="Times New Roman" w:hAnsi="Cambria Math" w:eastAsia="宋体" w:cs="Times New Roman"/>
                <w:color w:val="auto"/>
                <w:highlight w:val="none"/>
              </w:rPr>
              <w:t>本项</w:t>
            </w:r>
            <w:r>
              <w:rPr>
                <w:rFonts w:hint="eastAsia"/>
                <w:color w:val="auto"/>
                <w:szCs w:val="21"/>
                <w:highlight w:val="none"/>
              </w:rPr>
              <w:t>目属太湖流域三级保护区，排放的</w:t>
            </w:r>
            <w:r>
              <w:rPr>
                <w:rFonts w:hint="eastAsia"/>
                <w:color w:val="auto"/>
                <w:szCs w:val="21"/>
                <w:highlight w:val="none"/>
                <w:lang w:eastAsia="zh-CN"/>
              </w:rPr>
              <w:t>生活污水抽运</w:t>
            </w:r>
            <w:r>
              <w:rPr>
                <w:rFonts w:hint="eastAsia"/>
                <w:color w:val="auto"/>
                <w:szCs w:val="21"/>
                <w:highlight w:val="none"/>
              </w:rPr>
              <w:t>至</w:t>
            </w:r>
            <w:r>
              <w:rPr>
                <w:rFonts w:hint="eastAsia"/>
                <w:color w:val="auto"/>
                <w:szCs w:val="21"/>
                <w:highlight w:val="none"/>
                <w:lang w:eastAsia="zh-CN"/>
              </w:rPr>
              <w:t>苏州市吴江桃源生活污水处理有限公司</w:t>
            </w:r>
            <w:r>
              <w:rPr>
                <w:rFonts w:hint="eastAsia"/>
                <w:color w:val="auto"/>
                <w:szCs w:val="21"/>
                <w:highlight w:val="none"/>
              </w:rPr>
              <w:t>处理，</w:t>
            </w:r>
            <w:r>
              <w:rPr>
                <w:rFonts w:hint="eastAsia"/>
                <w:color w:val="auto"/>
                <w:szCs w:val="21"/>
                <w:highlight w:val="none"/>
                <w:lang w:eastAsia="zh-CN"/>
              </w:rPr>
              <w:t>生产废水</w:t>
            </w:r>
            <w:r>
              <w:rPr>
                <w:rFonts w:hint="eastAsia"/>
                <w:color w:val="auto"/>
                <w:szCs w:val="21"/>
                <w:highlight w:val="none"/>
              </w:rPr>
              <w:t>接管至苏州市桃源富乡污水处理有限公司处理后</w:t>
            </w:r>
            <w:r>
              <w:rPr>
                <w:rFonts w:hint="eastAsia"/>
                <w:color w:val="auto"/>
                <w:szCs w:val="21"/>
                <w:highlight w:val="none"/>
                <w:lang w:val="en-US" w:eastAsia="zh-CN"/>
              </w:rPr>
              <w:t>76%</w:t>
            </w:r>
            <w:r>
              <w:rPr>
                <w:rFonts w:hint="eastAsia"/>
                <w:color w:val="auto"/>
                <w:szCs w:val="21"/>
                <w:highlight w:val="none"/>
              </w:rPr>
              <w:t>回用</w:t>
            </w:r>
            <w:r>
              <w:rPr>
                <w:rFonts w:hint="eastAsia"/>
                <w:color w:val="auto"/>
                <w:szCs w:val="21"/>
                <w:highlight w:val="none"/>
                <w:lang w:eastAsia="zh-CN"/>
              </w:rPr>
              <w:t>，</w:t>
            </w:r>
            <w:r>
              <w:rPr>
                <w:rFonts w:hint="eastAsia"/>
                <w:color w:val="auto"/>
                <w:szCs w:val="21"/>
                <w:highlight w:val="none"/>
                <w:lang w:val="en-US" w:eastAsia="zh-CN"/>
              </w:rPr>
              <w:t>其余达标排入鳑鲏港</w:t>
            </w:r>
            <w:r>
              <w:rPr>
                <w:rFonts w:hint="eastAsia"/>
                <w:color w:val="auto"/>
                <w:szCs w:val="21"/>
                <w:highlight w:val="none"/>
              </w:rPr>
              <w:t>。本项目厂区生活污水排口和</w:t>
            </w:r>
            <w:r>
              <w:rPr>
                <w:rFonts w:hint="eastAsia"/>
                <w:color w:val="auto"/>
                <w:szCs w:val="21"/>
                <w:highlight w:val="none"/>
                <w:lang w:eastAsia="zh-CN"/>
              </w:rPr>
              <w:t>生产废水</w:t>
            </w:r>
            <w:r>
              <w:rPr>
                <w:rFonts w:hint="eastAsia"/>
                <w:color w:val="auto"/>
                <w:szCs w:val="21"/>
                <w:highlight w:val="none"/>
              </w:rPr>
              <w:t>排口执行《污水综合排放标准》（</w:t>
            </w:r>
            <w:r>
              <w:rPr>
                <w:color w:val="auto"/>
                <w:szCs w:val="21"/>
                <w:highlight w:val="none"/>
              </w:rPr>
              <w:t>GB 8978-1996</w:t>
            </w:r>
            <w:r>
              <w:rPr>
                <w:rFonts w:hint="eastAsia"/>
                <w:color w:val="auto"/>
                <w:szCs w:val="21"/>
                <w:highlight w:val="none"/>
              </w:rPr>
              <w:t>）和《污水排入城镇下水道水质标准》（</w:t>
            </w:r>
            <w:r>
              <w:rPr>
                <w:color w:val="auto"/>
                <w:szCs w:val="21"/>
                <w:highlight w:val="none"/>
              </w:rPr>
              <w:t>GB/T 31962-2015</w:t>
            </w:r>
            <w:r>
              <w:rPr>
                <w:rFonts w:hint="eastAsia"/>
                <w:color w:val="auto"/>
                <w:szCs w:val="21"/>
                <w:highlight w:val="none"/>
              </w:rPr>
              <w:t>）；</w:t>
            </w:r>
            <w:r>
              <w:rPr>
                <w:rFonts w:hint="eastAsia"/>
                <w:color w:val="auto"/>
                <w:szCs w:val="21"/>
                <w:highlight w:val="none"/>
                <w:lang w:eastAsia="zh-CN"/>
              </w:rPr>
              <w:t>苏州市吴江桃源生活污水处理有限公司</w:t>
            </w:r>
            <w:r>
              <w:rPr>
                <w:rFonts w:hint="eastAsia"/>
                <w:color w:val="auto"/>
                <w:szCs w:val="21"/>
                <w:highlight w:val="none"/>
                <w:lang w:val="en-US" w:eastAsia="zh-CN"/>
              </w:rPr>
              <w:t>外排</w:t>
            </w:r>
            <w:r>
              <w:rPr>
                <w:rFonts w:hint="eastAsia"/>
                <w:color w:val="auto"/>
                <w:szCs w:val="21"/>
                <w:highlight w:val="none"/>
                <w:lang w:eastAsia="zh-CN"/>
              </w:rPr>
              <w:t>尾水执行《城镇污水处理厂污染物排放标准》（GB18918-2002）、《太湖地区城镇污水处理厂及重点工业行业主要水污染物排放</w:t>
            </w:r>
            <w:r>
              <w:rPr>
                <w:rFonts w:hint="eastAsia"/>
                <w:color w:val="auto"/>
                <w:szCs w:val="21"/>
                <w:highlight w:val="none"/>
                <w:lang w:val="en-US" w:eastAsia="zh-CN"/>
              </w:rPr>
              <w:t>限值</w:t>
            </w:r>
            <w:r>
              <w:rPr>
                <w:rFonts w:hint="eastAsia"/>
                <w:color w:val="auto"/>
                <w:szCs w:val="21"/>
                <w:highlight w:val="none"/>
                <w:lang w:eastAsia="zh-CN"/>
              </w:rPr>
              <w:t>》（DB 32/1072-2018）、《关于高质量推进城乡生活污水治理三年行动计划（2018-2020年）的实施意见》（执行苏州特别排放限值），苏州市桃源富乡污水处理有限公司</w:t>
            </w:r>
            <w:r>
              <w:rPr>
                <w:rFonts w:hint="eastAsia"/>
                <w:color w:val="auto"/>
                <w:szCs w:val="21"/>
                <w:highlight w:val="none"/>
                <w:lang w:val="en-US" w:eastAsia="zh-CN"/>
              </w:rPr>
              <w:t>外排</w:t>
            </w:r>
            <w:r>
              <w:rPr>
                <w:rFonts w:hint="eastAsia"/>
                <w:color w:val="auto"/>
                <w:szCs w:val="21"/>
                <w:highlight w:val="none"/>
                <w:lang w:eastAsia="zh-CN"/>
              </w:rPr>
              <w:t>尾水</w:t>
            </w:r>
            <w:r>
              <w:rPr>
                <w:rFonts w:hint="eastAsia"/>
                <w:color w:val="auto"/>
                <w:szCs w:val="21"/>
                <w:highlight w:val="none"/>
                <w:lang w:val="en-US" w:eastAsia="zh-CN"/>
              </w:rPr>
              <w:t>从严</w:t>
            </w:r>
            <w:r>
              <w:rPr>
                <w:rFonts w:hint="eastAsia"/>
                <w:color w:val="auto"/>
                <w:szCs w:val="21"/>
                <w:highlight w:val="none"/>
                <w:lang w:eastAsia="zh-CN"/>
              </w:rPr>
              <w:t>执行《城镇污水处理厂污染物排放标准》（DB 32/4440-2022）、《太湖地区城镇污水处理厂及重点工业行业主要水污染物排放限值》（DB 32/1072-2018）标准</w:t>
            </w:r>
            <w:r>
              <w:rPr>
                <w:rFonts w:hint="eastAsia"/>
                <w:color w:val="auto"/>
                <w:szCs w:val="21"/>
                <w:highlight w:val="none"/>
              </w:rPr>
              <w:t>。</w:t>
            </w:r>
          </w:p>
          <w:p w14:paraId="6D3D3B78">
            <w:pPr>
              <w:tabs>
                <w:tab w:val="center" w:pos="4156"/>
                <w:tab w:val="left" w:pos="5964"/>
              </w:tabs>
              <w:adjustRightInd w:val="0"/>
              <w:snapToGrid w:val="0"/>
              <w:jc w:val="center"/>
              <w:rPr>
                <w:rFonts w:hint="eastAsia" w:ascii="Times New Roman" w:hAnsi="Times New Roman" w:eastAsia="宋体" w:cs="Times New Roman"/>
                <w:b/>
                <w:color w:val="auto"/>
                <w:kern w:val="0"/>
                <w:sz w:val="24"/>
                <w:szCs w:val="24"/>
                <w:highlight w:val="none"/>
                <w:lang w:val="en-US" w:eastAsia="zh-CN" w:bidi="ar-SA"/>
              </w:rPr>
            </w:pPr>
            <w:r>
              <w:rPr>
                <w:rFonts w:hint="eastAsia" w:ascii="Times New Roman" w:hAnsi="Times New Roman" w:cs="Times New Roman"/>
                <w:b/>
                <w:snapToGrid w:val="0"/>
                <w:color w:val="auto"/>
                <w:szCs w:val="21"/>
                <w:highlight w:val="none"/>
                <w:lang w:val="en-US" w:eastAsia="zh-CN"/>
              </w:rPr>
              <w:t>表3-</w:t>
            </w:r>
            <w:r>
              <w:rPr>
                <w:rFonts w:hint="eastAsia" w:cs="Times New Roman"/>
                <w:b/>
                <w:snapToGrid w:val="0"/>
                <w:color w:val="auto"/>
                <w:szCs w:val="21"/>
                <w:highlight w:val="none"/>
                <w:lang w:val="en-US" w:eastAsia="zh-CN"/>
              </w:rPr>
              <w:t>8</w:t>
            </w:r>
            <w:r>
              <w:rPr>
                <w:rFonts w:hint="eastAsia" w:ascii="Times New Roman" w:hAnsi="Times New Roman" w:cs="Times New Roman"/>
                <w:b/>
                <w:snapToGrid w:val="0"/>
                <w:color w:val="auto"/>
                <w:szCs w:val="21"/>
                <w:highlight w:val="none"/>
                <w:lang w:val="en-US" w:eastAsia="zh-CN"/>
              </w:rPr>
              <w:t xml:space="preserve">  生产废水接管标准    单位：mg/L，pH无量纲</w:t>
            </w:r>
          </w:p>
          <w:tbl>
            <w:tblPr>
              <w:tblStyle w:val="26"/>
              <w:tblW w:w="804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39"/>
              <w:gridCol w:w="1783"/>
              <w:gridCol w:w="4322"/>
            </w:tblGrid>
            <w:tr w14:paraId="1BDEB6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1939" w:type="dxa"/>
                  <w:vAlign w:val="center"/>
                </w:tcPr>
                <w:p w14:paraId="07C9AFA5">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污染物指标</w:t>
                  </w:r>
                </w:p>
              </w:tc>
              <w:tc>
                <w:tcPr>
                  <w:tcW w:w="1783" w:type="dxa"/>
                  <w:vAlign w:val="center"/>
                </w:tcPr>
                <w:p w14:paraId="32719BBB">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标准限值</w:t>
                  </w:r>
                </w:p>
              </w:tc>
              <w:tc>
                <w:tcPr>
                  <w:tcW w:w="4322" w:type="dxa"/>
                  <w:vAlign w:val="center"/>
                </w:tcPr>
                <w:p w14:paraId="6D159C0C">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标准来源</w:t>
                  </w:r>
                </w:p>
              </w:tc>
            </w:tr>
            <w:tr w14:paraId="7B7159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939" w:type="dxa"/>
                  <w:vAlign w:val="center"/>
                </w:tcPr>
                <w:p w14:paraId="14963A13">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COD</w:t>
                  </w:r>
                </w:p>
              </w:tc>
              <w:tc>
                <w:tcPr>
                  <w:tcW w:w="1783" w:type="dxa"/>
                  <w:vAlign w:val="center"/>
                </w:tcPr>
                <w:p w14:paraId="579B977C">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500</w:t>
                  </w:r>
                </w:p>
              </w:tc>
              <w:tc>
                <w:tcPr>
                  <w:tcW w:w="4322" w:type="dxa"/>
                  <w:vMerge w:val="restart"/>
                  <w:vAlign w:val="center"/>
                </w:tcPr>
                <w:p w14:paraId="43CB53F8">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《污水综合排放标准》（GB8978-1996）表4中三级标准</w:t>
                  </w:r>
                </w:p>
              </w:tc>
            </w:tr>
            <w:tr w14:paraId="40DAA0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939" w:type="dxa"/>
                  <w:vAlign w:val="center"/>
                </w:tcPr>
                <w:p w14:paraId="6C4A1851">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SS</w:t>
                  </w:r>
                </w:p>
              </w:tc>
              <w:tc>
                <w:tcPr>
                  <w:tcW w:w="1783" w:type="dxa"/>
                  <w:vAlign w:val="center"/>
                </w:tcPr>
                <w:p w14:paraId="41FDDFD7">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cs="Times New Roman"/>
                      <w:snapToGrid w:val="0"/>
                      <w:color w:val="auto"/>
                      <w:kern w:val="0"/>
                      <w:sz w:val="18"/>
                      <w:szCs w:val="18"/>
                      <w:highlight w:val="none"/>
                      <w:lang w:val="en-US" w:eastAsia="zh-CN"/>
                    </w:rPr>
                    <w:t>250</w:t>
                  </w:r>
                </w:p>
              </w:tc>
              <w:tc>
                <w:tcPr>
                  <w:tcW w:w="4322" w:type="dxa"/>
                  <w:vMerge w:val="continue"/>
                  <w:vAlign w:val="center"/>
                </w:tcPr>
                <w:p w14:paraId="154F9D95">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r>
            <w:tr w14:paraId="15C9F3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939" w:type="dxa"/>
                  <w:vAlign w:val="center"/>
                </w:tcPr>
                <w:p w14:paraId="7E5449BA">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cs="Times New Roman"/>
                      <w:snapToGrid w:val="0"/>
                      <w:color w:val="auto"/>
                      <w:kern w:val="0"/>
                      <w:sz w:val="18"/>
                      <w:szCs w:val="18"/>
                      <w:highlight w:val="none"/>
                      <w:lang w:val="en-US" w:eastAsia="zh-CN"/>
                    </w:rPr>
                    <w:t>石油类</w:t>
                  </w:r>
                </w:p>
              </w:tc>
              <w:tc>
                <w:tcPr>
                  <w:tcW w:w="1783" w:type="dxa"/>
                  <w:vAlign w:val="center"/>
                </w:tcPr>
                <w:p w14:paraId="0554BE34">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cs="Times New Roman"/>
                      <w:snapToGrid w:val="0"/>
                      <w:color w:val="auto"/>
                      <w:kern w:val="0"/>
                      <w:sz w:val="18"/>
                      <w:szCs w:val="18"/>
                      <w:highlight w:val="none"/>
                      <w:lang w:val="en-US" w:eastAsia="zh-CN"/>
                    </w:rPr>
                    <w:t>15</w:t>
                  </w:r>
                </w:p>
              </w:tc>
              <w:tc>
                <w:tcPr>
                  <w:tcW w:w="4322" w:type="dxa"/>
                  <w:vAlign w:val="center"/>
                </w:tcPr>
                <w:p w14:paraId="1F532D5F">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《污水排入城镇下水道水质标准》</w:t>
                  </w:r>
                </w:p>
                <w:p w14:paraId="3E55556F">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（GB/T31962-2015）表1 B级</w:t>
                  </w:r>
                </w:p>
              </w:tc>
            </w:tr>
          </w:tbl>
          <w:p w14:paraId="6FE0C71C">
            <w:pPr>
              <w:tabs>
                <w:tab w:val="center" w:pos="4156"/>
                <w:tab w:val="left" w:pos="5964"/>
              </w:tabs>
              <w:adjustRightInd w:val="0"/>
              <w:snapToGrid w:val="0"/>
              <w:jc w:val="center"/>
              <w:rPr>
                <w:rFonts w:hint="eastAsia" w:ascii="Times New Roman" w:hAnsi="Times New Roman" w:cs="Times New Roman"/>
                <w:b/>
                <w:snapToGrid w:val="0"/>
                <w:color w:val="auto"/>
                <w:szCs w:val="21"/>
                <w:highlight w:val="none"/>
                <w:lang w:val="en-US" w:eastAsia="zh-CN"/>
              </w:rPr>
            </w:pPr>
            <w:r>
              <w:rPr>
                <w:rFonts w:hint="eastAsia" w:ascii="Times New Roman" w:hAnsi="Times New Roman" w:cs="Times New Roman"/>
                <w:b/>
                <w:snapToGrid w:val="0"/>
                <w:color w:val="auto"/>
                <w:szCs w:val="21"/>
                <w:highlight w:val="none"/>
                <w:lang w:val="en-US" w:eastAsia="zh-CN"/>
              </w:rPr>
              <w:t>表3-</w:t>
            </w:r>
            <w:r>
              <w:rPr>
                <w:rFonts w:hint="eastAsia" w:cs="Times New Roman"/>
                <w:b/>
                <w:snapToGrid w:val="0"/>
                <w:color w:val="auto"/>
                <w:szCs w:val="21"/>
                <w:highlight w:val="none"/>
                <w:lang w:val="en-US" w:eastAsia="zh-CN"/>
              </w:rPr>
              <w:t>9</w:t>
            </w:r>
            <w:r>
              <w:rPr>
                <w:rFonts w:hint="eastAsia" w:ascii="Times New Roman" w:hAnsi="Times New Roman" w:cs="Times New Roman"/>
                <w:b/>
                <w:snapToGrid w:val="0"/>
                <w:color w:val="auto"/>
                <w:szCs w:val="21"/>
                <w:highlight w:val="none"/>
                <w:lang w:val="en-US" w:eastAsia="zh-CN"/>
              </w:rPr>
              <w:t xml:space="preserve">  苏州市桃源富乡污水处理有限公司尾水排放标准    单位：mg/L，pH无量纲</w:t>
            </w:r>
          </w:p>
          <w:tbl>
            <w:tblPr>
              <w:tblStyle w:val="26"/>
              <w:tblW w:w="814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80"/>
              <w:gridCol w:w="1989"/>
              <w:gridCol w:w="4678"/>
            </w:tblGrid>
            <w:tr w14:paraId="66E5F5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480" w:type="dxa"/>
                  <w:vAlign w:val="center"/>
                </w:tcPr>
                <w:p w14:paraId="2B094996">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污染物指标</w:t>
                  </w:r>
                </w:p>
              </w:tc>
              <w:tc>
                <w:tcPr>
                  <w:tcW w:w="1989" w:type="dxa"/>
                  <w:vAlign w:val="center"/>
                </w:tcPr>
                <w:p w14:paraId="5B9C3DD7">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标准限值</w:t>
                  </w:r>
                  <w:r>
                    <w:rPr>
                      <w:rFonts w:hint="eastAsia" w:cs="Times New Roman"/>
                      <w:snapToGrid w:val="0"/>
                      <w:color w:val="auto"/>
                      <w:kern w:val="0"/>
                      <w:sz w:val="18"/>
                      <w:szCs w:val="18"/>
                      <w:highlight w:val="none"/>
                      <w:lang w:val="en-US" w:eastAsia="zh-CN"/>
                    </w:rPr>
                    <w:t>（mg/L）</w:t>
                  </w:r>
                </w:p>
              </w:tc>
              <w:tc>
                <w:tcPr>
                  <w:tcW w:w="4678" w:type="dxa"/>
                  <w:vAlign w:val="center"/>
                </w:tcPr>
                <w:p w14:paraId="24C20704">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标准来源</w:t>
                  </w:r>
                </w:p>
              </w:tc>
            </w:tr>
            <w:tr w14:paraId="39ECA5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480" w:type="dxa"/>
                  <w:vAlign w:val="center"/>
                </w:tcPr>
                <w:p w14:paraId="34DFCD0F">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cs="Times New Roman"/>
                      <w:snapToGrid w:val="0"/>
                      <w:color w:val="auto"/>
                      <w:kern w:val="0"/>
                      <w:sz w:val="18"/>
                      <w:szCs w:val="18"/>
                      <w:highlight w:val="none"/>
                      <w:lang w:val="en-US" w:eastAsia="zh-CN"/>
                    </w:rPr>
                    <w:t>pH</w:t>
                  </w:r>
                </w:p>
              </w:tc>
              <w:tc>
                <w:tcPr>
                  <w:tcW w:w="1989" w:type="dxa"/>
                  <w:vAlign w:val="center"/>
                </w:tcPr>
                <w:p w14:paraId="202D8B92">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6-9</w:t>
                  </w:r>
                  <w:r>
                    <w:rPr>
                      <w:rFonts w:hint="eastAsia" w:cs="Times New Roman"/>
                      <w:snapToGrid w:val="0"/>
                      <w:color w:val="auto"/>
                      <w:kern w:val="0"/>
                      <w:sz w:val="18"/>
                      <w:szCs w:val="18"/>
                      <w:highlight w:val="none"/>
                      <w:lang w:val="en-US" w:eastAsia="zh-CN"/>
                    </w:rPr>
                    <w:t>（无量纲）</w:t>
                  </w:r>
                </w:p>
              </w:tc>
              <w:tc>
                <w:tcPr>
                  <w:tcW w:w="4678" w:type="dxa"/>
                  <w:vMerge w:val="restart"/>
                  <w:vAlign w:val="center"/>
                </w:tcPr>
                <w:p w14:paraId="4CEF6FAF">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从严执行《城镇污水处理厂污染物排放标准》（DB 32/4440-2022）</w:t>
                  </w:r>
                </w:p>
              </w:tc>
            </w:tr>
            <w:tr w14:paraId="77D114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1480" w:type="dxa"/>
                  <w:vAlign w:val="center"/>
                </w:tcPr>
                <w:p w14:paraId="6BC4AB91">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COD</w:t>
                  </w:r>
                </w:p>
              </w:tc>
              <w:tc>
                <w:tcPr>
                  <w:tcW w:w="1989" w:type="dxa"/>
                  <w:vAlign w:val="center"/>
                </w:tcPr>
                <w:p w14:paraId="6FEC6ADC">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50</w:t>
                  </w:r>
                </w:p>
              </w:tc>
              <w:tc>
                <w:tcPr>
                  <w:tcW w:w="4678" w:type="dxa"/>
                  <w:vMerge w:val="continue"/>
                  <w:vAlign w:val="center"/>
                </w:tcPr>
                <w:p w14:paraId="45F2693F">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p>
              </w:tc>
            </w:tr>
            <w:tr w14:paraId="6C36A5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80" w:type="dxa"/>
                  <w:vAlign w:val="center"/>
                </w:tcPr>
                <w:p w14:paraId="54F62163">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SS</w:t>
                  </w:r>
                </w:p>
              </w:tc>
              <w:tc>
                <w:tcPr>
                  <w:tcW w:w="1989" w:type="dxa"/>
                  <w:vAlign w:val="center"/>
                </w:tcPr>
                <w:p w14:paraId="4C33DDF1">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10</w:t>
                  </w:r>
                </w:p>
              </w:tc>
              <w:tc>
                <w:tcPr>
                  <w:tcW w:w="4678" w:type="dxa"/>
                  <w:vMerge w:val="continue"/>
                  <w:vAlign w:val="center"/>
                </w:tcPr>
                <w:p w14:paraId="339AABB0">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p>
              </w:tc>
            </w:tr>
            <w:tr w14:paraId="281447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80" w:type="dxa"/>
                  <w:vAlign w:val="center"/>
                </w:tcPr>
                <w:p w14:paraId="067BC8AA">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cs="Times New Roman"/>
                      <w:snapToGrid w:val="0"/>
                      <w:color w:val="auto"/>
                      <w:kern w:val="0"/>
                      <w:sz w:val="18"/>
                      <w:szCs w:val="18"/>
                      <w:highlight w:val="none"/>
                      <w:lang w:val="en-US" w:eastAsia="zh-CN"/>
                    </w:rPr>
                    <w:t>石油类</w:t>
                  </w:r>
                </w:p>
              </w:tc>
              <w:tc>
                <w:tcPr>
                  <w:tcW w:w="1989" w:type="dxa"/>
                  <w:vAlign w:val="center"/>
                </w:tcPr>
                <w:p w14:paraId="151A0EC4">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cs="Times New Roman"/>
                      <w:snapToGrid w:val="0"/>
                      <w:color w:val="auto"/>
                      <w:kern w:val="0"/>
                      <w:sz w:val="18"/>
                      <w:szCs w:val="18"/>
                      <w:highlight w:val="none"/>
                      <w:lang w:val="en-US" w:eastAsia="zh-CN"/>
                    </w:rPr>
                    <w:t>1</w:t>
                  </w:r>
                </w:p>
              </w:tc>
              <w:tc>
                <w:tcPr>
                  <w:tcW w:w="4678" w:type="dxa"/>
                  <w:vMerge w:val="continue"/>
                  <w:vAlign w:val="center"/>
                </w:tcPr>
                <w:p w14:paraId="794530EF">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p>
              </w:tc>
            </w:tr>
          </w:tbl>
          <w:p w14:paraId="232765AF">
            <w:pPr>
              <w:tabs>
                <w:tab w:val="center" w:pos="4156"/>
                <w:tab w:val="left" w:pos="5964"/>
              </w:tabs>
              <w:adjustRightInd w:val="0"/>
              <w:snapToGrid w:val="0"/>
              <w:jc w:val="center"/>
              <w:rPr>
                <w:rFonts w:hint="eastAsia" w:ascii="Times New Roman" w:hAnsi="Times New Roman" w:cs="Times New Roman"/>
                <w:b/>
                <w:snapToGrid w:val="0"/>
                <w:color w:val="auto"/>
                <w:szCs w:val="21"/>
                <w:highlight w:val="none"/>
                <w:lang w:val="en-US" w:eastAsia="zh-CN"/>
              </w:rPr>
            </w:pPr>
            <w:r>
              <w:rPr>
                <w:rFonts w:hint="eastAsia" w:ascii="Times New Roman" w:hAnsi="Times New Roman" w:cs="Times New Roman"/>
                <w:b/>
                <w:snapToGrid w:val="0"/>
                <w:color w:val="auto"/>
                <w:szCs w:val="21"/>
                <w:highlight w:val="none"/>
                <w:lang w:val="en-US" w:eastAsia="zh-CN"/>
              </w:rPr>
              <w:t>表3-</w:t>
            </w:r>
            <w:r>
              <w:rPr>
                <w:rFonts w:hint="eastAsia" w:cs="Times New Roman"/>
                <w:b/>
                <w:snapToGrid w:val="0"/>
                <w:color w:val="auto"/>
                <w:szCs w:val="21"/>
                <w:highlight w:val="none"/>
                <w:lang w:val="en-US" w:eastAsia="zh-CN"/>
              </w:rPr>
              <w:t>10</w:t>
            </w:r>
            <w:r>
              <w:rPr>
                <w:rFonts w:hint="eastAsia" w:ascii="Times New Roman" w:hAnsi="Times New Roman" w:cs="Times New Roman"/>
                <w:b/>
                <w:snapToGrid w:val="0"/>
                <w:color w:val="auto"/>
                <w:szCs w:val="21"/>
                <w:highlight w:val="none"/>
                <w:lang w:val="en-US" w:eastAsia="zh-CN"/>
              </w:rPr>
              <w:t xml:space="preserve">   项目生活污水排放标准   单位：mg/L，pH无量纲</w:t>
            </w:r>
          </w:p>
          <w:tbl>
            <w:tblPr>
              <w:tblStyle w:val="26"/>
              <w:tblW w:w="814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237"/>
              <w:gridCol w:w="1255"/>
              <w:gridCol w:w="3120"/>
              <w:gridCol w:w="1818"/>
            </w:tblGrid>
            <w:tr w14:paraId="2A4DD3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717" w:type="dxa"/>
                  <w:vMerge w:val="restart"/>
                  <w:vAlign w:val="center"/>
                </w:tcPr>
                <w:p w14:paraId="3268CB34">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序号</w:t>
                  </w:r>
                </w:p>
              </w:tc>
              <w:tc>
                <w:tcPr>
                  <w:tcW w:w="1237" w:type="dxa"/>
                  <w:vMerge w:val="restart"/>
                  <w:vAlign w:val="center"/>
                </w:tcPr>
                <w:p w14:paraId="123A2344">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排放口编号</w:t>
                  </w:r>
                </w:p>
              </w:tc>
              <w:tc>
                <w:tcPr>
                  <w:tcW w:w="1255" w:type="dxa"/>
                  <w:vMerge w:val="restart"/>
                  <w:vAlign w:val="center"/>
                </w:tcPr>
                <w:p w14:paraId="177A55AB">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污染物种类</w:t>
                  </w:r>
                </w:p>
              </w:tc>
              <w:tc>
                <w:tcPr>
                  <w:tcW w:w="4938" w:type="dxa"/>
                  <w:gridSpan w:val="2"/>
                  <w:vAlign w:val="center"/>
                </w:tcPr>
                <w:p w14:paraId="1558866D">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国家或地方污染物排放标准及其他按规定商定的值</w:t>
                  </w:r>
                </w:p>
              </w:tc>
            </w:tr>
            <w:tr w14:paraId="59BCD1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717" w:type="dxa"/>
                  <w:vMerge w:val="continue"/>
                  <w:vAlign w:val="center"/>
                </w:tcPr>
                <w:p w14:paraId="7327B365">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237" w:type="dxa"/>
                  <w:vMerge w:val="continue"/>
                  <w:vAlign w:val="center"/>
                </w:tcPr>
                <w:p w14:paraId="316D40FF">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255" w:type="dxa"/>
                  <w:vMerge w:val="continue"/>
                  <w:vAlign w:val="center"/>
                </w:tcPr>
                <w:p w14:paraId="046A3B0C">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3120" w:type="dxa"/>
                  <w:vAlign w:val="center"/>
                </w:tcPr>
                <w:p w14:paraId="2B3739AD">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名称</w:t>
                  </w:r>
                </w:p>
              </w:tc>
              <w:tc>
                <w:tcPr>
                  <w:tcW w:w="1818" w:type="dxa"/>
                  <w:vAlign w:val="center"/>
                </w:tcPr>
                <w:p w14:paraId="4F729A23">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浓度限值（mg/L）</w:t>
                  </w:r>
                </w:p>
              </w:tc>
            </w:tr>
            <w:tr w14:paraId="14C440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717" w:type="dxa"/>
                  <w:vAlign w:val="center"/>
                </w:tcPr>
                <w:p w14:paraId="1A6448BF">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1</w:t>
                  </w:r>
                </w:p>
              </w:tc>
              <w:tc>
                <w:tcPr>
                  <w:tcW w:w="1237" w:type="dxa"/>
                  <w:vMerge w:val="restart"/>
                  <w:vAlign w:val="center"/>
                </w:tcPr>
                <w:p w14:paraId="6C73DD88">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DW001</w:t>
                  </w:r>
                </w:p>
              </w:tc>
              <w:tc>
                <w:tcPr>
                  <w:tcW w:w="1255" w:type="dxa"/>
                  <w:vAlign w:val="center"/>
                </w:tcPr>
                <w:p w14:paraId="34B42B3B">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pH</w:t>
                  </w:r>
                </w:p>
              </w:tc>
              <w:tc>
                <w:tcPr>
                  <w:tcW w:w="3120" w:type="dxa"/>
                  <w:vMerge w:val="restart"/>
                  <w:vAlign w:val="center"/>
                </w:tcPr>
                <w:p w14:paraId="404DF67F">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《污水综合排放标准》</w:t>
                  </w:r>
                </w:p>
                <w:p w14:paraId="183459F3">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（GB8978-1996）表4三级</w:t>
                  </w:r>
                </w:p>
              </w:tc>
              <w:tc>
                <w:tcPr>
                  <w:tcW w:w="1818" w:type="dxa"/>
                  <w:vAlign w:val="center"/>
                </w:tcPr>
                <w:p w14:paraId="697FFC80">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6~9</w:t>
                  </w:r>
                </w:p>
              </w:tc>
            </w:tr>
            <w:tr w14:paraId="065B9D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717" w:type="dxa"/>
                  <w:vAlign w:val="center"/>
                </w:tcPr>
                <w:p w14:paraId="5D66546E">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2</w:t>
                  </w:r>
                </w:p>
              </w:tc>
              <w:tc>
                <w:tcPr>
                  <w:tcW w:w="1237" w:type="dxa"/>
                  <w:vMerge w:val="continue"/>
                  <w:vAlign w:val="center"/>
                </w:tcPr>
                <w:p w14:paraId="6BE3EF92">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255" w:type="dxa"/>
                  <w:vAlign w:val="center"/>
                </w:tcPr>
                <w:p w14:paraId="01982A8B">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COD</w:t>
                  </w:r>
                </w:p>
              </w:tc>
              <w:tc>
                <w:tcPr>
                  <w:tcW w:w="3120" w:type="dxa"/>
                  <w:vMerge w:val="continue"/>
                  <w:vAlign w:val="center"/>
                </w:tcPr>
                <w:p w14:paraId="736E5C54">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818" w:type="dxa"/>
                  <w:vAlign w:val="center"/>
                </w:tcPr>
                <w:p w14:paraId="4659DFC3">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500</w:t>
                  </w:r>
                </w:p>
              </w:tc>
            </w:tr>
            <w:tr w14:paraId="3A06DB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717" w:type="dxa"/>
                  <w:vAlign w:val="center"/>
                </w:tcPr>
                <w:p w14:paraId="3880DFEC">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3</w:t>
                  </w:r>
                </w:p>
              </w:tc>
              <w:tc>
                <w:tcPr>
                  <w:tcW w:w="1237" w:type="dxa"/>
                  <w:vMerge w:val="continue"/>
                  <w:vAlign w:val="center"/>
                </w:tcPr>
                <w:p w14:paraId="3387BC5E">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255" w:type="dxa"/>
                  <w:vAlign w:val="center"/>
                </w:tcPr>
                <w:p w14:paraId="51442C6A">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SS</w:t>
                  </w:r>
                </w:p>
              </w:tc>
              <w:tc>
                <w:tcPr>
                  <w:tcW w:w="3120" w:type="dxa"/>
                  <w:vMerge w:val="continue"/>
                  <w:vAlign w:val="center"/>
                </w:tcPr>
                <w:p w14:paraId="7B8419D3">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818" w:type="dxa"/>
                  <w:vAlign w:val="center"/>
                </w:tcPr>
                <w:p w14:paraId="5C13B302">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400</w:t>
                  </w:r>
                </w:p>
              </w:tc>
            </w:tr>
            <w:tr w14:paraId="0F39BC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717" w:type="dxa"/>
                  <w:vAlign w:val="center"/>
                </w:tcPr>
                <w:p w14:paraId="63BCEE36">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4</w:t>
                  </w:r>
                </w:p>
              </w:tc>
              <w:tc>
                <w:tcPr>
                  <w:tcW w:w="1237" w:type="dxa"/>
                  <w:vMerge w:val="continue"/>
                  <w:vAlign w:val="center"/>
                </w:tcPr>
                <w:p w14:paraId="7B1C5F05">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255" w:type="dxa"/>
                  <w:vAlign w:val="center"/>
                </w:tcPr>
                <w:p w14:paraId="1A98437E">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氨氮</w:t>
                  </w:r>
                </w:p>
              </w:tc>
              <w:tc>
                <w:tcPr>
                  <w:tcW w:w="3120" w:type="dxa"/>
                  <w:vMerge w:val="restart"/>
                  <w:vAlign w:val="center"/>
                </w:tcPr>
                <w:p w14:paraId="1247B9AA">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《污水排入城镇下水道水质标准》</w:t>
                  </w:r>
                </w:p>
                <w:p w14:paraId="0C7A7A7C">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（GB/T31962-2015）表1 B级</w:t>
                  </w:r>
                </w:p>
              </w:tc>
              <w:tc>
                <w:tcPr>
                  <w:tcW w:w="1818" w:type="dxa"/>
                  <w:vAlign w:val="center"/>
                </w:tcPr>
                <w:p w14:paraId="25D830B0">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45</w:t>
                  </w:r>
                </w:p>
              </w:tc>
            </w:tr>
            <w:tr w14:paraId="3B6004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717" w:type="dxa"/>
                  <w:vAlign w:val="center"/>
                </w:tcPr>
                <w:p w14:paraId="6924AFFA">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5</w:t>
                  </w:r>
                </w:p>
              </w:tc>
              <w:tc>
                <w:tcPr>
                  <w:tcW w:w="1237" w:type="dxa"/>
                  <w:vMerge w:val="continue"/>
                  <w:vAlign w:val="center"/>
                </w:tcPr>
                <w:p w14:paraId="7A6AB96C">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255" w:type="dxa"/>
                  <w:vAlign w:val="center"/>
                </w:tcPr>
                <w:p w14:paraId="71205028">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总氮</w:t>
                  </w:r>
                </w:p>
              </w:tc>
              <w:tc>
                <w:tcPr>
                  <w:tcW w:w="3120" w:type="dxa"/>
                  <w:vMerge w:val="continue"/>
                  <w:vAlign w:val="center"/>
                </w:tcPr>
                <w:p w14:paraId="6C818D17">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818" w:type="dxa"/>
                  <w:vAlign w:val="center"/>
                </w:tcPr>
                <w:p w14:paraId="15A4C3AE">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70</w:t>
                  </w:r>
                </w:p>
              </w:tc>
            </w:tr>
            <w:tr w14:paraId="5A4ACF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7" w:type="dxa"/>
                  <w:vAlign w:val="center"/>
                </w:tcPr>
                <w:p w14:paraId="16E9556A">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6</w:t>
                  </w:r>
                </w:p>
              </w:tc>
              <w:tc>
                <w:tcPr>
                  <w:tcW w:w="1237" w:type="dxa"/>
                  <w:vMerge w:val="continue"/>
                  <w:vAlign w:val="center"/>
                </w:tcPr>
                <w:p w14:paraId="4C8181EE">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255" w:type="dxa"/>
                  <w:vAlign w:val="center"/>
                </w:tcPr>
                <w:p w14:paraId="740A7C9B">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总磷</w:t>
                  </w:r>
                </w:p>
              </w:tc>
              <w:tc>
                <w:tcPr>
                  <w:tcW w:w="3120" w:type="dxa"/>
                  <w:vMerge w:val="continue"/>
                  <w:vAlign w:val="center"/>
                </w:tcPr>
                <w:p w14:paraId="15181806">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818" w:type="dxa"/>
                  <w:vAlign w:val="center"/>
                </w:tcPr>
                <w:p w14:paraId="3DF14271">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8</w:t>
                  </w:r>
                </w:p>
              </w:tc>
            </w:tr>
          </w:tbl>
          <w:p w14:paraId="38D56F99">
            <w:pPr>
              <w:tabs>
                <w:tab w:val="center" w:pos="4156"/>
                <w:tab w:val="left" w:pos="5964"/>
              </w:tabs>
              <w:adjustRightInd w:val="0"/>
              <w:snapToGrid w:val="0"/>
              <w:jc w:val="center"/>
              <w:rPr>
                <w:rFonts w:hint="eastAsia" w:ascii="Times New Roman" w:hAnsi="Times New Roman" w:cs="Times New Roman"/>
                <w:b/>
                <w:snapToGrid w:val="0"/>
                <w:color w:val="auto"/>
                <w:szCs w:val="21"/>
                <w:highlight w:val="none"/>
                <w:lang w:val="en-US" w:eastAsia="zh-CN"/>
              </w:rPr>
            </w:pPr>
            <w:r>
              <w:rPr>
                <w:rFonts w:hint="eastAsia" w:ascii="Times New Roman" w:hAnsi="Times New Roman" w:cs="Times New Roman"/>
                <w:b/>
                <w:snapToGrid w:val="0"/>
                <w:color w:val="auto"/>
                <w:szCs w:val="21"/>
                <w:highlight w:val="none"/>
                <w:lang w:val="en-US" w:eastAsia="zh-CN"/>
              </w:rPr>
              <w:t>表3-1</w:t>
            </w:r>
            <w:r>
              <w:rPr>
                <w:rFonts w:hint="eastAsia" w:cs="Times New Roman"/>
                <w:b/>
                <w:snapToGrid w:val="0"/>
                <w:color w:val="auto"/>
                <w:szCs w:val="21"/>
                <w:highlight w:val="none"/>
                <w:lang w:val="en-US" w:eastAsia="zh-CN"/>
              </w:rPr>
              <w:t>1</w:t>
            </w:r>
            <w:r>
              <w:rPr>
                <w:rFonts w:hint="eastAsia" w:ascii="Times New Roman" w:hAnsi="Times New Roman" w:cs="Times New Roman"/>
                <w:b/>
                <w:snapToGrid w:val="0"/>
                <w:color w:val="auto"/>
                <w:szCs w:val="21"/>
                <w:highlight w:val="none"/>
                <w:lang w:val="en-US" w:eastAsia="zh-CN"/>
              </w:rPr>
              <w:t xml:space="preserve">  </w:t>
            </w:r>
            <w:r>
              <w:rPr>
                <w:rFonts w:hint="eastAsia" w:cs="Times New Roman"/>
                <w:b/>
                <w:snapToGrid w:val="0"/>
                <w:color w:val="auto"/>
                <w:szCs w:val="21"/>
                <w:highlight w:val="none"/>
                <w:lang w:val="en-US" w:eastAsia="zh-CN"/>
              </w:rPr>
              <w:t>苏州市吴江桃源生活污水处理有限公司</w:t>
            </w:r>
            <w:r>
              <w:rPr>
                <w:rFonts w:hint="eastAsia" w:ascii="Times New Roman" w:hAnsi="Times New Roman" w:cs="Times New Roman"/>
                <w:b/>
                <w:snapToGrid w:val="0"/>
                <w:color w:val="auto"/>
                <w:szCs w:val="21"/>
                <w:highlight w:val="none"/>
                <w:lang w:val="en-US" w:eastAsia="zh-CN"/>
              </w:rPr>
              <w:t>尾水排放执行标准   单位：mg/L，pH无量纲</w:t>
            </w:r>
          </w:p>
          <w:tbl>
            <w:tblPr>
              <w:tblStyle w:val="26"/>
              <w:tblW w:w="814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237"/>
              <w:gridCol w:w="893"/>
              <w:gridCol w:w="3482"/>
              <w:gridCol w:w="1818"/>
            </w:tblGrid>
            <w:tr w14:paraId="151259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717" w:type="dxa"/>
                  <w:vMerge w:val="restart"/>
                  <w:vAlign w:val="center"/>
                </w:tcPr>
                <w:p w14:paraId="6F891803">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序号</w:t>
                  </w:r>
                </w:p>
              </w:tc>
              <w:tc>
                <w:tcPr>
                  <w:tcW w:w="1237" w:type="dxa"/>
                  <w:vMerge w:val="restart"/>
                  <w:vAlign w:val="center"/>
                </w:tcPr>
                <w:p w14:paraId="61CD06EA">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排放口编号</w:t>
                  </w:r>
                </w:p>
              </w:tc>
              <w:tc>
                <w:tcPr>
                  <w:tcW w:w="893" w:type="dxa"/>
                  <w:vMerge w:val="restart"/>
                  <w:vAlign w:val="center"/>
                </w:tcPr>
                <w:p w14:paraId="7A80C18D">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污染物种类</w:t>
                  </w:r>
                </w:p>
              </w:tc>
              <w:tc>
                <w:tcPr>
                  <w:tcW w:w="5300" w:type="dxa"/>
                  <w:gridSpan w:val="2"/>
                  <w:vAlign w:val="center"/>
                </w:tcPr>
                <w:p w14:paraId="6375A020">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国家或地方污染物排放标准及其他按规定商定的值</w:t>
                  </w:r>
                </w:p>
              </w:tc>
            </w:tr>
            <w:tr w14:paraId="5EC5DA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717" w:type="dxa"/>
                  <w:vMerge w:val="continue"/>
                  <w:vAlign w:val="center"/>
                </w:tcPr>
                <w:p w14:paraId="1AFA6213">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237" w:type="dxa"/>
                  <w:vMerge w:val="continue"/>
                  <w:vAlign w:val="center"/>
                </w:tcPr>
                <w:p w14:paraId="5DD19370">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893" w:type="dxa"/>
                  <w:vMerge w:val="continue"/>
                  <w:vAlign w:val="center"/>
                </w:tcPr>
                <w:p w14:paraId="36B7B857">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3482" w:type="dxa"/>
                  <w:vAlign w:val="center"/>
                </w:tcPr>
                <w:p w14:paraId="199C1808">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名称</w:t>
                  </w:r>
                </w:p>
              </w:tc>
              <w:tc>
                <w:tcPr>
                  <w:tcW w:w="1818" w:type="dxa"/>
                  <w:vAlign w:val="center"/>
                </w:tcPr>
                <w:p w14:paraId="1D88F0D4">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浓度限值（mg/L）</w:t>
                  </w:r>
                </w:p>
              </w:tc>
            </w:tr>
            <w:tr w14:paraId="591A8E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717" w:type="dxa"/>
                  <w:vAlign w:val="center"/>
                </w:tcPr>
                <w:p w14:paraId="534CFDB7">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1</w:t>
                  </w:r>
                </w:p>
              </w:tc>
              <w:tc>
                <w:tcPr>
                  <w:tcW w:w="1237" w:type="dxa"/>
                  <w:vMerge w:val="restart"/>
                  <w:vAlign w:val="center"/>
                </w:tcPr>
                <w:p w14:paraId="73FF0045">
                  <w:pPr>
                    <w:overflowPunct w:val="0"/>
                    <w:adjustRightInd w:val="0"/>
                    <w:snapToGrid w:val="0"/>
                    <w:spacing w:beforeLines="20" w:afterLines="20"/>
                    <w:jc w:val="center"/>
                    <w:rPr>
                      <w:rFonts w:hint="default"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吴江桃源镇生活污水处理有限公司排放口</w:t>
                  </w:r>
                </w:p>
              </w:tc>
              <w:tc>
                <w:tcPr>
                  <w:tcW w:w="893" w:type="dxa"/>
                  <w:vAlign w:val="center"/>
                </w:tcPr>
                <w:p w14:paraId="713E5F20">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pH</w:t>
                  </w:r>
                </w:p>
              </w:tc>
              <w:tc>
                <w:tcPr>
                  <w:tcW w:w="3482" w:type="dxa"/>
                  <w:vMerge w:val="restart"/>
                  <w:vAlign w:val="center"/>
                </w:tcPr>
                <w:p w14:paraId="46893F42">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《城镇污水处理厂污染物排放标准》（GB18918-2002）</w:t>
                  </w:r>
                </w:p>
              </w:tc>
              <w:tc>
                <w:tcPr>
                  <w:tcW w:w="1818" w:type="dxa"/>
                  <w:vAlign w:val="center"/>
                </w:tcPr>
                <w:p w14:paraId="6BCC55ED">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6~9</w:t>
                  </w:r>
                </w:p>
              </w:tc>
            </w:tr>
            <w:tr w14:paraId="577630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717" w:type="dxa"/>
                  <w:vAlign w:val="center"/>
                </w:tcPr>
                <w:p w14:paraId="777B8C41">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2</w:t>
                  </w:r>
                </w:p>
              </w:tc>
              <w:tc>
                <w:tcPr>
                  <w:tcW w:w="1237" w:type="dxa"/>
                  <w:vMerge w:val="continue"/>
                  <w:vAlign w:val="center"/>
                </w:tcPr>
                <w:p w14:paraId="45890202">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893" w:type="dxa"/>
                  <w:vAlign w:val="center"/>
                </w:tcPr>
                <w:p w14:paraId="77126DB1">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SS</w:t>
                  </w:r>
                </w:p>
              </w:tc>
              <w:tc>
                <w:tcPr>
                  <w:tcW w:w="3482" w:type="dxa"/>
                  <w:vMerge w:val="continue"/>
                  <w:vAlign w:val="center"/>
                </w:tcPr>
                <w:p w14:paraId="21ADA88F">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818" w:type="dxa"/>
                  <w:vAlign w:val="center"/>
                </w:tcPr>
                <w:p w14:paraId="74DE4B4D">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10</w:t>
                  </w:r>
                </w:p>
              </w:tc>
            </w:tr>
            <w:tr w14:paraId="709352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717" w:type="dxa"/>
                  <w:vAlign w:val="center"/>
                </w:tcPr>
                <w:p w14:paraId="0BEF2130">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3</w:t>
                  </w:r>
                </w:p>
              </w:tc>
              <w:tc>
                <w:tcPr>
                  <w:tcW w:w="1237" w:type="dxa"/>
                  <w:vMerge w:val="continue"/>
                  <w:vAlign w:val="center"/>
                </w:tcPr>
                <w:p w14:paraId="44DF73EB">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893" w:type="dxa"/>
                  <w:vAlign w:val="center"/>
                </w:tcPr>
                <w:p w14:paraId="77C2E407">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COD</w:t>
                  </w:r>
                </w:p>
              </w:tc>
              <w:tc>
                <w:tcPr>
                  <w:tcW w:w="3482" w:type="dxa"/>
                  <w:vMerge w:val="restart"/>
                  <w:vAlign w:val="center"/>
                </w:tcPr>
                <w:p w14:paraId="4C912A14">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《太湖地区城镇污水处理厂及重点工业行业主要水污染物排放限值》（DB 32/1072-2018）和苏州特别排放限值</w:t>
                  </w:r>
                </w:p>
              </w:tc>
              <w:tc>
                <w:tcPr>
                  <w:tcW w:w="1818" w:type="dxa"/>
                  <w:vAlign w:val="center"/>
                </w:tcPr>
                <w:p w14:paraId="40FAFD32">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30</w:t>
                  </w:r>
                </w:p>
              </w:tc>
            </w:tr>
            <w:tr w14:paraId="294030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717" w:type="dxa"/>
                  <w:vAlign w:val="center"/>
                </w:tcPr>
                <w:p w14:paraId="0E9031FC">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4</w:t>
                  </w:r>
                </w:p>
              </w:tc>
              <w:tc>
                <w:tcPr>
                  <w:tcW w:w="1237" w:type="dxa"/>
                  <w:vMerge w:val="continue"/>
                  <w:vAlign w:val="center"/>
                </w:tcPr>
                <w:p w14:paraId="0CB7B490">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893" w:type="dxa"/>
                  <w:vAlign w:val="center"/>
                </w:tcPr>
                <w:p w14:paraId="532B8D26">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氨氮</w:t>
                  </w:r>
                </w:p>
              </w:tc>
              <w:tc>
                <w:tcPr>
                  <w:tcW w:w="3482" w:type="dxa"/>
                  <w:vMerge w:val="continue"/>
                  <w:vAlign w:val="center"/>
                </w:tcPr>
                <w:p w14:paraId="43C52DAD">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818" w:type="dxa"/>
                  <w:vAlign w:val="center"/>
                </w:tcPr>
                <w:p w14:paraId="23A630E4">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default" w:ascii="Times New Roman" w:hAnsi="Times New Roman" w:cs="Times New Roman"/>
                      <w:snapToGrid w:val="0"/>
                      <w:color w:val="auto"/>
                      <w:kern w:val="0"/>
                      <w:sz w:val="18"/>
                      <w:szCs w:val="18"/>
                      <w:highlight w:val="none"/>
                      <w:lang w:val="en-US" w:eastAsia="zh-CN"/>
                    </w:rPr>
                    <w:t>1.5（3）*</w:t>
                  </w:r>
                </w:p>
              </w:tc>
            </w:tr>
            <w:tr w14:paraId="7414B8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717" w:type="dxa"/>
                  <w:vAlign w:val="center"/>
                </w:tcPr>
                <w:p w14:paraId="6BBBEB3A">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5</w:t>
                  </w:r>
                </w:p>
              </w:tc>
              <w:tc>
                <w:tcPr>
                  <w:tcW w:w="1237" w:type="dxa"/>
                  <w:vMerge w:val="continue"/>
                  <w:vAlign w:val="center"/>
                </w:tcPr>
                <w:p w14:paraId="77DD38FD">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893" w:type="dxa"/>
                  <w:vAlign w:val="center"/>
                </w:tcPr>
                <w:p w14:paraId="5782E86A">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总氮</w:t>
                  </w:r>
                </w:p>
              </w:tc>
              <w:tc>
                <w:tcPr>
                  <w:tcW w:w="3482" w:type="dxa"/>
                  <w:vMerge w:val="continue"/>
                  <w:vAlign w:val="center"/>
                </w:tcPr>
                <w:p w14:paraId="325D6AC8">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818" w:type="dxa"/>
                  <w:vAlign w:val="center"/>
                </w:tcPr>
                <w:p w14:paraId="374C212D">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10</w:t>
                  </w:r>
                </w:p>
              </w:tc>
            </w:tr>
            <w:tr w14:paraId="4D6B74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7" w:type="dxa"/>
                  <w:vAlign w:val="center"/>
                </w:tcPr>
                <w:p w14:paraId="734A8E13">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6</w:t>
                  </w:r>
                </w:p>
              </w:tc>
              <w:tc>
                <w:tcPr>
                  <w:tcW w:w="1237" w:type="dxa"/>
                  <w:vMerge w:val="continue"/>
                  <w:vAlign w:val="center"/>
                </w:tcPr>
                <w:p w14:paraId="206A1650">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893" w:type="dxa"/>
                  <w:vAlign w:val="center"/>
                </w:tcPr>
                <w:p w14:paraId="5FA96CE0">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总磷</w:t>
                  </w:r>
                </w:p>
              </w:tc>
              <w:tc>
                <w:tcPr>
                  <w:tcW w:w="3482" w:type="dxa"/>
                  <w:vMerge w:val="continue"/>
                  <w:vAlign w:val="center"/>
                </w:tcPr>
                <w:p w14:paraId="12FE3031">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p>
              </w:tc>
              <w:tc>
                <w:tcPr>
                  <w:tcW w:w="1818" w:type="dxa"/>
                  <w:vAlign w:val="center"/>
                </w:tcPr>
                <w:p w14:paraId="5BFF1540">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0.3</w:t>
                  </w:r>
                </w:p>
              </w:tc>
            </w:tr>
            <w:tr w14:paraId="2E42D7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7" w:type="dxa"/>
                  <w:gridSpan w:val="5"/>
                  <w:vAlign w:val="center"/>
                </w:tcPr>
                <w:p w14:paraId="12CCDC01">
                  <w:pPr>
                    <w:overflowPunct w:val="0"/>
                    <w:adjustRightInd w:val="0"/>
                    <w:snapToGrid w:val="0"/>
                    <w:spacing w:beforeLines="20" w:afterLines="20"/>
                    <w:jc w:val="center"/>
                    <w:rPr>
                      <w:rFonts w:hint="eastAsia" w:ascii="Times New Roman" w:hAnsi="Times New Roman" w:cs="Times New Roman"/>
                      <w:snapToGrid w:val="0"/>
                      <w:color w:val="auto"/>
                      <w:kern w:val="0"/>
                      <w:sz w:val="18"/>
                      <w:szCs w:val="18"/>
                      <w:highlight w:val="none"/>
                      <w:lang w:val="en-US" w:eastAsia="zh-CN"/>
                    </w:rPr>
                  </w:pPr>
                  <w:r>
                    <w:rPr>
                      <w:rFonts w:hint="eastAsia" w:ascii="Times New Roman" w:hAnsi="Times New Roman" w:cs="Times New Roman"/>
                      <w:snapToGrid w:val="0"/>
                      <w:color w:val="auto"/>
                      <w:kern w:val="0"/>
                      <w:sz w:val="18"/>
                      <w:szCs w:val="18"/>
                      <w:highlight w:val="none"/>
                      <w:lang w:val="en-US" w:eastAsia="zh-CN"/>
                    </w:rPr>
                    <w:t>注</w:t>
                  </w:r>
                  <w:r>
                    <w:rPr>
                      <w:rFonts w:hint="eastAsia" w:cs="Times New Roman"/>
                      <w:snapToGrid w:val="0"/>
                      <w:color w:val="auto"/>
                      <w:kern w:val="0"/>
                      <w:sz w:val="18"/>
                      <w:szCs w:val="18"/>
                      <w:highlight w:val="none"/>
                      <w:lang w:val="en-US" w:eastAsia="zh-CN"/>
                    </w:rPr>
                    <w:t>*</w:t>
                  </w:r>
                  <w:r>
                    <w:rPr>
                      <w:rFonts w:hint="eastAsia" w:ascii="Times New Roman" w:hAnsi="Times New Roman" w:cs="Times New Roman"/>
                      <w:snapToGrid w:val="0"/>
                      <w:color w:val="auto"/>
                      <w:kern w:val="0"/>
                      <w:sz w:val="18"/>
                      <w:szCs w:val="18"/>
                      <w:highlight w:val="none"/>
                      <w:lang w:val="en-US" w:eastAsia="zh-CN"/>
                    </w:rPr>
                    <w:t>：括号外数值水温&gt;12℃时的控制指标，括号外数值为水温≤12℃时的控制指标</w:t>
                  </w:r>
                </w:p>
              </w:tc>
            </w:tr>
          </w:tbl>
          <w:p w14:paraId="566A0D10">
            <w:pPr>
              <w:overflowPunct w:val="0"/>
              <w:adjustRightInd w:val="0"/>
              <w:snapToGrid w:val="0"/>
              <w:spacing w:line="360" w:lineRule="auto"/>
              <w:jc w:val="left"/>
              <w:rPr>
                <w:b/>
                <w:bCs/>
                <w:snapToGrid w:val="0"/>
                <w:color w:val="auto"/>
                <w:spacing w:val="-2"/>
                <w:kern w:val="0"/>
                <w:szCs w:val="21"/>
                <w:highlight w:val="none"/>
              </w:rPr>
            </w:pPr>
            <w:r>
              <w:rPr>
                <w:b/>
                <w:bCs/>
                <w:snapToGrid w:val="0"/>
                <w:color w:val="auto"/>
                <w:spacing w:val="-2"/>
                <w:kern w:val="0"/>
                <w:szCs w:val="21"/>
                <w:highlight w:val="none"/>
              </w:rPr>
              <w:t>3</w:t>
            </w:r>
            <w:r>
              <w:rPr>
                <w:rFonts w:hint="eastAsia"/>
                <w:b/>
                <w:bCs/>
                <w:snapToGrid w:val="0"/>
                <w:color w:val="auto"/>
                <w:spacing w:val="-2"/>
                <w:kern w:val="0"/>
                <w:szCs w:val="21"/>
                <w:highlight w:val="none"/>
              </w:rPr>
              <w:t>、噪声</w:t>
            </w:r>
          </w:p>
          <w:p w14:paraId="3CE304D9">
            <w:pPr>
              <w:tabs>
                <w:tab w:val="center" w:pos="4156"/>
                <w:tab w:val="left" w:pos="5964"/>
              </w:tabs>
              <w:adjustRightInd w:val="0"/>
              <w:snapToGrid w:val="0"/>
              <w:spacing w:line="360" w:lineRule="auto"/>
              <w:ind w:firstLine="420" w:firstLineChars="200"/>
              <w:jc w:val="left"/>
              <w:rPr>
                <w:color w:val="auto"/>
                <w:szCs w:val="21"/>
                <w:highlight w:val="none"/>
              </w:rPr>
            </w:pPr>
            <w:r>
              <w:rPr>
                <w:rFonts w:hint="eastAsia"/>
                <w:color w:val="auto"/>
                <w:szCs w:val="21"/>
                <w:highlight w:val="none"/>
              </w:rPr>
              <w:t>本项目噪声执行《工业企业厂界环境噪声排放标准》（</w:t>
            </w:r>
            <w:r>
              <w:rPr>
                <w:color w:val="auto"/>
                <w:szCs w:val="21"/>
                <w:highlight w:val="none"/>
              </w:rPr>
              <w:t>GB 12348-2008</w:t>
            </w:r>
            <w:r>
              <w:rPr>
                <w:rFonts w:hint="eastAsia"/>
                <w:color w:val="auto"/>
                <w:szCs w:val="21"/>
                <w:highlight w:val="none"/>
              </w:rPr>
              <w:t>）</w:t>
            </w:r>
            <w:r>
              <w:rPr>
                <w:color w:val="auto"/>
                <w:szCs w:val="21"/>
                <w:highlight w:val="none"/>
              </w:rPr>
              <w:t>2</w:t>
            </w:r>
            <w:r>
              <w:rPr>
                <w:rFonts w:hint="eastAsia"/>
                <w:color w:val="auto"/>
                <w:szCs w:val="21"/>
                <w:highlight w:val="none"/>
              </w:rPr>
              <w:t>类标准。</w:t>
            </w:r>
          </w:p>
          <w:p w14:paraId="12765384">
            <w:pPr>
              <w:tabs>
                <w:tab w:val="center" w:pos="4156"/>
                <w:tab w:val="left" w:pos="5964"/>
              </w:tabs>
              <w:adjustRightInd w:val="0"/>
              <w:snapToGrid w:val="0"/>
              <w:jc w:val="center"/>
              <w:rPr>
                <w:b/>
                <w:snapToGrid w:val="0"/>
                <w:color w:val="auto"/>
                <w:szCs w:val="21"/>
                <w:highlight w:val="none"/>
              </w:rPr>
            </w:pPr>
            <w:r>
              <w:rPr>
                <w:rFonts w:hint="eastAsia"/>
                <w:b/>
                <w:snapToGrid w:val="0"/>
                <w:color w:val="auto"/>
                <w:szCs w:val="21"/>
                <w:highlight w:val="none"/>
              </w:rPr>
              <w:t>表</w:t>
            </w:r>
            <w:r>
              <w:rPr>
                <w:b/>
                <w:snapToGrid w:val="0"/>
                <w:color w:val="auto"/>
                <w:szCs w:val="21"/>
                <w:highlight w:val="none"/>
              </w:rPr>
              <w:t>3-</w:t>
            </w:r>
            <w:r>
              <w:rPr>
                <w:rFonts w:hint="eastAsia"/>
                <w:b/>
                <w:snapToGrid w:val="0"/>
                <w:color w:val="auto"/>
                <w:szCs w:val="21"/>
                <w:highlight w:val="none"/>
                <w:lang w:val="en-US" w:eastAsia="zh-CN"/>
              </w:rPr>
              <w:t>12</w:t>
            </w:r>
            <w:r>
              <w:rPr>
                <w:b/>
                <w:snapToGrid w:val="0"/>
                <w:color w:val="auto"/>
                <w:szCs w:val="21"/>
                <w:highlight w:val="none"/>
              </w:rPr>
              <w:t xml:space="preserve">  </w:t>
            </w:r>
            <w:r>
              <w:rPr>
                <w:rFonts w:hint="eastAsia"/>
                <w:b/>
                <w:snapToGrid w:val="0"/>
                <w:color w:val="auto"/>
                <w:szCs w:val="21"/>
                <w:highlight w:val="none"/>
              </w:rPr>
              <w:t>噪声排放标准</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307"/>
              <w:gridCol w:w="786"/>
              <w:gridCol w:w="841"/>
              <w:gridCol w:w="875"/>
              <w:gridCol w:w="4338"/>
            </w:tblGrid>
            <w:tr w14:paraId="053FB4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4" w:type="dxa"/>
                  <w:vMerge w:val="restart"/>
                  <w:tcBorders>
                    <w:tl2br w:val="nil"/>
                    <w:tr2bl w:val="nil"/>
                  </w:tcBorders>
                  <w:vAlign w:val="center"/>
                </w:tcPr>
                <w:p w14:paraId="6FF8B710">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适用区域</w:t>
                  </w:r>
                </w:p>
              </w:tc>
              <w:tc>
                <w:tcPr>
                  <w:tcW w:w="778" w:type="dxa"/>
                  <w:vMerge w:val="restart"/>
                  <w:tcBorders>
                    <w:tl2br w:val="nil"/>
                    <w:tr2bl w:val="nil"/>
                  </w:tcBorders>
                  <w:vAlign w:val="center"/>
                </w:tcPr>
                <w:p w14:paraId="2F4C8816">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类别</w:t>
                  </w:r>
                </w:p>
              </w:tc>
              <w:tc>
                <w:tcPr>
                  <w:tcW w:w="1698" w:type="dxa"/>
                  <w:gridSpan w:val="2"/>
                  <w:tcBorders>
                    <w:tl2br w:val="nil"/>
                    <w:tr2bl w:val="nil"/>
                  </w:tcBorders>
                  <w:vAlign w:val="center"/>
                </w:tcPr>
                <w:p w14:paraId="614F369F">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标准限值</w:t>
                  </w:r>
                  <w:r>
                    <w:rPr>
                      <w:rFonts w:eastAsia="Times New Roman"/>
                      <w:snapToGrid w:val="0"/>
                      <w:color w:val="auto"/>
                      <w:kern w:val="0"/>
                      <w:sz w:val="18"/>
                      <w:szCs w:val="18"/>
                      <w:highlight w:val="none"/>
                    </w:rPr>
                    <w:t>dB</w:t>
                  </w:r>
                  <w:r>
                    <w:rPr>
                      <w:rFonts w:hint="eastAsia"/>
                      <w:snapToGrid w:val="0"/>
                      <w:color w:val="auto"/>
                      <w:kern w:val="0"/>
                      <w:sz w:val="18"/>
                      <w:szCs w:val="18"/>
                      <w:highlight w:val="none"/>
                    </w:rPr>
                    <w:t>（</w:t>
                  </w:r>
                  <w:r>
                    <w:rPr>
                      <w:snapToGrid w:val="0"/>
                      <w:color w:val="auto"/>
                      <w:kern w:val="0"/>
                      <w:sz w:val="18"/>
                      <w:szCs w:val="18"/>
                      <w:highlight w:val="none"/>
                    </w:rPr>
                    <w:t>A</w:t>
                  </w:r>
                  <w:r>
                    <w:rPr>
                      <w:rFonts w:hint="eastAsia"/>
                      <w:snapToGrid w:val="0"/>
                      <w:color w:val="auto"/>
                      <w:kern w:val="0"/>
                      <w:sz w:val="18"/>
                      <w:szCs w:val="18"/>
                      <w:highlight w:val="none"/>
                    </w:rPr>
                    <w:t>）</w:t>
                  </w:r>
                </w:p>
              </w:tc>
              <w:tc>
                <w:tcPr>
                  <w:tcW w:w="4293" w:type="dxa"/>
                  <w:vMerge w:val="restart"/>
                  <w:tcBorders>
                    <w:tl2br w:val="nil"/>
                    <w:tr2bl w:val="nil"/>
                  </w:tcBorders>
                  <w:vAlign w:val="center"/>
                </w:tcPr>
                <w:p w14:paraId="196305BF">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标准来源</w:t>
                  </w:r>
                </w:p>
              </w:tc>
            </w:tr>
            <w:tr w14:paraId="00BB19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1294" w:type="dxa"/>
                  <w:vMerge w:val="continue"/>
                  <w:tcBorders>
                    <w:tl2br w:val="nil"/>
                    <w:tr2bl w:val="nil"/>
                  </w:tcBorders>
                  <w:shd w:val="clear" w:color="auto" w:fill="D7D7D7"/>
                  <w:vAlign w:val="center"/>
                </w:tcPr>
                <w:p w14:paraId="641F03FB">
                  <w:pPr>
                    <w:overflowPunct w:val="0"/>
                    <w:adjustRightInd w:val="0"/>
                    <w:snapToGrid w:val="0"/>
                    <w:spacing w:beforeLines="20" w:afterLines="20"/>
                    <w:jc w:val="center"/>
                    <w:rPr>
                      <w:rFonts w:eastAsia="Times New Roman"/>
                      <w:snapToGrid w:val="0"/>
                      <w:color w:val="auto"/>
                      <w:kern w:val="0"/>
                      <w:sz w:val="18"/>
                      <w:szCs w:val="18"/>
                      <w:highlight w:val="none"/>
                    </w:rPr>
                  </w:pPr>
                </w:p>
              </w:tc>
              <w:tc>
                <w:tcPr>
                  <w:tcW w:w="778" w:type="dxa"/>
                  <w:vMerge w:val="continue"/>
                  <w:tcBorders>
                    <w:tl2br w:val="nil"/>
                    <w:tr2bl w:val="nil"/>
                  </w:tcBorders>
                  <w:shd w:val="clear" w:color="auto" w:fill="D7D7D7"/>
                  <w:vAlign w:val="center"/>
                </w:tcPr>
                <w:p w14:paraId="72F6E0CE">
                  <w:pPr>
                    <w:overflowPunct w:val="0"/>
                    <w:adjustRightInd w:val="0"/>
                    <w:snapToGrid w:val="0"/>
                    <w:spacing w:beforeLines="20" w:afterLines="20"/>
                    <w:jc w:val="center"/>
                    <w:rPr>
                      <w:rFonts w:eastAsia="Times New Roman"/>
                      <w:snapToGrid w:val="0"/>
                      <w:color w:val="auto"/>
                      <w:kern w:val="0"/>
                      <w:sz w:val="18"/>
                      <w:szCs w:val="18"/>
                      <w:highlight w:val="none"/>
                    </w:rPr>
                  </w:pPr>
                </w:p>
              </w:tc>
              <w:tc>
                <w:tcPr>
                  <w:tcW w:w="832" w:type="dxa"/>
                  <w:tcBorders>
                    <w:tl2br w:val="nil"/>
                    <w:tr2bl w:val="nil"/>
                  </w:tcBorders>
                  <w:shd w:val="clear" w:color="auto" w:fill="auto"/>
                  <w:vAlign w:val="center"/>
                </w:tcPr>
                <w:p w14:paraId="160C62EE">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昼间</w:t>
                  </w:r>
                </w:p>
              </w:tc>
              <w:tc>
                <w:tcPr>
                  <w:tcW w:w="866" w:type="dxa"/>
                  <w:tcBorders>
                    <w:tl2br w:val="nil"/>
                    <w:tr2bl w:val="nil"/>
                  </w:tcBorders>
                  <w:shd w:val="clear" w:color="auto" w:fill="auto"/>
                  <w:vAlign w:val="center"/>
                </w:tcPr>
                <w:p w14:paraId="517A4C00">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夜间</w:t>
                  </w:r>
                </w:p>
              </w:tc>
              <w:tc>
                <w:tcPr>
                  <w:tcW w:w="4293" w:type="dxa"/>
                  <w:vMerge w:val="continue"/>
                  <w:tcBorders>
                    <w:tl2br w:val="nil"/>
                    <w:tr2bl w:val="nil"/>
                  </w:tcBorders>
                  <w:shd w:val="clear" w:color="auto" w:fill="D7D7D7"/>
                  <w:vAlign w:val="center"/>
                </w:tcPr>
                <w:p w14:paraId="2E551E75">
                  <w:pPr>
                    <w:overflowPunct w:val="0"/>
                    <w:adjustRightInd w:val="0"/>
                    <w:snapToGrid w:val="0"/>
                    <w:spacing w:beforeLines="20" w:afterLines="20"/>
                    <w:jc w:val="center"/>
                    <w:rPr>
                      <w:rFonts w:eastAsia="Times New Roman"/>
                      <w:snapToGrid w:val="0"/>
                      <w:color w:val="auto"/>
                      <w:kern w:val="0"/>
                      <w:sz w:val="18"/>
                      <w:szCs w:val="18"/>
                      <w:highlight w:val="none"/>
                    </w:rPr>
                  </w:pPr>
                </w:p>
              </w:tc>
            </w:tr>
            <w:tr w14:paraId="0C0135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1294" w:type="dxa"/>
                  <w:tcBorders>
                    <w:tl2br w:val="nil"/>
                    <w:tr2bl w:val="nil"/>
                  </w:tcBorders>
                  <w:vAlign w:val="center"/>
                </w:tcPr>
                <w:p w14:paraId="570189CE">
                  <w:pPr>
                    <w:overflowPunct w:val="0"/>
                    <w:adjustRightInd w:val="0"/>
                    <w:snapToGrid w:val="0"/>
                    <w:spacing w:beforeLines="20" w:afterLines="20"/>
                    <w:jc w:val="center"/>
                    <w:rPr>
                      <w:snapToGrid w:val="0"/>
                      <w:color w:val="auto"/>
                      <w:kern w:val="0"/>
                      <w:sz w:val="18"/>
                      <w:szCs w:val="18"/>
                      <w:highlight w:val="none"/>
                    </w:rPr>
                  </w:pPr>
                  <w:r>
                    <w:rPr>
                      <w:rFonts w:hint="eastAsia"/>
                      <w:snapToGrid w:val="0"/>
                      <w:color w:val="auto"/>
                      <w:kern w:val="0"/>
                      <w:sz w:val="18"/>
                      <w:szCs w:val="18"/>
                      <w:highlight w:val="none"/>
                    </w:rPr>
                    <w:t>厂界外</w:t>
                  </w:r>
                  <w:r>
                    <w:rPr>
                      <w:snapToGrid w:val="0"/>
                      <w:color w:val="auto"/>
                      <w:kern w:val="0"/>
                      <w:sz w:val="18"/>
                      <w:szCs w:val="18"/>
                      <w:highlight w:val="none"/>
                    </w:rPr>
                    <w:t>1m</w:t>
                  </w:r>
                </w:p>
              </w:tc>
              <w:tc>
                <w:tcPr>
                  <w:tcW w:w="778" w:type="dxa"/>
                  <w:tcBorders>
                    <w:tl2br w:val="nil"/>
                    <w:tr2bl w:val="nil"/>
                  </w:tcBorders>
                  <w:vAlign w:val="center"/>
                </w:tcPr>
                <w:p w14:paraId="53A09C56">
                  <w:pPr>
                    <w:overflowPunct w:val="0"/>
                    <w:adjustRightInd w:val="0"/>
                    <w:snapToGrid w:val="0"/>
                    <w:spacing w:beforeLines="20" w:afterLines="20"/>
                    <w:jc w:val="center"/>
                    <w:rPr>
                      <w:rFonts w:eastAsia="Times New Roman"/>
                      <w:snapToGrid w:val="0"/>
                      <w:color w:val="auto"/>
                      <w:kern w:val="0"/>
                      <w:sz w:val="18"/>
                      <w:szCs w:val="18"/>
                      <w:highlight w:val="none"/>
                    </w:rPr>
                  </w:pPr>
                  <w:r>
                    <w:rPr>
                      <w:snapToGrid w:val="0"/>
                      <w:color w:val="auto"/>
                      <w:kern w:val="0"/>
                      <w:sz w:val="18"/>
                      <w:szCs w:val="18"/>
                      <w:highlight w:val="none"/>
                    </w:rPr>
                    <w:t>2</w:t>
                  </w:r>
                  <w:r>
                    <w:rPr>
                      <w:rFonts w:hint="eastAsia"/>
                      <w:snapToGrid w:val="0"/>
                      <w:color w:val="auto"/>
                      <w:kern w:val="0"/>
                      <w:sz w:val="18"/>
                      <w:szCs w:val="18"/>
                      <w:highlight w:val="none"/>
                    </w:rPr>
                    <w:t>类</w:t>
                  </w:r>
                </w:p>
              </w:tc>
              <w:tc>
                <w:tcPr>
                  <w:tcW w:w="832" w:type="dxa"/>
                  <w:tcBorders>
                    <w:tl2br w:val="nil"/>
                    <w:tr2bl w:val="nil"/>
                  </w:tcBorders>
                  <w:vAlign w:val="center"/>
                </w:tcPr>
                <w:p w14:paraId="6344B21B">
                  <w:pPr>
                    <w:overflowPunct w:val="0"/>
                    <w:adjustRightInd w:val="0"/>
                    <w:snapToGrid w:val="0"/>
                    <w:spacing w:beforeLines="20" w:afterLines="20"/>
                    <w:jc w:val="center"/>
                    <w:rPr>
                      <w:snapToGrid w:val="0"/>
                      <w:color w:val="auto"/>
                      <w:kern w:val="0"/>
                      <w:sz w:val="18"/>
                      <w:szCs w:val="18"/>
                      <w:highlight w:val="none"/>
                    </w:rPr>
                  </w:pPr>
                  <w:r>
                    <w:rPr>
                      <w:snapToGrid w:val="0"/>
                      <w:color w:val="auto"/>
                      <w:kern w:val="0"/>
                      <w:sz w:val="18"/>
                      <w:szCs w:val="18"/>
                      <w:highlight w:val="none"/>
                    </w:rPr>
                    <w:t>60</w:t>
                  </w:r>
                </w:p>
              </w:tc>
              <w:tc>
                <w:tcPr>
                  <w:tcW w:w="866" w:type="dxa"/>
                  <w:tcBorders>
                    <w:tl2br w:val="nil"/>
                    <w:tr2bl w:val="nil"/>
                  </w:tcBorders>
                  <w:vAlign w:val="center"/>
                </w:tcPr>
                <w:p w14:paraId="694FBA87">
                  <w:pPr>
                    <w:overflowPunct w:val="0"/>
                    <w:adjustRightInd w:val="0"/>
                    <w:snapToGrid w:val="0"/>
                    <w:spacing w:beforeLines="20" w:afterLines="20"/>
                    <w:jc w:val="center"/>
                    <w:rPr>
                      <w:snapToGrid w:val="0"/>
                      <w:color w:val="auto"/>
                      <w:kern w:val="0"/>
                      <w:sz w:val="18"/>
                      <w:szCs w:val="18"/>
                      <w:highlight w:val="none"/>
                    </w:rPr>
                  </w:pPr>
                  <w:r>
                    <w:rPr>
                      <w:snapToGrid w:val="0"/>
                      <w:color w:val="auto"/>
                      <w:kern w:val="0"/>
                      <w:sz w:val="18"/>
                      <w:szCs w:val="18"/>
                      <w:highlight w:val="none"/>
                    </w:rPr>
                    <w:t>50</w:t>
                  </w:r>
                </w:p>
              </w:tc>
              <w:tc>
                <w:tcPr>
                  <w:tcW w:w="4293" w:type="dxa"/>
                  <w:tcBorders>
                    <w:tl2br w:val="nil"/>
                    <w:tr2bl w:val="nil"/>
                  </w:tcBorders>
                  <w:vAlign w:val="center"/>
                </w:tcPr>
                <w:p w14:paraId="1485A1DB">
                  <w:pPr>
                    <w:overflowPunct w:val="0"/>
                    <w:adjustRightInd w:val="0"/>
                    <w:snapToGrid w:val="0"/>
                    <w:spacing w:beforeLines="20" w:afterLines="20"/>
                    <w:jc w:val="center"/>
                    <w:rPr>
                      <w:rFonts w:eastAsia="Times New Roman"/>
                      <w:snapToGrid w:val="0"/>
                      <w:color w:val="auto"/>
                      <w:kern w:val="0"/>
                      <w:sz w:val="18"/>
                      <w:szCs w:val="18"/>
                      <w:highlight w:val="none"/>
                    </w:rPr>
                  </w:pPr>
                  <w:r>
                    <w:rPr>
                      <w:rFonts w:hint="eastAsia"/>
                      <w:snapToGrid w:val="0"/>
                      <w:color w:val="auto"/>
                      <w:kern w:val="0"/>
                      <w:sz w:val="18"/>
                      <w:szCs w:val="18"/>
                      <w:highlight w:val="none"/>
                    </w:rPr>
                    <w:t>《工业企业厂界环境噪声排放标准》（</w:t>
                  </w:r>
                  <w:r>
                    <w:rPr>
                      <w:snapToGrid w:val="0"/>
                      <w:color w:val="auto"/>
                      <w:kern w:val="0"/>
                      <w:sz w:val="18"/>
                      <w:szCs w:val="18"/>
                      <w:highlight w:val="none"/>
                    </w:rPr>
                    <w:t>GB12348-2008</w:t>
                  </w:r>
                  <w:r>
                    <w:rPr>
                      <w:rFonts w:hint="eastAsia"/>
                      <w:snapToGrid w:val="0"/>
                      <w:color w:val="auto"/>
                      <w:kern w:val="0"/>
                      <w:sz w:val="18"/>
                      <w:szCs w:val="18"/>
                      <w:highlight w:val="none"/>
                    </w:rPr>
                    <w:t>）</w:t>
                  </w:r>
                </w:p>
              </w:tc>
            </w:tr>
          </w:tbl>
          <w:p w14:paraId="000AA65B">
            <w:pPr>
              <w:overflowPunct w:val="0"/>
              <w:adjustRightInd w:val="0"/>
              <w:snapToGrid w:val="0"/>
              <w:spacing w:line="360" w:lineRule="auto"/>
              <w:jc w:val="left"/>
              <w:rPr>
                <w:b/>
                <w:bCs/>
                <w:snapToGrid w:val="0"/>
                <w:color w:val="auto"/>
                <w:spacing w:val="-2"/>
                <w:kern w:val="0"/>
                <w:szCs w:val="21"/>
                <w:highlight w:val="none"/>
              </w:rPr>
            </w:pPr>
            <w:r>
              <w:rPr>
                <w:b/>
                <w:bCs/>
                <w:snapToGrid w:val="0"/>
                <w:color w:val="auto"/>
                <w:spacing w:val="-2"/>
                <w:kern w:val="0"/>
                <w:szCs w:val="21"/>
                <w:highlight w:val="none"/>
              </w:rPr>
              <w:t>4</w:t>
            </w:r>
            <w:r>
              <w:rPr>
                <w:rFonts w:hint="eastAsia"/>
                <w:b/>
                <w:bCs/>
                <w:snapToGrid w:val="0"/>
                <w:color w:val="auto"/>
                <w:spacing w:val="-2"/>
                <w:kern w:val="0"/>
                <w:szCs w:val="21"/>
                <w:highlight w:val="none"/>
              </w:rPr>
              <w:t>、固废</w:t>
            </w:r>
          </w:p>
          <w:p w14:paraId="2E667267">
            <w:pPr>
              <w:adjustRightInd w:val="0"/>
              <w:snapToGrid w:val="0"/>
              <w:spacing w:line="360" w:lineRule="auto"/>
              <w:ind w:firstLine="420" w:firstLineChars="200"/>
              <w:rPr>
                <w:color w:val="auto"/>
                <w:szCs w:val="21"/>
                <w:highlight w:val="none"/>
              </w:rPr>
            </w:pPr>
            <w:r>
              <w:rPr>
                <w:rFonts w:hint="eastAsia"/>
                <w:color w:val="auto"/>
                <w:szCs w:val="21"/>
                <w:highlight w:val="none"/>
              </w:rPr>
              <w:t>本项目</w:t>
            </w:r>
            <w:r>
              <w:rPr>
                <w:rFonts w:hint="eastAsia"/>
                <w:color w:val="auto"/>
                <w:szCs w:val="21"/>
                <w:highlight w:val="none"/>
                <w:lang w:val="en-US" w:eastAsia="zh-CN"/>
              </w:rPr>
              <w:t>一般固废仓库</w:t>
            </w:r>
            <w:r>
              <w:rPr>
                <w:rFonts w:hint="eastAsia"/>
                <w:color w:val="auto"/>
                <w:szCs w:val="21"/>
                <w:highlight w:val="none"/>
              </w:rPr>
              <w:t>所执行《一般工业固体废物贮存和填埋污染控制标准》（</w:t>
            </w:r>
            <w:r>
              <w:rPr>
                <w:color w:val="auto"/>
                <w:szCs w:val="21"/>
                <w:highlight w:val="none"/>
              </w:rPr>
              <w:t>GB 18599-2020</w:t>
            </w:r>
            <w:r>
              <w:rPr>
                <w:rFonts w:hint="eastAsia"/>
                <w:color w:val="auto"/>
                <w:szCs w:val="21"/>
                <w:highlight w:val="none"/>
              </w:rPr>
              <w:t>）中的相关要求，</w:t>
            </w:r>
            <w:r>
              <w:rPr>
                <w:rFonts w:hint="eastAsia"/>
                <w:color w:val="auto"/>
                <w:szCs w:val="21"/>
                <w:highlight w:val="none"/>
                <w:lang w:val="en-US" w:eastAsia="zh-CN"/>
              </w:rPr>
              <w:t>危废仓库</w:t>
            </w:r>
            <w:r>
              <w:rPr>
                <w:rFonts w:hint="eastAsia"/>
                <w:color w:val="auto"/>
                <w:szCs w:val="21"/>
                <w:highlight w:val="none"/>
              </w:rPr>
              <w:t>执行《危险废物贮存污染控制标准》（</w:t>
            </w:r>
            <w:r>
              <w:rPr>
                <w:color w:val="auto"/>
                <w:szCs w:val="21"/>
                <w:highlight w:val="none"/>
              </w:rPr>
              <w:t>GB 18597-2023</w:t>
            </w:r>
            <w:r>
              <w:rPr>
                <w:rFonts w:hint="eastAsia"/>
                <w:color w:val="auto"/>
                <w:szCs w:val="21"/>
                <w:highlight w:val="none"/>
              </w:rPr>
              <w:t>）。</w:t>
            </w:r>
          </w:p>
        </w:tc>
      </w:tr>
    </w:tbl>
    <w:p w14:paraId="47C93E7D">
      <w:p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0D581085"/>
    <w:tbl>
      <w:tblPr>
        <w:tblStyle w:val="2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2305"/>
      </w:tblGrid>
      <w:tr w14:paraId="273140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627" w:type="dxa"/>
            <w:tcBorders>
              <w:bottom w:val="single" w:color="auto" w:sz="8" w:space="0"/>
            </w:tcBorders>
            <w:vAlign w:val="center"/>
          </w:tcPr>
          <w:p w14:paraId="57FD3B03">
            <w:pPr>
              <w:adjustRightInd w:val="0"/>
              <w:snapToGrid w:val="0"/>
              <w:jc w:val="center"/>
              <w:rPr>
                <w:rFonts w:ascii="宋体" w:cs="宋体"/>
                <w:color w:val="auto"/>
                <w:kern w:val="0"/>
                <w:szCs w:val="21"/>
                <w:highlight w:val="none"/>
              </w:rPr>
            </w:pPr>
            <w:r>
              <w:rPr>
                <w:rFonts w:hint="eastAsia" w:ascii="宋体" w:hAnsi="宋体" w:cs="宋体"/>
                <w:color w:val="auto"/>
                <w:kern w:val="0"/>
                <w:szCs w:val="21"/>
                <w:highlight w:val="none"/>
              </w:rPr>
              <w:t>总量</w:t>
            </w:r>
          </w:p>
          <w:p w14:paraId="78C9A694">
            <w:pPr>
              <w:adjustRightInd w:val="0"/>
              <w:snapToGrid w:val="0"/>
              <w:jc w:val="center"/>
              <w:rPr>
                <w:rFonts w:ascii="宋体" w:cs="宋体"/>
                <w:color w:val="auto"/>
                <w:kern w:val="0"/>
                <w:szCs w:val="21"/>
                <w:highlight w:val="none"/>
              </w:rPr>
            </w:pPr>
            <w:r>
              <w:rPr>
                <w:rFonts w:hint="eastAsia" w:ascii="宋体" w:hAnsi="宋体" w:cs="宋体"/>
                <w:color w:val="auto"/>
                <w:kern w:val="0"/>
                <w:szCs w:val="21"/>
                <w:highlight w:val="none"/>
              </w:rPr>
              <w:t>控制</w:t>
            </w:r>
          </w:p>
          <w:p w14:paraId="6D710C67">
            <w:pPr>
              <w:adjustRightInd w:val="0"/>
              <w:snapToGrid w:val="0"/>
              <w:jc w:val="center"/>
              <w:rPr>
                <w:rFonts w:ascii="宋体" w:cs="宋体"/>
                <w:color w:val="auto"/>
                <w:kern w:val="0"/>
                <w:szCs w:val="21"/>
                <w:highlight w:val="none"/>
              </w:rPr>
            </w:pPr>
            <w:r>
              <w:rPr>
                <w:rFonts w:hint="eastAsia" w:ascii="宋体" w:hAnsi="宋体" w:cs="宋体"/>
                <w:color w:val="auto"/>
                <w:kern w:val="0"/>
                <w:szCs w:val="21"/>
                <w:highlight w:val="none"/>
              </w:rPr>
              <w:t>指标</w:t>
            </w:r>
          </w:p>
        </w:tc>
        <w:tc>
          <w:tcPr>
            <w:tcW w:w="8363" w:type="dxa"/>
            <w:tcBorders>
              <w:bottom w:val="single" w:color="auto" w:sz="8" w:space="0"/>
            </w:tcBorders>
            <w:vAlign w:val="top"/>
          </w:tcPr>
          <w:p w14:paraId="11FE04AF">
            <w:pPr>
              <w:overflowPunct w:val="0"/>
              <w:adjustRightInd w:val="0"/>
              <w:snapToGrid w:val="0"/>
              <w:spacing w:line="360" w:lineRule="auto"/>
              <w:jc w:val="left"/>
              <w:rPr>
                <w:b/>
                <w:bCs/>
                <w:snapToGrid w:val="0"/>
                <w:color w:val="auto"/>
                <w:spacing w:val="-2"/>
                <w:kern w:val="0"/>
                <w:szCs w:val="21"/>
                <w:highlight w:val="none"/>
              </w:rPr>
            </w:pPr>
            <w:r>
              <w:rPr>
                <w:b/>
                <w:bCs/>
                <w:snapToGrid w:val="0"/>
                <w:color w:val="auto"/>
                <w:spacing w:val="-2"/>
                <w:kern w:val="0"/>
                <w:szCs w:val="21"/>
                <w:highlight w:val="none"/>
              </w:rPr>
              <w:t>1</w:t>
            </w:r>
            <w:r>
              <w:rPr>
                <w:rFonts w:hint="eastAsia"/>
                <w:b/>
                <w:bCs/>
                <w:snapToGrid w:val="0"/>
                <w:color w:val="auto"/>
                <w:spacing w:val="-2"/>
                <w:kern w:val="0"/>
                <w:szCs w:val="21"/>
                <w:highlight w:val="none"/>
              </w:rPr>
              <w:t>、总量控制因子</w:t>
            </w:r>
          </w:p>
          <w:p w14:paraId="3F15E400">
            <w:pPr>
              <w:adjustRightInd w:val="0"/>
              <w:snapToGrid w:val="0"/>
              <w:spacing w:line="360" w:lineRule="auto"/>
              <w:ind w:firstLine="420" w:firstLineChars="200"/>
              <w:rPr>
                <w:color w:val="auto"/>
                <w:szCs w:val="21"/>
                <w:highlight w:val="none"/>
              </w:rPr>
            </w:pPr>
            <w:r>
              <w:rPr>
                <w:rFonts w:hint="eastAsia"/>
                <w:color w:val="auto"/>
                <w:szCs w:val="21"/>
                <w:highlight w:val="none"/>
              </w:rPr>
              <w:t>水污染物总量控制因子：</w:t>
            </w:r>
            <w:r>
              <w:rPr>
                <w:color w:val="auto"/>
                <w:szCs w:val="21"/>
                <w:highlight w:val="none"/>
              </w:rPr>
              <w:t>COD</w:t>
            </w:r>
            <w:r>
              <w:rPr>
                <w:rFonts w:hint="eastAsia"/>
                <w:color w:val="auto"/>
                <w:szCs w:val="21"/>
                <w:highlight w:val="none"/>
              </w:rPr>
              <w:t>、</w:t>
            </w:r>
            <w:r>
              <w:rPr>
                <w:color w:val="auto"/>
                <w:szCs w:val="21"/>
                <w:highlight w:val="none"/>
              </w:rPr>
              <w:t>NH</w:t>
            </w:r>
            <w:r>
              <w:rPr>
                <w:color w:val="auto"/>
                <w:szCs w:val="21"/>
                <w:highlight w:val="none"/>
                <w:vertAlign w:val="subscript"/>
              </w:rPr>
              <w:t>3</w:t>
            </w:r>
            <w:r>
              <w:rPr>
                <w:color w:val="auto"/>
                <w:szCs w:val="21"/>
                <w:highlight w:val="none"/>
              </w:rPr>
              <w:t>-N</w:t>
            </w:r>
            <w:r>
              <w:rPr>
                <w:rFonts w:hint="eastAsia"/>
                <w:color w:val="auto"/>
                <w:szCs w:val="21"/>
                <w:highlight w:val="none"/>
              </w:rPr>
              <w:t>、</w:t>
            </w:r>
            <w:r>
              <w:rPr>
                <w:color w:val="auto"/>
                <w:szCs w:val="21"/>
                <w:highlight w:val="none"/>
              </w:rPr>
              <w:t>TN</w:t>
            </w:r>
            <w:r>
              <w:rPr>
                <w:rFonts w:hint="eastAsia"/>
                <w:color w:val="auto"/>
                <w:szCs w:val="21"/>
                <w:highlight w:val="none"/>
              </w:rPr>
              <w:t>、</w:t>
            </w:r>
            <w:r>
              <w:rPr>
                <w:color w:val="auto"/>
                <w:szCs w:val="21"/>
                <w:highlight w:val="none"/>
              </w:rPr>
              <w:t>TP</w:t>
            </w:r>
            <w:r>
              <w:rPr>
                <w:rFonts w:hint="eastAsia"/>
                <w:color w:val="auto"/>
                <w:szCs w:val="21"/>
                <w:highlight w:val="none"/>
              </w:rPr>
              <w:t>；总量考核因子：</w:t>
            </w:r>
            <w:r>
              <w:rPr>
                <w:color w:val="auto"/>
                <w:szCs w:val="21"/>
                <w:highlight w:val="none"/>
              </w:rPr>
              <w:t>SS</w:t>
            </w:r>
            <w:r>
              <w:rPr>
                <w:rFonts w:hint="eastAsia"/>
                <w:color w:val="auto"/>
                <w:szCs w:val="21"/>
                <w:highlight w:val="none"/>
              </w:rPr>
              <w:t>。</w:t>
            </w:r>
          </w:p>
          <w:p w14:paraId="2B3BAB21">
            <w:pPr>
              <w:adjustRightInd w:val="0"/>
              <w:snapToGrid w:val="0"/>
              <w:spacing w:line="360" w:lineRule="auto"/>
              <w:ind w:firstLine="420" w:firstLineChars="200"/>
              <w:rPr>
                <w:color w:val="auto"/>
                <w:szCs w:val="21"/>
                <w:highlight w:val="none"/>
              </w:rPr>
            </w:pPr>
            <w:r>
              <w:rPr>
                <w:rFonts w:hint="eastAsia"/>
                <w:color w:val="auto"/>
                <w:szCs w:val="21"/>
                <w:highlight w:val="none"/>
              </w:rPr>
              <w:t>大气污染物总量控制因子：</w:t>
            </w:r>
            <w:r>
              <w:rPr>
                <w:rFonts w:hint="eastAsia"/>
                <w:color w:val="auto"/>
                <w:szCs w:val="21"/>
                <w:highlight w:val="none"/>
                <w:lang w:val="en-US" w:eastAsia="zh-CN"/>
              </w:rPr>
              <w:t>VOCs、颗粒物</w:t>
            </w:r>
            <w:r>
              <w:rPr>
                <w:rFonts w:hint="eastAsia"/>
                <w:color w:val="auto"/>
                <w:szCs w:val="21"/>
                <w:highlight w:val="none"/>
              </w:rPr>
              <w:t>。</w:t>
            </w:r>
          </w:p>
          <w:p w14:paraId="23A61B7E">
            <w:pPr>
              <w:overflowPunct w:val="0"/>
              <w:adjustRightInd w:val="0"/>
              <w:snapToGrid w:val="0"/>
              <w:spacing w:line="360" w:lineRule="auto"/>
              <w:jc w:val="left"/>
              <w:rPr>
                <w:b/>
                <w:bCs/>
                <w:snapToGrid w:val="0"/>
                <w:color w:val="auto"/>
                <w:spacing w:val="-2"/>
                <w:kern w:val="0"/>
                <w:szCs w:val="21"/>
                <w:highlight w:val="none"/>
              </w:rPr>
            </w:pPr>
            <w:r>
              <w:rPr>
                <w:b/>
                <w:bCs/>
                <w:snapToGrid w:val="0"/>
                <w:color w:val="auto"/>
                <w:spacing w:val="-2"/>
                <w:kern w:val="0"/>
                <w:szCs w:val="21"/>
                <w:highlight w:val="none"/>
              </w:rPr>
              <w:t>2</w:t>
            </w:r>
            <w:r>
              <w:rPr>
                <w:rFonts w:hint="eastAsia"/>
                <w:b/>
                <w:bCs/>
                <w:snapToGrid w:val="0"/>
                <w:color w:val="auto"/>
                <w:spacing w:val="-2"/>
                <w:kern w:val="0"/>
                <w:szCs w:val="21"/>
                <w:highlight w:val="none"/>
              </w:rPr>
              <w:t>、总量控制指标</w:t>
            </w:r>
          </w:p>
          <w:p w14:paraId="3E399C8C">
            <w:pPr>
              <w:tabs>
                <w:tab w:val="center" w:pos="4156"/>
                <w:tab w:val="left" w:pos="5964"/>
              </w:tabs>
              <w:adjustRightInd w:val="0"/>
              <w:snapToGrid w:val="0"/>
              <w:jc w:val="center"/>
              <w:rPr>
                <w:b/>
                <w:snapToGrid w:val="0"/>
                <w:color w:val="auto"/>
                <w:szCs w:val="21"/>
                <w:highlight w:val="none"/>
              </w:rPr>
            </w:pPr>
            <w:r>
              <w:rPr>
                <w:rFonts w:hint="eastAsia"/>
                <w:b/>
                <w:snapToGrid w:val="0"/>
                <w:color w:val="auto"/>
                <w:szCs w:val="21"/>
                <w:highlight w:val="none"/>
              </w:rPr>
              <w:t>表</w:t>
            </w:r>
            <w:r>
              <w:rPr>
                <w:b/>
                <w:snapToGrid w:val="0"/>
                <w:color w:val="auto"/>
                <w:szCs w:val="21"/>
                <w:highlight w:val="none"/>
              </w:rPr>
              <w:t>3-</w:t>
            </w:r>
            <w:r>
              <w:rPr>
                <w:rFonts w:hint="eastAsia"/>
                <w:b/>
                <w:snapToGrid w:val="0"/>
                <w:color w:val="auto"/>
                <w:szCs w:val="21"/>
                <w:highlight w:val="none"/>
                <w:lang w:val="en-US" w:eastAsia="zh-CN"/>
              </w:rPr>
              <w:t>13</w:t>
            </w:r>
            <w:r>
              <w:rPr>
                <w:b/>
                <w:snapToGrid w:val="0"/>
                <w:color w:val="auto"/>
                <w:szCs w:val="21"/>
                <w:highlight w:val="none"/>
              </w:rPr>
              <w:t xml:space="preserve">  </w:t>
            </w:r>
            <w:r>
              <w:rPr>
                <w:rFonts w:hint="eastAsia"/>
                <w:b/>
                <w:snapToGrid w:val="0"/>
                <w:color w:val="auto"/>
                <w:szCs w:val="21"/>
                <w:highlight w:val="none"/>
              </w:rPr>
              <w:t>污染物总量控制指标</w:t>
            </w:r>
            <w:r>
              <w:rPr>
                <w:b/>
                <w:snapToGrid w:val="0"/>
                <w:color w:val="auto"/>
                <w:szCs w:val="21"/>
                <w:highlight w:val="none"/>
              </w:rPr>
              <w:t xml:space="preserve">    </w:t>
            </w:r>
            <w:r>
              <w:rPr>
                <w:rFonts w:hint="eastAsia"/>
                <w:b/>
                <w:snapToGrid w:val="0"/>
                <w:color w:val="auto"/>
                <w:szCs w:val="21"/>
                <w:highlight w:val="none"/>
              </w:rPr>
              <w:t>单位：</w:t>
            </w:r>
            <w:r>
              <w:rPr>
                <w:b/>
                <w:snapToGrid w:val="0"/>
                <w:color w:val="auto"/>
                <w:szCs w:val="21"/>
                <w:highlight w:val="none"/>
              </w:rPr>
              <w:t>t/a</w:t>
            </w:r>
          </w:p>
          <w:tbl>
            <w:tblPr>
              <w:tblStyle w:val="26"/>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08"/>
              <w:gridCol w:w="765"/>
              <w:gridCol w:w="1762"/>
              <w:gridCol w:w="1098"/>
              <w:gridCol w:w="1098"/>
              <w:gridCol w:w="1098"/>
              <w:gridCol w:w="1121"/>
              <w:gridCol w:w="1381"/>
              <w:gridCol w:w="1579"/>
              <w:gridCol w:w="1579"/>
            </w:tblGrid>
            <w:tr w14:paraId="26C677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tcBorders>
                    <w:top w:val="single" w:color="000000" w:sz="12" w:space="0"/>
                    <w:bottom w:val="single" w:color="000000" w:sz="4" w:space="0"/>
                    <w:right w:val="single" w:color="000000" w:sz="4" w:space="0"/>
                  </w:tcBorders>
                  <w:vAlign w:val="center"/>
                </w:tcPr>
                <w:p w14:paraId="0E10E360">
                  <w:pPr>
                    <w:overflowPunct w:val="0"/>
                    <w:adjustRightInd w:val="0"/>
                    <w:snapToGrid w:val="0"/>
                    <w:spacing w:beforeLines="20" w:afterLines="20"/>
                    <w:jc w:val="center"/>
                    <w:rPr>
                      <w:color w:val="auto"/>
                      <w:sz w:val="18"/>
                      <w:szCs w:val="18"/>
                      <w:highlight w:val="none"/>
                    </w:rPr>
                  </w:pPr>
                  <w:r>
                    <w:rPr>
                      <w:rFonts w:hint="eastAsia"/>
                      <w:color w:val="auto"/>
                      <w:sz w:val="18"/>
                      <w:szCs w:val="18"/>
                      <w:highlight w:val="none"/>
                    </w:rPr>
                    <w:t>类别</w:t>
                  </w:r>
                </w:p>
              </w:tc>
              <w:tc>
                <w:tcPr>
                  <w:tcW w:w="2527" w:type="dxa"/>
                  <w:gridSpan w:val="2"/>
                  <w:tcBorders>
                    <w:top w:val="single" w:color="000000" w:sz="12" w:space="0"/>
                    <w:left w:val="single" w:color="000000" w:sz="4" w:space="0"/>
                    <w:bottom w:val="single" w:color="000000" w:sz="4" w:space="0"/>
                    <w:right w:val="single" w:color="000000" w:sz="4" w:space="0"/>
                  </w:tcBorders>
                  <w:vAlign w:val="center"/>
                </w:tcPr>
                <w:p w14:paraId="739F55DE">
                  <w:pPr>
                    <w:overflowPunct w:val="0"/>
                    <w:adjustRightInd w:val="0"/>
                    <w:snapToGrid w:val="0"/>
                    <w:spacing w:beforeLines="20" w:afterLines="20"/>
                    <w:jc w:val="center"/>
                    <w:rPr>
                      <w:color w:val="auto"/>
                      <w:sz w:val="18"/>
                      <w:szCs w:val="18"/>
                      <w:highlight w:val="none"/>
                    </w:rPr>
                  </w:pPr>
                  <w:r>
                    <w:rPr>
                      <w:rFonts w:hint="eastAsia"/>
                      <w:color w:val="auto"/>
                      <w:sz w:val="18"/>
                      <w:szCs w:val="18"/>
                      <w:highlight w:val="none"/>
                    </w:rPr>
                    <w:t>污染物名称</w:t>
                  </w:r>
                </w:p>
              </w:tc>
              <w:tc>
                <w:tcPr>
                  <w:tcW w:w="1098" w:type="dxa"/>
                  <w:tcBorders>
                    <w:top w:val="single" w:color="000000" w:sz="12" w:space="0"/>
                    <w:left w:val="single" w:color="000000" w:sz="4" w:space="0"/>
                    <w:bottom w:val="single" w:color="000000" w:sz="4" w:space="0"/>
                    <w:right w:val="single" w:color="000000" w:sz="4" w:space="0"/>
                  </w:tcBorders>
                  <w:vAlign w:val="center"/>
                </w:tcPr>
                <w:p w14:paraId="5DFFF27A">
                  <w:pPr>
                    <w:overflowPunct w:val="0"/>
                    <w:adjustRightInd w:val="0"/>
                    <w:snapToGrid w:val="0"/>
                    <w:spacing w:beforeLines="20" w:afterLines="2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本项目产生量（固废产生量/废水接管量）</w:t>
                  </w:r>
                </w:p>
              </w:tc>
              <w:tc>
                <w:tcPr>
                  <w:tcW w:w="1098" w:type="dxa"/>
                  <w:tcBorders>
                    <w:top w:val="single" w:color="000000" w:sz="12" w:space="0"/>
                    <w:left w:val="single" w:color="000000" w:sz="4" w:space="0"/>
                    <w:bottom w:val="single" w:color="000000" w:sz="4" w:space="0"/>
                    <w:right w:val="single" w:color="000000" w:sz="4" w:space="0"/>
                  </w:tcBorders>
                  <w:vAlign w:val="center"/>
                </w:tcPr>
                <w:p w14:paraId="7229DC12">
                  <w:pPr>
                    <w:overflowPunct w:val="0"/>
                    <w:adjustRightInd w:val="0"/>
                    <w:snapToGrid w:val="0"/>
                    <w:spacing w:beforeLines="20" w:afterLines="2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本项目削减量</w:t>
                  </w:r>
                </w:p>
              </w:tc>
              <w:tc>
                <w:tcPr>
                  <w:tcW w:w="1098" w:type="dxa"/>
                  <w:tcBorders>
                    <w:top w:val="single" w:color="000000" w:sz="12" w:space="0"/>
                    <w:left w:val="single" w:color="000000" w:sz="4" w:space="0"/>
                    <w:bottom w:val="single" w:color="000000" w:sz="4" w:space="0"/>
                    <w:right w:val="single" w:color="000000" w:sz="4" w:space="0"/>
                  </w:tcBorders>
                  <w:vAlign w:val="center"/>
                </w:tcPr>
                <w:p w14:paraId="7C0A5B4F">
                  <w:pPr>
                    <w:overflowPunct w:val="0"/>
                    <w:adjustRightInd w:val="0"/>
                    <w:snapToGrid w:val="0"/>
                    <w:spacing w:beforeLines="20" w:afterLines="20"/>
                    <w:jc w:val="center"/>
                    <w:rPr>
                      <w:color w:val="auto"/>
                      <w:sz w:val="18"/>
                      <w:szCs w:val="18"/>
                      <w:highlight w:val="none"/>
                    </w:rPr>
                  </w:pPr>
                  <w:r>
                    <w:rPr>
                      <w:rFonts w:hint="eastAsia"/>
                      <w:color w:val="auto"/>
                      <w:sz w:val="18"/>
                      <w:szCs w:val="18"/>
                      <w:highlight w:val="none"/>
                    </w:rPr>
                    <w:t>本项目排放量</w:t>
                  </w:r>
                  <w:r>
                    <w:rPr>
                      <w:rFonts w:hint="eastAsia"/>
                      <w:color w:val="auto"/>
                      <w:sz w:val="18"/>
                      <w:szCs w:val="18"/>
                      <w:highlight w:val="none"/>
                      <w:lang w:val="en-US" w:eastAsia="zh-CN"/>
                    </w:rPr>
                    <w:t>（固废产生量/废水接管量）</w:t>
                  </w:r>
                </w:p>
              </w:tc>
              <w:tc>
                <w:tcPr>
                  <w:tcW w:w="1121" w:type="dxa"/>
                  <w:tcBorders>
                    <w:top w:val="single" w:color="000000" w:sz="12" w:space="0"/>
                    <w:left w:val="single" w:color="000000" w:sz="4" w:space="0"/>
                    <w:bottom w:val="single" w:color="000000" w:sz="4" w:space="0"/>
                    <w:right w:val="single" w:color="000000" w:sz="4" w:space="0"/>
                  </w:tcBorders>
                  <w:vAlign w:val="center"/>
                </w:tcPr>
                <w:p w14:paraId="69BFA6B1">
                  <w:pPr>
                    <w:overflowPunct w:val="0"/>
                    <w:adjustRightInd w:val="0"/>
                    <w:snapToGrid w:val="0"/>
                    <w:spacing w:beforeLines="20" w:afterLines="20"/>
                    <w:jc w:val="center"/>
                    <w:rPr>
                      <w:color w:val="auto"/>
                      <w:sz w:val="18"/>
                      <w:szCs w:val="18"/>
                      <w:highlight w:val="none"/>
                    </w:rPr>
                  </w:pPr>
                  <w:r>
                    <w:rPr>
                      <w:rFonts w:hint="eastAsia"/>
                      <w:color w:val="auto"/>
                      <w:sz w:val="18"/>
                      <w:szCs w:val="18"/>
                      <w:highlight w:val="none"/>
                    </w:rPr>
                    <w:t>以新带老削减量</w:t>
                  </w:r>
                </w:p>
              </w:tc>
              <w:tc>
                <w:tcPr>
                  <w:tcW w:w="1381" w:type="dxa"/>
                  <w:tcBorders>
                    <w:top w:val="single" w:color="000000" w:sz="12" w:space="0"/>
                    <w:left w:val="single" w:color="000000" w:sz="4" w:space="0"/>
                    <w:bottom w:val="single" w:color="000000" w:sz="4" w:space="0"/>
                    <w:right w:val="single" w:color="000000" w:sz="4" w:space="0"/>
                  </w:tcBorders>
                  <w:vAlign w:val="center"/>
                </w:tcPr>
                <w:p w14:paraId="3F25A9E2">
                  <w:pPr>
                    <w:overflowPunct w:val="0"/>
                    <w:adjustRightInd w:val="0"/>
                    <w:snapToGrid w:val="0"/>
                    <w:spacing w:beforeLines="20" w:afterLines="20"/>
                    <w:jc w:val="center"/>
                    <w:rPr>
                      <w:color w:val="auto"/>
                      <w:sz w:val="18"/>
                      <w:szCs w:val="18"/>
                      <w:highlight w:val="none"/>
                    </w:rPr>
                  </w:pPr>
                  <w:r>
                    <w:rPr>
                      <w:rFonts w:hint="eastAsia"/>
                      <w:color w:val="auto"/>
                      <w:sz w:val="18"/>
                      <w:szCs w:val="18"/>
                      <w:highlight w:val="none"/>
                    </w:rPr>
                    <w:t>全厂</w:t>
                  </w:r>
                  <w:r>
                    <w:rPr>
                      <w:rFonts w:hint="eastAsia"/>
                      <w:color w:val="auto"/>
                      <w:sz w:val="18"/>
                      <w:szCs w:val="18"/>
                      <w:highlight w:val="none"/>
                      <w:lang w:val="en-US" w:eastAsia="zh-CN"/>
                    </w:rPr>
                    <w:t>排出厂区的</w:t>
                  </w:r>
                  <w:r>
                    <w:rPr>
                      <w:rFonts w:hint="eastAsia"/>
                      <w:color w:val="auto"/>
                      <w:sz w:val="18"/>
                      <w:szCs w:val="18"/>
                      <w:highlight w:val="none"/>
                    </w:rPr>
                    <w:t>排放量</w:t>
                  </w:r>
                </w:p>
                <w:p w14:paraId="01F03A66">
                  <w:pPr>
                    <w:overflowPunct w:val="0"/>
                    <w:adjustRightInd w:val="0"/>
                    <w:snapToGrid w:val="0"/>
                    <w:spacing w:beforeLines="20" w:afterLines="20"/>
                    <w:jc w:val="center"/>
                    <w:rPr>
                      <w:color w:val="auto"/>
                      <w:sz w:val="18"/>
                      <w:szCs w:val="18"/>
                      <w:highlight w:val="none"/>
                    </w:rPr>
                  </w:pPr>
                  <w:r>
                    <w:rPr>
                      <w:rFonts w:hint="eastAsia"/>
                      <w:color w:val="auto"/>
                      <w:sz w:val="18"/>
                      <w:szCs w:val="18"/>
                      <w:highlight w:val="none"/>
                    </w:rPr>
                    <w:t>（</w:t>
                  </w:r>
                  <w:r>
                    <w:rPr>
                      <w:rFonts w:hint="eastAsia"/>
                      <w:color w:val="auto"/>
                      <w:sz w:val="18"/>
                      <w:szCs w:val="18"/>
                      <w:highlight w:val="none"/>
                      <w:lang w:val="en-US" w:eastAsia="zh-CN"/>
                    </w:rPr>
                    <w:t>固废产生量</w:t>
                  </w:r>
                  <w:r>
                    <w:rPr>
                      <w:rFonts w:hint="eastAsia"/>
                      <w:color w:val="auto"/>
                      <w:sz w:val="18"/>
                      <w:szCs w:val="18"/>
                      <w:highlight w:val="none"/>
                    </w:rPr>
                    <w:t>/</w:t>
                  </w:r>
                  <w:r>
                    <w:rPr>
                      <w:rFonts w:hint="eastAsia"/>
                      <w:color w:val="auto"/>
                      <w:sz w:val="18"/>
                      <w:szCs w:val="18"/>
                      <w:highlight w:val="none"/>
                      <w:lang w:val="en-US" w:eastAsia="zh-CN"/>
                    </w:rPr>
                    <w:t>废水</w:t>
                  </w:r>
                  <w:r>
                    <w:rPr>
                      <w:rFonts w:hint="eastAsia"/>
                      <w:color w:val="auto"/>
                      <w:sz w:val="18"/>
                      <w:szCs w:val="18"/>
                      <w:highlight w:val="none"/>
                    </w:rPr>
                    <w:t>接管量）</w:t>
                  </w:r>
                </w:p>
              </w:tc>
              <w:tc>
                <w:tcPr>
                  <w:tcW w:w="1579" w:type="dxa"/>
                  <w:tcBorders>
                    <w:top w:val="single" w:color="000000" w:sz="12" w:space="0"/>
                    <w:left w:val="single" w:color="000000" w:sz="4" w:space="0"/>
                    <w:bottom w:val="single" w:color="000000" w:sz="4" w:space="0"/>
                  </w:tcBorders>
                  <w:vAlign w:val="center"/>
                </w:tcPr>
                <w:p w14:paraId="3EB6DFFD">
                  <w:pPr>
                    <w:overflowPunct w:val="0"/>
                    <w:adjustRightInd w:val="0"/>
                    <w:snapToGrid w:val="0"/>
                    <w:spacing w:beforeLines="20" w:afterLines="2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全厂外环境排放量（废气外排量/废水污水厂外排量）</w:t>
                  </w:r>
                </w:p>
              </w:tc>
              <w:tc>
                <w:tcPr>
                  <w:tcW w:w="1579" w:type="dxa"/>
                  <w:tcBorders>
                    <w:top w:val="single" w:color="000000" w:sz="12" w:space="0"/>
                    <w:left w:val="single" w:color="000000" w:sz="4" w:space="0"/>
                    <w:bottom w:val="single" w:color="000000" w:sz="4" w:space="0"/>
                  </w:tcBorders>
                  <w:vAlign w:val="center"/>
                </w:tcPr>
                <w:p w14:paraId="2EA4A2E3">
                  <w:pPr>
                    <w:overflowPunct w:val="0"/>
                    <w:adjustRightInd w:val="0"/>
                    <w:snapToGrid w:val="0"/>
                    <w:spacing w:beforeLines="20" w:afterLines="20"/>
                    <w:jc w:val="center"/>
                    <w:rPr>
                      <w:rFonts w:hint="default"/>
                      <w:color w:val="auto"/>
                      <w:sz w:val="18"/>
                      <w:szCs w:val="18"/>
                      <w:highlight w:val="none"/>
                      <w:lang w:val="en-US" w:eastAsia="zh-CN"/>
                    </w:rPr>
                  </w:pPr>
                  <w:r>
                    <w:rPr>
                      <w:rFonts w:hint="eastAsia"/>
                      <w:color w:val="auto"/>
                      <w:sz w:val="18"/>
                      <w:szCs w:val="18"/>
                      <w:highlight w:val="none"/>
                      <w:lang w:val="en-US" w:eastAsia="zh-CN"/>
                    </w:rPr>
                    <w:t>本次申请总量</w:t>
                  </w:r>
                </w:p>
              </w:tc>
            </w:tr>
            <w:tr w14:paraId="7D08E1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restart"/>
                  <w:tcBorders>
                    <w:top w:val="single" w:color="000000" w:sz="4" w:space="0"/>
                    <w:right w:val="single" w:color="000000" w:sz="4" w:space="0"/>
                  </w:tcBorders>
                  <w:vAlign w:val="center"/>
                </w:tcPr>
                <w:p w14:paraId="07B6EBE3">
                  <w:pPr>
                    <w:overflowPunct w:val="0"/>
                    <w:spacing w:line="320" w:lineRule="exact"/>
                    <w:jc w:val="center"/>
                    <w:textAlignment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废气</w:t>
                  </w:r>
                </w:p>
              </w:tc>
              <w:tc>
                <w:tcPr>
                  <w:tcW w:w="765" w:type="dxa"/>
                  <w:vMerge w:val="restart"/>
                  <w:tcBorders>
                    <w:top w:val="single" w:color="000000" w:sz="4" w:space="0"/>
                    <w:left w:val="single" w:color="000000" w:sz="4" w:space="0"/>
                    <w:right w:val="single" w:color="000000" w:sz="4" w:space="0"/>
                  </w:tcBorders>
                  <w:vAlign w:val="center"/>
                </w:tcPr>
                <w:p w14:paraId="784B7C15">
                  <w:pPr>
                    <w:overflowPunct w:val="0"/>
                    <w:spacing w:line="320" w:lineRule="exact"/>
                    <w:jc w:val="center"/>
                    <w:textAlignment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非甲烷总烃</w:t>
                  </w:r>
                </w:p>
              </w:tc>
              <w:tc>
                <w:tcPr>
                  <w:tcW w:w="1762" w:type="dxa"/>
                  <w:tcBorders>
                    <w:top w:val="single" w:color="000000" w:sz="4" w:space="0"/>
                    <w:left w:val="single" w:color="000000" w:sz="4" w:space="0"/>
                    <w:bottom w:val="single" w:color="000000" w:sz="4" w:space="0"/>
                    <w:right w:val="single" w:color="000000" w:sz="4" w:space="0"/>
                  </w:tcBorders>
                  <w:vAlign w:val="center"/>
                </w:tcPr>
                <w:p w14:paraId="33B4ACB4">
                  <w:pPr>
                    <w:overflowPunct w:val="0"/>
                    <w:spacing w:line="320" w:lineRule="exact"/>
                    <w:jc w:val="center"/>
                    <w:textAlignment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有组织</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99E5">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3.48</w:t>
                  </w:r>
                </w:p>
              </w:tc>
              <w:tc>
                <w:tcPr>
                  <w:tcW w:w="1098" w:type="dxa"/>
                  <w:tcBorders>
                    <w:top w:val="single" w:color="000000" w:sz="4" w:space="0"/>
                    <w:left w:val="single" w:color="000000" w:sz="4" w:space="0"/>
                    <w:bottom w:val="single" w:color="000000" w:sz="4" w:space="0"/>
                    <w:right w:val="single" w:color="000000" w:sz="4" w:space="0"/>
                  </w:tcBorders>
                  <w:vAlign w:val="center"/>
                </w:tcPr>
                <w:p w14:paraId="5F68FB4B">
                  <w:pPr>
                    <w:overflowPunct w:val="0"/>
                    <w:spacing w:line="320" w:lineRule="exact"/>
                    <w:jc w:val="center"/>
                    <w:textAlignment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3.133</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389FE">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0.348</w:t>
                  </w:r>
                </w:p>
              </w:tc>
              <w:tc>
                <w:tcPr>
                  <w:tcW w:w="1121" w:type="dxa"/>
                  <w:tcBorders>
                    <w:top w:val="single" w:color="000000" w:sz="4" w:space="0"/>
                    <w:left w:val="single" w:color="000000" w:sz="4" w:space="0"/>
                    <w:bottom w:val="single" w:color="000000" w:sz="4" w:space="0"/>
                    <w:right w:val="single" w:color="000000" w:sz="4" w:space="0"/>
                  </w:tcBorders>
                  <w:vAlign w:val="center"/>
                </w:tcPr>
                <w:p w14:paraId="7697682F">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9E6E">
                  <w:pPr>
                    <w:overflowPunct w:val="0"/>
                    <w:spacing w:line="320" w:lineRule="exact"/>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0.348</w:t>
                  </w:r>
                </w:p>
              </w:tc>
              <w:tc>
                <w:tcPr>
                  <w:tcW w:w="1579" w:type="dxa"/>
                  <w:tcBorders>
                    <w:top w:val="single" w:color="000000" w:sz="4" w:space="0"/>
                    <w:left w:val="single" w:color="000000" w:sz="4" w:space="0"/>
                    <w:bottom w:val="single" w:color="000000" w:sz="4" w:space="0"/>
                  </w:tcBorders>
                  <w:shd w:val="clear" w:color="auto" w:fill="auto"/>
                  <w:vAlign w:val="center"/>
                </w:tcPr>
                <w:p w14:paraId="32C255BD">
                  <w:pPr>
                    <w:overflowPunct w:val="0"/>
                    <w:spacing w:line="320" w:lineRule="exact"/>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0.348</w:t>
                  </w:r>
                </w:p>
              </w:tc>
              <w:tc>
                <w:tcPr>
                  <w:tcW w:w="1579" w:type="dxa"/>
                  <w:vMerge w:val="restart"/>
                  <w:tcBorders>
                    <w:top w:val="single" w:color="000000" w:sz="4" w:space="0"/>
                    <w:left w:val="single" w:color="000000" w:sz="4" w:space="0"/>
                  </w:tcBorders>
                  <w:shd w:val="clear" w:color="auto" w:fill="auto"/>
                  <w:vAlign w:val="center"/>
                </w:tcPr>
                <w:p w14:paraId="47D42679">
                  <w:pPr>
                    <w:overflowPunct w:val="0"/>
                    <w:spacing w:line="320" w:lineRule="exact"/>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+0.735</w:t>
                  </w:r>
                </w:p>
              </w:tc>
            </w:tr>
            <w:tr w14:paraId="33D980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right w:val="single" w:color="000000" w:sz="4" w:space="0"/>
                  </w:tcBorders>
                  <w:vAlign w:val="center"/>
                </w:tcPr>
                <w:p w14:paraId="4FC25963">
                  <w:pPr>
                    <w:overflowPunct w:val="0"/>
                    <w:spacing w:line="320" w:lineRule="exact"/>
                    <w:jc w:val="center"/>
                    <w:textAlignment w:val="center"/>
                    <w:rPr>
                      <w:rFonts w:hint="eastAsia"/>
                      <w:color w:val="auto"/>
                      <w:sz w:val="18"/>
                      <w:szCs w:val="18"/>
                      <w:highlight w:val="none"/>
                    </w:rPr>
                  </w:pPr>
                </w:p>
              </w:tc>
              <w:tc>
                <w:tcPr>
                  <w:tcW w:w="765" w:type="dxa"/>
                  <w:vMerge w:val="continue"/>
                  <w:tcBorders>
                    <w:left w:val="single" w:color="000000" w:sz="4" w:space="0"/>
                    <w:bottom w:val="single" w:color="000000" w:sz="4" w:space="0"/>
                    <w:right w:val="single" w:color="000000" w:sz="4" w:space="0"/>
                  </w:tcBorders>
                  <w:vAlign w:val="center"/>
                </w:tcPr>
                <w:p w14:paraId="6E392B5E">
                  <w:pPr>
                    <w:overflowPunct w:val="0"/>
                    <w:spacing w:line="320" w:lineRule="exact"/>
                    <w:jc w:val="center"/>
                    <w:textAlignment w:val="center"/>
                    <w:rPr>
                      <w:rFonts w:hint="eastAsia"/>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vAlign w:val="center"/>
                </w:tcPr>
                <w:p w14:paraId="4F53D624">
                  <w:pPr>
                    <w:overflowPunct w:val="0"/>
                    <w:spacing w:line="320" w:lineRule="exact"/>
                    <w:jc w:val="center"/>
                    <w:textAlignment w:val="center"/>
                    <w:rPr>
                      <w:rFonts w:hint="default" w:eastAsia="宋体"/>
                      <w:color w:val="auto"/>
                      <w:sz w:val="18"/>
                      <w:szCs w:val="18"/>
                      <w:highlight w:val="none"/>
                      <w:lang w:val="en-US" w:eastAsia="zh-CN"/>
                    </w:rPr>
                  </w:pPr>
                  <w:r>
                    <w:rPr>
                      <w:rFonts w:hint="eastAsia"/>
                      <w:color w:val="auto"/>
                      <w:sz w:val="18"/>
                      <w:szCs w:val="18"/>
                      <w:highlight w:val="none"/>
                      <w:lang w:val="en-US" w:eastAsia="zh-CN"/>
                    </w:rPr>
                    <w:t>无组织</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46C3">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0.387</w:t>
                  </w:r>
                </w:p>
              </w:tc>
              <w:tc>
                <w:tcPr>
                  <w:tcW w:w="1098" w:type="dxa"/>
                  <w:tcBorders>
                    <w:top w:val="single" w:color="000000" w:sz="4" w:space="0"/>
                    <w:left w:val="single" w:color="000000" w:sz="4" w:space="0"/>
                    <w:bottom w:val="single" w:color="000000" w:sz="4" w:space="0"/>
                    <w:right w:val="single" w:color="000000" w:sz="4" w:space="0"/>
                  </w:tcBorders>
                  <w:vAlign w:val="center"/>
                </w:tcPr>
                <w:p w14:paraId="43C1BC66">
                  <w:pPr>
                    <w:overflowPunct w:val="0"/>
                    <w:spacing w:line="320" w:lineRule="exact"/>
                    <w:jc w:val="center"/>
                    <w:textAlignment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E6E0">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0.387</w:t>
                  </w:r>
                </w:p>
              </w:tc>
              <w:tc>
                <w:tcPr>
                  <w:tcW w:w="1121" w:type="dxa"/>
                  <w:tcBorders>
                    <w:top w:val="single" w:color="000000" w:sz="4" w:space="0"/>
                    <w:left w:val="single" w:color="000000" w:sz="4" w:space="0"/>
                    <w:bottom w:val="single" w:color="000000" w:sz="4" w:space="0"/>
                    <w:right w:val="single" w:color="000000" w:sz="4" w:space="0"/>
                  </w:tcBorders>
                  <w:vAlign w:val="center"/>
                </w:tcPr>
                <w:p w14:paraId="19BDD858">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003C">
                  <w:pPr>
                    <w:overflowPunct w:val="0"/>
                    <w:spacing w:line="320" w:lineRule="exact"/>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0.387</w:t>
                  </w:r>
                </w:p>
              </w:tc>
              <w:tc>
                <w:tcPr>
                  <w:tcW w:w="1579" w:type="dxa"/>
                  <w:tcBorders>
                    <w:top w:val="single" w:color="000000" w:sz="4" w:space="0"/>
                    <w:left w:val="single" w:color="000000" w:sz="4" w:space="0"/>
                    <w:bottom w:val="single" w:color="000000" w:sz="4" w:space="0"/>
                  </w:tcBorders>
                  <w:shd w:val="clear" w:color="auto" w:fill="auto"/>
                  <w:vAlign w:val="center"/>
                </w:tcPr>
                <w:p w14:paraId="475686B9">
                  <w:pPr>
                    <w:overflowPunct w:val="0"/>
                    <w:spacing w:line="320" w:lineRule="exact"/>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0.387</w:t>
                  </w:r>
                </w:p>
              </w:tc>
              <w:tc>
                <w:tcPr>
                  <w:tcW w:w="1579" w:type="dxa"/>
                  <w:vMerge w:val="continue"/>
                  <w:tcBorders>
                    <w:left w:val="single" w:color="000000" w:sz="4" w:space="0"/>
                    <w:bottom w:val="single" w:color="000000" w:sz="4" w:space="0"/>
                  </w:tcBorders>
                  <w:shd w:val="clear" w:color="auto" w:fill="auto"/>
                  <w:vAlign w:val="center"/>
                </w:tcPr>
                <w:p w14:paraId="6ADDFE5E">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p>
              </w:tc>
            </w:tr>
            <w:tr w14:paraId="05B62D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right w:val="single" w:color="000000" w:sz="4" w:space="0"/>
                  </w:tcBorders>
                  <w:vAlign w:val="center"/>
                </w:tcPr>
                <w:p w14:paraId="77E42735">
                  <w:pPr>
                    <w:overflowPunct w:val="0"/>
                    <w:spacing w:line="320" w:lineRule="exact"/>
                    <w:jc w:val="center"/>
                    <w:textAlignment w:val="center"/>
                    <w:rPr>
                      <w:rFonts w:hint="eastAsia"/>
                      <w:color w:val="auto"/>
                      <w:sz w:val="18"/>
                      <w:szCs w:val="18"/>
                      <w:highlight w:val="none"/>
                    </w:rPr>
                  </w:pPr>
                </w:p>
              </w:tc>
              <w:tc>
                <w:tcPr>
                  <w:tcW w:w="765" w:type="dxa"/>
                  <w:vMerge w:val="restart"/>
                  <w:tcBorders>
                    <w:top w:val="single" w:color="000000" w:sz="4" w:space="0"/>
                    <w:left w:val="single" w:color="000000" w:sz="4" w:space="0"/>
                    <w:right w:val="single" w:color="000000" w:sz="4" w:space="0"/>
                  </w:tcBorders>
                  <w:vAlign w:val="center"/>
                </w:tcPr>
                <w:p w14:paraId="7A313AD8">
                  <w:pPr>
                    <w:overflowPunct w:val="0"/>
                    <w:spacing w:line="320" w:lineRule="exact"/>
                    <w:jc w:val="center"/>
                    <w:textAlignment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颗粒物</w:t>
                  </w:r>
                </w:p>
              </w:tc>
              <w:tc>
                <w:tcPr>
                  <w:tcW w:w="1762" w:type="dxa"/>
                  <w:tcBorders>
                    <w:top w:val="single" w:color="000000" w:sz="4" w:space="0"/>
                    <w:left w:val="single" w:color="000000" w:sz="4" w:space="0"/>
                    <w:bottom w:val="single" w:color="000000" w:sz="4" w:space="0"/>
                    <w:right w:val="single" w:color="000000" w:sz="4" w:space="0"/>
                  </w:tcBorders>
                  <w:vAlign w:val="center"/>
                </w:tcPr>
                <w:p w14:paraId="56C1FC8A">
                  <w:pPr>
                    <w:overflowPunct w:val="0"/>
                    <w:spacing w:line="320" w:lineRule="exact"/>
                    <w:jc w:val="center"/>
                    <w:textAlignment w:val="center"/>
                    <w:rPr>
                      <w:rFonts w:hint="eastAsia"/>
                      <w:color w:val="auto"/>
                      <w:sz w:val="18"/>
                      <w:szCs w:val="18"/>
                      <w:highlight w:val="none"/>
                    </w:rPr>
                  </w:pPr>
                  <w:r>
                    <w:rPr>
                      <w:rFonts w:hint="eastAsia"/>
                      <w:color w:val="auto"/>
                      <w:sz w:val="18"/>
                      <w:szCs w:val="18"/>
                      <w:highlight w:val="none"/>
                      <w:lang w:val="en-US" w:eastAsia="zh-CN"/>
                    </w:rPr>
                    <w:t>有组织</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F289A">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3.42</w:t>
                  </w:r>
                </w:p>
              </w:tc>
              <w:tc>
                <w:tcPr>
                  <w:tcW w:w="1098" w:type="dxa"/>
                  <w:tcBorders>
                    <w:top w:val="single" w:color="000000" w:sz="4" w:space="0"/>
                    <w:left w:val="single" w:color="000000" w:sz="4" w:space="0"/>
                    <w:bottom w:val="single" w:color="000000" w:sz="4" w:space="0"/>
                    <w:right w:val="single" w:color="000000" w:sz="4" w:space="0"/>
                  </w:tcBorders>
                  <w:vAlign w:val="center"/>
                </w:tcPr>
                <w:p w14:paraId="1FFDE647">
                  <w:pPr>
                    <w:overflowPunct w:val="0"/>
                    <w:spacing w:line="320" w:lineRule="exact"/>
                    <w:jc w:val="center"/>
                    <w:textAlignment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3.079</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EE0B">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cs="Times New Roman"/>
                      <w:b w:val="0"/>
                      <w:bCs w:val="0"/>
                      <w:snapToGrid w:val="0"/>
                      <w:color w:val="auto"/>
                      <w:sz w:val="18"/>
                      <w:szCs w:val="18"/>
                      <w:lang w:val="en-US" w:eastAsia="zh-CN"/>
                    </w:rPr>
                    <w:t>0.342</w:t>
                  </w:r>
                </w:p>
              </w:tc>
              <w:tc>
                <w:tcPr>
                  <w:tcW w:w="1121" w:type="dxa"/>
                  <w:tcBorders>
                    <w:top w:val="single" w:color="000000" w:sz="4" w:space="0"/>
                    <w:left w:val="single" w:color="000000" w:sz="4" w:space="0"/>
                    <w:bottom w:val="single" w:color="000000" w:sz="4" w:space="0"/>
                    <w:right w:val="single" w:color="000000" w:sz="4" w:space="0"/>
                  </w:tcBorders>
                  <w:vAlign w:val="center"/>
                </w:tcPr>
                <w:p w14:paraId="55EBD398">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0757">
                  <w:pPr>
                    <w:overflowPunct w:val="0"/>
                    <w:spacing w:line="320" w:lineRule="exact"/>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b w:val="0"/>
                      <w:bCs w:val="0"/>
                      <w:snapToGrid w:val="0"/>
                      <w:color w:val="auto"/>
                      <w:sz w:val="18"/>
                      <w:szCs w:val="18"/>
                      <w:lang w:val="en-US" w:eastAsia="zh-CN"/>
                    </w:rPr>
                    <w:t>0.342</w:t>
                  </w:r>
                </w:p>
              </w:tc>
              <w:tc>
                <w:tcPr>
                  <w:tcW w:w="1579" w:type="dxa"/>
                  <w:tcBorders>
                    <w:top w:val="single" w:color="000000" w:sz="4" w:space="0"/>
                    <w:left w:val="single" w:color="000000" w:sz="4" w:space="0"/>
                    <w:bottom w:val="single" w:color="000000" w:sz="4" w:space="0"/>
                  </w:tcBorders>
                  <w:shd w:val="clear" w:color="auto" w:fill="auto"/>
                  <w:vAlign w:val="center"/>
                </w:tcPr>
                <w:p w14:paraId="252A01E0">
                  <w:pPr>
                    <w:overflowPunct w:val="0"/>
                    <w:spacing w:line="320" w:lineRule="exact"/>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b w:val="0"/>
                      <w:bCs w:val="0"/>
                      <w:snapToGrid w:val="0"/>
                      <w:color w:val="auto"/>
                      <w:sz w:val="18"/>
                      <w:szCs w:val="18"/>
                      <w:lang w:val="en-US" w:eastAsia="zh-CN"/>
                    </w:rPr>
                    <w:t>0.342</w:t>
                  </w:r>
                </w:p>
              </w:tc>
              <w:tc>
                <w:tcPr>
                  <w:tcW w:w="1579" w:type="dxa"/>
                  <w:vMerge w:val="restart"/>
                  <w:tcBorders>
                    <w:top w:val="single" w:color="000000" w:sz="4" w:space="0"/>
                    <w:left w:val="single" w:color="000000" w:sz="4" w:space="0"/>
                  </w:tcBorders>
                  <w:shd w:val="clear" w:color="auto" w:fill="auto"/>
                  <w:vAlign w:val="center"/>
                </w:tcPr>
                <w:p w14:paraId="0BA14B56">
                  <w:pPr>
                    <w:overflowPunct w:val="0"/>
                    <w:spacing w:line="320" w:lineRule="exact"/>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b w:val="0"/>
                      <w:bCs w:val="0"/>
                      <w:snapToGrid w:val="0"/>
                      <w:color w:val="auto"/>
                      <w:sz w:val="18"/>
                      <w:szCs w:val="18"/>
                      <w:lang w:val="en-US" w:eastAsia="zh-CN"/>
                    </w:rPr>
                    <w:t>+0.722</w:t>
                  </w:r>
                </w:p>
              </w:tc>
            </w:tr>
            <w:tr w14:paraId="27E7E5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bottom w:val="single" w:color="000000" w:sz="4" w:space="0"/>
                    <w:right w:val="single" w:color="000000" w:sz="4" w:space="0"/>
                  </w:tcBorders>
                  <w:vAlign w:val="center"/>
                </w:tcPr>
                <w:p w14:paraId="41B7B82C">
                  <w:pPr>
                    <w:overflowPunct w:val="0"/>
                    <w:spacing w:line="320" w:lineRule="exact"/>
                    <w:jc w:val="center"/>
                    <w:textAlignment w:val="center"/>
                    <w:rPr>
                      <w:rFonts w:hint="eastAsia"/>
                      <w:color w:val="auto"/>
                      <w:sz w:val="18"/>
                      <w:szCs w:val="18"/>
                      <w:highlight w:val="none"/>
                    </w:rPr>
                  </w:pPr>
                </w:p>
              </w:tc>
              <w:tc>
                <w:tcPr>
                  <w:tcW w:w="765" w:type="dxa"/>
                  <w:vMerge w:val="continue"/>
                  <w:tcBorders>
                    <w:left w:val="single" w:color="000000" w:sz="4" w:space="0"/>
                    <w:bottom w:val="single" w:color="000000" w:sz="4" w:space="0"/>
                    <w:right w:val="single" w:color="000000" w:sz="4" w:space="0"/>
                  </w:tcBorders>
                  <w:vAlign w:val="center"/>
                </w:tcPr>
                <w:p w14:paraId="56B45218">
                  <w:pPr>
                    <w:overflowPunct w:val="0"/>
                    <w:spacing w:line="320" w:lineRule="exact"/>
                    <w:jc w:val="center"/>
                    <w:textAlignment w:val="center"/>
                    <w:rPr>
                      <w:rFonts w:hint="eastAsia"/>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vAlign w:val="center"/>
                </w:tcPr>
                <w:p w14:paraId="7E34DD91">
                  <w:pPr>
                    <w:overflowPunct w:val="0"/>
                    <w:spacing w:line="320" w:lineRule="exact"/>
                    <w:jc w:val="center"/>
                    <w:textAlignment w:val="center"/>
                    <w:rPr>
                      <w:rFonts w:hint="eastAsia"/>
                      <w:color w:val="auto"/>
                      <w:sz w:val="18"/>
                      <w:szCs w:val="18"/>
                      <w:highlight w:val="none"/>
                    </w:rPr>
                  </w:pPr>
                  <w:r>
                    <w:rPr>
                      <w:rFonts w:hint="eastAsia"/>
                      <w:color w:val="auto"/>
                      <w:sz w:val="18"/>
                      <w:szCs w:val="18"/>
                      <w:highlight w:val="none"/>
                      <w:lang w:val="en-US" w:eastAsia="zh-CN"/>
                    </w:rPr>
                    <w:t>无组织</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1DAF4">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0.380</w:t>
                  </w:r>
                </w:p>
              </w:tc>
              <w:tc>
                <w:tcPr>
                  <w:tcW w:w="1098" w:type="dxa"/>
                  <w:tcBorders>
                    <w:top w:val="single" w:color="000000" w:sz="4" w:space="0"/>
                    <w:left w:val="single" w:color="000000" w:sz="4" w:space="0"/>
                    <w:bottom w:val="single" w:color="000000" w:sz="4" w:space="0"/>
                    <w:right w:val="single" w:color="000000" w:sz="4" w:space="0"/>
                  </w:tcBorders>
                  <w:vAlign w:val="center"/>
                </w:tcPr>
                <w:p w14:paraId="705C324D">
                  <w:pPr>
                    <w:overflowPunct w:val="0"/>
                    <w:spacing w:line="320" w:lineRule="exact"/>
                    <w:jc w:val="center"/>
                    <w:textAlignment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3F3D">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0.380</w:t>
                  </w:r>
                </w:p>
              </w:tc>
              <w:tc>
                <w:tcPr>
                  <w:tcW w:w="1121" w:type="dxa"/>
                  <w:tcBorders>
                    <w:top w:val="single" w:color="000000" w:sz="4" w:space="0"/>
                    <w:left w:val="single" w:color="000000" w:sz="4" w:space="0"/>
                    <w:bottom w:val="single" w:color="000000" w:sz="4" w:space="0"/>
                    <w:right w:val="single" w:color="000000" w:sz="4" w:space="0"/>
                  </w:tcBorders>
                  <w:vAlign w:val="center"/>
                </w:tcPr>
                <w:p w14:paraId="36F218D1">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0D00">
                  <w:pPr>
                    <w:overflowPunct w:val="0"/>
                    <w:spacing w:line="320" w:lineRule="exact"/>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0.380</w:t>
                  </w:r>
                </w:p>
              </w:tc>
              <w:tc>
                <w:tcPr>
                  <w:tcW w:w="1579" w:type="dxa"/>
                  <w:tcBorders>
                    <w:top w:val="single" w:color="000000" w:sz="4" w:space="0"/>
                    <w:left w:val="single" w:color="000000" w:sz="4" w:space="0"/>
                    <w:bottom w:val="single" w:color="000000" w:sz="4" w:space="0"/>
                  </w:tcBorders>
                  <w:shd w:val="clear" w:color="auto" w:fill="auto"/>
                  <w:vAlign w:val="center"/>
                </w:tcPr>
                <w:p w14:paraId="3DE3A323">
                  <w:pPr>
                    <w:overflowPunct w:val="0"/>
                    <w:spacing w:line="320" w:lineRule="exact"/>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0.380</w:t>
                  </w:r>
                </w:p>
              </w:tc>
              <w:tc>
                <w:tcPr>
                  <w:tcW w:w="1579" w:type="dxa"/>
                  <w:vMerge w:val="continue"/>
                  <w:tcBorders>
                    <w:left w:val="single" w:color="000000" w:sz="4" w:space="0"/>
                    <w:bottom w:val="single" w:color="000000" w:sz="4" w:space="0"/>
                  </w:tcBorders>
                  <w:shd w:val="clear" w:color="auto" w:fill="auto"/>
                  <w:vAlign w:val="center"/>
                </w:tcPr>
                <w:p w14:paraId="284DA371">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p>
              </w:tc>
            </w:tr>
            <w:tr w14:paraId="2362AE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restart"/>
                  <w:tcBorders>
                    <w:top w:val="single" w:color="000000" w:sz="4" w:space="0"/>
                    <w:bottom w:val="single" w:color="000000" w:sz="4" w:space="0"/>
                    <w:right w:val="single" w:color="000000" w:sz="4" w:space="0"/>
                  </w:tcBorders>
                  <w:vAlign w:val="center"/>
                </w:tcPr>
                <w:p w14:paraId="178FCED6">
                  <w:pPr>
                    <w:overflowPunct w:val="0"/>
                    <w:spacing w:line="320" w:lineRule="exact"/>
                    <w:jc w:val="center"/>
                    <w:textAlignment w:val="center"/>
                    <w:rPr>
                      <w:color w:val="auto"/>
                      <w:sz w:val="18"/>
                      <w:szCs w:val="18"/>
                      <w:highlight w:val="none"/>
                    </w:rPr>
                  </w:pPr>
                  <w:r>
                    <w:rPr>
                      <w:rFonts w:hint="eastAsia"/>
                      <w:color w:val="auto"/>
                      <w:sz w:val="18"/>
                      <w:szCs w:val="18"/>
                      <w:highlight w:val="none"/>
                    </w:rPr>
                    <w:t>废水</w:t>
                  </w:r>
                </w:p>
              </w:tc>
              <w:tc>
                <w:tcPr>
                  <w:tcW w:w="765" w:type="dxa"/>
                  <w:vMerge w:val="restart"/>
                  <w:tcBorders>
                    <w:top w:val="single" w:color="000000" w:sz="4" w:space="0"/>
                    <w:left w:val="single" w:color="000000" w:sz="4" w:space="0"/>
                    <w:bottom w:val="single" w:color="000000" w:sz="4" w:space="0"/>
                    <w:right w:val="single" w:color="000000" w:sz="4" w:space="0"/>
                  </w:tcBorders>
                  <w:vAlign w:val="center"/>
                </w:tcPr>
                <w:p w14:paraId="24410F73">
                  <w:pPr>
                    <w:overflowPunct w:val="0"/>
                    <w:spacing w:line="320" w:lineRule="exact"/>
                    <w:jc w:val="center"/>
                    <w:textAlignment w:val="center"/>
                    <w:rPr>
                      <w:color w:val="auto"/>
                      <w:sz w:val="18"/>
                      <w:szCs w:val="18"/>
                      <w:highlight w:val="none"/>
                    </w:rPr>
                  </w:pPr>
                  <w:r>
                    <w:rPr>
                      <w:rFonts w:hint="eastAsia"/>
                      <w:color w:val="auto"/>
                      <w:sz w:val="18"/>
                      <w:szCs w:val="18"/>
                      <w:highlight w:val="none"/>
                    </w:rPr>
                    <w:t>生活</w:t>
                  </w:r>
                </w:p>
                <w:p w14:paraId="1C3AB5C5">
                  <w:pPr>
                    <w:overflowPunct w:val="0"/>
                    <w:spacing w:line="320" w:lineRule="exact"/>
                    <w:jc w:val="center"/>
                    <w:textAlignment w:val="center"/>
                    <w:rPr>
                      <w:color w:val="auto"/>
                      <w:sz w:val="18"/>
                      <w:szCs w:val="18"/>
                      <w:highlight w:val="none"/>
                    </w:rPr>
                  </w:pPr>
                  <w:r>
                    <w:rPr>
                      <w:rFonts w:hint="eastAsia"/>
                      <w:color w:val="auto"/>
                      <w:sz w:val="18"/>
                      <w:szCs w:val="18"/>
                      <w:highlight w:val="none"/>
                    </w:rPr>
                    <w:t>污水</w:t>
                  </w:r>
                </w:p>
              </w:tc>
              <w:tc>
                <w:tcPr>
                  <w:tcW w:w="1762" w:type="dxa"/>
                  <w:tcBorders>
                    <w:top w:val="single" w:color="000000" w:sz="4" w:space="0"/>
                    <w:left w:val="single" w:color="000000" w:sz="4" w:space="0"/>
                    <w:bottom w:val="single" w:color="000000" w:sz="4" w:space="0"/>
                    <w:right w:val="single" w:color="000000" w:sz="4" w:space="0"/>
                  </w:tcBorders>
                  <w:vAlign w:val="center"/>
                </w:tcPr>
                <w:p w14:paraId="3B91F08D">
                  <w:pPr>
                    <w:overflowPunct w:val="0"/>
                    <w:spacing w:line="320" w:lineRule="exact"/>
                    <w:jc w:val="center"/>
                    <w:textAlignment w:val="center"/>
                    <w:rPr>
                      <w:color w:val="auto"/>
                      <w:sz w:val="18"/>
                      <w:szCs w:val="18"/>
                      <w:highlight w:val="none"/>
                    </w:rPr>
                  </w:pPr>
                  <w:r>
                    <w:rPr>
                      <w:rFonts w:hint="eastAsia"/>
                      <w:color w:val="auto"/>
                      <w:sz w:val="18"/>
                      <w:szCs w:val="18"/>
                      <w:highlight w:val="none"/>
                    </w:rPr>
                    <w:t>水量</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594F">
                  <w:pPr>
                    <w:overflowPunct w:val="0"/>
                    <w:spacing w:line="320" w:lineRule="exact"/>
                    <w:jc w:val="center"/>
                    <w:textAlignment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775.6</w:t>
                  </w:r>
                </w:p>
              </w:tc>
              <w:tc>
                <w:tcPr>
                  <w:tcW w:w="1098" w:type="dxa"/>
                  <w:tcBorders>
                    <w:top w:val="single" w:color="000000" w:sz="4" w:space="0"/>
                    <w:left w:val="single" w:color="000000" w:sz="4" w:space="0"/>
                    <w:bottom w:val="single" w:color="000000" w:sz="4" w:space="0"/>
                    <w:right w:val="single" w:color="000000" w:sz="4" w:space="0"/>
                  </w:tcBorders>
                  <w:vAlign w:val="center"/>
                </w:tcPr>
                <w:p w14:paraId="2D24A0A3">
                  <w:pPr>
                    <w:overflowPunct w:val="0"/>
                    <w:spacing w:line="320" w:lineRule="exact"/>
                    <w:jc w:val="center"/>
                    <w:textAlignment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1F1E">
                  <w:pPr>
                    <w:overflowPunct w:val="0"/>
                    <w:spacing w:line="320" w:lineRule="exact"/>
                    <w:jc w:val="center"/>
                    <w:textAlignment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775.6</w:t>
                  </w:r>
                </w:p>
              </w:tc>
              <w:tc>
                <w:tcPr>
                  <w:tcW w:w="1121" w:type="dxa"/>
                  <w:tcBorders>
                    <w:top w:val="single" w:color="000000" w:sz="4" w:space="0"/>
                    <w:left w:val="single" w:color="000000" w:sz="4" w:space="0"/>
                    <w:bottom w:val="single" w:color="000000" w:sz="4" w:space="0"/>
                    <w:right w:val="single" w:color="000000" w:sz="4" w:space="0"/>
                  </w:tcBorders>
                  <w:vAlign w:val="center"/>
                </w:tcPr>
                <w:p w14:paraId="5EA9F4AB">
                  <w:pPr>
                    <w:overflowPunct w:val="0"/>
                    <w:spacing w:line="320" w:lineRule="exact"/>
                    <w:jc w:val="center"/>
                    <w:textAlignment w:val="center"/>
                    <w:rPr>
                      <w:rFonts w:ascii="Times New Roman" w:hAnsi="Times New Roman" w:eastAsia="宋体" w:cs="Times New Roman"/>
                      <w:color w:val="auto"/>
                      <w:sz w:val="18"/>
                      <w:szCs w:val="18"/>
                      <w:highlight w:val="none"/>
                    </w:rPr>
                  </w:pPr>
                  <w:r>
                    <w:rPr>
                      <w:rFonts w:ascii="Times New Roman" w:hAnsi="Times New Roman" w:eastAsia="宋体" w:cs="Times New Roman"/>
                      <w:color w:val="auto"/>
                      <w:sz w:val="18"/>
                      <w:szCs w:val="18"/>
                      <w:highlight w:val="none"/>
                    </w:rPr>
                    <w:t>0</w:t>
                  </w:r>
                </w:p>
              </w:tc>
              <w:tc>
                <w:tcPr>
                  <w:tcW w:w="1381" w:type="dxa"/>
                  <w:tcBorders>
                    <w:top w:val="single" w:color="000000" w:sz="4" w:space="0"/>
                    <w:left w:val="single" w:color="000000" w:sz="4" w:space="0"/>
                    <w:bottom w:val="single" w:color="000000" w:sz="4" w:space="0"/>
                    <w:right w:val="single" w:color="000000" w:sz="4" w:space="0"/>
                  </w:tcBorders>
                  <w:vAlign w:val="center"/>
                </w:tcPr>
                <w:p w14:paraId="7BEF6CCB">
                  <w:pPr>
                    <w:overflowPunct w:val="0"/>
                    <w:spacing w:line="320" w:lineRule="exact"/>
                    <w:jc w:val="center"/>
                    <w:textAlignment w:val="center"/>
                    <w:rPr>
                      <w:rFonts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lang w:val="en-US" w:eastAsia="zh-CN"/>
                    </w:rPr>
                    <w:t>775.6</w:t>
                  </w:r>
                </w:p>
              </w:tc>
              <w:tc>
                <w:tcPr>
                  <w:tcW w:w="1579" w:type="dxa"/>
                  <w:tcBorders>
                    <w:top w:val="single" w:color="000000" w:sz="4" w:space="0"/>
                    <w:left w:val="single" w:color="000000" w:sz="4" w:space="0"/>
                    <w:bottom w:val="single" w:color="000000" w:sz="4" w:space="0"/>
                  </w:tcBorders>
                  <w:shd w:val="clear" w:color="auto" w:fill="auto"/>
                  <w:vAlign w:val="center"/>
                </w:tcPr>
                <w:p w14:paraId="779B6638">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1551</w:t>
                  </w:r>
                </w:p>
              </w:tc>
              <w:tc>
                <w:tcPr>
                  <w:tcW w:w="1579" w:type="dxa"/>
                  <w:tcBorders>
                    <w:top w:val="single" w:color="000000" w:sz="4" w:space="0"/>
                    <w:left w:val="single" w:color="000000" w:sz="4" w:space="0"/>
                    <w:bottom w:val="single" w:color="000000" w:sz="4" w:space="0"/>
                  </w:tcBorders>
                  <w:shd w:val="clear" w:color="auto" w:fill="auto"/>
                  <w:vAlign w:val="center"/>
                </w:tcPr>
                <w:p w14:paraId="308E9052">
                  <w:pPr>
                    <w:overflowPunct w:val="0"/>
                    <w:spacing w:line="320" w:lineRule="exact"/>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w:t>
                  </w:r>
                </w:p>
              </w:tc>
            </w:tr>
            <w:tr w14:paraId="58B153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63" w:hRule="atLeast"/>
                <w:jc w:val="center"/>
              </w:trPr>
              <w:tc>
                <w:tcPr>
                  <w:tcW w:w="608" w:type="dxa"/>
                  <w:vMerge w:val="continue"/>
                  <w:tcBorders>
                    <w:top w:val="single" w:color="000000" w:sz="4" w:space="0"/>
                    <w:bottom w:val="single" w:color="000000" w:sz="4" w:space="0"/>
                    <w:right w:val="single" w:color="000000" w:sz="4" w:space="0"/>
                  </w:tcBorders>
                  <w:vAlign w:val="center"/>
                </w:tcPr>
                <w:p w14:paraId="6D0ADBFC">
                  <w:pPr>
                    <w:overflowPunct w:val="0"/>
                    <w:spacing w:line="320" w:lineRule="exact"/>
                    <w:jc w:val="center"/>
                    <w:textAlignment w:val="center"/>
                    <w:rPr>
                      <w:color w:val="auto"/>
                      <w:sz w:val="18"/>
                      <w:szCs w:val="18"/>
                      <w:highlight w:val="none"/>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03C458B1">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vAlign w:val="center"/>
                </w:tcPr>
                <w:p w14:paraId="1C608D27">
                  <w:pPr>
                    <w:overflowPunct w:val="0"/>
                    <w:spacing w:line="320" w:lineRule="exact"/>
                    <w:jc w:val="center"/>
                    <w:textAlignment w:val="center"/>
                    <w:rPr>
                      <w:color w:val="auto"/>
                      <w:sz w:val="18"/>
                      <w:szCs w:val="18"/>
                      <w:highlight w:val="none"/>
                    </w:rPr>
                  </w:pPr>
                  <w:r>
                    <w:rPr>
                      <w:color w:val="auto"/>
                      <w:sz w:val="18"/>
                      <w:szCs w:val="18"/>
                      <w:highlight w:val="none"/>
                    </w:rPr>
                    <w:t>COD</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8918C">
                  <w:pPr>
                    <w:pStyle w:val="75"/>
                    <w:adjustRightInd w:val="0"/>
                    <w:snapToGrid w:val="0"/>
                    <w:textAlignment w:val="center"/>
                    <w:rPr>
                      <w:rFonts w:hint="eastAsia"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0.271</w:t>
                  </w:r>
                </w:p>
              </w:tc>
              <w:tc>
                <w:tcPr>
                  <w:tcW w:w="1098" w:type="dxa"/>
                  <w:tcBorders>
                    <w:top w:val="single" w:color="000000" w:sz="4" w:space="0"/>
                    <w:left w:val="single" w:color="000000" w:sz="4" w:space="0"/>
                    <w:bottom w:val="single" w:color="000000" w:sz="4" w:space="0"/>
                    <w:right w:val="single" w:color="000000" w:sz="4" w:space="0"/>
                  </w:tcBorders>
                  <w:vAlign w:val="center"/>
                </w:tcPr>
                <w:p w14:paraId="782F25F4">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71A03">
                  <w:pPr>
                    <w:pStyle w:val="75"/>
                    <w:adjustRightInd w:val="0"/>
                    <w:snapToGrid w:val="0"/>
                    <w:textAlignment w:val="center"/>
                    <w:rPr>
                      <w:rFonts w:hint="eastAsia"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0.271</w:t>
                  </w:r>
                </w:p>
              </w:tc>
              <w:tc>
                <w:tcPr>
                  <w:tcW w:w="1121" w:type="dxa"/>
                  <w:tcBorders>
                    <w:top w:val="single" w:color="000000" w:sz="4" w:space="0"/>
                    <w:left w:val="single" w:color="000000" w:sz="4" w:space="0"/>
                    <w:bottom w:val="single" w:color="000000" w:sz="4" w:space="0"/>
                    <w:right w:val="single" w:color="000000" w:sz="4" w:space="0"/>
                  </w:tcBorders>
                  <w:vAlign w:val="center"/>
                </w:tcPr>
                <w:p w14:paraId="31B7883C">
                  <w:pPr>
                    <w:overflowPunct w:val="0"/>
                    <w:spacing w:line="320" w:lineRule="exact"/>
                    <w:jc w:val="center"/>
                    <w:textAlignment w:val="center"/>
                    <w:rPr>
                      <w:rFonts w:ascii="Times New Roman" w:hAnsi="Times New Roman" w:eastAsia="宋体" w:cs="Times New Roman"/>
                      <w:color w:val="auto"/>
                      <w:sz w:val="18"/>
                      <w:szCs w:val="18"/>
                      <w:highlight w:val="none"/>
                    </w:rPr>
                  </w:pPr>
                  <w:r>
                    <w:rPr>
                      <w:rFonts w:ascii="Times New Roman" w:hAnsi="Times New Roman" w:eastAsia="宋体" w:cs="Times New Roman"/>
                      <w:color w:val="auto"/>
                      <w:sz w:val="18"/>
                      <w:szCs w:val="18"/>
                      <w:highlight w:val="none"/>
                    </w:rPr>
                    <w:t>0</w:t>
                  </w:r>
                </w:p>
              </w:tc>
              <w:tc>
                <w:tcPr>
                  <w:tcW w:w="1381" w:type="dxa"/>
                  <w:tcBorders>
                    <w:top w:val="single" w:color="000000" w:sz="4" w:space="0"/>
                    <w:left w:val="single" w:color="000000" w:sz="4" w:space="0"/>
                    <w:bottom w:val="single" w:color="000000" w:sz="4" w:space="0"/>
                    <w:right w:val="single" w:color="000000" w:sz="4" w:space="0"/>
                  </w:tcBorders>
                  <w:vAlign w:val="center"/>
                </w:tcPr>
                <w:p w14:paraId="71DA56A4">
                  <w:pPr>
                    <w:pStyle w:val="75"/>
                    <w:adjustRightInd w:val="0"/>
                    <w:snapToGrid w:val="0"/>
                    <w:textAlignment w:val="center"/>
                    <w:rPr>
                      <w:rFonts w:ascii="Times New Roman" w:hAnsi="Times New Roman" w:eastAsia="宋体" w:cs="Times New Roman"/>
                      <w:color w:val="auto"/>
                      <w:sz w:val="18"/>
                      <w:szCs w:val="18"/>
                      <w:highlight w:val="none"/>
                    </w:rPr>
                  </w:pPr>
                  <w:r>
                    <w:rPr>
                      <w:rFonts w:hint="eastAsia"/>
                      <w:bCs/>
                      <w:color w:val="auto"/>
                      <w:sz w:val="18"/>
                      <w:szCs w:val="18"/>
                      <w:lang w:val="en-US" w:eastAsia="zh-CN"/>
                    </w:rPr>
                    <w:t>0.271</w:t>
                  </w:r>
                </w:p>
              </w:tc>
              <w:tc>
                <w:tcPr>
                  <w:tcW w:w="1579" w:type="dxa"/>
                  <w:tcBorders>
                    <w:top w:val="single" w:color="000000" w:sz="4" w:space="0"/>
                    <w:left w:val="single" w:color="000000" w:sz="4" w:space="0"/>
                    <w:bottom w:val="single" w:color="000000" w:sz="4" w:space="0"/>
                  </w:tcBorders>
                  <w:shd w:val="clear" w:color="auto" w:fill="auto"/>
                  <w:vAlign w:val="center"/>
                </w:tcPr>
                <w:p w14:paraId="7EF02FA9">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0.047</w:t>
                  </w:r>
                </w:p>
              </w:tc>
              <w:tc>
                <w:tcPr>
                  <w:tcW w:w="1579" w:type="dxa"/>
                  <w:tcBorders>
                    <w:top w:val="single" w:color="000000" w:sz="4" w:space="0"/>
                    <w:left w:val="single" w:color="000000" w:sz="4" w:space="0"/>
                    <w:bottom w:val="single" w:color="000000" w:sz="4" w:space="0"/>
                  </w:tcBorders>
                  <w:shd w:val="clear" w:color="auto" w:fill="auto"/>
                  <w:vAlign w:val="center"/>
                </w:tcPr>
                <w:p w14:paraId="0601F438">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w:t>
                  </w:r>
                </w:p>
              </w:tc>
            </w:tr>
            <w:tr w14:paraId="499539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0BA5DA67">
                  <w:pPr>
                    <w:overflowPunct w:val="0"/>
                    <w:spacing w:line="320" w:lineRule="exact"/>
                    <w:jc w:val="center"/>
                    <w:textAlignment w:val="center"/>
                    <w:rPr>
                      <w:color w:val="auto"/>
                      <w:sz w:val="18"/>
                      <w:szCs w:val="18"/>
                      <w:highlight w:val="none"/>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751CCFC8">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vAlign w:val="center"/>
                </w:tcPr>
                <w:p w14:paraId="2E3DDFCD">
                  <w:pPr>
                    <w:overflowPunct w:val="0"/>
                    <w:spacing w:line="320" w:lineRule="exact"/>
                    <w:jc w:val="center"/>
                    <w:textAlignment w:val="center"/>
                    <w:rPr>
                      <w:color w:val="auto"/>
                      <w:sz w:val="18"/>
                      <w:szCs w:val="18"/>
                      <w:highlight w:val="none"/>
                    </w:rPr>
                  </w:pPr>
                  <w:r>
                    <w:rPr>
                      <w:color w:val="auto"/>
                      <w:sz w:val="18"/>
                      <w:szCs w:val="18"/>
                      <w:highlight w:val="none"/>
                    </w:rPr>
                    <w:t>SS</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8FC54">
                  <w:pPr>
                    <w:pStyle w:val="75"/>
                    <w:adjustRightInd w:val="0"/>
                    <w:snapToGrid w:val="0"/>
                    <w:textAlignment w:val="center"/>
                    <w:rPr>
                      <w:rFonts w:hint="eastAsia"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0.171</w:t>
                  </w:r>
                </w:p>
              </w:tc>
              <w:tc>
                <w:tcPr>
                  <w:tcW w:w="1098" w:type="dxa"/>
                  <w:tcBorders>
                    <w:top w:val="single" w:color="000000" w:sz="4" w:space="0"/>
                    <w:left w:val="single" w:color="000000" w:sz="4" w:space="0"/>
                    <w:bottom w:val="single" w:color="000000" w:sz="4" w:space="0"/>
                    <w:right w:val="single" w:color="000000" w:sz="4" w:space="0"/>
                  </w:tcBorders>
                  <w:vAlign w:val="center"/>
                </w:tcPr>
                <w:p w14:paraId="6DB47632">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2E6EC">
                  <w:pPr>
                    <w:pStyle w:val="75"/>
                    <w:adjustRightInd w:val="0"/>
                    <w:snapToGrid w:val="0"/>
                    <w:textAlignment w:val="center"/>
                    <w:rPr>
                      <w:rFonts w:hint="default"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0.171</w:t>
                  </w:r>
                </w:p>
              </w:tc>
              <w:tc>
                <w:tcPr>
                  <w:tcW w:w="1121" w:type="dxa"/>
                  <w:tcBorders>
                    <w:top w:val="single" w:color="000000" w:sz="4" w:space="0"/>
                    <w:left w:val="single" w:color="000000" w:sz="4" w:space="0"/>
                    <w:bottom w:val="single" w:color="000000" w:sz="4" w:space="0"/>
                    <w:right w:val="single" w:color="000000" w:sz="4" w:space="0"/>
                  </w:tcBorders>
                  <w:vAlign w:val="center"/>
                </w:tcPr>
                <w:p w14:paraId="5BE542EC">
                  <w:pPr>
                    <w:overflowPunct w:val="0"/>
                    <w:spacing w:line="320" w:lineRule="exact"/>
                    <w:jc w:val="center"/>
                    <w:textAlignment w:val="center"/>
                    <w:rPr>
                      <w:rFonts w:ascii="Times New Roman" w:hAnsi="Times New Roman" w:eastAsia="宋体" w:cs="Times New Roman"/>
                      <w:color w:val="auto"/>
                      <w:sz w:val="18"/>
                      <w:szCs w:val="18"/>
                      <w:highlight w:val="none"/>
                    </w:rPr>
                  </w:pPr>
                  <w:r>
                    <w:rPr>
                      <w:rFonts w:ascii="Times New Roman" w:hAnsi="Times New Roman" w:eastAsia="宋体" w:cs="Times New Roman"/>
                      <w:color w:val="auto"/>
                      <w:sz w:val="18"/>
                      <w:szCs w:val="18"/>
                      <w:highlight w:val="none"/>
                    </w:rPr>
                    <w:t>0</w:t>
                  </w:r>
                </w:p>
              </w:tc>
              <w:tc>
                <w:tcPr>
                  <w:tcW w:w="1381" w:type="dxa"/>
                  <w:tcBorders>
                    <w:top w:val="single" w:color="000000" w:sz="4" w:space="0"/>
                    <w:left w:val="single" w:color="000000" w:sz="4" w:space="0"/>
                    <w:bottom w:val="single" w:color="000000" w:sz="4" w:space="0"/>
                    <w:right w:val="single" w:color="000000" w:sz="4" w:space="0"/>
                  </w:tcBorders>
                  <w:vAlign w:val="center"/>
                </w:tcPr>
                <w:p w14:paraId="794A510A">
                  <w:pPr>
                    <w:pStyle w:val="75"/>
                    <w:adjustRightInd w:val="0"/>
                    <w:snapToGrid w:val="0"/>
                    <w:textAlignment w:val="center"/>
                    <w:rPr>
                      <w:rFonts w:ascii="Times New Roman" w:hAnsi="Times New Roman" w:eastAsia="宋体" w:cs="Times New Roman"/>
                      <w:color w:val="auto"/>
                      <w:sz w:val="18"/>
                      <w:szCs w:val="18"/>
                      <w:highlight w:val="none"/>
                    </w:rPr>
                  </w:pPr>
                  <w:r>
                    <w:rPr>
                      <w:rFonts w:hint="eastAsia"/>
                      <w:bCs/>
                      <w:color w:val="auto"/>
                      <w:sz w:val="18"/>
                      <w:szCs w:val="18"/>
                      <w:lang w:val="en-US" w:eastAsia="zh-CN"/>
                    </w:rPr>
                    <w:t>0.171</w:t>
                  </w:r>
                </w:p>
              </w:tc>
              <w:tc>
                <w:tcPr>
                  <w:tcW w:w="1579" w:type="dxa"/>
                  <w:tcBorders>
                    <w:top w:val="single" w:color="000000" w:sz="4" w:space="0"/>
                    <w:left w:val="single" w:color="000000" w:sz="4" w:space="0"/>
                    <w:bottom w:val="single" w:color="000000" w:sz="4" w:space="0"/>
                  </w:tcBorders>
                  <w:shd w:val="clear" w:color="auto" w:fill="auto"/>
                  <w:vAlign w:val="center"/>
                </w:tcPr>
                <w:p w14:paraId="06834162">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0.016</w:t>
                  </w:r>
                </w:p>
              </w:tc>
              <w:tc>
                <w:tcPr>
                  <w:tcW w:w="1579" w:type="dxa"/>
                  <w:tcBorders>
                    <w:top w:val="single" w:color="000000" w:sz="4" w:space="0"/>
                    <w:left w:val="single" w:color="000000" w:sz="4" w:space="0"/>
                    <w:bottom w:val="single" w:color="000000" w:sz="4" w:space="0"/>
                  </w:tcBorders>
                  <w:shd w:val="clear" w:color="auto" w:fill="auto"/>
                  <w:vAlign w:val="center"/>
                </w:tcPr>
                <w:p w14:paraId="063992AE">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w:t>
                  </w:r>
                </w:p>
              </w:tc>
            </w:tr>
            <w:tr w14:paraId="58D285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756B37A9">
                  <w:pPr>
                    <w:overflowPunct w:val="0"/>
                    <w:spacing w:line="320" w:lineRule="exact"/>
                    <w:jc w:val="center"/>
                    <w:textAlignment w:val="center"/>
                    <w:rPr>
                      <w:color w:val="auto"/>
                      <w:sz w:val="18"/>
                      <w:szCs w:val="18"/>
                      <w:highlight w:val="none"/>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53D0A3AD">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vAlign w:val="center"/>
                </w:tcPr>
                <w:p w14:paraId="71C91AC5">
                  <w:pPr>
                    <w:overflowPunct w:val="0"/>
                    <w:spacing w:line="320" w:lineRule="exact"/>
                    <w:jc w:val="center"/>
                    <w:textAlignment w:val="center"/>
                    <w:rPr>
                      <w:color w:val="auto"/>
                      <w:sz w:val="18"/>
                      <w:szCs w:val="18"/>
                      <w:highlight w:val="none"/>
                    </w:rPr>
                  </w:pPr>
                  <w:r>
                    <w:rPr>
                      <w:color w:val="auto"/>
                      <w:sz w:val="18"/>
                      <w:szCs w:val="18"/>
                      <w:highlight w:val="none"/>
                    </w:rPr>
                    <w:t>NH</w:t>
                  </w:r>
                  <w:r>
                    <w:rPr>
                      <w:color w:val="auto"/>
                      <w:sz w:val="18"/>
                      <w:szCs w:val="18"/>
                      <w:highlight w:val="none"/>
                      <w:vertAlign w:val="subscript"/>
                    </w:rPr>
                    <w:t>3</w:t>
                  </w:r>
                  <w:r>
                    <w:rPr>
                      <w:color w:val="auto"/>
                      <w:sz w:val="18"/>
                      <w:szCs w:val="18"/>
                      <w:highlight w:val="none"/>
                    </w:rPr>
                    <w:t>-N</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D312A">
                  <w:pPr>
                    <w:pStyle w:val="75"/>
                    <w:adjustRightInd w:val="0"/>
                    <w:snapToGrid w:val="0"/>
                    <w:textAlignment w:val="center"/>
                    <w:rPr>
                      <w:rFonts w:hint="eastAsia"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0.023</w:t>
                  </w:r>
                </w:p>
              </w:tc>
              <w:tc>
                <w:tcPr>
                  <w:tcW w:w="1098" w:type="dxa"/>
                  <w:tcBorders>
                    <w:top w:val="single" w:color="000000" w:sz="4" w:space="0"/>
                    <w:left w:val="single" w:color="000000" w:sz="4" w:space="0"/>
                    <w:bottom w:val="single" w:color="000000" w:sz="4" w:space="0"/>
                    <w:right w:val="single" w:color="000000" w:sz="4" w:space="0"/>
                  </w:tcBorders>
                  <w:vAlign w:val="center"/>
                </w:tcPr>
                <w:p w14:paraId="2B637A68">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22096">
                  <w:pPr>
                    <w:pStyle w:val="75"/>
                    <w:adjustRightInd w:val="0"/>
                    <w:snapToGrid w:val="0"/>
                    <w:textAlignment w:val="center"/>
                    <w:rPr>
                      <w:rFonts w:hint="default"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0.023</w:t>
                  </w:r>
                </w:p>
              </w:tc>
              <w:tc>
                <w:tcPr>
                  <w:tcW w:w="1121" w:type="dxa"/>
                  <w:tcBorders>
                    <w:top w:val="single" w:color="000000" w:sz="4" w:space="0"/>
                    <w:left w:val="single" w:color="000000" w:sz="4" w:space="0"/>
                    <w:bottom w:val="single" w:color="000000" w:sz="4" w:space="0"/>
                    <w:right w:val="single" w:color="000000" w:sz="4" w:space="0"/>
                  </w:tcBorders>
                  <w:vAlign w:val="center"/>
                </w:tcPr>
                <w:p w14:paraId="439CA293">
                  <w:pPr>
                    <w:overflowPunct w:val="0"/>
                    <w:spacing w:line="320" w:lineRule="exact"/>
                    <w:jc w:val="center"/>
                    <w:textAlignment w:val="center"/>
                    <w:rPr>
                      <w:rFonts w:ascii="Times New Roman" w:hAnsi="Times New Roman" w:eastAsia="宋体" w:cs="Times New Roman"/>
                      <w:color w:val="auto"/>
                      <w:sz w:val="18"/>
                      <w:szCs w:val="18"/>
                      <w:highlight w:val="none"/>
                    </w:rPr>
                  </w:pPr>
                  <w:r>
                    <w:rPr>
                      <w:rFonts w:ascii="Times New Roman" w:hAnsi="Times New Roman" w:eastAsia="宋体" w:cs="Times New Roman"/>
                      <w:color w:val="auto"/>
                      <w:sz w:val="18"/>
                      <w:szCs w:val="18"/>
                      <w:highlight w:val="none"/>
                    </w:rPr>
                    <w:t>0</w:t>
                  </w:r>
                </w:p>
              </w:tc>
              <w:tc>
                <w:tcPr>
                  <w:tcW w:w="1381" w:type="dxa"/>
                  <w:tcBorders>
                    <w:top w:val="single" w:color="000000" w:sz="4" w:space="0"/>
                    <w:left w:val="single" w:color="000000" w:sz="4" w:space="0"/>
                    <w:bottom w:val="single" w:color="000000" w:sz="4" w:space="0"/>
                    <w:right w:val="single" w:color="000000" w:sz="4" w:space="0"/>
                  </w:tcBorders>
                  <w:vAlign w:val="center"/>
                </w:tcPr>
                <w:p w14:paraId="3A0B7CEB">
                  <w:pPr>
                    <w:pStyle w:val="75"/>
                    <w:adjustRightInd w:val="0"/>
                    <w:snapToGrid w:val="0"/>
                    <w:textAlignment w:val="center"/>
                    <w:rPr>
                      <w:rFonts w:ascii="Times New Roman" w:hAnsi="Times New Roman" w:eastAsia="宋体" w:cs="Times New Roman"/>
                      <w:color w:val="auto"/>
                      <w:sz w:val="18"/>
                      <w:szCs w:val="18"/>
                      <w:highlight w:val="none"/>
                    </w:rPr>
                  </w:pPr>
                  <w:r>
                    <w:rPr>
                      <w:rFonts w:hint="eastAsia"/>
                      <w:bCs/>
                      <w:color w:val="auto"/>
                      <w:sz w:val="18"/>
                      <w:szCs w:val="18"/>
                      <w:lang w:val="en-US" w:eastAsia="zh-CN"/>
                    </w:rPr>
                    <w:t>0.023</w:t>
                  </w:r>
                </w:p>
              </w:tc>
              <w:tc>
                <w:tcPr>
                  <w:tcW w:w="1579" w:type="dxa"/>
                  <w:tcBorders>
                    <w:top w:val="single" w:color="000000" w:sz="4" w:space="0"/>
                    <w:left w:val="single" w:color="000000" w:sz="4" w:space="0"/>
                    <w:bottom w:val="single" w:color="000000" w:sz="4" w:space="0"/>
                  </w:tcBorders>
                  <w:shd w:val="clear" w:color="auto" w:fill="auto"/>
                  <w:vAlign w:val="center"/>
                </w:tcPr>
                <w:p w14:paraId="135F5427">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0.0047</w:t>
                  </w:r>
                </w:p>
              </w:tc>
              <w:tc>
                <w:tcPr>
                  <w:tcW w:w="1579" w:type="dxa"/>
                  <w:tcBorders>
                    <w:top w:val="single" w:color="000000" w:sz="4" w:space="0"/>
                    <w:left w:val="single" w:color="000000" w:sz="4" w:space="0"/>
                    <w:bottom w:val="single" w:color="000000" w:sz="4" w:space="0"/>
                  </w:tcBorders>
                  <w:shd w:val="clear" w:color="auto" w:fill="auto"/>
                  <w:vAlign w:val="center"/>
                </w:tcPr>
                <w:p w14:paraId="77CF5FE0">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w:t>
                  </w:r>
                </w:p>
              </w:tc>
            </w:tr>
            <w:tr w14:paraId="487FCD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5129FFE7">
                  <w:pPr>
                    <w:overflowPunct w:val="0"/>
                    <w:spacing w:line="320" w:lineRule="exact"/>
                    <w:jc w:val="center"/>
                    <w:textAlignment w:val="center"/>
                    <w:rPr>
                      <w:color w:val="auto"/>
                      <w:sz w:val="18"/>
                      <w:szCs w:val="18"/>
                      <w:highlight w:val="none"/>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695B97EA">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vAlign w:val="center"/>
                </w:tcPr>
                <w:p w14:paraId="470323CE">
                  <w:pPr>
                    <w:overflowPunct w:val="0"/>
                    <w:spacing w:line="320" w:lineRule="exact"/>
                    <w:jc w:val="center"/>
                    <w:textAlignment w:val="center"/>
                    <w:rPr>
                      <w:color w:val="auto"/>
                      <w:sz w:val="18"/>
                      <w:szCs w:val="18"/>
                      <w:highlight w:val="none"/>
                    </w:rPr>
                  </w:pPr>
                  <w:r>
                    <w:rPr>
                      <w:color w:val="auto"/>
                      <w:sz w:val="18"/>
                      <w:szCs w:val="18"/>
                      <w:highlight w:val="none"/>
                    </w:rPr>
                    <w:t>TP</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FE0C">
                  <w:pPr>
                    <w:pStyle w:val="75"/>
                    <w:adjustRightInd w:val="0"/>
                    <w:snapToGrid w:val="0"/>
                    <w:textAlignment w:val="center"/>
                    <w:rPr>
                      <w:rFonts w:hint="eastAsia"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0.003</w:t>
                  </w:r>
                </w:p>
              </w:tc>
              <w:tc>
                <w:tcPr>
                  <w:tcW w:w="1098" w:type="dxa"/>
                  <w:tcBorders>
                    <w:top w:val="single" w:color="000000" w:sz="4" w:space="0"/>
                    <w:left w:val="single" w:color="000000" w:sz="4" w:space="0"/>
                    <w:bottom w:val="single" w:color="000000" w:sz="4" w:space="0"/>
                    <w:right w:val="single" w:color="000000" w:sz="4" w:space="0"/>
                  </w:tcBorders>
                  <w:vAlign w:val="center"/>
                </w:tcPr>
                <w:p w14:paraId="654C73F6">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2BE4">
                  <w:pPr>
                    <w:pStyle w:val="75"/>
                    <w:adjustRightInd w:val="0"/>
                    <w:snapToGrid w:val="0"/>
                    <w:textAlignment w:val="center"/>
                    <w:rPr>
                      <w:rFonts w:hint="eastAsia"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0.003</w:t>
                  </w:r>
                </w:p>
              </w:tc>
              <w:tc>
                <w:tcPr>
                  <w:tcW w:w="1121" w:type="dxa"/>
                  <w:tcBorders>
                    <w:top w:val="single" w:color="000000" w:sz="4" w:space="0"/>
                    <w:left w:val="single" w:color="000000" w:sz="4" w:space="0"/>
                    <w:bottom w:val="single" w:color="000000" w:sz="4" w:space="0"/>
                    <w:right w:val="single" w:color="000000" w:sz="4" w:space="0"/>
                  </w:tcBorders>
                  <w:vAlign w:val="center"/>
                </w:tcPr>
                <w:p w14:paraId="7DC99F2F">
                  <w:pPr>
                    <w:overflowPunct w:val="0"/>
                    <w:spacing w:line="320" w:lineRule="exact"/>
                    <w:jc w:val="center"/>
                    <w:textAlignment w:val="center"/>
                    <w:rPr>
                      <w:rFonts w:ascii="Times New Roman" w:hAnsi="Times New Roman" w:eastAsia="宋体" w:cs="Times New Roman"/>
                      <w:color w:val="auto"/>
                      <w:sz w:val="18"/>
                      <w:szCs w:val="18"/>
                      <w:highlight w:val="none"/>
                    </w:rPr>
                  </w:pPr>
                  <w:r>
                    <w:rPr>
                      <w:rFonts w:ascii="Times New Roman" w:hAnsi="Times New Roman" w:eastAsia="宋体" w:cs="Times New Roman"/>
                      <w:color w:val="auto"/>
                      <w:sz w:val="18"/>
                      <w:szCs w:val="18"/>
                      <w:highlight w:val="none"/>
                    </w:rPr>
                    <w:t>0</w:t>
                  </w:r>
                </w:p>
              </w:tc>
              <w:tc>
                <w:tcPr>
                  <w:tcW w:w="1381" w:type="dxa"/>
                  <w:tcBorders>
                    <w:top w:val="single" w:color="000000" w:sz="4" w:space="0"/>
                    <w:left w:val="single" w:color="000000" w:sz="4" w:space="0"/>
                    <w:bottom w:val="single" w:color="000000" w:sz="4" w:space="0"/>
                    <w:right w:val="single" w:color="000000" w:sz="4" w:space="0"/>
                  </w:tcBorders>
                  <w:vAlign w:val="center"/>
                </w:tcPr>
                <w:p w14:paraId="5F999D1A">
                  <w:pPr>
                    <w:pStyle w:val="75"/>
                    <w:adjustRightInd w:val="0"/>
                    <w:snapToGrid w:val="0"/>
                    <w:textAlignment w:val="center"/>
                    <w:rPr>
                      <w:rFonts w:ascii="Times New Roman" w:hAnsi="Times New Roman" w:eastAsia="宋体" w:cs="Times New Roman"/>
                      <w:color w:val="auto"/>
                      <w:sz w:val="18"/>
                      <w:szCs w:val="18"/>
                      <w:highlight w:val="none"/>
                    </w:rPr>
                  </w:pPr>
                  <w:r>
                    <w:rPr>
                      <w:rFonts w:hint="eastAsia"/>
                      <w:bCs/>
                      <w:color w:val="auto"/>
                      <w:sz w:val="18"/>
                      <w:szCs w:val="18"/>
                      <w:lang w:val="en-US" w:eastAsia="zh-CN"/>
                    </w:rPr>
                    <w:t>0.003</w:t>
                  </w:r>
                </w:p>
              </w:tc>
              <w:tc>
                <w:tcPr>
                  <w:tcW w:w="1579" w:type="dxa"/>
                  <w:tcBorders>
                    <w:top w:val="single" w:color="000000" w:sz="4" w:space="0"/>
                    <w:left w:val="single" w:color="000000" w:sz="4" w:space="0"/>
                    <w:bottom w:val="single" w:color="000000" w:sz="4" w:space="0"/>
                  </w:tcBorders>
                  <w:shd w:val="clear" w:color="auto" w:fill="auto"/>
                  <w:vAlign w:val="center"/>
                </w:tcPr>
                <w:p w14:paraId="7F1737F3">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0.00047</w:t>
                  </w:r>
                </w:p>
              </w:tc>
              <w:tc>
                <w:tcPr>
                  <w:tcW w:w="1579" w:type="dxa"/>
                  <w:tcBorders>
                    <w:top w:val="single" w:color="000000" w:sz="4" w:space="0"/>
                    <w:left w:val="single" w:color="000000" w:sz="4" w:space="0"/>
                    <w:bottom w:val="single" w:color="000000" w:sz="4" w:space="0"/>
                  </w:tcBorders>
                  <w:shd w:val="clear" w:color="auto" w:fill="auto"/>
                  <w:vAlign w:val="center"/>
                </w:tcPr>
                <w:p w14:paraId="0BC544C6">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w:t>
                  </w:r>
                </w:p>
              </w:tc>
            </w:tr>
            <w:tr w14:paraId="073393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74C2693A">
                  <w:pPr>
                    <w:overflowPunct w:val="0"/>
                    <w:spacing w:line="320" w:lineRule="exact"/>
                    <w:jc w:val="center"/>
                    <w:textAlignment w:val="center"/>
                    <w:rPr>
                      <w:color w:val="auto"/>
                      <w:sz w:val="18"/>
                      <w:szCs w:val="18"/>
                      <w:highlight w:val="none"/>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4146B99E">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vAlign w:val="center"/>
                </w:tcPr>
                <w:p w14:paraId="5F069E78">
                  <w:pPr>
                    <w:overflowPunct w:val="0"/>
                    <w:spacing w:line="320" w:lineRule="exact"/>
                    <w:jc w:val="center"/>
                    <w:textAlignment w:val="center"/>
                    <w:rPr>
                      <w:color w:val="auto"/>
                      <w:sz w:val="18"/>
                      <w:szCs w:val="18"/>
                      <w:highlight w:val="none"/>
                    </w:rPr>
                  </w:pPr>
                  <w:r>
                    <w:rPr>
                      <w:color w:val="auto"/>
                      <w:sz w:val="18"/>
                      <w:szCs w:val="18"/>
                      <w:highlight w:val="none"/>
                    </w:rPr>
                    <w:t>TN</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816E">
                  <w:pPr>
                    <w:pStyle w:val="75"/>
                    <w:adjustRightInd w:val="0"/>
                    <w:snapToGrid w:val="0"/>
                    <w:textAlignment w:val="center"/>
                    <w:rPr>
                      <w:rFonts w:hint="eastAsia"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0.031</w:t>
                  </w:r>
                </w:p>
              </w:tc>
              <w:tc>
                <w:tcPr>
                  <w:tcW w:w="1098" w:type="dxa"/>
                  <w:tcBorders>
                    <w:top w:val="single" w:color="000000" w:sz="4" w:space="0"/>
                    <w:left w:val="single" w:color="000000" w:sz="4" w:space="0"/>
                    <w:bottom w:val="single" w:color="000000" w:sz="4" w:space="0"/>
                    <w:right w:val="single" w:color="000000" w:sz="4" w:space="0"/>
                  </w:tcBorders>
                  <w:vAlign w:val="center"/>
                </w:tcPr>
                <w:p w14:paraId="60E6A5C3">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05E3">
                  <w:pPr>
                    <w:pStyle w:val="75"/>
                    <w:adjustRightInd w:val="0"/>
                    <w:snapToGrid w:val="0"/>
                    <w:textAlignment w:val="center"/>
                    <w:rPr>
                      <w:rFonts w:hint="eastAsia"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0.031</w:t>
                  </w:r>
                </w:p>
              </w:tc>
              <w:tc>
                <w:tcPr>
                  <w:tcW w:w="1121" w:type="dxa"/>
                  <w:tcBorders>
                    <w:top w:val="single" w:color="000000" w:sz="4" w:space="0"/>
                    <w:left w:val="single" w:color="000000" w:sz="4" w:space="0"/>
                    <w:bottom w:val="single" w:color="000000" w:sz="4" w:space="0"/>
                    <w:right w:val="single" w:color="000000" w:sz="4" w:space="0"/>
                  </w:tcBorders>
                  <w:vAlign w:val="center"/>
                </w:tcPr>
                <w:p w14:paraId="5CEEE53E">
                  <w:pPr>
                    <w:overflowPunct w:val="0"/>
                    <w:spacing w:line="320" w:lineRule="exact"/>
                    <w:jc w:val="center"/>
                    <w:textAlignment w:val="center"/>
                    <w:rPr>
                      <w:rFonts w:ascii="Times New Roman" w:hAnsi="Times New Roman" w:eastAsia="宋体" w:cs="Times New Roman"/>
                      <w:color w:val="auto"/>
                      <w:sz w:val="18"/>
                      <w:szCs w:val="18"/>
                      <w:highlight w:val="none"/>
                    </w:rPr>
                  </w:pPr>
                  <w:r>
                    <w:rPr>
                      <w:rFonts w:ascii="Times New Roman" w:hAnsi="Times New Roman" w:eastAsia="宋体" w:cs="Times New Roman"/>
                      <w:color w:val="auto"/>
                      <w:sz w:val="18"/>
                      <w:szCs w:val="18"/>
                      <w:highlight w:val="none"/>
                    </w:rPr>
                    <w:t>0</w:t>
                  </w:r>
                </w:p>
              </w:tc>
              <w:tc>
                <w:tcPr>
                  <w:tcW w:w="1381" w:type="dxa"/>
                  <w:tcBorders>
                    <w:top w:val="single" w:color="000000" w:sz="4" w:space="0"/>
                    <w:left w:val="single" w:color="000000" w:sz="4" w:space="0"/>
                    <w:bottom w:val="single" w:color="000000" w:sz="4" w:space="0"/>
                    <w:right w:val="single" w:color="000000" w:sz="4" w:space="0"/>
                  </w:tcBorders>
                  <w:vAlign w:val="center"/>
                </w:tcPr>
                <w:p w14:paraId="13E136FF">
                  <w:pPr>
                    <w:pStyle w:val="75"/>
                    <w:adjustRightInd w:val="0"/>
                    <w:snapToGrid w:val="0"/>
                    <w:textAlignment w:val="center"/>
                    <w:rPr>
                      <w:rFonts w:ascii="Times New Roman" w:hAnsi="Times New Roman" w:eastAsia="宋体" w:cs="Times New Roman"/>
                      <w:color w:val="auto"/>
                      <w:sz w:val="18"/>
                      <w:szCs w:val="18"/>
                      <w:highlight w:val="none"/>
                    </w:rPr>
                  </w:pPr>
                  <w:r>
                    <w:rPr>
                      <w:rFonts w:hint="eastAsia"/>
                      <w:bCs/>
                      <w:color w:val="auto"/>
                      <w:sz w:val="18"/>
                      <w:szCs w:val="18"/>
                      <w:lang w:val="en-US" w:eastAsia="zh-CN"/>
                    </w:rPr>
                    <w:t>0.031</w:t>
                  </w:r>
                </w:p>
              </w:tc>
              <w:tc>
                <w:tcPr>
                  <w:tcW w:w="1579" w:type="dxa"/>
                  <w:tcBorders>
                    <w:top w:val="single" w:color="000000" w:sz="4" w:space="0"/>
                    <w:left w:val="single" w:color="000000" w:sz="4" w:space="0"/>
                    <w:bottom w:val="single" w:color="000000" w:sz="4" w:space="0"/>
                  </w:tcBorders>
                  <w:shd w:val="clear" w:color="auto" w:fill="auto"/>
                  <w:vAlign w:val="center"/>
                </w:tcPr>
                <w:p w14:paraId="22E52E9A">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0.016</w:t>
                  </w:r>
                </w:p>
              </w:tc>
              <w:tc>
                <w:tcPr>
                  <w:tcW w:w="1579" w:type="dxa"/>
                  <w:tcBorders>
                    <w:top w:val="single" w:color="000000" w:sz="4" w:space="0"/>
                    <w:left w:val="single" w:color="000000" w:sz="4" w:space="0"/>
                    <w:bottom w:val="single" w:color="000000" w:sz="4" w:space="0"/>
                  </w:tcBorders>
                  <w:shd w:val="clear" w:color="auto" w:fill="auto"/>
                  <w:vAlign w:val="center"/>
                </w:tcPr>
                <w:p w14:paraId="762E16D5">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w:t>
                  </w:r>
                </w:p>
              </w:tc>
            </w:tr>
            <w:tr w14:paraId="1F7C78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6715D82C">
                  <w:pPr>
                    <w:overflowPunct w:val="0"/>
                    <w:spacing w:line="320" w:lineRule="exact"/>
                    <w:jc w:val="center"/>
                    <w:textAlignment w:val="center"/>
                    <w:rPr>
                      <w:color w:val="auto"/>
                      <w:sz w:val="18"/>
                      <w:szCs w:val="18"/>
                      <w:highlight w:val="none"/>
                    </w:rPr>
                  </w:pPr>
                </w:p>
              </w:tc>
              <w:tc>
                <w:tcPr>
                  <w:tcW w:w="765" w:type="dxa"/>
                  <w:vMerge w:val="restart"/>
                  <w:tcBorders>
                    <w:top w:val="single" w:color="000000" w:sz="4" w:space="0"/>
                    <w:left w:val="single" w:color="000000" w:sz="4" w:space="0"/>
                    <w:bottom w:val="single" w:color="000000" w:sz="4" w:space="0"/>
                    <w:right w:val="single" w:color="000000" w:sz="4" w:space="0"/>
                  </w:tcBorders>
                  <w:vAlign w:val="center"/>
                </w:tcPr>
                <w:p w14:paraId="72F097DB">
                  <w:pPr>
                    <w:overflowPunct w:val="0"/>
                    <w:spacing w:line="320" w:lineRule="exact"/>
                    <w:jc w:val="center"/>
                    <w:textAlignment w:val="center"/>
                    <w:rPr>
                      <w:rFonts w:hint="eastAsia" w:eastAsia="宋体"/>
                      <w:color w:val="auto"/>
                      <w:sz w:val="18"/>
                      <w:szCs w:val="18"/>
                      <w:highlight w:val="none"/>
                      <w:lang w:eastAsia="zh-CN"/>
                    </w:rPr>
                  </w:pPr>
                  <w:r>
                    <w:rPr>
                      <w:rFonts w:hint="eastAsia"/>
                      <w:color w:val="auto"/>
                      <w:sz w:val="18"/>
                      <w:szCs w:val="18"/>
                      <w:highlight w:val="none"/>
                      <w:lang w:eastAsia="zh-CN"/>
                    </w:rPr>
                    <w:t>生产废水</w:t>
                  </w:r>
                </w:p>
              </w:tc>
              <w:tc>
                <w:tcPr>
                  <w:tcW w:w="1762" w:type="dxa"/>
                  <w:tcBorders>
                    <w:top w:val="single" w:color="000000" w:sz="4" w:space="0"/>
                    <w:left w:val="single" w:color="000000" w:sz="4" w:space="0"/>
                    <w:bottom w:val="single" w:color="000000" w:sz="4" w:space="0"/>
                    <w:right w:val="single" w:color="000000" w:sz="4" w:space="0"/>
                  </w:tcBorders>
                  <w:vAlign w:val="center"/>
                </w:tcPr>
                <w:p w14:paraId="6DF40713">
                  <w:pPr>
                    <w:overflowPunct w:val="0"/>
                    <w:spacing w:line="320" w:lineRule="exact"/>
                    <w:jc w:val="center"/>
                    <w:textAlignment w:val="center"/>
                    <w:rPr>
                      <w:color w:val="auto"/>
                      <w:sz w:val="18"/>
                      <w:szCs w:val="18"/>
                      <w:highlight w:val="none"/>
                    </w:rPr>
                  </w:pPr>
                  <w:r>
                    <w:rPr>
                      <w:rFonts w:hint="eastAsia"/>
                      <w:color w:val="auto"/>
                      <w:sz w:val="18"/>
                      <w:szCs w:val="18"/>
                      <w:highlight w:val="none"/>
                    </w:rPr>
                    <w:t>水量</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C9D2">
                  <w:pPr>
                    <w:overflowPunct w:val="0"/>
                    <w:spacing w:line="320" w:lineRule="exact"/>
                    <w:jc w:val="center"/>
                    <w:textAlignment w:val="center"/>
                    <w:rPr>
                      <w:rFonts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173740</w:t>
                  </w:r>
                </w:p>
              </w:tc>
              <w:tc>
                <w:tcPr>
                  <w:tcW w:w="1098" w:type="dxa"/>
                  <w:tcBorders>
                    <w:top w:val="single" w:color="000000" w:sz="4" w:space="0"/>
                    <w:left w:val="single" w:color="000000" w:sz="4" w:space="0"/>
                    <w:bottom w:val="single" w:color="000000" w:sz="4" w:space="0"/>
                    <w:right w:val="single" w:color="000000" w:sz="4" w:space="0"/>
                  </w:tcBorders>
                  <w:vAlign w:val="center"/>
                </w:tcPr>
                <w:p w14:paraId="76C75D74">
                  <w:pPr>
                    <w:overflowPunct w:val="0"/>
                    <w:spacing w:line="320" w:lineRule="exact"/>
                    <w:jc w:val="center"/>
                    <w:textAlignment w:val="center"/>
                    <w:rPr>
                      <w:rFonts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5141">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173740</w:t>
                  </w:r>
                </w:p>
              </w:tc>
              <w:tc>
                <w:tcPr>
                  <w:tcW w:w="1121" w:type="dxa"/>
                  <w:tcBorders>
                    <w:top w:val="single" w:color="000000" w:sz="4" w:space="0"/>
                    <w:left w:val="single" w:color="000000" w:sz="4" w:space="0"/>
                    <w:bottom w:val="single" w:color="000000" w:sz="4" w:space="0"/>
                    <w:right w:val="single" w:color="000000" w:sz="4" w:space="0"/>
                  </w:tcBorders>
                  <w:vAlign w:val="center"/>
                </w:tcPr>
                <w:p w14:paraId="4AC5A67F">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596C">
                  <w:pPr>
                    <w:overflowPunct w:val="0"/>
                    <w:spacing w:line="320" w:lineRule="exact"/>
                    <w:jc w:val="center"/>
                    <w:textAlignment w:val="center"/>
                    <w:rPr>
                      <w:rFonts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173740</w:t>
                  </w:r>
                </w:p>
              </w:tc>
              <w:tc>
                <w:tcPr>
                  <w:tcW w:w="1579" w:type="dxa"/>
                  <w:tcBorders>
                    <w:top w:val="single" w:color="000000" w:sz="4" w:space="0"/>
                    <w:left w:val="single" w:color="000000" w:sz="4" w:space="0"/>
                    <w:bottom w:val="single" w:color="000000" w:sz="4" w:space="0"/>
                  </w:tcBorders>
                  <w:shd w:val="clear" w:color="auto" w:fill="auto"/>
                  <w:vAlign w:val="center"/>
                </w:tcPr>
                <w:p w14:paraId="113147D8">
                  <w:pPr>
                    <w:overflowPunct w:val="0"/>
                    <w:spacing w:line="320" w:lineRule="exact"/>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41697.6</w:t>
                  </w:r>
                </w:p>
              </w:tc>
              <w:tc>
                <w:tcPr>
                  <w:tcW w:w="1579" w:type="dxa"/>
                  <w:tcBorders>
                    <w:top w:val="single" w:color="000000" w:sz="4" w:space="0"/>
                    <w:left w:val="single" w:color="000000" w:sz="4" w:space="0"/>
                    <w:bottom w:val="single" w:color="000000" w:sz="4" w:space="0"/>
                  </w:tcBorders>
                  <w:shd w:val="clear" w:color="auto" w:fill="auto"/>
                  <w:vAlign w:val="center"/>
                </w:tcPr>
                <w:p w14:paraId="7983097C">
                  <w:pPr>
                    <w:overflowPunct w:val="0"/>
                    <w:spacing w:line="320" w:lineRule="exact"/>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w:t>
                  </w:r>
                </w:p>
              </w:tc>
            </w:tr>
            <w:tr w14:paraId="5F4877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4C4866D2">
                  <w:pPr>
                    <w:overflowPunct w:val="0"/>
                    <w:spacing w:line="320" w:lineRule="exact"/>
                    <w:jc w:val="center"/>
                    <w:textAlignment w:val="center"/>
                    <w:rPr>
                      <w:color w:val="auto"/>
                      <w:sz w:val="18"/>
                      <w:szCs w:val="18"/>
                      <w:highlight w:val="none"/>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0FF9AC94">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vAlign w:val="center"/>
                </w:tcPr>
                <w:p w14:paraId="71B154DD">
                  <w:pPr>
                    <w:overflowPunct w:val="0"/>
                    <w:spacing w:line="320" w:lineRule="exact"/>
                    <w:jc w:val="center"/>
                    <w:textAlignment w:val="center"/>
                    <w:rPr>
                      <w:color w:val="auto"/>
                      <w:sz w:val="18"/>
                      <w:szCs w:val="18"/>
                      <w:highlight w:val="none"/>
                    </w:rPr>
                  </w:pPr>
                  <w:r>
                    <w:rPr>
                      <w:color w:val="auto"/>
                      <w:sz w:val="18"/>
                      <w:szCs w:val="18"/>
                      <w:highlight w:val="none"/>
                    </w:rPr>
                    <w:t>COD</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FD3D7">
                  <w:pPr>
                    <w:pStyle w:val="75"/>
                    <w:adjustRightInd w:val="0"/>
                    <w:snapToGrid w:val="0"/>
                    <w:textAlignment w:val="center"/>
                    <w:rPr>
                      <w:rFonts w:hint="default"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86.87</w:t>
                  </w:r>
                </w:p>
              </w:tc>
              <w:tc>
                <w:tcPr>
                  <w:tcW w:w="1098" w:type="dxa"/>
                  <w:tcBorders>
                    <w:top w:val="single" w:color="000000" w:sz="4" w:space="0"/>
                    <w:left w:val="single" w:color="000000" w:sz="4" w:space="0"/>
                    <w:bottom w:val="single" w:color="000000" w:sz="4" w:space="0"/>
                    <w:right w:val="single" w:color="000000" w:sz="4" w:space="0"/>
                  </w:tcBorders>
                  <w:vAlign w:val="center"/>
                </w:tcPr>
                <w:p w14:paraId="69D35D52">
                  <w:pPr>
                    <w:overflowPunct w:val="0"/>
                    <w:spacing w:line="320" w:lineRule="exact"/>
                    <w:jc w:val="center"/>
                    <w:textAlignment w:val="center"/>
                    <w:rPr>
                      <w:rFonts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E757">
                  <w:pPr>
                    <w:pStyle w:val="75"/>
                    <w:adjustRightInd w:val="0"/>
                    <w:snapToGrid w:val="0"/>
                    <w:textAlignment w:val="center"/>
                    <w:rPr>
                      <w:rFonts w:hint="eastAsia"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86.87</w:t>
                  </w:r>
                </w:p>
              </w:tc>
              <w:tc>
                <w:tcPr>
                  <w:tcW w:w="1121" w:type="dxa"/>
                  <w:tcBorders>
                    <w:top w:val="single" w:color="000000" w:sz="4" w:space="0"/>
                    <w:left w:val="single" w:color="000000" w:sz="4" w:space="0"/>
                    <w:bottom w:val="single" w:color="000000" w:sz="4" w:space="0"/>
                    <w:right w:val="single" w:color="000000" w:sz="4" w:space="0"/>
                  </w:tcBorders>
                  <w:vAlign w:val="center"/>
                </w:tcPr>
                <w:p w14:paraId="7397A438">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8A2C">
                  <w:pPr>
                    <w:pStyle w:val="75"/>
                    <w:adjustRightInd w:val="0"/>
                    <w:snapToGrid w:val="0"/>
                    <w:textAlignment w:val="center"/>
                    <w:rPr>
                      <w:rFonts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86.87</w:t>
                  </w:r>
                </w:p>
              </w:tc>
              <w:tc>
                <w:tcPr>
                  <w:tcW w:w="1579" w:type="dxa"/>
                  <w:tcBorders>
                    <w:top w:val="single" w:color="000000" w:sz="4" w:space="0"/>
                    <w:left w:val="single" w:color="000000" w:sz="4" w:space="0"/>
                    <w:bottom w:val="single" w:color="000000" w:sz="4" w:space="0"/>
                  </w:tcBorders>
                  <w:shd w:val="clear" w:color="auto" w:fill="auto"/>
                  <w:vAlign w:val="center"/>
                </w:tcPr>
                <w:p w14:paraId="5293B078">
                  <w:pPr>
                    <w:pStyle w:val="80"/>
                    <w:spacing w:before="48" w:after="48"/>
                    <w:rPr>
                      <w:rFonts w:hint="eastAsia" w:ascii="Times New Roman" w:hAnsi="Times New Roman" w:eastAsia="宋体" w:cs="Times New Roman"/>
                      <w:color w:val="auto"/>
                      <w:sz w:val="18"/>
                      <w:szCs w:val="18"/>
                      <w:highlight w:val="none"/>
                      <w:lang w:val="en-US" w:eastAsia="zh-CN"/>
                    </w:rPr>
                  </w:pPr>
                  <w:r>
                    <w:rPr>
                      <w:rFonts w:hint="eastAsia" w:cs="Times New Roman"/>
                      <w:bCs/>
                      <w:color w:val="auto"/>
                      <w:kern w:val="2"/>
                      <w:sz w:val="18"/>
                      <w:szCs w:val="18"/>
                      <w:highlight w:val="none"/>
                      <w:lang w:val="en-US" w:eastAsia="zh-CN" w:bidi="ar-SA"/>
                    </w:rPr>
                    <w:t>2.085</w:t>
                  </w:r>
                </w:p>
              </w:tc>
              <w:tc>
                <w:tcPr>
                  <w:tcW w:w="1579" w:type="dxa"/>
                  <w:tcBorders>
                    <w:top w:val="single" w:color="000000" w:sz="4" w:space="0"/>
                    <w:left w:val="single" w:color="000000" w:sz="4" w:space="0"/>
                    <w:bottom w:val="single" w:color="000000" w:sz="4" w:space="0"/>
                  </w:tcBorders>
                  <w:shd w:val="clear" w:color="auto" w:fill="auto"/>
                  <w:vAlign w:val="center"/>
                </w:tcPr>
                <w:p w14:paraId="2985F999">
                  <w:pPr>
                    <w:pStyle w:val="80"/>
                    <w:spacing w:before="48" w:after="48"/>
                    <w:rPr>
                      <w:rFonts w:hint="eastAsia" w:ascii="Times New Roman" w:hAnsi="Times New Roman" w:eastAsia="宋体" w:cs="Times New Roman"/>
                      <w:color w:val="auto"/>
                      <w:kern w:val="0"/>
                      <w:sz w:val="18"/>
                      <w:szCs w:val="18"/>
                      <w:highlight w:val="none"/>
                      <w:lang w:val="en-US" w:eastAsia="zh-CN" w:bidi="ar-SA"/>
                    </w:rPr>
                  </w:pPr>
                  <w:r>
                    <w:rPr>
                      <w:rFonts w:hint="eastAsia" w:ascii="Times New Roman" w:hAnsi="Times New Roman" w:eastAsia="宋体" w:cs="Times New Roman"/>
                      <w:color w:val="auto"/>
                      <w:kern w:val="0"/>
                      <w:sz w:val="18"/>
                      <w:szCs w:val="18"/>
                      <w:highlight w:val="none"/>
                      <w:lang w:val="en-US" w:eastAsia="zh-CN" w:bidi="ar-SA"/>
                    </w:rPr>
                    <w:t>/</w:t>
                  </w:r>
                </w:p>
              </w:tc>
            </w:tr>
            <w:tr w14:paraId="46B33C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7D06DA4E">
                  <w:pPr>
                    <w:overflowPunct w:val="0"/>
                    <w:spacing w:line="320" w:lineRule="exact"/>
                    <w:jc w:val="center"/>
                    <w:textAlignment w:val="center"/>
                    <w:rPr>
                      <w:color w:val="auto"/>
                      <w:sz w:val="18"/>
                      <w:szCs w:val="18"/>
                      <w:highlight w:val="none"/>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7D0768CC">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vAlign w:val="center"/>
                </w:tcPr>
                <w:p w14:paraId="257753D3">
                  <w:pPr>
                    <w:overflowPunct w:val="0"/>
                    <w:spacing w:line="320" w:lineRule="exact"/>
                    <w:jc w:val="center"/>
                    <w:textAlignment w:val="center"/>
                    <w:rPr>
                      <w:color w:val="auto"/>
                      <w:sz w:val="18"/>
                      <w:szCs w:val="18"/>
                      <w:highlight w:val="none"/>
                    </w:rPr>
                  </w:pPr>
                  <w:r>
                    <w:rPr>
                      <w:color w:val="auto"/>
                      <w:sz w:val="18"/>
                      <w:szCs w:val="18"/>
                      <w:highlight w:val="none"/>
                    </w:rPr>
                    <w:t>SS</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C5E0">
                  <w:pPr>
                    <w:pStyle w:val="75"/>
                    <w:adjustRightInd w:val="0"/>
                    <w:snapToGrid w:val="0"/>
                    <w:textAlignment w:val="center"/>
                    <w:rPr>
                      <w:rFonts w:hint="default"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43.435</w:t>
                  </w:r>
                </w:p>
              </w:tc>
              <w:tc>
                <w:tcPr>
                  <w:tcW w:w="1098" w:type="dxa"/>
                  <w:tcBorders>
                    <w:top w:val="single" w:color="000000" w:sz="4" w:space="0"/>
                    <w:left w:val="single" w:color="000000" w:sz="4" w:space="0"/>
                    <w:bottom w:val="single" w:color="000000" w:sz="4" w:space="0"/>
                    <w:right w:val="single" w:color="000000" w:sz="4" w:space="0"/>
                  </w:tcBorders>
                  <w:vAlign w:val="center"/>
                </w:tcPr>
                <w:p w14:paraId="3E015939">
                  <w:pPr>
                    <w:overflowPunct w:val="0"/>
                    <w:spacing w:line="320" w:lineRule="exact"/>
                    <w:jc w:val="center"/>
                    <w:textAlignment w:val="center"/>
                    <w:rPr>
                      <w:rFonts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33FFE">
                  <w:pPr>
                    <w:pStyle w:val="75"/>
                    <w:adjustRightInd w:val="0"/>
                    <w:snapToGrid w:val="0"/>
                    <w:textAlignment w:val="center"/>
                    <w:rPr>
                      <w:rFonts w:hint="eastAsia"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43.435</w:t>
                  </w:r>
                </w:p>
              </w:tc>
              <w:tc>
                <w:tcPr>
                  <w:tcW w:w="1121" w:type="dxa"/>
                  <w:tcBorders>
                    <w:top w:val="single" w:color="000000" w:sz="4" w:space="0"/>
                    <w:left w:val="single" w:color="000000" w:sz="4" w:space="0"/>
                    <w:bottom w:val="single" w:color="000000" w:sz="4" w:space="0"/>
                    <w:right w:val="single" w:color="000000" w:sz="4" w:space="0"/>
                  </w:tcBorders>
                  <w:vAlign w:val="center"/>
                </w:tcPr>
                <w:p w14:paraId="100FAE3C">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2B68">
                  <w:pPr>
                    <w:pStyle w:val="75"/>
                    <w:adjustRightInd w:val="0"/>
                    <w:snapToGrid w:val="0"/>
                    <w:textAlignment w:val="center"/>
                    <w:rPr>
                      <w:rFonts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43.435</w:t>
                  </w:r>
                </w:p>
              </w:tc>
              <w:tc>
                <w:tcPr>
                  <w:tcW w:w="1579" w:type="dxa"/>
                  <w:tcBorders>
                    <w:top w:val="single" w:color="000000" w:sz="4" w:space="0"/>
                    <w:left w:val="single" w:color="000000" w:sz="4" w:space="0"/>
                    <w:bottom w:val="single" w:color="000000" w:sz="4" w:space="0"/>
                  </w:tcBorders>
                  <w:shd w:val="clear" w:color="auto" w:fill="auto"/>
                  <w:vAlign w:val="center"/>
                </w:tcPr>
                <w:p w14:paraId="7922BB14">
                  <w:pPr>
                    <w:pStyle w:val="80"/>
                    <w:spacing w:before="48" w:after="48"/>
                    <w:rPr>
                      <w:rFonts w:hint="eastAsia" w:ascii="Times New Roman" w:hAnsi="Times New Roman" w:eastAsia="宋体" w:cs="Times New Roman"/>
                      <w:color w:val="auto"/>
                      <w:sz w:val="18"/>
                      <w:szCs w:val="18"/>
                      <w:highlight w:val="none"/>
                      <w:lang w:val="en-US" w:eastAsia="zh-CN"/>
                    </w:rPr>
                  </w:pPr>
                  <w:r>
                    <w:rPr>
                      <w:rFonts w:hint="eastAsia" w:cs="Times New Roman"/>
                      <w:bCs/>
                      <w:color w:val="auto"/>
                      <w:kern w:val="2"/>
                      <w:sz w:val="18"/>
                      <w:szCs w:val="18"/>
                      <w:highlight w:val="none"/>
                      <w:lang w:val="en-US" w:eastAsia="zh-CN" w:bidi="ar-SA"/>
                    </w:rPr>
                    <w:t>0.417</w:t>
                  </w:r>
                </w:p>
              </w:tc>
              <w:tc>
                <w:tcPr>
                  <w:tcW w:w="1579" w:type="dxa"/>
                  <w:tcBorders>
                    <w:top w:val="single" w:color="000000" w:sz="4" w:space="0"/>
                    <w:left w:val="single" w:color="000000" w:sz="4" w:space="0"/>
                    <w:bottom w:val="single" w:color="000000" w:sz="4" w:space="0"/>
                  </w:tcBorders>
                  <w:shd w:val="clear" w:color="auto" w:fill="auto"/>
                  <w:vAlign w:val="center"/>
                </w:tcPr>
                <w:p w14:paraId="0EF95187">
                  <w:pPr>
                    <w:pStyle w:val="80"/>
                    <w:spacing w:before="48" w:after="48"/>
                    <w:rPr>
                      <w:rFonts w:hint="eastAsia" w:ascii="Times New Roman" w:hAnsi="Times New Roman" w:eastAsia="宋体" w:cs="Times New Roman"/>
                      <w:color w:val="auto"/>
                      <w:kern w:val="0"/>
                      <w:sz w:val="18"/>
                      <w:szCs w:val="18"/>
                      <w:highlight w:val="none"/>
                      <w:lang w:val="en-US" w:eastAsia="zh-CN" w:bidi="ar-SA"/>
                    </w:rPr>
                  </w:pPr>
                  <w:r>
                    <w:rPr>
                      <w:rFonts w:hint="eastAsia" w:ascii="Times New Roman" w:hAnsi="Times New Roman" w:eastAsia="宋体" w:cs="Times New Roman"/>
                      <w:color w:val="auto"/>
                      <w:kern w:val="0"/>
                      <w:sz w:val="18"/>
                      <w:szCs w:val="18"/>
                      <w:highlight w:val="none"/>
                      <w:lang w:val="en-US" w:eastAsia="zh-CN" w:bidi="ar-SA"/>
                    </w:rPr>
                    <w:t>/</w:t>
                  </w:r>
                </w:p>
              </w:tc>
            </w:tr>
            <w:tr w14:paraId="5CA208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2529D4D4">
                  <w:pPr>
                    <w:overflowPunct w:val="0"/>
                    <w:spacing w:line="320" w:lineRule="exact"/>
                    <w:jc w:val="center"/>
                    <w:textAlignment w:val="center"/>
                    <w:rPr>
                      <w:color w:val="auto"/>
                      <w:sz w:val="18"/>
                      <w:szCs w:val="18"/>
                      <w:highlight w:val="none"/>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376FE521">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vAlign w:val="center"/>
                </w:tcPr>
                <w:p w14:paraId="1D7CCC41">
                  <w:pPr>
                    <w:overflowPunct w:val="0"/>
                    <w:spacing w:line="320" w:lineRule="exact"/>
                    <w:jc w:val="center"/>
                    <w:textAlignment w:val="center"/>
                    <w:rPr>
                      <w:rFonts w:hint="default" w:eastAsia="宋体"/>
                      <w:color w:val="auto"/>
                      <w:sz w:val="18"/>
                      <w:szCs w:val="18"/>
                      <w:highlight w:val="none"/>
                      <w:lang w:val="en-US" w:eastAsia="zh-CN"/>
                    </w:rPr>
                  </w:pPr>
                  <w:r>
                    <w:rPr>
                      <w:rFonts w:hint="eastAsia"/>
                      <w:color w:val="auto"/>
                      <w:sz w:val="18"/>
                      <w:szCs w:val="18"/>
                      <w:highlight w:val="none"/>
                      <w:lang w:val="en-US" w:eastAsia="zh-CN"/>
                    </w:rPr>
                    <w:t>石油类</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025B3">
                  <w:pPr>
                    <w:pStyle w:val="75"/>
                    <w:adjustRightInd w:val="0"/>
                    <w:snapToGrid w:val="0"/>
                    <w:textAlignment w:val="center"/>
                    <w:rPr>
                      <w:rFonts w:hint="default"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2.606</w:t>
                  </w:r>
                </w:p>
              </w:tc>
              <w:tc>
                <w:tcPr>
                  <w:tcW w:w="1098" w:type="dxa"/>
                  <w:tcBorders>
                    <w:top w:val="single" w:color="000000" w:sz="4" w:space="0"/>
                    <w:left w:val="single" w:color="000000" w:sz="4" w:space="0"/>
                    <w:bottom w:val="single" w:color="000000" w:sz="4" w:space="0"/>
                    <w:right w:val="single" w:color="000000" w:sz="4" w:space="0"/>
                  </w:tcBorders>
                  <w:vAlign w:val="center"/>
                </w:tcPr>
                <w:p w14:paraId="2B388B5D">
                  <w:pPr>
                    <w:overflowPunct w:val="0"/>
                    <w:spacing w:line="320" w:lineRule="exact"/>
                    <w:jc w:val="center"/>
                    <w:textAlignment w:val="center"/>
                    <w:rPr>
                      <w:rFonts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15AE">
                  <w:pPr>
                    <w:pStyle w:val="75"/>
                    <w:adjustRightInd w:val="0"/>
                    <w:snapToGrid w:val="0"/>
                    <w:textAlignment w:val="center"/>
                    <w:rPr>
                      <w:rFonts w:hint="default"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2.606</w:t>
                  </w:r>
                </w:p>
              </w:tc>
              <w:tc>
                <w:tcPr>
                  <w:tcW w:w="1121" w:type="dxa"/>
                  <w:tcBorders>
                    <w:top w:val="single" w:color="000000" w:sz="4" w:space="0"/>
                    <w:left w:val="single" w:color="000000" w:sz="4" w:space="0"/>
                    <w:bottom w:val="single" w:color="000000" w:sz="4" w:space="0"/>
                    <w:right w:val="single" w:color="000000" w:sz="4" w:space="0"/>
                  </w:tcBorders>
                  <w:vAlign w:val="center"/>
                </w:tcPr>
                <w:p w14:paraId="0B5E7048">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69602">
                  <w:pPr>
                    <w:pStyle w:val="75"/>
                    <w:adjustRightInd w:val="0"/>
                    <w:snapToGrid w:val="0"/>
                    <w:textAlignment w:val="center"/>
                    <w:rPr>
                      <w:rFonts w:hint="default" w:ascii="Times New Roman" w:hAnsi="Times New Roman" w:eastAsia="宋体" w:cs="Times New Roman"/>
                      <w:color w:val="auto"/>
                      <w:sz w:val="18"/>
                      <w:szCs w:val="18"/>
                      <w:highlight w:val="none"/>
                      <w:lang w:val="en-US" w:eastAsia="zh-CN"/>
                    </w:rPr>
                  </w:pPr>
                  <w:r>
                    <w:rPr>
                      <w:rFonts w:hint="eastAsia"/>
                      <w:bCs/>
                      <w:color w:val="auto"/>
                      <w:sz w:val="18"/>
                      <w:szCs w:val="18"/>
                      <w:lang w:val="en-US" w:eastAsia="zh-CN"/>
                    </w:rPr>
                    <w:t>2.606</w:t>
                  </w:r>
                </w:p>
              </w:tc>
              <w:tc>
                <w:tcPr>
                  <w:tcW w:w="1579" w:type="dxa"/>
                  <w:tcBorders>
                    <w:top w:val="single" w:color="000000" w:sz="4" w:space="0"/>
                    <w:left w:val="single" w:color="000000" w:sz="4" w:space="0"/>
                    <w:bottom w:val="single" w:color="000000" w:sz="4" w:space="0"/>
                  </w:tcBorders>
                  <w:shd w:val="clear" w:color="auto" w:fill="auto"/>
                  <w:vAlign w:val="center"/>
                </w:tcPr>
                <w:p w14:paraId="33E47126">
                  <w:pPr>
                    <w:pStyle w:val="80"/>
                    <w:spacing w:before="48" w:after="48"/>
                    <w:rPr>
                      <w:rFonts w:hint="eastAsia" w:ascii="Times New Roman" w:hAnsi="Times New Roman" w:eastAsia="宋体" w:cs="Times New Roman"/>
                      <w:color w:val="auto"/>
                      <w:sz w:val="18"/>
                      <w:szCs w:val="18"/>
                      <w:highlight w:val="none"/>
                      <w:lang w:val="en-US" w:eastAsia="zh-CN"/>
                    </w:rPr>
                  </w:pPr>
                  <w:r>
                    <w:rPr>
                      <w:rFonts w:hint="eastAsia" w:cs="Times New Roman"/>
                      <w:bCs/>
                      <w:color w:val="auto"/>
                      <w:kern w:val="2"/>
                      <w:sz w:val="18"/>
                      <w:szCs w:val="18"/>
                      <w:highlight w:val="none"/>
                      <w:lang w:val="en-US" w:eastAsia="zh-CN" w:bidi="ar-SA"/>
                    </w:rPr>
                    <w:t>0.042</w:t>
                  </w:r>
                </w:p>
              </w:tc>
              <w:tc>
                <w:tcPr>
                  <w:tcW w:w="1579" w:type="dxa"/>
                  <w:tcBorders>
                    <w:top w:val="single" w:color="000000" w:sz="4" w:space="0"/>
                    <w:left w:val="single" w:color="000000" w:sz="4" w:space="0"/>
                    <w:bottom w:val="single" w:color="000000" w:sz="4" w:space="0"/>
                  </w:tcBorders>
                  <w:shd w:val="clear" w:color="auto" w:fill="auto"/>
                  <w:vAlign w:val="center"/>
                </w:tcPr>
                <w:p w14:paraId="409E56A7">
                  <w:pPr>
                    <w:pStyle w:val="80"/>
                    <w:spacing w:before="48" w:after="48"/>
                    <w:rPr>
                      <w:rFonts w:hint="eastAsia" w:ascii="Times New Roman" w:hAnsi="Times New Roman" w:eastAsia="宋体" w:cs="Times New Roman"/>
                      <w:color w:val="auto"/>
                      <w:kern w:val="0"/>
                      <w:sz w:val="18"/>
                      <w:szCs w:val="18"/>
                      <w:highlight w:val="none"/>
                      <w:lang w:val="en-US" w:eastAsia="zh-CN" w:bidi="ar-SA"/>
                    </w:rPr>
                  </w:pPr>
                  <w:r>
                    <w:rPr>
                      <w:rFonts w:hint="eastAsia" w:ascii="Times New Roman" w:hAnsi="Times New Roman" w:eastAsia="宋体" w:cs="Times New Roman"/>
                      <w:color w:val="auto"/>
                      <w:kern w:val="0"/>
                      <w:sz w:val="18"/>
                      <w:szCs w:val="18"/>
                      <w:highlight w:val="none"/>
                      <w:lang w:val="en-US" w:eastAsia="zh-CN" w:bidi="ar-SA"/>
                    </w:rPr>
                    <w:t>/</w:t>
                  </w:r>
                </w:p>
              </w:tc>
            </w:tr>
            <w:tr w14:paraId="2E96FA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restart"/>
                  <w:tcBorders>
                    <w:top w:val="single" w:color="000000" w:sz="4" w:space="0"/>
                    <w:bottom w:val="single" w:color="000000" w:sz="4" w:space="0"/>
                    <w:right w:val="single" w:color="000000" w:sz="4" w:space="0"/>
                  </w:tcBorders>
                  <w:vAlign w:val="center"/>
                </w:tcPr>
                <w:p w14:paraId="673661E2">
                  <w:pPr>
                    <w:overflowPunct w:val="0"/>
                    <w:spacing w:line="320" w:lineRule="exact"/>
                    <w:jc w:val="center"/>
                    <w:textAlignment w:val="center"/>
                    <w:rPr>
                      <w:color w:val="auto"/>
                      <w:sz w:val="18"/>
                      <w:szCs w:val="18"/>
                      <w:highlight w:val="none"/>
                    </w:rPr>
                  </w:pPr>
                  <w:r>
                    <w:rPr>
                      <w:rFonts w:hint="eastAsia"/>
                      <w:color w:val="auto"/>
                      <w:sz w:val="18"/>
                      <w:szCs w:val="18"/>
                      <w:highlight w:val="none"/>
                    </w:rPr>
                    <w:t>固废</w:t>
                  </w:r>
                </w:p>
              </w:tc>
              <w:tc>
                <w:tcPr>
                  <w:tcW w:w="765" w:type="dxa"/>
                  <w:vMerge w:val="restart"/>
                  <w:tcBorders>
                    <w:top w:val="single" w:color="000000" w:sz="4" w:space="0"/>
                    <w:left w:val="single" w:color="000000" w:sz="4" w:space="0"/>
                    <w:bottom w:val="single" w:color="000000" w:sz="4" w:space="0"/>
                    <w:right w:val="single" w:color="000000" w:sz="4" w:space="0"/>
                  </w:tcBorders>
                  <w:vAlign w:val="center"/>
                </w:tcPr>
                <w:p w14:paraId="096506E7">
                  <w:pPr>
                    <w:overflowPunct w:val="0"/>
                    <w:spacing w:line="320" w:lineRule="exact"/>
                    <w:jc w:val="center"/>
                    <w:textAlignment w:val="center"/>
                    <w:rPr>
                      <w:color w:val="auto"/>
                      <w:sz w:val="18"/>
                      <w:szCs w:val="18"/>
                      <w:highlight w:val="none"/>
                    </w:rPr>
                  </w:pPr>
                  <w:r>
                    <w:rPr>
                      <w:rFonts w:hint="eastAsia"/>
                      <w:color w:val="auto"/>
                      <w:sz w:val="18"/>
                      <w:szCs w:val="18"/>
                      <w:highlight w:val="none"/>
                    </w:rPr>
                    <w:t>一般</w:t>
                  </w:r>
                </w:p>
                <w:p w14:paraId="7CBE7CD5">
                  <w:pPr>
                    <w:overflowPunct w:val="0"/>
                    <w:spacing w:line="320" w:lineRule="exact"/>
                    <w:jc w:val="center"/>
                    <w:textAlignment w:val="center"/>
                    <w:rPr>
                      <w:color w:val="auto"/>
                      <w:sz w:val="18"/>
                      <w:szCs w:val="18"/>
                      <w:highlight w:val="none"/>
                    </w:rPr>
                  </w:pPr>
                  <w:r>
                    <w:rPr>
                      <w:rFonts w:hint="eastAsia"/>
                      <w:color w:val="auto"/>
                      <w:sz w:val="18"/>
                      <w:szCs w:val="18"/>
                      <w:highlight w:val="none"/>
                    </w:rPr>
                    <w:t>固废</w:t>
                  </w:r>
                </w:p>
              </w:tc>
              <w:tc>
                <w:tcPr>
                  <w:tcW w:w="1762" w:type="dxa"/>
                  <w:tcBorders>
                    <w:top w:val="single" w:color="000000" w:sz="4" w:space="0"/>
                    <w:left w:val="single" w:color="000000" w:sz="4" w:space="0"/>
                    <w:bottom w:val="single" w:color="000000" w:sz="4" w:space="0"/>
                    <w:right w:val="single" w:color="000000" w:sz="4" w:space="0"/>
                  </w:tcBorders>
                  <w:vAlign w:val="center"/>
                </w:tcPr>
                <w:p w14:paraId="332EAD89">
                  <w:pPr>
                    <w:pStyle w:val="36"/>
                    <w:spacing w:beforeLines="0" w:after="24" w:line="240" w:lineRule="auto"/>
                    <w:ind w:right="0" w:rightChars="0"/>
                    <w:rPr>
                      <w:color w:val="auto"/>
                      <w:sz w:val="18"/>
                      <w:szCs w:val="18"/>
                      <w:highlight w:val="none"/>
                    </w:rPr>
                  </w:pPr>
                  <w:r>
                    <w:rPr>
                      <w:rFonts w:hint="eastAsia" w:ascii="Times New Roman"/>
                      <w:snapToGrid w:val="0"/>
                      <w:color w:val="000000"/>
                      <w:spacing w:val="-4"/>
                      <w:kern w:val="21"/>
                      <w:sz w:val="18"/>
                      <w:szCs w:val="18"/>
                    </w:rPr>
                    <w:t>废丝</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1B9D">
                  <w:pPr>
                    <w:adjustRightInd w:val="0"/>
                    <w:snapToGrid w:val="0"/>
                    <w:spacing w:beforeLines="20" w:afterLines="20"/>
                    <w:jc w:val="center"/>
                    <w:rPr>
                      <w:rFonts w:hint="eastAsia"/>
                      <w:color w:val="auto"/>
                      <w:sz w:val="18"/>
                      <w:szCs w:val="18"/>
                      <w:highlight w:val="none"/>
                      <w:lang w:val="en-US" w:eastAsia="zh-CN"/>
                    </w:rPr>
                  </w:pPr>
                  <w:r>
                    <w:rPr>
                      <w:rFonts w:hint="eastAsia" w:ascii="Times New Roman" w:hAnsi="Times New Roman" w:eastAsia="宋体" w:cs="Times New Roman"/>
                      <w:snapToGrid w:val="0"/>
                      <w:color w:val="000000"/>
                      <w:sz w:val="18"/>
                      <w:szCs w:val="18"/>
                      <w:lang w:val="en-US" w:eastAsia="zh-CN"/>
                    </w:rPr>
                    <w:t>57</w:t>
                  </w:r>
                </w:p>
              </w:tc>
              <w:tc>
                <w:tcPr>
                  <w:tcW w:w="1098" w:type="dxa"/>
                  <w:tcBorders>
                    <w:top w:val="single" w:color="000000" w:sz="4" w:space="0"/>
                    <w:left w:val="single" w:color="000000" w:sz="4" w:space="0"/>
                    <w:bottom w:val="single" w:color="000000" w:sz="4" w:space="0"/>
                    <w:right w:val="single" w:color="000000" w:sz="4" w:space="0"/>
                  </w:tcBorders>
                  <w:vAlign w:val="center"/>
                </w:tcPr>
                <w:p w14:paraId="08BD6DB1">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52F28">
                  <w:pPr>
                    <w:adjustRightInd w:val="0"/>
                    <w:snapToGrid w:val="0"/>
                    <w:spacing w:beforeLines="20" w:afterLines="20"/>
                    <w:jc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snapToGrid w:val="0"/>
                      <w:color w:val="000000"/>
                      <w:sz w:val="18"/>
                      <w:szCs w:val="18"/>
                      <w:lang w:val="en-US" w:eastAsia="zh-CN"/>
                    </w:rPr>
                    <w:t>57</w:t>
                  </w:r>
                </w:p>
              </w:tc>
              <w:tc>
                <w:tcPr>
                  <w:tcW w:w="1121" w:type="dxa"/>
                  <w:tcBorders>
                    <w:top w:val="single" w:color="000000" w:sz="4" w:space="0"/>
                    <w:left w:val="single" w:color="000000" w:sz="4" w:space="0"/>
                    <w:bottom w:val="single" w:color="000000" w:sz="4" w:space="0"/>
                    <w:right w:val="single" w:color="000000" w:sz="4" w:space="0"/>
                  </w:tcBorders>
                  <w:vAlign w:val="center"/>
                </w:tcPr>
                <w:p w14:paraId="1F6B73BC">
                  <w:pPr>
                    <w:overflowPunct w:val="0"/>
                    <w:spacing w:line="320" w:lineRule="exact"/>
                    <w:jc w:val="center"/>
                    <w:textAlignment w:val="center"/>
                    <w:rPr>
                      <w:color w:val="auto"/>
                      <w:sz w:val="18"/>
                      <w:szCs w:val="18"/>
                      <w:highlight w:val="none"/>
                    </w:rPr>
                  </w:pPr>
                  <w:r>
                    <w:rPr>
                      <w:color w:val="auto"/>
                      <w:sz w:val="18"/>
                      <w:szCs w:val="18"/>
                      <w:highlight w:val="none"/>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E887">
                  <w:pPr>
                    <w:adjustRightInd w:val="0"/>
                    <w:snapToGrid w:val="0"/>
                    <w:spacing w:beforeLines="20" w:afterLines="20"/>
                    <w:jc w:val="center"/>
                    <w:rPr>
                      <w:rFonts w:hint="default"/>
                      <w:color w:val="auto"/>
                      <w:sz w:val="18"/>
                      <w:szCs w:val="18"/>
                      <w:highlight w:val="none"/>
                      <w:lang w:val="en-US" w:eastAsia="zh-CN"/>
                    </w:rPr>
                  </w:pPr>
                  <w:r>
                    <w:rPr>
                      <w:rFonts w:hint="eastAsia" w:ascii="Times New Roman" w:hAnsi="Times New Roman" w:eastAsia="宋体" w:cs="Times New Roman"/>
                      <w:snapToGrid w:val="0"/>
                      <w:color w:val="000000"/>
                      <w:sz w:val="18"/>
                      <w:szCs w:val="18"/>
                      <w:lang w:val="en-US" w:eastAsia="zh-CN"/>
                    </w:rPr>
                    <w:t>57</w:t>
                  </w:r>
                </w:p>
              </w:tc>
              <w:tc>
                <w:tcPr>
                  <w:tcW w:w="1579" w:type="dxa"/>
                  <w:tcBorders>
                    <w:top w:val="single" w:color="000000" w:sz="4" w:space="0"/>
                    <w:left w:val="single" w:color="000000" w:sz="4" w:space="0"/>
                    <w:bottom w:val="single" w:color="000000" w:sz="4" w:space="0"/>
                  </w:tcBorders>
                  <w:vAlign w:val="center"/>
                </w:tcPr>
                <w:p w14:paraId="483F6C45">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0</w:t>
                  </w:r>
                </w:p>
              </w:tc>
              <w:tc>
                <w:tcPr>
                  <w:tcW w:w="1579" w:type="dxa"/>
                  <w:tcBorders>
                    <w:top w:val="single" w:color="000000" w:sz="4" w:space="0"/>
                    <w:left w:val="single" w:color="000000" w:sz="4" w:space="0"/>
                    <w:bottom w:val="single" w:color="000000" w:sz="4" w:space="0"/>
                  </w:tcBorders>
                  <w:vAlign w:val="center"/>
                </w:tcPr>
                <w:p w14:paraId="13121E0D">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w:t>
                  </w:r>
                </w:p>
              </w:tc>
            </w:tr>
            <w:tr w14:paraId="75DB6B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554CDEFE">
                  <w:pPr>
                    <w:overflowPunct w:val="0"/>
                    <w:spacing w:line="320" w:lineRule="exact"/>
                    <w:jc w:val="center"/>
                    <w:textAlignment w:val="center"/>
                    <w:rPr>
                      <w:color w:val="auto"/>
                      <w:sz w:val="18"/>
                      <w:szCs w:val="18"/>
                      <w:highlight w:val="none"/>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14:paraId="729078D3">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vAlign w:val="center"/>
                </w:tcPr>
                <w:p w14:paraId="10AC45CD">
                  <w:pPr>
                    <w:pStyle w:val="36"/>
                    <w:spacing w:beforeLines="0" w:after="24" w:line="240" w:lineRule="auto"/>
                    <w:ind w:right="0" w:rightChars="0"/>
                    <w:rPr>
                      <w:color w:val="auto"/>
                      <w:sz w:val="18"/>
                      <w:szCs w:val="18"/>
                      <w:highlight w:val="none"/>
                    </w:rPr>
                  </w:pPr>
                  <w:r>
                    <w:rPr>
                      <w:rFonts w:hint="eastAsia" w:ascii="Times New Roman"/>
                      <w:snapToGrid w:val="0"/>
                      <w:color w:val="000000"/>
                      <w:spacing w:val="-4"/>
                      <w:kern w:val="21"/>
                      <w:sz w:val="18"/>
                      <w:szCs w:val="18"/>
                      <w:lang w:val="en-US" w:eastAsia="zh-CN"/>
                    </w:rPr>
                    <w:t>废胶水</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40DD">
                  <w:pPr>
                    <w:snapToGrid w:val="0"/>
                    <w:jc w:val="center"/>
                    <w:textAlignment w:val="baseline"/>
                    <w:rPr>
                      <w:rFonts w:hint="default"/>
                      <w:color w:val="auto"/>
                      <w:sz w:val="18"/>
                      <w:szCs w:val="18"/>
                      <w:highlight w:val="none"/>
                      <w:lang w:val="en-US" w:eastAsia="zh-CN"/>
                    </w:rPr>
                  </w:pPr>
                  <w:r>
                    <w:rPr>
                      <w:rFonts w:hint="eastAsia"/>
                      <w:color w:val="auto"/>
                      <w:sz w:val="18"/>
                      <w:szCs w:val="18"/>
                      <w:lang w:val="en-US" w:eastAsia="zh-CN"/>
                    </w:rPr>
                    <w:t>3</w:t>
                  </w:r>
                </w:p>
              </w:tc>
              <w:tc>
                <w:tcPr>
                  <w:tcW w:w="1098" w:type="dxa"/>
                  <w:tcBorders>
                    <w:top w:val="single" w:color="000000" w:sz="4" w:space="0"/>
                    <w:left w:val="single" w:color="000000" w:sz="4" w:space="0"/>
                    <w:bottom w:val="single" w:color="000000" w:sz="4" w:space="0"/>
                    <w:right w:val="single" w:color="000000" w:sz="4" w:space="0"/>
                  </w:tcBorders>
                  <w:vAlign w:val="center"/>
                </w:tcPr>
                <w:p w14:paraId="0757DB07">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FDAEB">
                  <w:pPr>
                    <w:snapToGrid w:val="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eastAsia"/>
                      <w:color w:val="auto"/>
                      <w:sz w:val="18"/>
                      <w:szCs w:val="18"/>
                      <w:lang w:val="en-US" w:eastAsia="zh-CN"/>
                    </w:rPr>
                    <w:t>3</w:t>
                  </w:r>
                </w:p>
              </w:tc>
              <w:tc>
                <w:tcPr>
                  <w:tcW w:w="1121" w:type="dxa"/>
                  <w:tcBorders>
                    <w:top w:val="single" w:color="000000" w:sz="4" w:space="0"/>
                    <w:left w:val="single" w:color="000000" w:sz="4" w:space="0"/>
                    <w:bottom w:val="single" w:color="000000" w:sz="4" w:space="0"/>
                    <w:right w:val="single" w:color="000000" w:sz="4" w:space="0"/>
                  </w:tcBorders>
                  <w:vAlign w:val="center"/>
                </w:tcPr>
                <w:p w14:paraId="05B7C111">
                  <w:pPr>
                    <w:overflowPunct w:val="0"/>
                    <w:spacing w:line="320" w:lineRule="exact"/>
                    <w:jc w:val="center"/>
                    <w:textAlignment w:val="center"/>
                    <w:rPr>
                      <w:color w:val="auto"/>
                      <w:sz w:val="18"/>
                      <w:szCs w:val="18"/>
                      <w:highlight w:val="none"/>
                    </w:rPr>
                  </w:pPr>
                  <w:r>
                    <w:rPr>
                      <w:color w:val="auto"/>
                      <w:sz w:val="18"/>
                      <w:szCs w:val="18"/>
                      <w:highlight w:val="none"/>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B4B0">
                  <w:pPr>
                    <w:snapToGrid w:val="0"/>
                    <w:jc w:val="center"/>
                    <w:textAlignment w:val="baseline"/>
                    <w:rPr>
                      <w:rFonts w:hint="default"/>
                      <w:color w:val="auto"/>
                      <w:sz w:val="18"/>
                      <w:szCs w:val="18"/>
                      <w:highlight w:val="none"/>
                      <w:lang w:val="en-US" w:eastAsia="zh-CN"/>
                    </w:rPr>
                  </w:pPr>
                  <w:r>
                    <w:rPr>
                      <w:rFonts w:hint="eastAsia"/>
                      <w:color w:val="auto"/>
                      <w:sz w:val="18"/>
                      <w:szCs w:val="18"/>
                      <w:lang w:val="en-US" w:eastAsia="zh-CN"/>
                    </w:rPr>
                    <w:t>3</w:t>
                  </w:r>
                </w:p>
              </w:tc>
              <w:tc>
                <w:tcPr>
                  <w:tcW w:w="1579" w:type="dxa"/>
                  <w:tcBorders>
                    <w:top w:val="single" w:color="000000" w:sz="4" w:space="0"/>
                    <w:left w:val="single" w:color="000000" w:sz="4" w:space="0"/>
                    <w:bottom w:val="single" w:color="000000" w:sz="4" w:space="0"/>
                  </w:tcBorders>
                  <w:vAlign w:val="center"/>
                </w:tcPr>
                <w:p w14:paraId="3D4C8882">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0</w:t>
                  </w:r>
                </w:p>
              </w:tc>
              <w:tc>
                <w:tcPr>
                  <w:tcW w:w="1579" w:type="dxa"/>
                  <w:tcBorders>
                    <w:top w:val="single" w:color="000000" w:sz="4" w:space="0"/>
                    <w:left w:val="single" w:color="000000" w:sz="4" w:space="0"/>
                    <w:bottom w:val="single" w:color="000000" w:sz="4" w:space="0"/>
                  </w:tcBorders>
                  <w:vAlign w:val="center"/>
                </w:tcPr>
                <w:p w14:paraId="7D133E1A">
                  <w:pPr>
                    <w:pStyle w:val="80"/>
                    <w:spacing w:before="48" w:after="48"/>
                    <w:rPr>
                      <w:rFonts w:hint="eastAsia"/>
                      <w:color w:val="auto"/>
                      <w:sz w:val="18"/>
                      <w:szCs w:val="18"/>
                      <w:highlight w:val="none"/>
                      <w:lang w:val="en-US" w:eastAsia="zh-CN"/>
                    </w:rPr>
                  </w:pPr>
                  <w:r>
                    <w:rPr>
                      <w:rFonts w:hint="eastAsia" w:ascii="Times New Roman" w:hAnsi="Times New Roman" w:eastAsia="宋体" w:cs="Times New Roman"/>
                      <w:color w:val="auto"/>
                      <w:kern w:val="0"/>
                      <w:sz w:val="18"/>
                      <w:szCs w:val="18"/>
                      <w:highlight w:val="none"/>
                      <w:lang w:val="en-US" w:eastAsia="zh-CN" w:bidi="ar-SA"/>
                    </w:rPr>
                    <w:t>/</w:t>
                  </w:r>
                </w:p>
              </w:tc>
            </w:tr>
            <w:tr w14:paraId="43494D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26B1B6CF">
                  <w:pPr>
                    <w:overflowPunct w:val="0"/>
                    <w:spacing w:line="320" w:lineRule="exact"/>
                    <w:jc w:val="center"/>
                    <w:textAlignment w:val="center"/>
                    <w:rPr>
                      <w:color w:val="auto"/>
                      <w:sz w:val="18"/>
                      <w:szCs w:val="18"/>
                      <w:highlight w:val="none"/>
                    </w:rPr>
                  </w:pPr>
                </w:p>
              </w:tc>
              <w:tc>
                <w:tcPr>
                  <w:tcW w:w="765" w:type="dxa"/>
                  <w:vMerge w:val="restart"/>
                  <w:tcBorders>
                    <w:top w:val="single" w:color="000000" w:sz="4" w:space="0"/>
                    <w:left w:val="single" w:color="000000" w:sz="4" w:space="0"/>
                    <w:right w:val="single" w:color="000000" w:sz="4" w:space="0"/>
                  </w:tcBorders>
                  <w:vAlign w:val="center"/>
                </w:tcPr>
                <w:p w14:paraId="5677E11B">
                  <w:pPr>
                    <w:overflowPunct w:val="0"/>
                    <w:spacing w:line="320" w:lineRule="exact"/>
                    <w:jc w:val="center"/>
                    <w:textAlignment w:val="center"/>
                    <w:rPr>
                      <w:color w:val="auto"/>
                      <w:sz w:val="18"/>
                      <w:szCs w:val="18"/>
                      <w:highlight w:val="none"/>
                    </w:rPr>
                  </w:pPr>
                  <w:r>
                    <w:rPr>
                      <w:rFonts w:hint="eastAsia"/>
                      <w:color w:val="auto"/>
                      <w:sz w:val="18"/>
                      <w:szCs w:val="18"/>
                      <w:highlight w:val="none"/>
                    </w:rPr>
                    <w:t>危险</w:t>
                  </w:r>
                </w:p>
                <w:p w14:paraId="34D3A2E6">
                  <w:pPr>
                    <w:overflowPunct w:val="0"/>
                    <w:spacing w:line="320" w:lineRule="exact"/>
                    <w:jc w:val="center"/>
                    <w:textAlignment w:val="center"/>
                    <w:rPr>
                      <w:color w:val="auto"/>
                      <w:sz w:val="18"/>
                      <w:szCs w:val="18"/>
                      <w:highlight w:val="none"/>
                    </w:rPr>
                  </w:pPr>
                  <w:r>
                    <w:rPr>
                      <w:rFonts w:hint="eastAsia"/>
                      <w:color w:val="auto"/>
                      <w:sz w:val="18"/>
                      <w:szCs w:val="18"/>
                      <w:highlight w:val="none"/>
                    </w:rPr>
                    <w:t>废物</w:t>
                  </w:r>
                </w:p>
              </w:tc>
              <w:tc>
                <w:tcPr>
                  <w:tcW w:w="1762" w:type="dxa"/>
                  <w:tcBorders>
                    <w:top w:val="single" w:color="000000" w:sz="4" w:space="0"/>
                    <w:left w:val="single" w:color="000000" w:sz="4" w:space="0"/>
                    <w:bottom w:val="single" w:color="000000" w:sz="4" w:space="0"/>
                    <w:right w:val="single" w:color="000000" w:sz="4" w:space="0"/>
                  </w:tcBorders>
                  <w:vAlign w:val="center"/>
                </w:tcPr>
                <w:p w14:paraId="23C02D3F">
                  <w:pPr>
                    <w:pStyle w:val="36"/>
                    <w:spacing w:beforeLines="0" w:after="24" w:line="240" w:lineRule="auto"/>
                    <w:ind w:right="0" w:rightChars="0"/>
                    <w:rPr>
                      <w:rFonts w:hint="eastAsia"/>
                      <w:color w:val="auto"/>
                      <w:sz w:val="18"/>
                      <w:szCs w:val="18"/>
                      <w:highlight w:val="none"/>
                    </w:rPr>
                  </w:pPr>
                  <w:r>
                    <w:rPr>
                      <w:rFonts w:hint="eastAsia" w:ascii="Times New Roman"/>
                      <w:snapToGrid w:val="0"/>
                      <w:color w:val="000000"/>
                      <w:spacing w:val="-4"/>
                      <w:kern w:val="21"/>
                      <w:sz w:val="18"/>
                      <w:szCs w:val="18"/>
                      <w:lang w:val="en-US" w:eastAsia="zh-CN"/>
                    </w:rPr>
                    <w:t>废胶水包装</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6E45F">
                  <w:pPr>
                    <w:snapToGrid w:val="0"/>
                    <w:jc w:val="center"/>
                    <w:textAlignment w:val="baseline"/>
                    <w:rPr>
                      <w:rFonts w:hint="eastAsia"/>
                      <w:color w:val="auto"/>
                      <w:sz w:val="18"/>
                      <w:szCs w:val="18"/>
                      <w:highlight w:val="none"/>
                      <w:lang w:val="en-US" w:eastAsia="zh-CN"/>
                    </w:rPr>
                  </w:pPr>
                  <w:r>
                    <w:rPr>
                      <w:rFonts w:hint="eastAsia"/>
                      <w:color w:val="auto"/>
                      <w:sz w:val="18"/>
                      <w:szCs w:val="18"/>
                      <w:lang w:val="en-US" w:eastAsia="zh-CN"/>
                    </w:rPr>
                    <w:t>30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DFA5">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FAAA8">
                  <w:pPr>
                    <w:snapToGrid w:val="0"/>
                    <w:jc w:val="center"/>
                    <w:textAlignment w:val="baseline"/>
                    <w:rPr>
                      <w:rFonts w:hint="eastAsia"/>
                      <w:color w:val="auto"/>
                      <w:sz w:val="18"/>
                      <w:szCs w:val="18"/>
                      <w:highlight w:val="none"/>
                      <w:lang w:val="en-US" w:eastAsia="zh-CN"/>
                    </w:rPr>
                  </w:pPr>
                  <w:r>
                    <w:rPr>
                      <w:rFonts w:hint="eastAsia"/>
                      <w:color w:val="auto"/>
                      <w:sz w:val="18"/>
                      <w:szCs w:val="18"/>
                      <w:lang w:val="en-US" w:eastAsia="zh-CN"/>
                    </w:rPr>
                    <w:t>30</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9F43C">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4B7D3">
                  <w:pPr>
                    <w:snapToGrid w:val="0"/>
                    <w:jc w:val="center"/>
                    <w:textAlignment w:val="baseline"/>
                    <w:rPr>
                      <w:rFonts w:hint="eastAsia"/>
                      <w:color w:val="auto"/>
                      <w:sz w:val="18"/>
                      <w:szCs w:val="18"/>
                      <w:highlight w:val="none"/>
                      <w:lang w:val="en-US" w:eastAsia="zh-CN"/>
                    </w:rPr>
                  </w:pPr>
                  <w:r>
                    <w:rPr>
                      <w:rFonts w:hint="eastAsia"/>
                      <w:color w:val="auto"/>
                      <w:sz w:val="18"/>
                      <w:szCs w:val="18"/>
                      <w:lang w:val="en-US" w:eastAsia="zh-CN"/>
                    </w:rPr>
                    <w:t>30</w:t>
                  </w:r>
                </w:p>
              </w:tc>
              <w:tc>
                <w:tcPr>
                  <w:tcW w:w="1579" w:type="dxa"/>
                  <w:tcBorders>
                    <w:top w:val="single" w:color="000000" w:sz="4" w:space="0"/>
                    <w:left w:val="single" w:color="000000" w:sz="4" w:space="0"/>
                    <w:bottom w:val="single" w:color="000000" w:sz="4" w:space="0"/>
                  </w:tcBorders>
                  <w:shd w:val="clear" w:color="auto" w:fill="auto"/>
                  <w:vAlign w:val="center"/>
                </w:tcPr>
                <w:p w14:paraId="444CFD42">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0</w:t>
                  </w:r>
                </w:p>
              </w:tc>
              <w:tc>
                <w:tcPr>
                  <w:tcW w:w="1579" w:type="dxa"/>
                  <w:tcBorders>
                    <w:top w:val="single" w:color="000000" w:sz="4" w:space="0"/>
                    <w:left w:val="single" w:color="000000" w:sz="4" w:space="0"/>
                    <w:bottom w:val="single" w:color="000000" w:sz="4" w:space="0"/>
                  </w:tcBorders>
                  <w:vAlign w:val="center"/>
                </w:tcPr>
                <w:p w14:paraId="4EE91180">
                  <w:pPr>
                    <w:pStyle w:val="80"/>
                    <w:spacing w:before="48" w:after="48"/>
                    <w:rPr>
                      <w:rFonts w:hint="eastAsia" w:ascii="Times New Roman" w:hAnsi="Times New Roman" w:eastAsia="宋体" w:cs="Times New Roman"/>
                      <w:color w:val="auto"/>
                      <w:kern w:val="0"/>
                      <w:sz w:val="18"/>
                      <w:szCs w:val="18"/>
                      <w:highlight w:val="none"/>
                      <w:lang w:val="en-US" w:eastAsia="zh-CN" w:bidi="ar-SA"/>
                    </w:rPr>
                  </w:pPr>
                </w:p>
              </w:tc>
            </w:tr>
            <w:tr w14:paraId="04979C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4C664158">
                  <w:pPr>
                    <w:overflowPunct w:val="0"/>
                    <w:spacing w:line="320" w:lineRule="exact"/>
                    <w:jc w:val="center"/>
                    <w:textAlignment w:val="center"/>
                    <w:rPr>
                      <w:color w:val="auto"/>
                      <w:sz w:val="18"/>
                      <w:szCs w:val="18"/>
                      <w:highlight w:val="none"/>
                    </w:rPr>
                  </w:pPr>
                </w:p>
              </w:tc>
              <w:tc>
                <w:tcPr>
                  <w:tcW w:w="765" w:type="dxa"/>
                  <w:vMerge w:val="continue"/>
                  <w:tcBorders>
                    <w:left w:val="single" w:color="000000" w:sz="4" w:space="0"/>
                    <w:right w:val="single" w:color="000000" w:sz="4" w:space="0"/>
                  </w:tcBorders>
                  <w:vAlign w:val="center"/>
                </w:tcPr>
                <w:p w14:paraId="388F8BA2">
                  <w:pPr>
                    <w:overflowPunct w:val="0"/>
                    <w:spacing w:line="320" w:lineRule="exact"/>
                    <w:jc w:val="center"/>
                    <w:textAlignment w:val="center"/>
                    <w:rPr>
                      <w:rFonts w:hint="eastAsia"/>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06A6">
                  <w:pPr>
                    <w:overflowPunct w:val="0"/>
                    <w:spacing w:line="320" w:lineRule="exact"/>
                    <w:jc w:val="center"/>
                    <w:textAlignment w:val="center"/>
                    <w:rPr>
                      <w:rFonts w:hint="eastAsia"/>
                      <w:color w:val="auto"/>
                      <w:sz w:val="18"/>
                      <w:szCs w:val="18"/>
                      <w:highlight w:val="none"/>
                    </w:rPr>
                  </w:pPr>
                  <w:r>
                    <w:rPr>
                      <w:rFonts w:hint="eastAsia"/>
                      <w:color w:val="auto"/>
                      <w:sz w:val="18"/>
                      <w:szCs w:val="18"/>
                      <w:highlight w:val="none"/>
                      <w:lang w:val="en-US" w:eastAsia="zh-CN"/>
                    </w:rPr>
                    <w:t>废纺丝油剂包装</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F576">
                  <w:pPr>
                    <w:adjustRightInd w:val="0"/>
                    <w:snapToGrid w:val="0"/>
                    <w:spacing w:beforeLines="20" w:afterLines="20"/>
                    <w:jc w:val="center"/>
                    <w:rPr>
                      <w:rFonts w:hint="eastAsia" w:ascii="Times New Roman" w:hAnsi="Times New Roman" w:eastAsia="宋体" w:cs="Times New Roman"/>
                      <w:snapToGrid w:val="0"/>
                      <w:color w:val="000000"/>
                      <w:kern w:val="2"/>
                      <w:sz w:val="18"/>
                      <w:szCs w:val="18"/>
                      <w:lang w:val="en-US" w:eastAsia="zh-CN" w:bidi="ar-SA"/>
                    </w:rPr>
                  </w:pPr>
                  <w:r>
                    <w:rPr>
                      <w:rFonts w:hint="eastAsia" w:ascii="Times New Roman" w:hAnsi="Times New Roman" w:eastAsia="宋体" w:cs="Times New Roman"/>
                      <w:snapToGrid w:val="0"/>
                      <w:color w:val="000000"/>
                      <w:sz w:val="18"/>
                      <w:szCs w:val="18"/>
                      <w:lang w:val="en-US" w:eastAsia="zh-CN"/>
                    </w:rPr>
                    <w:t>1.2</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67037">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4DC9">
                  <w:pPr>
                    <w:adjustRightInd w:val="0"/>
                    <w:snapToGrid w:val="0"/>
                    <w:spacing w:beforeLines="20" w:afterLines="20"/>
                    <w:jc w:val="center"/>
                    <w:rPr>
                      <w:rFonts w:hint="eastAsia"/>
                      <w:color w:val="auto"/>
                      <w:sz w:val="18"/>
                      <w:szCs w:val="18"/>
                      <w:highlight w:val="none"/>
                      <w:lang w:val="en-US" w:eastAsia="zh-CN"/>
                    </w:rPr>
                  </w:pPr>
                  <w:r>
                    <w:rPr>
                      <w:rFonts w:hint="eastAsia" w:ascii="Times New Roman" w:hAnsi="Times New Roman" w:eastAsia="宋体" w:cs="Times New Roman"/>
                      <w:snapToGrid w:val="0"/>
                      <w:color w:val="000000"/>
                      <w:sz w:val="18"/>
                      <w:szCs w:val="18"/>
                      <w:lang w:val="en-US" w:eastAsia="zh-CN"/>
                    </w:rPr>
                    <w:t>1.2</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D759">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2042">
                  <w:pPr>
                    <w:adjustRightInd w:val="0"/>
                    <w:snapToGrid w:val="0"/>
                    <w:spacing w:beforeLines="20" w:afterLines="20"/>
                    <w:jc w:val="center"/>
                    <w:rPr>
                      <w:rFonts w:hint="eastAsia"/>
                      <w:color w:val="auto"/>
                      <w:sz w:val="18"/>
                      <w:szCs w:val="18"/>
                      <w:highlight w:val="none"/>
                      <w:lang w:val="en-US" w:eastAsia="zh-CN"/>
                    </w:rPr>
                  </w:pPr>
                  <w:r>
                    <w:rPr>
                      <w:rFonts w:hint="eastAsia" w:ascii="Times New Roman" w:hAnsi="Times New Roman" w:eastAsia="宋体" w:cs="Times New Roman"/>
                      <w:snapToGrid w:val="0"/>
                      <w:color w:val="000000"/>
                      <w:sz w:val="18"/>
                      <w:szCs w:val="18"/>
                      <w:lang w:val="en-US" w:eastAsia="zh-CN"/>
                    </w:rPr>
                    <w:t>1.2</w:t>
                  </w:r>
                </w:p>
              </w:tc>
              <w:tc>
                <w:tcPr>
                  <w:tcW w:w="1579" w:type="dxa"/>
                  <w:tcBorders>
                    <w:top w:val="single" w:color="000000" w:sz="4" w:space="0"/>
                    <w:left w:val="single" w:color="000000" w:sz="4" w:space="0"/>
                    <w:bottom w:val="single" w:color="000000" w:sz="4" w:space="0"/>
                  </w:tcBorders>
                  <w:shd w:val="clear" w:color="auto" w:fill="auto"/>
                  <w:vAlign w:val="center"/>
                </w:tcPr>
                <w:p w14:paraId="509CB1E9">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0</w:t>
                  </w:r>
                </w:p>
              </w:tc>
              <w:tc>
                <w:tcPr>
                  <w:tcW w:w="1579" w:type="dxa"/>
                  <w:tcBorders>
                    <w:top w:val="single" w:color="000000" w:sz="4" w:space="0"/>
                    <w:left w:val="single" w:color="000000" w:sz="4" w:space="0"/>
                    <w:bottom w:val="single" w:color="000000" w:sz="4" w:space="0"/>
                  </w:tcBorders>
                  <w:vAlign w:val="center"/>
                </w:tcPr>
                <w:p w14:paraId="2974E364">
                  <w:pPr>
                    <w:overflowPunct w:val="0"/>
                    <w:spacing w:line="320" w:lineRule="exact"/>
                    <w:jc w:val="center"/>
                    <w:textAlignment w:val="center"/>
                    <w:rPr>
                      <w:rFonts w:hint="eastAsia"/>
                      <w:color w:val="auto"/>
                      <w:sz w:val="18"/>
                      <w:szCs w:val="18"/>
                      <w:highlight w:val="none"/>
                      <w:lang w:val="en-US" w:eastAsia="zh-CN"/>
                    </w:rPr>
                  </w:pPr>
                </w:p>
              </w:tc>
            </w:tr>
            <w:tr w14:paraId="049FCA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6ABAE190">
                  <w:pPr>
                    <w:overflowPunct w:val="0"/>
                    <w:spacing w:line="320" w:lineRule="exact"/>
                    <w:jc w:val="center"/>
                    <w:textAlignment w:val="center"/>
                    <w:rPr>
                      <w:color w:val="auto"/>
                      <w:sz w:val="18"/>
                      <w:szCs w:val="18"/>
                      <w:highlight w:val="none"/>
                    </w:rPr>
                  </w:pPr>
                </w:p>
              </w:tc>
              <w:tc>
                <w:tcPr>
                  <w:tcW w:w="765" w:type="dxa"/>
                  <w:vMerge w:val="continue"/>
                  <w:tcBorders>
                    <w:left w:val="single" w:color="000000" w:sz="4" w:space="0"/>
                    <w:right w:val="single" w:color="000000" w:sz="4" w:space="0"/>
                  </w:tcBorders>
                  <w:vAlign w:val="center"/>
                </w:tcPr>
                <w:p w14:paraId="00BCA393">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2B5E">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rPr>
                    <w:t>废润滑油</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E39C7">
                  <w:pPr>
                    <w:adjustRightInd w:val="0"/>
                    <w:snapToGrid w:val="0"/>
                    <w:spacing w:beforeLines="20" w:afterLines="20"/>
                    <w:jc w:val="center"/>
                    <w:rPr>
                      <w:rFonts w:hint="eastAsia" w:ascii="Times New Roman" w:hAnsi="Times New Roman" w:eastAsia="宋体" w:cs="Times New Roman"/>
                      <w:snapToGrid w:val="0"/>
                      <w:color w:val="000000"/>
                      <w:kern w:val="2"/>
                      <w:sz w:val="18"/>
                      <w:szCs w:val="18"/>
                      <w:lang w:val="en-US" w:eastAsia="zh-CN" w:bidi="ar-SA"/>
                    </w:rPr>
                  </w:pPr>
                  <w:r>
                    <w:rPr>
                      <w:rFonts w:hint="eastAsia" w:ascii="Times New Roman" w:hAnsi="Times New Roman" w:eastAsia="宋体" w:cs="Times New Roman"/>
                      <w:snapToGrid w:val="0"/>
                      <w:color w:val="000000"/>
                      <w:sz w:val="18"/>
                      <w:szCs w:val="18"/>
                      <w:lang w:val="en-US" w:eastAsia="zh-CN"/>
                    </w:rPr>
                    <w:t>0.2</w:t>
                  </w:r>
                </w:p>
              </w:tc>
              <w:tc>
                <w:tcPr>
                  <w:tcW w:w="1098" w:type="dxa"/>
                  <w:tcBorders>
                    <w:top w:val="single" w:color="000000" w:sz="4" w:space="0"/>
                    <w:left w:val="single" w:color="000000" w:sz="4" w:space="0"/>
                    <w:bottom w:val="single" w:color="000000" w:sz="4" w:space="0"/>
                    <w:right w:val="single" w:color="000000" w:sz="4" w:space="0"/>
                  </w:tcBorders>
                  <w:vAlign w:val="center"/>
                </w:tcPr>
                <w:p w14:paraId="6578CFD6">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10F4">
                  <w:pPr>
                    <w:adjustRightInd w:val="0"/>
                    <w:snapToGrid w:val="0"/>
                    <w:spacing w:beforeLines="20" w:afterLines="20"/>
                    <w:jc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snapToGrid w:val="0"/>
                      <w:color w:val="000000"/>
                      <w:sz w:val="18"/>
                      <w:szCs w:val="18"/>
                      <w:lang w:val="en-US" w:eastAsia="zh-CN"/>
                    </w:rPr>
                    <w:t>0.2</w:t>
                  </w:r>
                </w:p>
              </w:tc>
              <w:tc>
                <w:tcPr>
                  <w:tcW w:w="1121" w:type="dxa"/>
                  <w:tcBorders>
                    <w:top w:val="single" w:color="000000" w:sz="4" w:space="0"/>
                    <w:left w:val="single" w:color="000000" w:sz="4" w:space="0"/>
                    <w:bottom w:val="single" w:color="000000" w:sz="4" w:space="0"/>
                    <w:right w:val="single" w:color="000000" w:sz="4" w:space="0"/>
                  </w:tcBorders>
                  <w:vAlign w:val="center"/>
                </w:tcPr>
                <w:p w14:paraId="74327F86">
                  <w:pPr>
                    <w:overflowPunct w:val="0"/>
                    <w:spacing w:line="320" w:lineRule="exact"/>
                    <w:jc w:val="center"/>
                    <w:textAlignment w:val="center"/>
                    <w:rPr>
                      <w:color w:val="auto"/>
                      <w:sz w:val="18"/>
                      <w:szCs w:val="18"/>
                      <w:highlight w:val="none"/>
                    </w:rPr>
                  </w:pPr>
                  <w:r>
                    <w:rPr>
                      <w:color w:val="auto"/>
                      <w:sz w:val="18"/>
                      <w:szCs w:val="18"/>
                      <w:highlight w:val="none"/>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C3000">
                  <w:pPr>
                    <w:adjustRightInd w:val="0"/>
                    <w:snapToGrid w:val="0"/>
                    <w:spacing w:beforeLines="20" w:afterLines="20"/>
                    <w:jc w:val="center"/>
                    <w:rPr>
                      <w:rFonts w:hint="eastAsia"/>
                      <w:color w:val="auto"/>
                      <w:sz w:val="18"/>
                      <w:szCs w:val="18"/>
                      <w:highlight w:val="none"/>
                      <w:lang w:val="en-US" w:eastAsia="zh-CN"/>
                    </w:rPr>
                  </w:pPr>
                  <w:r>
                    <w:rPr>
                      <w:rFonts w:hint="eastAsia" w:ascii="Times New Roman" w:hAnsi="Times New Roman" w:eastAsia="宋体" w:cs="Times New Roman"/>
                      <w:snapToGrid w:val="0"/>
                      <w:color w:val="000000"/>
                      <w:sz w:val="18"/>
                      <w:szCs w:val="18"/>
                      <w:lang w:val="en-US" w:eastAsia="zh-CN"/>
                    </w:rPr>
                    <w:t>0.2</w:t>
                  </w:r>
                </w:p>
              </w:tc>
              <w:tc>
                <w:tcPr>
                  <w:tcW w:w="1579" w:type="dxa"/>
                  <w:tcBorders>
                    <w:top w:val="single" w:color="000000" w:sz="4" w:space="0"/>
                    <w:left w:val="single" w:color="000000" w:sz="4" w:space="0"/>
                    <w:bottom w:val="single" w:color="000000" w:sz="4" w:space="0"/>
                  </w:tcBorders>
                  <w:vAlign w:val="center"/>
                </w:tcPr>
                <w:p w14:paraId="13C7A12D">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0</w:t>
                  </w:r>
                </w:p>
              </w:tc>
              <w:tc>
                <w:tcPr>
                  <w:tcW w:w="1579" w:type="dxa"/>
                  <w:tcBorders>
                    <w:top w:val="single" w:color="000000" w:sz="4" w:space="0"/>
                    <w:left w:val="single" w:color="000000" w:sz="4" w:space="0"/>
                    <w:bottom w:val="single" w:color="000000" w:sz="4" w:space="0"/>
                  </w:tcBorders>
                  <w:vAlign w:val="center"/>
                </w:tcPr>
                <w:p w14:paraId="75BFFBDC">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w:t>
                  </w:r>
                </w:p>
              </w:tc>
            </w:tr>
            <w:tr w14:paraId="66DE27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4A27542F">
                  <w:pPr>
                    <w:overflowPunct w:val="0"/>
                    <w:spacing w:line="320" w:lineRule="exact"/>
                    <w:jc w:val="center"/>
                    <w:textAlignment w:val="center"/>
                    <w:rPr>
                      <w:color w:val="auto"/>
                      <w:sz w:val="18"/>
                      <w:szCs w:val="18"/>
                      <w:highlight w:val="none"/>
                    </w:rPr>
                  </w:pPr>
                </w:p>
              </w:tc>
              <w:tc>
                <w:tcPr>
                  <w:tcW w:w="765" w:type="dxa"/>
                  <w:vMerge w:val="continue"/>
                  <w:tcBorders>
                    <w:left w:val="single" w:color="000000" w:sz="4" w:space="0"/>
                    <w:right w:val="single" w:color="000000" w:sz="4" w:space="0"/>
                  </w:tcBorders>
                  <w:vAlign w:val="center"/>
                </w:tcPr>
                <w:p w14:paraId="74864135">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9DA8">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eastAsia="zh-CN"/>
                    </w:rPr>
                    <w:t>废润滑油包装</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23A2">
                  <w:pPr>
                    <w:adjustRightInd w:val="0"/>
                    <w:snapToGrid w:val="0"/>
                    <w:spacing w:beforeLines="20" w:afterLines="20"/>
                    <w:jc w:val="center"/>
                    <w:rPr>
                      <w:rFonts w:hint="eastAsia" w:ascii="Times New Roman" w:hAnsi="Times New Roman" w:eastAsia="宋体" w:cs="Times New Roman"/>
                      <w:snapToGrid w:val="0"/>
                      <w:color w:val="000000"/>
                      <w:kern w:val="2"/>
                      <w:sz w:val="18"/>
                      <w:szCs w:val="18"/>
                      <w:lang w:val="en-US" w:eastAsia="zh-CN" w:bidi="ar-SA"/>
                    </w:rPr>
                  </w:pPr>
                  <w:r>
                    <w:rPr>
                      <w:rFonts w:hint="eastAsia" w:ascii="Times New Roman" w:hAnsi="Times New Roman" w:eastAsia="宋体" w:cs="Times New Roman"/>
                      <w:snapToGrid w:val="0"/>
                      <w:color w:val="000000"/>
                      <w:sz w:val="18"/>
                      <w:szCs w:val="18"/>
                      <w:lang w:val="en-US" w:eastAsia="zh-CN"/>
                    </w:rPr>
                    <w:t>0.02</w:t>
                  </w:r>
                </w:p>
              </w:tc>
              <w:tc>
                <w:tcPr>
                  <w:tcW w:w="1098" w:type="dxa"/>
                  <w:tcBorders>
                    <w:top w:val="single" w:color="000000" w:sz="4" w:space="0"/>
                    <w:left w:val="single" w:color="000000" w:sz="4" w:space="0"/>
                    <w:bottom w:val="single" w:color="000000" w:sz="4" w:space="0"/>
                    <w:right w:val="single" w:color="000000" w:sz="4" w:space="0"/>
                  </w:tcBorders>
                  <w:vAlign w:val="center"/>
                </w:tcPr>
                <w:p w14:paraId="45234FA8">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CCB84">
                  <w:pPr>
                    <w:adjustRightInd w:val="0"/>
                    <w:snapToGrid w:val="0"/>
                    <w:spacing w:beforeLines="20" w:afterLines="20"/>
                    <w:jc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snapToGrid w:val="0"/>
                      <w:color w:val="000000"/>
                      <w:sz w:val="18"/>
                      <w:szCs w:val="18"/>
                      <w:lang w:val="en-US" w:eastAsia="zh-CN"/>
                    </w:rPr>
                    <w:t>0.02</w:t>
                  </w:r>
                </w:p>
              </w:tc>
              <w:tc>
                <w:tcPr>
                  <w:tcW w:w="1121" w:type="dxa"/>
                  <w:tcBorders>
                    <w:top w:val="single" w:color="000000" w:sz="4" w:space="0"/>
                    <w:left w:val="single" w:color="000000" w:sz="4" w:space="0"/>
                    <w:bottom w:val="single" w:color="000000" w:sz="4" w:space="0"/>
                    <w:right w:val="single" w:color="000000" w:sz="4" w:space="0"/>
                  </w:tcBorders>
                  <w:vAlign w:val="center"/>
                </w:tcPr>
                <w:p w14:paraId="177700BD">
                  <w:pPr>
                    <w:overflowPunct w:val="0"/>
                    <w:spacing w:line="320" w:lineRule="exact"/>
                    <w:jc w:val="center"/>
                    <w:textAlignment w:val="center"/>
                    <w:rPr>
                      <w:color w:val="auto"/>
                      <w:sz w:val="18"/>
                      <w:szCs w:val="18"/>
                      <w:highlight w:val="none"/>
                    </w:rPr>
                  </w:pPr>
                  <w:r>
                    <w:rPr>
                      <w:color w:val="auto"/>
                      <w:sz w:val="18"/>
                      <w:szCs w:val="18"/>
                      <w:highlight w:val="none"/>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57C5">
                  <w:pPr>
                    <w:adjustRightInd w:val="0"/>
                    <w:snapToGrid w:val="0"/>
                    <w:spacing w:beforeLines="20" w:afterLines="20"/>
                    <w:jc w:val="center"/>
                    <w:rPr>
                      <w:rFonts w:hint="eastAsia"/>
                      <w:color w:val="auto"/>
                      <w:sz w:val="18"/>
                      <w:szCs w:val="18"/>
                      <w:highlight w:val="none"/>
                      <w:lang w:val="en-US" w:eastAsia="zh-CN"/>
                    </w:rPr>
                  </w:pPr>
                  <w:r>
                    <w:rPr>
                      <w:rFonts w:hint="eastAsia" w:ascii="Times New Roman" w:hAnsi="Times New Roman" w:eastAsia="宋体" w:cs="Times New Roman"/>
                      <w:snapToGrid w:val="0"/>
                      <w:color w:val="000000"/>
                      <w:sz w:val="18"/>
                      <w:szCs w:val="18"/>
                      <w:lang w:val="en-US" w:eastAsia="zh-CN"/>
                    </w:rPr>
                    <w:t>0.02</w:t>
                  </w:r>
                </w:p>
              </w:tc>
              <w:tc>
                <w:tcPr>
                  <w:tcW w:w="1579" w:type="dxa"/>
                  <w:tcBorders>
                    <w:top w:val="single" w:color="000000" w:sz="4" w:space="0"/>
                    <w:left w:val="single" w:color="000000" w:sz="4" w:space="0"/>
                    <w:bottom w:val="single" w:color="000000" w:sz="4" w:space="0"/>
                  </w:tcBorders>
                  <w:vAlign w:val="center"/>
                </w:tcPr>
                <w:p w14:paraId="3C38DEF9">
                  <w:pPr>
                    <w:overflowPunct w:val="0"/>
                    <w:spacing w:line="320" w:lineRule="exact"/>
                    <w:jc w:val="center"/>
                    <w:textAlignment w:val="center"/>
                    <w:rPr>
                      <w:color w:val="auto"/>
                      <w:sz w:val="18"/>
                      <w:szCs w:val="18"/>
                      <w:highlight w:val="none"/>
                    </w:rPr>
                  </w:pPr>
                  <w:r>
                    <w:rPr>
                      <w:rFonts w:hint="eastAsia"/>
                      <w:color w:val="auto"/>
                      <w:sz w:val="18"/>
                      <w:szCs w:val="18"/>
                      <w:highlight w:val="none"/>
                      <w:lang w:val="en-US" w:eastAsia="zh-CN"/>
                    </w:rPr>
                    <w:t>0</w:t>
                  </w:r>
                </w:p>
              </w:tc>
              <w:tc>
                <w:tcPr>
                  <w:tcW w:w="1579" w:type="dxa"/>
                  <w:tcBorders>
                    <w:top w:val="single" w:color="000000" w:sz="4" w:space="0"/>
                    <w:left w:val="single" w:color="000000" w:sz="4" w:space="0"/>
                    <w:bottom w:val="single" w:color="000000" w:sz="4" w:space="0"/>
                  </w:tcBorders>
                  <w:vAlign w:val="center"/>
                </w:tcPr>
                <w:p w14:paraId="1A566BE6">
                  <w:pPr>
                    <w:pStyle w:val="80"/>
                    <w:spacing w:before="48" w:after="48"/>
                    <w:rPr>
                      <w:rFonts w:hint="eastAsia"/>
                      <w:color w:val="auto"/>
                      <w:sz w:val="18"/>
                      <w:szCs w:val="18"/>
                      <w:highlight w:val="none"/>
                      <w:lang w:val="en-US" w:eastAsia="zh-CN"/>
                    </w:rPr>
                  </w:pPr>
                  <w:r>
                    <w:rPr>
                      <w:rFonts w:hint="eastAsia" w:ascii="Times New Roman" w:hAnsi="Times New Roman" w:eastAsia="宋体" w:cs="Times New Roman"/>
                      <w:color w:val="auto"/>
                      <w:kern w:val="0"/>
                      <w:sz w:val="18"/>
                      <w:szCs w:val="18"/>
                      <w:highlight w:val="none"/>
                      <w:lang w:val="en-US" w:eastAsia="zh-CN" w:bidi="ar-SA"/>
                    </w:rPr>
                    <w:t>/</w:t>
                  </w:r>
                </w:p>
              </w:tc>
            </w:tr>
            <w:tr w14:paraId="2845CE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5E0F933D">
                  <w:pPr>
                    <w:overflowPunct w:val="0"/>
                    <w:spacing w:line="320" w:lineRule="exact"/>
                    <w:jc w:val="center"/>
                    <w:textAlignment w:val="center"/>
                    <w:rPr>
                      <w:color w:val="auto"/>
                      <w:sz w:val="18"/>
                      <w:szCs w:val="18"/>
                      <w:highlight w:val="none"/>
                    </w:rPr>
                  </w:pPr>
                </w:p>
              </w:tc>
              <w:tc>
                <w:tcPr>
                  <w:tcW w:w="765" w:type="dxa"/>
                  <w:vMerge w:val="continue"/>
                  <w:tcBorders>
                    <w:left w:val="single" w:color="000000" w:sz="4" w:space="0"/>
                    <w:right w:val="single" w:color="000000" w:sz="4" w:space="0"/>
                  </w:tcBorders>
                  <w:vAlign w:val="center"/>
                </w:tcPr>
                <w:p w14:paraId="4910B54D">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E26A">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rPr>
                    <w:t>在线仪废液</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AB26">
                  <w:pPr>
                    <w:adjustRightInd w:val="0"/>
                    <w:snapToGrid w:val="0"/>
                    <w:spacing w:beforeLines="20" w:afterLines="20"/>
                    <w:jc w:val="center"/>
                    <w:rPr>
                      <w:rFonts w:hint="eastAsia" w:ascii="Times New Roman" w:hAnsi="Times New Roman" w:eastAsia="宋体" w:cs="Times New Roman"/>
                      <w:snapToGrid w:val="0"/>
                      <w:color w:val="000000"/>
                      <w:kern w:val="2"/>
                      <w:sz w:val="18"/>
                      <w:szCs w:val="18"/>
                      <w:lang w:val="en-US" w:eastAsia="zh-CN" w:bidi="ar-SA"/>
                    </w:rPr>
                  </w:pPr>
                  <w:r>
                    <w:rPr>
                      <w:rFonts w:hint="eastAsia" w:ascii="Times New Roman" w:hAnsi="Times New Roman" w:eastAsia="宋体" w:cs="Times New Roman"/>
                      <w:snapToGrid w:val="0"/>
                      <w:color w:val="000000"/>
                      <w:sz w:val="18"/>
                      <w:szCs w:val="18"/>
                      <w:lang w:val="en-US" w:eastAsia="zh-CN"/>
                    </w:rPr>
                    <w:t>0.006</w:t>
                  </w:r>
                </w:p>
              </w:tc>
              <w:tc>
                <w:tcPr>
                  <w:tcW w:w="1098" w:type="dxa"/>
                  <w:tcBorders>
                    <w:top w:val="single" w:color="000000" w:sz="4" w:space="0"/>
                    <w:left w:val="single" w:color="000000" w:sz="4" w:space="0"/>
                    <w:bottom w:val="single" w:color="000000" w:sz="4" w:space="0"/>
                    <w:right w:val="single" w:color="000000" w:sz="4" w:space="0"/>
                  </w:tcBorders>
                  <w:vAlign w:val="center"/>
                </w:tcPr>
                <w:p w14:paraId="6890242D">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34CA">
                  <w:pPr>
                    <w:adjustRightInd w:val="0"/>
                    <w:snapToGrid w:val="0"/>
                    <w:spacing w:beforeLines="20" w:afterLines="20"/>
                    <w:jc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snapToGrid w:val="0"/>
                      <w:color w:val="000000"/>
                      <w:sz w:val="18"/>
                      <w:szCs w:val="18"/>
                      <w:lang w:val="en-US" w:eastAsia="zh-CN"/>
                    </w:rPr>
                    <w:t>0.006</w:t>
                  </w:r>
                </w:p>
              </w:tc>
              <w:tc>
                <w:tcPr>
                  <w:tcW w:w="1121" w:type="dxa"/>
                  <w:tcBorders>
                    <w:top w:val="single" w:color="000000" w:sz="4" w:space="0"/>
                    <w:left w:val="single" w:color="000000" w:sz="4" w:space="0"/>
                    <w:bottom w:val="single" w:color="000000" w:sz="4" w:space="0"/>
                    <w:right w:val="single" w:color="000000" w:sz="4" w:space="0"/>
                  </w:tcBorders>
                  <w:vAlign w:val="center"/>
                </w:tcPr>
                <w:p w14:paraId="72237667">
                  <w:pPr>
                    <w:overflowPunct w:val="0"/>
                    <w:spacing w:line="320" w:lineRule="exact"/>
                    <w:jc w:val="center"/>
                    <w:textAlignment w:val="center"/>
                    <w:rPr>
                      <w:color w:val="auto"/>
                      <w:sz w:val="18"/>
                      <w:szCs w:val="18"/>
                      <w:highlight w:val="none"/>
                    </w:rPr>
                  </w:pPr>
                  <w:r>
                    <w:rPr>
                      <w:color w:val="auto"/>
                      <w:sz w:val="18"/>
                      <w:szCs w:val="18"/>
                      <w:highlight w:val="none"/>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0989C">
                  <w:pPr>
                    <w:adjustRightInd w:val="0"/>
                    <w:snapToGrid w:val="0"/>
                    <w:spacing w:beforeLines="20" w:afterLines="20"/>
                    <w:jc w:val="center"/>
                    <w:rPr>
                      <w:rFonts w:hint="eastAsia"/>
                      <w:color w:val="auto"/>
                      <w:sz w:val="18"/>
                      <w:szCs w:val="18"/>
                      <w:highlight w:val="none"/>
                      <w:lang w:val="en-US" w:eastAsia="zh-CN"/>
                    </w:rPr>
                  </w:pPr>
                  <w:r>
                    <w:rPr>
                      <w:rFonts w:hint="eastAsia" w:ascii="Times New Roman" w:hAnsi="Times New Roman" w:eastAsia="宋体" w:cs="Times New Roman"/>
                      <w:snapToGrid w:val="0"/>
                      <w:color w:val="000000"/>
                      <w:sz w:val="18"/>
                      <w:szCs w:val="18"/>
                      <w:lang w:val="en-US" w:eastAsia="zh-CN"/>
                    </w:rPr>
                    <w:t>0.006</w:t>
                  </w:r>
                </w:p>
              </w:tc>
              <w:tc>
                <w:tcPr>
                  <w:tcW w:w="1579" w:type="dxa"/>
                  <w:tcBorders>
                    <w:top w:val="single" w:color="000000" w:sz="4" w:space="0"/>
                    <w:left w:val="single" w:color="000000" w:sz="4" w:space="0"/>
                    <w:bottom w:val="single" w:color="000000" w:sz="4" w:space="0"/>
                  </w:tcBorders>
                  <w:vAlign w:val="center"/>
                </w:tcPr>
                <w:p w14:paraId="676DDB7A">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0</w:t>
                  </w:r>
                </w:p>
              </w:tc>
              <w:tc>
                <w:tcPr>
                  <w:tcW w:w="1579" w:type="dxa"/>
                  <w:tcBorders>
                    <w:top w:val="single" w:color="000000" w:sz="4" w:space="0"/>
                    <w:left w:val="single" w:color="000000" w:sz="4" w:space="0"/>
                    <w:bottom w:val="single" w:color="000000" w:sz="4" w:space="0"/>
                  </w:tcBorders>
                  <w:vAlign w:val="center"/>
                </w:tcPr>
                <w:p w14:paraId="2AAA5D37">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w:t>
                  </w:r>
                </w:p>
              </w:tc>
            </w:tr>
            <w:tr w14:paraId="47986B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712AB002">
                  <w:pPr>
                    <w:overflowPunct w:val="0"/>
                    <w:spacing w:line="320" w:lineRule="exact"/>
                    <w:jc w:val="center"/>
                    <w:textAlignment w:val="center"/>
                    <w:rPr>
                      <w:color w:val="auto"/>
                      <w:sz w:val="18"/>
                      <w:szCs w:val="18"/>
                      <w:highlight w:val="none"/>
                    </w:rPr>
                  </w:pPr>
                </w:p>
              </w:tc>
              <w:tc>
                <w:tcPr>
                  <w:tcW w:w="765" w:type="dxa"/>
                  <w:vMerge w:val="continue"/>
                  <w:tcBorders>
                    <w:left w:val="single" w:color="000000" w:sz="4" w:space="0"/>
                    <w:right w:val="single" w:color="000000" w:sz="4" w:space="0"/>
                  </w:tcBorders>
                  <w:vAlign w:val="center"/>
                </w:tcPr>
                <w:p w14:paraId="4F88FB9E">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475CE">
                  <w:pPr>
                    <w:overflowPunct w:val="0"/>
                    <w:spacing w:line="320" w:lineRule="exact"/>
                    <w:jc w:val="center"/>
                    <w:textAlignment w:val="center"/>
                    <w:rPr>
                      <w:rFonts w:hint="default" w:eastAsia="宋体"/>
                      <w:color w:val="auto"/>
                      <w:sz w:val="18"/>
                      <w:szCs w:val="18"/>
                      <w:highlight w:val="none"/>
                      <w:lang w:val="en-US" w:eastAsia="zh-CN"/>
                    </w:rPr>
                  </w:pPr>
                  <w:r>
                    <w:rPr>
                      <w:rFonts w:hint="eastAsia"/>
                      <w:color w:val="auto"/>
                      <w:sz w:val="18"/>
                      <w:szCs w:val="18"/>
                      <w:highlight w:val="none"/>
                      <w:lang w:val="en-US" w:eastAsia="zh-CN"/>
                    </w:rPr>
                    <w:t>废试剂包装</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FB127">
                  <w:pPr>
                    <w:adjustRightInd w:val="0"/>
                    <w:snapToGrid w:val="0"/>
                    <w:spacing w:beforeLines="20" w:afterLines="20"/>
                    <w:jc w:val="center"/>
                    <w:rPr>
                      <w:rFonts w:hint="default" w:ascii="Times New Roman" w:hAnsi="Times New Roman" w:eastAsia="宋体" w:cs="Times New Roman"/>
                      <w:snapToGrid w:val="0"/>
                      <w:color w:val="000000"/>
                      <w:kern w:val="2"/>
                      <w:sz w:val="18"/>
                      <w:szCs w:val="18"/>
                      <w:lang w:val="en-US" w:eastAsia="zh-CN" w:bidi="ar-SA"/>
                    </w:rPr>
                  </w:pPr>
                  <w:r>
                    <w:rPr>
                      <w:rFonts w:hint="eastAsia" w:ascii="Times New Roman" w:hAnsi="Times New Roman" w:eastAsia="宋体" w:cs="Times New Roman"/>
                      <w:snapToGrid w:val="0"/>
                      <w:color w:val="000000"/>
                      <w:sz w:val="18"/>
                      <w:szCs w:val="18"/>
                      <w:lang w:val="en-US" w:eastAsia="zh-CN"/>
                    </w:rPr>
                    <w:t>0.001</w:t>
                  </w:r>
                </w:p>
              </w:tc>
              <w:tc>
                <w:tcPr>
                  <w:tcW w:w="1098" w:type="dxa"/>
                  <w:tcBorders>
                    <w:top w:val="single" w:color="000000" w:sz="4" w:space="0"/>
                    <w:left w:val="single" w:color="000000" w:sz="4" w:space="0"/>
                    <w:bottom w:val="single" w:color="000000" w:sz="4" w:space="0"/>
                    <w:right w:val="single" w:color="000000" w:sz="4" w:space="0"/>
                  </w:tcBorders>
                  <w:vAlign w:val="center"/>
                </w:tcPr>
                <w:p w14:paraId="41B2890B">
                  <w:pPr>
                    <w:overflowPunct w:val="0"/>
                    <w:spacing w:line="320" w:lineRule="exact"/>
                    <w:jc w:val="center"/>
                    <w:textAlignment w:val="center"/>
                    <w:rPr>
                      <w:rFonts w:hint="default"/>
                      <w:color w:val="auto"/>
                      <w:sz w:val="18"/>
                      <w:szCs w:val="18"/>
                      <w:highlight w:val="none"/>
                      <w:lang w:val="en-US" w:eastAsia="zh-CN"/>
                    </w:rPr>
                  </w:pPr>
                  <w:r>
                    <w:rPr>
                      <w:rFonts w:hint="eastAsia"/>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B093">
                  <w:pPr>
                    <w:adjustRightInd w:val="0"/>
                    <w:snapToGrid w:val="0"/>
                    <w:spacing w:beforeLines="20" w:afterLines="20"/>
                    <w:jc w:val="center"/>
                    <w:rPr>
                      <w:rFonts w:hint="default"/>
                      <w:color w:val="auto"/>
                      <w:sz w:val="18"/>
                      <w:szCs w:val="18"/>
                      <w:highlight w:val="none"/>
                      <w:lang w:val="en-US" w:eastAsia="zh-CN"/>
                    </w:rPr>
                  </w:pPr>
                  <w:r>
                    <w:rPr>
                      <w:rFonts w:hint="eastAsia" w:ascii="Times New Roman" w:hAnsi="Times New Roman" w:eastAsia="宋体" w:cs="Times New Roman"/>
                      <w:snapToGrid w:val="0"/>
                      <w:color w:val="000000"/>
                      <w:sz w:val="18"/>
                      <w:szCs w:val="18"/>
                      <w:lang w:val="en-US" w:eastAsia="zh-CN"/>
                    </w:rPr>
                    <w:t>0.001</w:t>
                  </w:r>
                </w:p>
              </w:tc>
              <w:tc>
                <w:tcPr>
                  <w:tcW w:w="1121" w:type="dxa"/>
                  <w:tcBorders>
                    <w:top w:val="single" w:color="000000" w:sz="4" w:space="0"/>
                    <w:left w:val="single" w:color="000000" w:sz="4" w:space="0"/>
                    <w:bottom w:val="single" w:color="000000" w:sz="4" w:space="0"/>
                    <w:right w:val="single" w:color="000000" w:sz="4" w:space="0"/>
                  </w:tcBorders>
                  <w:vAlign w:val="center"/>
                </w:tcPr>
                <w:p w14:paraId="51BACB0C">
                  <w:pPr>
                    <w:overflowPunct w:val="0"/>
                    <w:spacing w:line="320" w:lineRule="exact"/>
                    <w:jc w:val="center"/>
                    <w:textAlignment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703F0">
                  <w:pPr>
                    <w:adjustRightInd w:val="0"/>
                    <w:snapToGrid w:val="0"/>
                    <w:spacing w:beforeLines="20" w:afterLines="20"/>
                    <w:jc w:val="center"/>
                    <w:rPr>
                      <w:rFonts w:hint="default"/>
                      <w:color w:val="auto"/>
                      <w:sz w:val="18"/>
                      <w:szCs w:val="18"/>
                      <w:highlight w:val="none"/>
                      <w:lang w:val="en-US" w:eastAsia="zh-CN"/>
                    </w:rPr>
                  </w:pPr>
                  <w:r>
                    <w:rPr>
                      <w:rFonts w:hint="eastAsia" w:ascii="Times New Roman" w:hAnsi="Times New Roman" w:eastAsia="宋体" w:cs="Times New Roman"/>
                      <w:snapToGrid w:val="0"/>
                      <w:color w:val="000000"/>
                      <w:sz w:val="18"/>
                      <w:szCs w:val="18"/>
                      <w:lang w:val="en-US" w:eastAsia="zh-CN"/>
                    </w:rPr>
                    <w:t>0.001</w:t>
                  </w:r>
                </w:p>
              </w:tc>
              <w:tc>
                <w:tcPr>
                  <w:tcW w:w="1579" w:type="dxa"/>
                  <w:tcBorders>
                    <w:top w:val="single" w:color="000000" w:sz="4" w:space="0"/>
                    <w:left w:val="single" w:color="000000" w:sz="4" w:space="0"/>
                    <w:bottom w:val="single" w:color="000000" w:sz="4" w:space="0"/>
                  </w:tcBorders>
                  <w:vAlign w:val="center"/>
                </w:tcPr>
                <w:p w14:paraId="7647CE9F">
                  <w:pPr>
                    <w:overflowPunct w:val="0"/>
                    <w:spacing w:line="320" w:lineRule="exact"/>
                    <w:jc w:val="center"/>
                    <w:textAlignment w:val="center"/>
                    <w:rPr>
                      <w:rFonts w:hint="default"/>
                      <w:color w:val="auto"/>
                      <w:sz w:val="18"/>
                      <w:szCs w:val="18"/>
                      <w:highlight w:val="none"/>
                      <w:lang w:val="en-US" w:eastAsia="zh-CN"/>
                    </w:rPr>
                  </w:pPr>
                  <w:r>
                    <w:rPr>
                      <w:rFonts w:hint="eastAsia"/>
                      <w:color w:val="auto"/>
                      <w:sz w:val="18"/>
                      <w:szCs w:val="18"/>
                      <w:highlight w:val="none"/>
                      <w:lang w:val="en-US" w:eastAsia="zh-CN"/>
                    </w:rPr>
                    <w:t>0</w:t>
                  </w:r>
                </w:p>
              </w:tc>
              <w:tc>
                <w:tcPr>
                  <w:tcW w:w="1579" w:type="dxa"/>
                  <w:tcBorders>
                    <w:top w:val="single" w:color="000000" w:sz="4" w:space="0"/>
                    <w:left w:val="single" w:color="000000" w:sz="4" w:space="0"/>
                    <w:bottom w:val="single" w:color="000000" w:sz="4" w:space="0"/>
                  </w:tcBorders>
                  <w:vAlign w:val="center"/>
                </w:tcPr>
                <w:p w14:paraId="08E0354B">
                  <w:pPr>
                    <w:pStyle w:val="80"/>
                    <w:spacing w:before="48" w:after="48"/>
                    <w:rPr>
                      <w:rFonts w:hint="eastAsia"/>
                      <w:color w:val="auto"/>
                      <w:sz w:val="18"/>
                      <w:szCs w:val="18"/>
                      <w:highlight w:val="none"/>
                      <w:lang w:val="en-US" w:eastAsia="zh-CN"/>
                    </w:rPr>
                  </w:pPr>
                  <w:r>
                    <w:rPr>
                      <w:rFonts w:hint="eastAsia" w:ascii="Times New Roman" w:hAnsi="Times New Roman" w:eastAsia="宋体" w:cs="Times New Roman"/>
                      <w:color w:val="auto"/>
                      <w:kern w:val="0"/>
                      <w:sz w:val="18"/>
                      <w:szCs w:val="18"/>
                      <w:highlight w:val="none"/>
                      <w:lang w:val="en-US" w:eastAsia="zh-CN" w:bidi="ar-SA"/>
                    </w:rPr>
                    <w:t>/</w:t>
                  </w:r>
                </w:p>
              </w:tc>
            </w:tr>
            <w:tr w14:paraId="39DEC2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5C1D6968">
                  <w:pPr>
                    <w:overflowPunct w:val="0"/>
                    <w:spacing w:line="320" w:lineRule="exact"/>
                    <w:jc w:val="center"/>
                    <w:textAlignment w:val="center"/>
                    <w:rPr>
                      <w:color w:val="auto"/>
                      <w:sz w:val="18"/>
                      <w:szCs w:val="18"/>
                      <w:highlight w:val="none"/>
                    </w:rPr>
                  </w:pPr>
                </w:p>
              </w:tc>
              <w:tc>
                <w:tcPr>
                  <w:tcW w:w="765" w:type="dxa"/>
                  <w:vMerge w:val="continue"/>
                  <w:tcBorders>
                    <w:left w:val="single" w:color="000000" w:sz="4" w:space="0"/>
                    <w:right w:val="single" w:color="000000" w:sz="4" w:space="0"/>
                  </w:tcBorders>
                  <w:vAlign w:val="center"/>
                </w:tcPr>
                <w:p w14:paraId="7BCBB9B2">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4E4D1">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废草酸包装</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3AC9">
                  <w:pPr>
                    <w:adjustRightInd w:val="0"/>
                    <w:snapToGrid w:val="0"/>
                    <w:spacing w:beforeLines="20" w:afterLines="20"/>
                    <w:jc w:val="center"/>
                    <w:rPr>
                      <w:rFonts w:hint="eastAsia" w:ascii="Times New Roman" w:hAnsi="Times New Roman" w:eastAsia="宋体" w:cs="Times New Roman"/>
                      <w:snapToGrid w:val="0"/>
                      <w:color w:val="000000"/>
                      <w:kern w:val="2"/>
                      <w:sz w:val="18"/>
                      <w:szCs w:val="18"/>
                      <w:lang w:val="en-US" w:eastAsia="zh-CN" w:bidi="ar-SA"/>
                    </w:rPr>
                  </w:pPr>
                  <w:r>
                    <w:rPr>
                      <w:rFonts w:hint="eastAsia" w:ascii="Times New Roman" w:hAnsi="Times New Roman" w:eastAsia="宋体" w:cs="Times New Roman"/>
                      <w:snapToGrid w:val="0"/>
                      <w:color w:val="000000"/>
                      <w:sz w:val="18"/>
                      <w:szCs w:val="18"/>
                      <w:lang w:val="en-US" w:eastAsia="zh-CN"/>
                    </w:rPr>
                    <w:t>0.0032</w:t>
                  </w:r>
                </w:p>
              </w:tc>
              <w:tc>
                <w:tcPr>
                  <w:tcW w:w="1098" w:type="dxa"/>
                  <w:tcBorders>
                    <w:top w:val="single" w:color="000000" w:sz="4" w:space="0"/>
                    <w:left w:val="single" w:color="000000" w:sz="4" w:space="0"/>
                    <w:bottom w:val="single" w:color="000000" w:sz="4" w:space="0"/>
                    <w:right w:val="single" w:color="000000" w:sz="4" w:space="0"/>
                  </w:tcBorders>
                  <w:vAlign w:val="center"/>
                </w:tcPr>
                <w:p w14:paraId="7606CE84">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C0402">
                  <w:pPr>
                    <w:adjustRightInd w:val="0"/>
                    <w:snapToGrid w:val="0"/>
                    <w:spacing w:beforeLines="20" w:afterLines="20"/>
                    <w:jc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snapToGrid w:val="0"/>
                      <w:color w:val="000000"/>
                      <w:sz w:val="18"/>
                      <w:szCs w:val="18"/>
                      <w:lang w:val="en-US" w:eastAsia="zh-CN"/>
                    </w:rPr>
                    <w:t>0.0032</w:t>
                  </w:r>
                </w:p>
              </w:tc>
              <w:tc>
                <w:tcPr>
                  <w:tcW w:w="1121" w:type="dxa"/>
                  <w:tcBorders>
                    <w:top w:val="single" w:color="000000" w:sz="4" w:space="0"/>
                    <w:left w:val="single" w:color="000000" w:sz="4" w:space="0"/>
                    <w:bottom w:val="single" w:color="000000" w:sz="4" w:space="0"/>
                    <w:right w:val="single" w:color="000000" w:sz="4" w:space="0"/>
                  </w:tcBorders>
                  <w:vAlign w:val="center"/>
                </w:tcPr>
                <w:p w14:paraId="619C86A6">
                  <w:pPr>
                    <w:overflowPunct w:val="0"/>
                    <w:spacing w:line="320" w:lineRule="exact"/>
                    <w:jc w:val="center"/>
                    <w:textAlignment w:val="center"/>
                    <w:rPr>
                      <w:color w:val="auto"/>
                      <w:sz w:val="18"/>
                      <w:szCs w:val="18"/>
                      <w:highlight w:val="none"/>
                    </w:rPr>
                  </w:pPr>
                  <w:r>
                    <w:rPr>
                      <w:color w:val="auto"/>
                      <w:sz w:val="18"/>
                      <w:szCs w:val="18"/>
                      <w:highlight w:val="none"/>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6620">
                  <w:pPr>
                    <w:adjustRightInd w:val="0"/>
                    <w:snapToGrid w:val="0"/>
                    <w:spacing w:beforeLines="20" w:afterLines="20"/>
                    <w:jc w:val="center"/>
                    <w:rPr>
                      <w:rFonts w:hint="eastAsia"/>
                      <w:color w:val="auto"/>
                      <w:sz w:val="18"/>
                      <w:szCs w:val="18"/>
                      <w:highlight w:val="none"/>
                      <w:lang w:val="en-US" w:eastAsia="zh-CN"/>
                    </w:rPr>
                  </w:pPr>
                  <w:r>
                    <w:rPr>
                      <w:rFonts w:hint="eastAsia" w:ascii="Times New Roman" w:hAnsi="Times New Roman" w:eastAsia="宋体" w:cs="Times New Roman"/>
                      <w:snapToGrid w:val="0"/>
                      <w:color w:val="000000"/>
                      <w:sz w:val="18"/>
                      <w:szCs w:val="18"/>
                      <w:lang w:val="en-US" w:eastAsia="zh-CN"/>
                    </w:rPr>
                    <w:t>0.0032</w:t>
                  </w:r>
                </w:p>
              </w:tc>
              <w:tc>
                <w:tcPr>
                  <w:tcW w:w="1579" w:type="dxa"/>
                  <w:tcBorders>
                    <w:top w:val="single" w:color="000000" w:sz="4" w:space="0"/>
                    <w:left w:val="single" w:color="000000" w:sz="4" w:space="0"/>
                    <w:bottom w:val="single" w:color="000000" w:sz="4" w:space="0"/>
                  </w:tcBorders>
                  <w:vAlign w:val="center"/>
                </w:tcPr>
                <w:p w14:paraId="6259CB82">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0</w:t>
                  </w:r>
                </w:p>
              </w:tc>
              <w:tc>
                <w:tcPr>
                  <w:tcW w:w="1579" w:type="dxa"/>
                  <w:tcBorders>
                    <w:top w:val="single" w:color="000000" w:sz="4" w:space="0"/>
                    <w:left w:val="single" w:color="000000" w:sz="4" w:space="0"/>
                    <w:bottom w:val="single" w:color="000000" w:sz="4" w:space="0"/>
                  </w:tcBorders>
                  <w:vAlign w:val="center"/>
                </w:tcPr>
                <w:p w14:paraId="6D527DF8">
                  <w:pPr>
                    <w:overflowPunct w:val="0"/>
                    <w:spacing w:line="320" w:lineRule="exact"/>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w:t>
                  </w:r>
                </w:p>
              </w:tc>
            </w:tr>
            <w:tr w14:paraId="4FD8A1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6E2266F7">
                  <w:pPr>
                    <w:overflowPunct w:val="0"/>
                    <w:spacing w:line="320" w:lineRule="exact"/>
                    <w:jc w:val="center"/>
                    <w:textAlignment w:val="center"/>
                    <w:rPr>
                      <w:color w:val="auto"/>
                      <w:sz w:val="18"/>
                      <w:szCs w:val="18"/>
                      <w:highlight w:val="none"/>
                    </w:rPr>
                  </w:pPr>
                </w:p>
              </w:tc>
              <w:tc>
                <w:tcPr>
                  <w:tcW w:w="765" w:type="dxa"/>
                  <w:vMerge w:val="continue"/>
                  <w:tcBorders>
                    <w:left w:val="single" w:color="000000" w:sz="4" w:space="0"/>
                    <w:right w:val="single" w:color="000000" w:sz="4" w:space="0"/>
                  </w:tcBorders>
                  <w:vAlign w:val="center"/>
                </w:tcPr>
                <w:p w14:paraId="4960FF7F">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1785">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静电除油废油</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FFCB">
                  <w:pPr>
                    <w:adjustRightInd w:val="0"/>
                    <w:snapToGrid w:val="0"/>
                    <w:spacing w:beforeLines="20" w:afterLines="20"/>
                    <w:jc w:val="center"/>
                    <w:rPr>
                      <w:rFonts w:hint="eastAsia" w:ascii="Times New Roman" w:hAnsi="Times New Roman" w:eastAsia="宋体" w:cs="Times New Roman"/>
                      <w:snapToGrid w:val="0"/>
                      <w:color w:val="000000"/>
                      <w:kern w:val="2"/>
                      <w:sz w:val="18"/>
                      <w:szCs w:val="18"/>
                      <w:lang w:val="en-US" w:eastAsia="zh-CN" w:bidi="ar-SA"/>
                    </w:rPr>
                  </w:pPr>
                  <w:r>
                    <w:rPr>
                      <w:rFonts w:hint="eastAsia" w:ascii="Times New Roman" w:hAnsi="Times New Roman" w:eastAsia="宋体" w:cs="Times New Roman"/>
                      <w:snapToGrid w:val="0"/>
                      <w:color w:val="000000"/>
                      <w:sz w:val="18"/>
                      <w:szCs w:val="18"/>
                      <w:lang w:val="en-US" w:eastAsia="zh-CN"/>
                    </w:rPr>
                    <w:t>3.079</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70F3">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FFEA">
                  <w:pPr>
                    <w:adjustRightInd w:val="0"/>
                    <w:snapToGrid w:val="0"/>
                    <w:spacing w:beforeLines="20" w:afterLines="20"/>
                    <w:jc w:val="center"/>
                    <w:rPr>
                      <w:rFonts w:hint="eastAsia"/>
                      <w:color w:val="auto"/>
                      <w:sz w:val="18"/>
                      <w:szCs w:val="18"/>
                      <w:highlight w:val="none"/>
                      <w:lang w:val="en-US" w:eastAsia="zh-CN"/>
                    </w:rPr>
                  </w:pPr>
                  <w:r>
                    <w:rPr>
                      <w:rFonts w:hint="eastAsia" w:ascii="Times New Roman" w:hAnsi="Times New Roman" w:eastAsia="宋体" w:cs="Times New Roman"/>
                      <w:snapToGrid w:val="0"/>
                      <w:color w:val="000000"/>
                      <w:sz w:val="18"/>
                      <w:szCs w:val="18"/>
                      <w:lang w:val="en-US" w:eastAsia="zh-CN"/>
                    </w:rPr>
                    <w:t>3.079</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BF6B">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F8A8">
                  <w:pPr>
                    <w:adjustRightInd w:val="0"/>
                    <w:snapToGrid w:val="0"/>
                    <w:spacing w:beforeLines="20" w:afterLines="20"/>
                    <w:jc w:val="center"/>
                    <w:rPr>
                      <w:rFonts w:hint="eastAsia"/>
                      <w:color w:val="auto"/>
                      <w:sz w:val="18"/>
                      <w:szCs w:val="18"/>
                      <w:highlight w:val="none"/>
                      <w:lang w:val="en-US" w:eastAsia="zh-CN"/>
                    </w:rPr>
                  </w:pPr>
                  <w:r>
                    <w:rPr>
                      <w:rFonts w:hint="eastAsia" w:ascii="Times New Roman" w:hAnsi="Times New Roman" w:eastAsia="宋体" w:cs="Times New Roman"/>
                      <w:snapToGrid w:val="0"/>
                      <w:color w:val="000000"/>
                      <w:sz w:val="18"/>
                      <w:szCs w:val="18"/>
                      <w:lang w:val="en-US" w:eastAsia="zh-CN"/>
                    </w:rPr>
                    <w:t>3.079</w:t>
                  </w:r>
                </w:p>
              </w:tc>
              <w:tc>
                <w:tcPr>
                  <w:tcW w:w="1579" w:type="dxa"/>
                  <w:tcBorders>
                    <w:top w:val="single" w:color="000000" w:sz="4" w:space="0"/>
                    <w:left w:val="single" w:color="000000" w:sz="4" w:space="0"/>
                    <w:bottom w:val="single" w:color="000000" w:sz="4" w:space="0"/>
                  </w:tcBorders>
                  <w:shd w:val="clear" w:color="auto" w:fill="auto"/>
                  <w:vAlign w:val="center"/>
                </w:tcPr>
                <w:p w14:paraId="08BFB424">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0</w:t>
                  </w:r>
                </w:p>
              </w:tc>
              <w:tc>
                <w:tcPr>
                  <w:tcW w:w="1579" w:type="dxa"/>
                  <w:tcBorders>
                    <w:top w:val="single" w:color="000000" w:sz="4" w:space="0"/>
                    <w:left w:val="single" w:color="000000" w:sz="4" w:space="0"/>
                    <w:bottom w:val="single" w:color="000000" w:sz="4" w:space="0"/>
                  </w:tcBorders>
                  <w:shd w:val="clear" w:color="auto" w:fill="auto"/>
                  <w:vAlign w:val="center"/>
                </w:tcPr>
                <w:p w14:paraId="10A99E3D">
                  <w:pPr>
                    <w:pStyle w:val="80"/>
                    <w:spacing w:before="48" w:after="48"/>
                    <w:rPr>
                      <w:rFonts w:hint="eastAsia" w:ascii="Times New Roman" w:hAnsi="Times New Roman" w:eastAsia="宋体" w:cs="Times New Roman"/>
                      <w:color w:val="auto"/>
                      <w:kern w:val="0"/>
                      <w:sz w:val="18"/>
                      <w:szCs w:val="18"/>
                      <w:highlight w:val="none"/>
                      <w:lang w:val="en-US" w:eastAsia="zh-CN" w:bidi="ar-SA"/>
                    </w:rPr>
                  </w:pPr>
                  <w:r>
                    <w:rPr>
                      <w:rFonts w:hint="eastAsia" w:ascii="Times New Roman" w:hAnsi="Times New Roman" w:eastAsia="宋体" w:cs="Times New Roman"/>
                      <w:color w:val="auto"/>
                      <w:kern w:val="0"/>
                      <w:sz w:val="18"/>
                      <w:szCs w:val="18"/>
                      <w:highlight w:val="none"/>
                      <w:lang w:val="en-US" w:eastAsia="zh-CN" w:bidi="ar-SA"/>
                    </w:rPr>
                    <w:t>/</w:t>
                  </w:r>
                </w:p>
              </w:tc>
            </w:tr>
            <w:tr w14:paraId="42D367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4" w:space="0"/>
                    <w:right w:val="single" w:color="000000" w:sz="4" w:space="0"/>
                  </w:tcBorders>
                  <w:vAlign w:val="center"/>
                </w:tcPr>
                <w:p w14:paraId="601EF8A5">
                  <w:pPr>
                    <w:overflowPunct w:val="0"/>
                    <w:spacing w:line="320" w:lineRule="exact"/>
                    <w:jc w:val="center"/>
                    <w:textAlignment w:val="center"/>
                    <w:rPr>
                      <w:color w:val="auto"/>
                      <w:sz w:val="18"/>
                      <w:szCs w:val="18"/>
                      <w:highlight w:val="none"/>
                    </w:rPr>
                  </w:pPr>
                </w:p>
              </w:tc>
              <w:tc>
                <w:tcPr>
                  <w:tcW w:w="765" w:type="dxa"/>
                  <w:vMerge w:val="continue"/>
                  <w:tcBorders>
                    <w:left w:val="single" w:color="000000" w:sz="4" w:space="0"/>
                    <w:bottom w:val="single" w:color="000000" w:sz="4" w:space="0"/>
                    <w:right w:val="single" w:color="000000" w:sz="4" w:space="0"/>
                  </w:tcBorders>
                  <w:vAlign w:val="center"/>
                </w:tcPr>
                <w:p w14:paraId="318B33D3">
                  <w:pPr>
                    <w:overflowPunct w:val="0"/>
                    <w:spacing w:line="320" w:lineRule="exact"/>
                    <w:jc w:val="center"/>
                    <w:textAlignment w:val="center"/>
                    <w:rPr>
                      <w:color w:val="auto"/>
                      <w:sz w:val="18"/>
                      <w:szCs w:val="18"/>
                      <w:highlight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04D7D">
                  <w:pPr>
                    <w:overflowPunct w:val="0"/>
                    <w:spacing w:line="320" w:lineRule="exact"/>
                    <w:jc w:val="center"/>
                    <w:textAlignment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废活性炭</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E24E">
                  <w:pPr>
                    <w:adjustRightInd w:val="0"/>
                    <w:snapToGrid w:val="0"/>
                    <w:spacing w:beforeLines="20" w:afterLines="20"/>
                    <w:jc w:val="center"/>
                    <w:rPr>
                      <w:rFonts w:hint="eastAsia" w:ascii="Times New Roman" w:hAnsi="Times New Roman" w:eastAsia="宋体" w:cs="Times New Roman"/>
                      <w:snapToGrid w:val="0"/>
                      <w:color w:val="000000"/>
                      <w:kern w:val="2"/>
                      <w:sz w:val="18"/>
                      <w:szCs w:val="18"/>
                      <w:lang w:val="en-US" w:eastAsia="zh-CN" w:bidi="ar-SA"/>
                    </w:rPr>
                  </w:pPr>
                  <w:r>
                    <w:rPr>
                      <w:rFonts w:hint="eastAsia" w:ascii="Times New Roman" w:hAnsi="Times New Roman" w:eastAsia="宋体" w:cs="Times New Roman"/>
                      <w:snapToGrid w:val="0"/>
                      <w:color w:val="000000"/>
                      <w:sz w:val="18"/>
                      <w:szCs w:val="18"/>
                      <w:lang w:val="en-US" w:eastAsia="zh-CN"/>
                    </w:rPr>
                    <w:t>33.93</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139CB">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0</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CCC62">
                  <w:pPr>
                    <w:adjustRightInd w:val="0"/>
                    <w:snapToGrid w:val="0"/>
                    <w:spacing w:beforeLines="20" w:afterLines="20"/>
                    <w:jc w:val="center"/>
                    <w:rPr>
                      <w:rFonts w:hint="eastAsia"/>
                      <w:color w:val="auto"/>
                      <w:sz w:val="18"/>
                      <w:szCs w:val="18"/>
                      <w:highlight w:val="none"/>
                      <w:lang w:val="en-US" w:eastAsia="zh-CN"/>
                    </w:rPr>
                  </w:pPr>
                  <w:r>
                    <w:rPr>
                      <w:rFonts w:hint="eastAsia" w:ascii="Times New Roman" w:hAnsi="Times New Roman" w:eastAsia="宋体" w:cs="Times New Roman"/>
                      <w:snapToGrid w:val="0"/>
                      <w:color w:val="000000"/>
                      <w:sz w:val="18"/>
                      <w:szCs w:val="18"/>
                      <w:lang w:val="en-US" w:eastAsia="zh-CN"/>
                    </w:rPr>
                    <w:t>33.93</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71B8C">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0</w:t>
                  </w:r>
                </w:p>
              </w:tc>
              <w:tc>
                <w:tcPr>
                  <w:tcW w:w="13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242E2">
                  <w:pPr>
                    <w:adjustRightInd w:val="0"/>
                    <w:snapToGrid w:val="0"/>
                    <w:spacing w:beforeLines="20" w:afterLines="20"/>
                    <w:jc w:val="center"/>
                    <w:rPr>
                      <w:rFonts w:hint="eastAsia"/>
                      <w:color w:val="auto"/>
                      <w:sz w:val="18"/>
                      <w:szCs w:val="18"/>
                      <w:highlight w:val="none"/>
                      <w:lang w:val="en-US" w:eastAsia="zh-CN"/>
                    </w:rPr>
                  </w:pPr>
                  <w:r>
                    <w:rPr>
                      <w:rFonts w:hint="eastAsia" w:ascii="Times New Roman" w:hAnsi="Times New Roman" w:eastAsia="宋体" w:cs="Times New Roman"/>
                      <w:snapToGrid w:val="0"/>
                      <w:color w:val="000000"/>
                      <w:sz w:val="18"/>
                      <w:szCs w:val="18"/>
                      <w:lang w:val="en-US" w:eastAsia="zh-CN"/>
                    </w:rPr>
                    <w:t>33.93</w:t>
                  </w:r>
                </w:p>
              </w:tc>
              <w:tc>
                <w:tcPr>
                  <w:tcW w:w="1579" w:type="dxa"/>
                  <w:tcBorders>
                    <w:top w:val="single" w:color="000000" w:sz="4" w:space="0"/>
                    <w:left w:val="single" w:color="000000" w:sz="4" w:space="0"/>
                    <w:bottom w:val="single" w:color="000000" w:sz="4" w:space="0"/>
                  </w:tcBorders>
                  <w:shd w:val="clear" w:color="auto" w:fill="auto"/>
                  <w:vAlign w:val="center"/>
                </w:tcPr>
                <w:p w14:paraId="5CA3DEC6">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0</w:t>
                  </w:r>
                </w:p>
              </w:tc>
              <w:tc>
                <w:tcPr>
                  <w:tcW w:w="1579" w:type="dxa"/>
                  <w:tcBorders>
                    <w:top w:val="single" w:color="000000" w:sz="4" w:space="0"/>
                    <w:left w:val="single" w:color="000000" w:sz="4" w:space="0"/>
                    <w:bottom w:val="single" w:color="000000" w:sz="4" w:space="0"/>
                  </w:tcBorders>
                  <w:shd w:val="clear" w:color="auto" w:fill="auto"/>
                  <w:vAlign w:val="center"/>
                </w:tcPr>
                <w:p w14:paraId="72FAD018">
                  <w:pPr>
                    <w:overflowPunct w:val="0"/>
                    <w:spacing w:line="320" w:lineRule="exact"/>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w:t>
                  </w:r>
                </w:p>
              </w:tc>
            </w:tr>
            <w:tr w14:paraId="1B8190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08" w:type="dxa"/>
                  <w:vMerge w:val="continue"/>
                  <w:tcBorders>
                    <w:top w:val="single" w:color="000000" w:sz="4" w:space="0"/>
                    <w:bottom w:val="single" w:color="000000" w:sz="12" w:space="0"/>
                    <w:right w:val="single" w:color="000000" w:sz="4" w:space="0"/>
                  </w:tcBorders>
                  <w:vAlign w:val="center"/>
                </w:tcPr>
                <w:p w14:paraId="68CED335">
                  <w:pPr>
                    <w:overflowPunct w:val="0"/>
                    <w:spacing w:line="320" w:lineRule="exact"/>
                    <w:jc w:val="center"/>
                    <w:textAlignment w:val="center"/>
                    <w:rPr>
                      <w:color w:val="auto"/>
                      <w:sz w:val="18"/>
                      <w:szCs w:val="18"/>
                      <w:highlight w:val="none"/>
                    </w:rPr>
                  </w:pPr>
                </w:p>
              </w:tc>
              <w:tc>
                <w:tcPr>
                  <w:tcW w:w="2527" w:type="dxa"/>
                  <w:gridSpan w:val="2"/>
                  <w:tcBorders>
                    <w:top w:val="single" w:color="000000" w:sz="4" w:space="0"/>
                    <w:left w:val="single" w:color="000000" w:sz="4" w:space="0"/>
                    <w:bottom w:val="single" w:color="000000" w:sz="12" w:space="0"/>
                    <w:right w:val="single" w:color="000000" w:sz="4" w:space="0"/>
                  </w:tcBorders>
                  <w:vAlign w:val="center"/>
                </w:tcPr>
                <w:p w14:paraId="3FEC54DC">
                  <w:pPr>
                    <w:overflowPunct w:val="0"/>
                    <w:spacing w:line="320" w:lineRule="exact"/>
                    <w:jc w:val="center"/>
                    <w:textAlignment w:val="center"/>
                    <w:rPr>
                      <w:color w:val="auto"/>
                      <w:sz w:val="18"/>
                      <w:szCs w:val="18"/>
                      <w:highlight w:val="none"/>
                    </w:rPr>
                  </w:pPr>
                  <w:r>
                    <w:rPr>
                      <w:rFonts w:hint="eastAsia"/>
                      <w:color w:val="auto"/>
                      <w:sz w:val="18"/>
                      <w:szCs w:val="18"/>
                      <w:highlight w:val="none"/>
                    </w:rPr>
                    <w:t>生活垃圾</w:t>
                  </w:r>
                </w:p>
              </w:tc>
              <w:tc>
                <w:tcPr>
                  <w:tcW w:w="1098" w:type="dxa"/>
                  <w:tcBorders>
                    <w:top w:val="single" w:color="000000" w:sz="4" w:space="0"/>
                    <w:left w:val="single" w:color="000000" w:sz="4" w:space="0"/>
                    <w:bottom w:val="single" w:color="000000" w:sz="12" w:space="0"/>
                    <w:right w:val="single" w:color="000000" w:sz="4" w:space="0"/>
                  </w:tcBorders>
                  <w:vAlign w:val="center"/>
                </w:tcPr>
                <w:p w14:paraId="1126407E">
                  <w:pPr>
                    <w:overflowPunct w:val="0"/>
                    <w:spacing w:line="320" w:lineRule="exact"/>
                    <w:jc w:val="center"/>
                    <w:textAlignment w:val="center"/>
                    <w:rPr>
                      <w:rFonts w:hint="default"/>
                      <w:color w:val="auto"/>
                      <w:sz w:val="18"/>
                      <w:szCs w:val="18"/>
                      <w:highlight w:val="none"/>
                      <w:lang w:val="en-US" w:eastAsia="zh-CN"/>
                    </w:rPr>
                  </w:pPr>
                  <w:r>
                    <w:rPr>
                      <w:rFonts w:hint="eastAsia"/>
                      <w:color w:val="auto"/>
                      <w:sz w:val="18"/>
                      <w:szCs w:val="18"/>
                      <w:highlight w:val="none"/>
                      <w:lang w:val="en-US" w:eastAsia="zh-CN"/>
                    </w:rPr>
                    <w:t>4.6</w:t>
                  </w:r>
                </w:p>
              </w:tc>
              <w:tc>
                <w:tcPr>
                  <w:tcW w:w="1098"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49A9E6DE">
                  <w:pPr>
                    <w:overflowPunct w:val="0"/>
                    <w:spacing w:line="320" w:lineRule="exact"/>
                    <w:jc w:val="center"/>
                    <w:textAlignment w:val="center"/>
                    <w:rPr>
                      <w:rFonts w:hint="eastAsia" w:ascii="Times New Roman" w:hAnsi="Times New Roman" w:eastAsia="宋体" w:cs="Times New Roman"/>
                      <w:snapToGrid w:val="0"/>
                      <w:color w:val="000000"/>
                      <w:kern w:val="2"/>
                      <w:sz w:val="21"/>
                      <w:szCs w:val="21"/>
                      <w:lang w:val="en-US" w:eastAsia="zh-CN" w:bidi="ar-SA"/>
                    </w:rPr>
                  </w:pPr>
                  <w:r>
                    <w:rPr>
                      <w:rFonts w:hint="eastAsia"/>
                      <w:color w:val="auto"/>
                      <w:sz w:val="18"/>
                      <w:szCs w:val="18"/>
                      <w:highlight w:val="none"/>
                      <w:lang w:val="en-US" w:eastAsia="zh-CN"/>
                    </w:rPr>
                    <w:t>0</w:t>
                  </w:r>
                </w:p>
              </w:tc>
              <w:tc>
                <w:tcPr>
                  <w:tcW w:w="1098" w:type="dxa"/>
                  <w:tcBorders>
                    <w:top w:val="single" w:color="000000" w:sz="4" w:space="0"/>
                    <w:left w:val="single" w:color="000000" w:sz="4" w:space="0"/>
                    <w:bottom w:val="single" w:color="000000" w:sz="12" w:space="0"/>
                    <w:right w:val="single" w:color="000000" w:sz="4" w:space="0"/>
                  </w:tcBorders>
                  <w:vAlign w:val="center"/>
                </w:tcPr>
                <w:p w14:paraId="6C2DB657">
                  <w:pPr>
                    <w:overflowPunct w:val="0"/>
                    <w:spacing w:line="320" w:lineRule="exact"/>
                    <w:jc w:val="center"/>
                    <w:textAlignment w:val="center"/>
                    <w:rPr>
                      <w:rFonts w:hint="default"/>
                      <w:color w:val="auto"/>
                      <w:sz w:val="18"/>
                      <w:szCs w:val="18"/>
                      <w:highlight w:val="none"/>
                      <w:lang w:val="en-US"/>
                    </w:rPr>
                  </w:pPr>
                  <w:r>
                    <w:rPr>
                      <w:rFonts w:hint="eastAsia"/>
                      <w:color w:val="auto"/>
                      <w:sz w:val="18"/>
                      <w:szCs w:val="18"/>
                      <w:highlight w:val="none"/>
                      <w:lang w:val="en-US" w:eastAsia="zh-CN"/>
                    </w:rPr>
                    <w:t>4.6</w:t>
                  </w:r>
                </w:p>
              </w:tc>
              <w:tc>
                <w:tcPr>
                  <w:tcW w:w="1121"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131820E7">
                  <w:pPr>
                    <w:overflowPunct w:val="0"/>
                    <w:spacing w:line="320" w:lineRule="exact"/>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lang w:val="en-US" w:eastAsia="zh-CN"/>
                    </w:rPr>
                    <w:t>0</w:t>
                  </w:r>
                </w:p>
              </w:tc>
              <w:tc>
                <w:tcPr>
                  <w:tcW w:w="1381" w:type="dxa"/>
                  <w:tcBorders>
                    <w:top w:val="single" w:color="000000" w:sz="4" w:space="0"/>
                    <w:left w:val="single" w:color="000000" w:sz="4" w:space="0"/>
                    <w:bottom w:val="single" w:color="000000" w:sz="12" w:space="0"/>
                    <w:right w:val="single" w:color="000000" w:sz="4" w:space="0"/>
                  </w:tcBorders>
                  <w:vAlign w:val="center"/>
                </w:tcPr>
                <w:p w14:paraId="149AC963">
                  <w:pPr>
                    <w:overflowPunct w:val="0"/>
                    <w:spacing w:line="320" w:lineRule="exact"/>
                    <w:jc w:val="center"/>
                    <w:textAlignment w:val="center"/>
                    <w:rPr>
                      <w:rFonts w:hint="default"/>
                      <w:color w:val="auto"/>
                      <w:sz w:val="18"/>
                      <w:szCs w:val="18"/>
                      <w:highlight w:val="none"/>
                      <w:lang w:val="en-US" w:eastAsia="zh-CN"/>
                    </w:rPr>
                  </w:pPr>
                  <w:r>
                    <w:rPr>
                      <w:rFonts w:hint="eastAsia"/>
                      <w:color w:val="auto"/>
                      <w:sz w:val="18"/>
                      <w:szCs w:val="18"/>
                      <w:highlight w:val="none"/>
                      <w:lang w:val="en-US" w:eastAsia="zh-CN"/>
                    </w:rPr>
                    <w:t>4.6</w:t>
                  </w:r>
                </w:p>
              </w:tc>
              <w:tc>
                <w:tcPr>
                  <w:tcW w:w="1579" w:type="dxa"/>
                  <w:tcBorders>
                    <w:top w:val="single" w:color="000000" w:sz="4" w:space="0"/>
                    <w:left w:val="single" w:color="000000" w:sz="4" w:space="0"/>
                    <w:bottom w:val="single" w:color="000000" w:sz="12" w:space="0"/>
                  </w:tcBorders>
                  <w:vAlign w:val="center"/>
                </w:tcPr>
                <w:p w14:paraId="703E0F7A">
                  <w:pPr>
                    <w:overflowPunct w:val="0"/>
                    <w:spacing w:line="320" w:lineRule="exact"/>
                    <w:jc w:val="center"/>
                    <w:textAlignment w:val="center"/>
                    <w:rPr>
                      <w:color w:val="auto"/>
                      <w:sz w:val="18"/>
                      <w:szCs w:val="18"/>
                      <w:highlight w:val="none"/>
                    </w:rPr>
                  </w:pPr>
                  <w:r>
                    <w:rPr>
                      <w:rFonts w:hint="eastAsia"/>
                      <w:color w:val="auto"/>
                      <w:sz w:val="18"/>
                      <w:szCs w:val="18"/>
                      <w:highlight w:val="none"/>
                      <w:lang w:val="en-US" w:eastAsia="zh-CN"/>
                    </w:rPr>
                    <w:t>0</w:t>
                  </w:r>
                </w:p>
              </w:tc>
              <w:tc>
                <w:tcPr>
                  <w:tcW w:w="1579" w:type="dxa"/>
                  <w:tcBorders>
                    <w:top w:val="single" w:color="000000" w:sz="4" w:space="0"/>
                    <w:left w:val="single" w:color="000000" w:sz="4" w:space="0"/>
                    <w:bottom w:val="single" w:color="000000" w:sz="12" w:space="0"/>
                  </w:tcBorders>
                  <w:vAlign w:val="center"/>
                </w:tcPr>
                <w:p w14:paraId="78BC51E6">
                  <w:pPr>
                    <w:pStyle w:val="80"/>
                    <w:spacing w:before="48" w:after="48"/>
                    <w:rPr>
                      <w:rFonts w:hint="eastAsia"/>
                      <w:color w:val="auto"/>
                      <w:sz w:val="18"/>
                      <w:szCs w:val="18"/>
                      <w:highlight w:val="none"/>
                      <w:lang w:val="en-US" w:eastAsia="zh-CN"/>
                    </w:rPr>
                  </w:pPr>
                  <w:r>
                    <w:rPr>
                      <w:rFonts w:hint="eastAsia" w:ascii="Times New Roman" w:hAnsi="Times New Roman" w:eastAsia="宋体" w:cs="Times New Roman"/>
                      <w:color w:val="auto"/>
                      <w:kern w:val="0"/>
                      <w:sz w:val="18"/>
                      <w:szCs w:val="18"/>
                      <w:highlight w:val="none"/>
                      <w:lang w:val="en-US" w:eastAsia="zh-CN" w:bidi="ar-SA"/>
                    </w:rPr>
                    <w:t>/</w:t>
                  </w:r>
                </w:p>
              </w:tc>
            </w:tr>
          </w:tbl>
          <w:p w14:paraId="642FB42B">
            <w:pPr>
              <w:overflowPunct w:val="0"/>
              <w:adjustRightInd w:val="0"/>
              <w:snapToGrid w:val="0"/>
              <w:spacing w:line="360" w:lineRule="auto"/>
              <w:jc w:val="left"/>
              <w:rPr>
                <w:b/>
                <w:bCs/>
                <w:snapToGrid w:val="0"/>
                <w:color w:val="auto"/>
                <w:spacing w:val="-2"/>
                <w:kern w:val="0"/>
                <w:szCs w:val="21"/>
                <w:highlight w:val="none"/>
              </w:rPr>
            </w:pPr>
            <w:r>
              <w:rPr>
                <w:b/>
                <w:bCs/>
                <w:snapToGrid w:val="0"/>
                <w:color w:val="auto"/>
                <w:spacing w:val="-2"/>
                <w:kern w:val="0"/>
                <w:szCs w:val="21"/>
                <w:highlight w:val="none"/>
              </w:rPr>
              <w:t>3</w:t>
            </w:r>
            <w:r>
              <w:rPr>
                <w:rFonts w:hint="eastAsia"/>
                <w:b/>
                <w:bCs/>
                <w:snapToGrid w:val="0"/>
                <w:color w:val="auto"/>
                <w:spacing w:val="-2"/>
                <w:kern w:val="0"/>
                <w:szCs w:val="21"/>
                <w:highlight w:val="none"/>
              </w:rPr>
              <w:t>、总量平衡方案</w:t>
            </w:r>
          </w:p>
          <w:p w14:paraId="3402B0DF">
            <w:pPr>
              <w:adjustRightInd w:val="0"/>
              <w:snapToGrid w:val="0"/>
              <w:spacing w:line="360" w:lineRule="auto"/>
              <w:ind w:firstLine="420" w:firstLineChars="200"/>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w:t>
            </w:r>
            <w:r>
              <w:rPr>
                <w:rFonts w:hint="eastAsia"/>
                <w:color w:val="auto"/>
                <w:szCs w:val="21"/>
                <w:highlight w:val="none"/>
                <w:lang w:val="en-US" w:eastAsia="zh-CN"/>
              </w:rPr>
              <w:t>大气</w:t>
            </w:r>
            <w:r>
              <w:rPr>
                <w:rFonts w:hint="eastAsia"/>
                <w:color w:val="auto"/>
                <w:szCs w:val="21"/>
                <w:highlight w:val="none"/>
              </w:rPr>
              <w:t>污染物排放总量控制途径分析</w:t>
            </w:r>
          </w:p>
          <w:p w14:paraId="2DEB726E">
            <w:pPr>
              <w:adjustRightInd w:val="0"/>
              <w:snapToGrid w:val="0"/>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本项目完成后VOCs排放量为0.735t/a，颗粒物排放量为0.722t/a。VOCs、颗粒物排放总量指标向吴江区生态环境局申请，在吴江区区域内平衡。</w:t>
            </w:r>
          </w:p>
          <w:p w14:paraId="13A25A06">
            <w:pPr>
              <w:adjustRightInd w:val="0"/>
              <w:snapToGrid w:val="0"/>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（2）水污染物排放总量控制途径分析</w:t>
            </w:r>
          </w:p>
          <w:p w14:paraId="236CF69F">
            <w:pPr>
              <w:adjustRightInd w:val="0"/>
              <w:snapToGrid w:val="0"/>
              <w:spacing w:line="360" w:lineRule="auto"/>
              <w:ind w:firstLine="420" w:firstLineChars="200"/>
              <w:rPr>
                <w:color w:val="auto"/>
                <w:szCs w:val="21"/>
                <w:highlight w:val="none"/>
              </w:rPr>
            </w:pPr>
            <w:r>
              <w:rPr>
                <w:rFonts w:hint="eastAsia"/>
                <w:color w:val="auto"/>
                <w:szCs w:val="21"/>
                <w:highlight w:val="none"/>
                <w:lang w:val="en-US" w:eastAsia="zh-CN"/>
              </w:rPr>
              <w:t>全厂</w:t>
            </w:r>
            <w:r>
              <w:rPr>
                <w:rFonts w:hint="eastAsia"/>
                <w:color w:val="auto"/>
                <w:szCs w:val="21"/>
                <w:highlight w:val="none"/>
              </w:rPr>
              <w:t>生活污水排放量</w:t>
            </w:r>
            <w:r>
              <w:rPr>
                <w:rFonts w:hint="eastAsia"/>
                <w:color w:val="auto"/>
                <w:szCs w:val="21"/>
                <w:highlight w:val="none"/>
                <w:lang w:val="en-US" w:eastAsia="zh-CN"/>
              </w:rPr>
              <w:t>775.6t/a</w:t>
            </w:r>
            <w:r>
              <w:rPr>
                <w:rFonts w:hint="eastAsia"/>
                <w:color w:val="auto"/>
                <w:szCs w:val="21"/>
                <w:highlight w:val="none"/>
              </w:rPr>
              <w:t>，根据苏环办字</w:t>
            </w:r>
            <w:r>
              <w:rPr>
                <w:rFonts w:hint="eastAsia"/>
                <w:color w:val="auto"/>
                <w:szCs w:val="21"/>
                <w:highlight w:val="none"/>
                <w:lang w:eastAsia="zh-CN"/>
              </w:rPr>
              <w:t>〔</w:t>
            </w:r>
            <w:r>
              <w:rPr>
                <w:color w:val="auto"/>
                <w:szCs w:val="21"/>
                <w:highlight w:val="none"/>
              </w:rPr>
              <w:t>2017</w:t>
            </w:r>
            <w:r>
              <w:rPr>
                <w:rFonts w:hint="eastAsia"/>
                <w:color w:val="auto"/>
                <w:szCs w:val="21"/>
                <w:highlight w:val="none"/>
                <w:lang w:eastAsia="zh-CN"/>
              </w:rPr>
              <w:t>〕</w:t>
            </w:r>
            <w:r>
              <w:rPr>
                <w:color w:val="auto"/>
                <w:szCs w:val="21"/>
                <w:highlight w:val="none"/>
              </w:rPr>
              <w:t>54</w:t>
            </w:r>
            <w:r>
              <w:rPr>
                <w:rFonts w:hint="eastAsia"/>
                <w:color w:val="auto"/>
                <w:szCs w:val="21"/>
                <w:highlight w:val="none"/>
              </w:rPr>
              <w:t>号文件，生活污水主要污染物排放总量指标不再需要审核区域平衡方案。</w:t>
            </w:r>
          </w:p>
          <w:p w14:paraId="4C038E84">
            <w:pPr>
              <w:adjustRightInd w:val="0"/>
              <w:snapToGrid w:val="0"/>
              <w:spacing w:line="360" w:lineRule="auto"/>
              <w:ind w:firstLine="420" w:firstLineChars="200"/>
              <w:rPr>
                <w:color w:val="auto"/>
                <w:szCs w:val="21"/>
                <w:highlight w:val="none"/>
              </w:rPr>
            </w:pPr>
            <w:r>
              <w:rPr>
                <w:rFonts w:hint="eastAsia"/>
                <w:color w:val="auto"/>
                <w:szCs w:val="21"/>
                <w:highlight w:val="none"/>
              </w:rPr>
              <w:t>本项目</w:t>
            </w:r>
            <w:r>
              <w:rPr>
                <w:rFonts w:hint="eastAsia"/>
                <w:color w:val="auto"/>
                <w:szCs w:val="21"/>
                <w:highlight w:val="none"/>
                <w:lang w:val="en-US" w:eastAsia="zh-CN"/>
              </w:rPr>
              <w:t>生产</w:t>
            </w:r>
            <w:r>
              <w:rPr>
                <w:rFonts w:hint="eastAsia"/>
                <w:color w:val="auto"/>
                <w:szCs w:val="21"/>
                <w:highlight w:val="none"/>
              </w:rPr>
              <w:t>废水接管量</w:t>
            </w:r>
            <w:r>
              <w:rPr>
                <w:rFonts w:hint="eastAsia"/>
                <w:color w:val="auto"/>
                <w:szCs w:val="21"/>
                <w:highlight w:val="none"/>
                <w:lang w:val="en-US" w:eastAsia="zh-CN"/>
              </w:rPr>
              <w:t>173740</w:t>
            </w:r>
            <w:r>
              <w:rPr>
                <w:color w:val="auto"/>
                <w:szCs w:val="21"/>
                <w:highlight w:val="none"/>
              </w:rPr>
              <w:t>t/a</w:t>
            </w:r>
            <w:r>
              <w:rPr>
                <w:rFonts w:hint="eastAsia"/>
                <w:color w:val="auto"/>
                <w:szCs w:val="21"/>
                <w:highlight w:val="none"/>
              </w:rPr>
              <w:t>，接管至苏州市桃源富乡污水处理有限公司处理，</w:t>
            </w:r>
            <w:r>
              <w:rPr>
                <w:rFonts w:hint="eastAsia"/>
                <w:color w:val="auto"/>
                <w:szCs w:val="21"/>
                <w:highlight w:val="none"/>
                <w:lang w:val="en-US" w:eastAsia="zh-CN"/>
              </w:rPr>
              <w:t>在</w:t>
            </w:r>
            <w:r>
              <w:rPr>
                <w:rFonts w:hint="eastAsia"/>
                <w:color w:val="auto"/>
                <w:szCs w:val="21"/>
                <w:highlight w:val="none"/>
              </w:rPr>
              <w:t>苏州市桃源富乡污水处理有限公司</w:t>
            </w:r>
            <w:r>
              <w:rPr>
                <w:rFonts w:hint="eastAsia"/>
                <w:color w:val="auto"/>
                <w:szCs w:val="21"/>
                <w:highlight w:val="none"/>
                <w:lang w:val="en-US" w:eastAsia="zh-CN"/>
              </w:rPr>
              <w:t>已批总量中进行平衡，本项目</w:t>
            </w:r>
            <w:r>
              <w:rPr>
                <w:rFonts w:hint="eastAsia"/>
                <w:color w:val="auto"/>
                <w:szCs w:val="21"/>
                <w:highlight w:val="none"/>
              </w:rPr>
              <w:t>不再进行总量平衡。</w:t>
            </w:r>
          </w:p>
          <w:p w14:paraId="393811FF">
            <w:pPr>
              <w:adjustRightInd w:val="0"/>
              <w:snapToGrid w:val="0"/>
              <w:spacing w:line="360" w:lineRule="auto"/>
              <w:ind w:firstLine="420" w:firstLineChars="200"/>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）固体废弃物排放总量控制途径分析</w:t>
            </w:r>
          </w:p>
          <w:p w14:paraId="08CF4BAE">
            <w:pPr>
              <w:adjustRightInd w:val="0"/>
              <w:snapToGrid w:val="0"/>
              <w:spacing w:line="360" w:lineRule="auto"/>
              <w:ind w:firstLine="420" w:firstLineChars="200"/>
              <w:rPr>
                <w:color w:val="auto"/>
                <w:szCs w:val="21"/>
                <w:highlight w:val="none"/>
              </w:rPr>
            </w:pPr>
            <w:r>
              <w:rPr>
                <w:rFonts w:hint="eastAsia"/>
                <w:color w:val="auto"/>
                <w:szCs w:val="21"/>
                <w:highlight w:val="none"/>
              </w:rPr>
              <w:t>本项目生产过程中产生的生活垃圾、一般固废和危险废物能得到妥善地利用和处置，不申请总量控制。</w:t>
            </w:r>
          </w:p>
          <w:p w14:paraId="63C803F6">
            <w:pPr>
              <w:pStyle w:val="35"/>
              <w:rPr>
                <w:rFonts w:ascii="Times New Roman" w:cs="Times New Roman"/>
                <w:snapToGrid w:val="0"/>
                <w:color w:val="auto"/>
                <w:sz w:val="21"/>
                <w:szCs w:val="21"/>
                <w:highlight w:val="none"/>
              </w:rPr>
            </w:pPr>
          </w:p>
          <w:p w14:paraId="4C2579B5">
            <w:pPr>
              <w:pStyle w:val="35"/>
              <w:rPr>
                <w:rFonts w:hint="eastAsia" w:ascii="Times New Roman" w:cs="Times New Roman"/>
                <w:snapToGrid w:val="0"/>
                <w:color w:val="auto"/>
                <w:sz w:val="21"/>
                <w:szCs w:val="21"/>
                <w:highlight w:val="none"/>
                <w:lang w:val="en-US" w:eastAsia="zh-CN"/>
              </w:rPr>
            </w:pPr>
          </w:p>
          <w:p w14:paraId="654323E1">
            <w:pPr>
              <w:pStyle w:val="35"/>
              <w:rPr>
                <w:rFonts w:hint="eastAsia" w:ascii="Times New Roman" w:cs="Times New Roman"/>
                <w:snapToGrid w:val="0"/>
                <w:color w:val="auto"/>
                <w:sz w:val="21"/>
                <w:szCs w:val="21"/>
                <w:highlight w:val="none"/>
                <w:lang w:val="en-US" w:eastAsia="zh-CN"/>
              </w:rPr>
            </w:pPr>
          </w:p>
          <w:p w14:paraId="6561EEAF">
            <w:pPr>
              <w:pStyle w:val="35"/>
              <w:rPr>
                <w:rFonts w:hint="eastAsia" w:ascii="Times New Roman" w:cs="Times New Roman"/>
                <w:snapToGrid w:val="0"/>
                <w:color w:val="auto"/>
                <w:sz w:val="21"/>
                <w:szCs w:val="21"/>
                <w:highlight w:val="none"/>
                <w:lang w:val="en-US" w:eastAsia="zh-CN"/>
              </w:rPr>
            </w:pPr>
          </w:p>
          <w:p w14:paraId="1544F5D6">
            <w:pPr>
              <w:pStyle w:val="35"/>
              <w:rPr>
                <w:rFonts w:hint="default" w:ascii="Times New Roman" w:eastAsia="宋体" w:cs="Times New Roman"/>
                <w:snapToGrid w:val="0"/>
                <w:color w:val="auto"/>
                <w:sz w:val="21"/>
                <w:szCs w:val="21"/>
                <w:highlight w:val="none"/>
                <w:lang w:val="en-US" w:eastAsia="zh-CN"/>
              </w:rPr>
            </w:pPr>
          </w:p>
        </w:tc>
      </w:tr>
    </w:tbl>
    <w:p w14:paraId="587EC27A">
      <w:pPr>
        <w:pStyle w:val="22"/>
        <w:jc w:val="center"/>
        <w:outlineLvl w:val="0"/>
        <w:rPr>
          <w:rFonts w:ascii="黑体" w:hAnsi="黑体" w:eastAsia="黑体"/>
          <w:snapToGrid w:val="0"/>
          <w:color w:val="000000"/>
          <w:sz w:val="36"/>
          <w:szCs w:val="36"/>
        </w:rPr>
        <w:sectPr>
          <w:pgSz w:w="16840" w:h="11907" w:orient="landscape"/>
          <w:pgMar w:top="1531" w:right="1701" w:bottom="1531" w:left="2127" w:header="851" w:footer="851" w:gutter="0"/>
          <w:pgBorders>
            <w:top w:val="none" w:sz="0" w:space="0"/>
            <w:left w:val="none" w:sz="0" w:space="0"/>
            <w:bottom w:val="none" w:sz="0" w:space="0"/>
            <w:right w:val="none" w:sz="0" w:space="0"/>
          </w:pgBorders>
          <w:cols w:space="720" w:num="1"/>
          <w:docGrid w:linePitch="312" w:charSpace="0"/>
        </w:sectPr>
      </w:pPr>
    </w:p>
    <w:p w14:paraId="1505CCBD">
      <w:pPr>
        <w:pStyle w:val="22"/>
        <w:jc w:val="center"/>
        <w:outlineLvl w:val="0"/>
        <w:rPr>
          <w:rFonts w:ascii="黑体" w:hAnsi="黑体" w:eastAsia="黑体"/>
          <w:snapToGrid w:val="0"/>
          <w:color w:val="000000"/>
          <w:sz w:val="30"/>
          <w:szCs w:val="30"/>
        </w:rPr>
      </w:pPr>
      <w:bookmarkStart w:id="67" w:name="_Toc8687"/>
      <w:r>
        <w:rPr>
          <w:rFonts w:hint="eastAsia" w:ascii="黑体" w:hAnsi="黑体" w:eastAsia="黑体"/>
          <w:snapToGrid w:val="0"/>
          <w:color w:val="000000"/>
          <w:sz w:val="30"/>
          <w:szCs w:val="30"/>
        </w:rPr>
        <w:t>四、主要环境影响和保护措施</w:t>
      </w:r>
      <w:bookmarkEnd w:id="67"/>
    </w:p>
    <w:tbl>
      <w:tblPr>
        <w:tblStyle w:val="26"/>
        <w:tblpPr w:leftFromText="180" w:rightFromText="180" w:vertAnchor="text" w:tblpXSpec="center" w:tblpY="1"/>
        <w:tblOverlap w:val="never"/>
        <w:tblW w:w="88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49"/>
        <w:gridCol w:w="8274"/>
      </w:tblGrid>
      <w:tr w14:paraId="2359BD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49" w:type="dxa"/>
            <w:tcBorders>
              <w:top w:val="single" w:color="auto" w:sz="8" w:space="0"/>
            </w:tcBorders>
            <w:tcMar>
              <w:left w:w="28" w:type="dxa"/>
              <w:right w:w="28" w:type="dxa"/>
            </w:tcMar>
            <w:vAlign w:val="center"/>
          </w:tcPr>
          <w:p w14:paraId="3C4E6DBB">
            <w:pPr>
              <w:pStyle w:val="22"/>
              <w:adjustRightInd w:val="0"/>
              <w:snapToGrid w:val="0"/>
              <w:spacing w:before="0" w:beforeAutospacing="0" w:after="0" w:afterAutospacing="0"/>
              <w:jc w:val="center"/>
              <w:rPr>
                <w:rFonts w:cs="宋体"/>
                <w:bCs/>
                <w:color w:val="auto"/>
                <w:kern w:val="2"/>
                <w:sz w:val="21"/>
                <w:szCs w:val="21"/>
              </w:rPr>
            </w:pPr>
            <w:r>
              <w:rPr>
                <w:rFonts w:hint="eastAsia" w:cs="宋体"/>
                <w:color w:val="auto"/>
                <w:kern w:val="2"/>
                <w:sz w:val="21"/>
                <w:szCs w:val="21"/>
              </w:rPr>
              <w:t>施工期环境保护措施</w:t>
            </w:r>
          </w:p>
        </w:tc>
        <w:tc>
          <w:tcPr>
            <w:tcW w:w="8274" w:type="dxa"/>
            <w:tcBorders>
              <w:top w:val="single" w:color="auto" w:sz="8" w:space="0"/>
            </w:tcBorders>
            <w:vAlign w:val="center"/>
          </w:tcPr>
          <w:p w14:paraId="23131ADE">
            <w:pPr>
              <w:spacing w:before="24" w:after="24" w:line="360" w:lineRule="auto"/>
              <w:ind w:firstLine="420" w:firstLineChars="200"/>
              <w:jc w:val="left"/>
              <w:rPr>
                <w:rFonts w:ascii="Times New Roman" w:hAnsi="Times New Roman" w:eastAsia="宋体" w:cs="Times New Roman"/>
                <w:bCs/>
                <w:snapToGrid w:val="0"/>
                <w:kern w:val="0"/>
                <w:sz w:val="21"/>
                <w:szCs w:val="21"/>
                <w:highlight w:val="none"/>
              </w:rPr>
            </w:pPr>
            <w:r>
              <w:rPr>
                <w:rFonts w:ascii="Times New Roman" w:hAnsi="Times New Roman" w:eastAsia="宋体" w:cs="Times New Roman"/>
                <w:bCs/>
                <w:snapToGrid w:val="0"/>
                <w:kern w:val="0"/>
                <w:sz w:val="21"/>
                <w:szCs w:val="21"/>
                <w:highlight w:val="none"/>
              </w:rPr>
              <w:t>本项目将利用项目所在地新建厂房，施工期约为</w:t>
            </w:r>
            <w:r>
              <w:rPr>
                <w:rFonts w:hint="eastAsia" w:cs="Times New Roman"/>
                <w:bCs/>
                <w:snapToGrid w:val="0"/>
                <w:kern w:val="0"/>
                <w:sz w:val="21"/>
                <w:szCs w:val="21"/>
                <w:highlight w:val="none"/>
                <w:lang w:val="en-US" w:eastAsia="zh-CN"/>
              </w:rPr>
              <w:t>10</w:t>
            </w:r>
            <w:r>
              <w:rPr>
                <w:rFonts w:ascii="Times New Roman" w:hAnsi="Times New Roman" w:eastAsia="宋体" w:cs="Times New Roman"/>
                <w:bCs/>
                <w:snapToGrid w:val="0"/>
                <w:kern w:val="0"/>
                <w:sz w:val="21"/>
                <w:szCs w:val="21"/>
                <w:highlight w:val="none"/>
              </w:rPr>
              <w:t>个月。</w:t>
            </w:r>
          </w:p>
          <w:p w14:paraId="37A2178C">
            <w:pPr>
              <w:spacing w:before="24" w:after="24" w:line="360" w:lineRule="auto"/>
              <w:ind w:firstLine="420" w:firstLineChars="200"/>
              <w:jc w:val="left"/>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1、大气环境影响分析</w:t>
            </w:r>
          </w:p>
          <w:p w14:paraId="38000FB9">
            <w:pPr>
              <w:spacing w:before="24" w:after="24" w:line="360" w:lineRule="auto"/>
              <w:ind w:firstLine="420" w:firstLineChars="200"/>
              <w:jc w:val="left"/>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在施工阶段对空气环境的污染主要来自施工工地扬尘，另有少量施工车辆尾气。施工扬尘可分为车辆行驶扬尘；堆场扬尘和搅拌扬尘。本项目施工期间扬尘主要来自堆场扬尘和车辆行驶扬尘。</w:t>
            </w:r>
          </w:p>
          <w:p w14:paraId="16F68C79">
            <w:pPr>
              <w:spacing w:before="24" w:after="24" w:line="360" w:lineRule="auto"/>
              <w:ind w:firstLine="420" w:firstLineChars="200"/>
              <w:jc w:val="left"/>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①车辆行驶扬尘污染防治措施在采取限速、洒水及保护路面整洁等措施后，车辆行驶扬尘对区域大气环境影响可减少到最低限度。</w:t>
            </w:r>
          </w:p>
          <w:p w14:paraId="653802A9">
            <w:pPr>
              <w:spacing w:before="24" w:after="24" w:line="360" w:lineRule="auto"/>
              <w:ind w:firstLine="420" w:firstLineChars="200"/>
              <w:jc w:val="left"/>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②堆场扬尘污染防治措施为减少堆场扬尘对其的影响，须设置固定的堆棚或采取加盖塑料布，表面洒水等方式，届时可大大减少堆场扬尘对周围大气环境的影响。同时该影响随着施工的结束而消失。</w:t>
            </w:r>
          </w:p>
          <w:p w14:paraId="3F66A6A9">
            <w:pPr>
              <w:spacing w:before="24" w:after="24" w:line="360" w:lineRule="auto"/>
              <w:ind w:firstLine="420" w:firstLineChars="200"/>
              <w:jc w:val="left"/>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总体而言，本项目施工期的车辆行驶扬尘和堆场扬尘对周围环境有一定的影响，为减少该影响，建设单位需通过实施标准化施工，采取地面硬化，设置围墙，同时配置工地滞尘防护网等有效措施，将其控制在较低的范围内。</w:t>
            </w:r>
          </w:p>
          <w:p w14:paraId="66A22A34">
            <w:pPr>
              <w:spacing w:before="24" w:after="24" w:line="360" w:lineRule="auto"/>
              <w:ind w:firstLine="420" w:firstLineChars="200"/>
              <w:jc w:val="left"/>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2、地表水环境影响分析</w:t>
            </w:r>
          </w:p>
          <w:p w14:paraId="1E298237">
            <w:pPr>
              <w:spacing w:before="24" w:after="24" w:line="360" w:lineRule="auto"/>
              <w:ind w:firstLine="420" w:firstLineChars="200"/>
              <w:jc w:val="left"/>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施工期间污水包括：施工人员生活污水、工地污水等。</w:t>
            </w:r>
          </w:p>
          <w:p w14:paraId="6B950B31">
            <w:pPr>
              <w:spacing w:before="24" w:after="24" w:line="360" w:lineRule="auto"/>
              <w:ind w:firstLine="420" w:firstLineChars="200"/>
              <w:jc w:val="left"/>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①工地污水污染防治措施要求该公司在施工期间对黄砂、土方等采取必要的防雨措施，同时要求在施工场地四周设置截流沟和沉淀池，雨水经截流沟进入沉淀池进行沉淀处理后</w:t>
            </w:r>
            <w:r>
              <w:rPr>
                <w:rFonts w:hint="eastAsia" w:cs="Times New Roman"/>
                <w:sz w:val="21"/>
                <w:szCs w:val="21"/>
                <w:highlight w:val="none"/>
                <w:lang w:val="en-US" w:eastAsia="zh-CN"/>
              </w:rPr>
              <w:t>接入市政雨水排放管网</w:t>
            </w:r>
            <w:r>
              <w:rPr>
                <w:rFonts w:hint="eastAsia" w:ascii="Times New Roman" w:hAnsi="Times New Roman" w:eastAsia="宋体" w:cs="Times New Roman"/>
                <w:sz w:val="21"/>
                <w:szCs w:val="21"/>
                <w:highlight w:val="none"/>
                <w:lang w:val="en-US" w:eastAsia="zh-CN"/>
              </w:rPr>
              <w:t>，从而减少对周围水体环境的影响，切实保护项目所在地水环境质量不受影响。</w:t>
            </w:r>
          </w:p>
          <w:p w14:paraId="22BED656">
            <w:pPr>
              <w:spacing w:before="24" w:after="24" w:line="360" w:lineRule="auto"/>
              <w:ind w:firstLine="420" w:firstLineChars="200"/>
              <w:jc w:val="left"/>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②生活污水污染防治措施建设单位应在建地设置施工人员临时厕所，生活污水经化粪池处理后</w:t>
            </w:r>
            <w:r>
              <w:rPr>
                <w:rFonts w:hint="eastAsia" w:cs="Times New Roman"/>
                <w:sz w:val="21"/>
                <w:szCs w:val="21"/>
                <w:highlight w:val="none"/>
                <w:lang w:val="en-US" w:eastAsia="zh-CN"/>
              </w:rPr>
              <w:t>抽运至</w:t>
            </w:r>
            <w:r>
              <w:rPr>
                <w:rFonts w:hint="eastAsia" w:ascii="Times New Roman" w:hAnsi="Times New Roman" w:eastAsia="宋体" w:cs="Times New Roman"/>
                <w:sz w:val="21"/>
                <w:szCs w:val="21"/>
                <w:highlight w:val="none"/>
                <w:lang w:val="en-US" w:eastAsia="zh-CN"/>
              </w:rPr>
              <w:t>苏州市吴江桃源生活污水处理有限公司处理达标后排放</w:t>
            </w:r>
            <w:r>
              <w:rPr>
                <w:rFonts w:hint="eastAsia" w:cs="Times New Roman"/>
                <w:sz w:val="21"/>
                <w:szCs w:val="21"/>
                <w:highlight w:val="none"/>
                <w:lang w:val="en-US" w:eastAsia="zh-CN"/>
              </w:rPr>
              <w:t>。</w:t>
            </w:r>
          </w:p>
          <w:p w14:paraId="0FD7A517">
            <w:pPr>
              <w:spacing w:before="24" w:after="24" w:line="360" w:lineRule="auto"/>
              <w:ind w:firstLine="420" w:firstLineChars="200"/>
              <w:jc w:val="left"/>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3、声环境影响分析</w:t>
            </w:r>
          </w:p>
          <w:p w14:paraId="29D9A4EC">
            <w:pPr>
              <w:spacing w:before="24" w:after="24" w:line="360" w:lineRule="auto"/>
              <w:ind w:firstLine="420" w:firstLineChars="200"/>
              <w:jc w:val="left"/>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施工期产生的噪声主要来自于施工设备。企业可采用以下几点噪声污染防治措施来减少噪声污染。</w:t>
            </w:r>
          </w:p>
          <w:p w14:paraId="752449AE">
            <w:pPr>
              <w:spacing w:before="24" w:after="24" w:line="360" w:lineRule="auto"/>
              <w:ind w:firstLine="420" w:firstLineChars="200"/>
              <w:jc w:val="left"/>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①采用先进的设备与材料，降低作业噪声的产生量，尽量选用低噪声或备有消声将噪声的施工机械；</w:t>
            </w:r>
          </w:p>
          <w:p w14:paraId="2019093B">
            <w:pPr>
              <w:spacing w:before="24" w:after="24" w:line="360" w:lineRule="auto"/>
              <w:ind w:firstLine="420" w:firstLineChars="200"/>
              <w:jc w:val="left"/>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②现场混凝土振捣采用低噪音振动棒，操作室，不得振捣钢筋和模板，不得任意空振产生噪声；</w:t>
            </w:r>
          </w:p>
          <w:p w14:paraId="7B45DEC6">
            <w:pPr>
              <w:spacing w:before="24" w:after="24" w:line="360" w:lineRule="auto"/>
              <w:ind w:firstLine="420" w:firstLineChars="200"/>
              <w:jc w:val="left"/>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③除特殊情况外，不得夜间施工，如必须夜间施工，要实现办理夜施许可证，施工时，要严格控制施工噪声；</w:t>
            </w:r>
          </w:p>
          <w:p w14:paraId="18376722">
            <w:pPr>
              <w:spacing w:before="24" w:after="24" w:line="360" w:lineRule="auto"/>
              <w:ind w:firstLine="420" w:firstLineChars="200"/>
              <w:jc w:val="left"/>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④对运输车辆、电锯、电刨、砂轮等强噪声机械设备必须进行有效控制，现场强噪声采用封闭式隔音棚，运输车辆进行鸣笛和高速行驶。</w:t>
            </w:r>
          </w:p>
          <w:p w14:paraId="70BB6CB6">
            <w:pPr>
              <w:spacing w:before="24" w:after="24" w:line="360" w:lineRule="auto"/>
              <w:ind w:firstLine="420" w:firstLineChars="200"/>
              <w:jc w:val="left"/>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4、固体废弃物影响分析</w:t>
            </w:r>
          </w:p>
          <w:p w14:paraId="08CEEF1D">
            <w:pPr>
              <w:spacing w:before="24" w:after="24" w:line="360" w:lineRule="auto"/>
              <w:ind w:firstLine="420" w:firstLineChars="200"/>
              <w:jc w:val="left"/>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施工期间产生的固体废弃物主要为废弃的碎砖、石、冲洗残渣、弃土、各类建材的包装箱、袋和建筑垃圾、生活垃圾等。施工期间对废弃的碎砖石、残渣、弃土等基本就地处置，作填筑地基用；包装物也基本上回收利用或销售给废品收购站，建筑垃圾和施工人员生活垃圾将由环卫部门统一拉走处理。因此，上述废弃物不会对周围环境产生较大影响。</w:t>
            </w:r>
          </w:p>
          <w:p w14:paraId="4DF61F07">
            <w:pPr>
              <w:spacing w:line="360" w:lineRule="auto"/>
              <w:ind w:firstLine="380" w:firstLineChars="200"/>
              <w:rPr>
                <w:rFonts w:ascii="宋体" w:cs="宋体"/>
                <w:bCs/>
                <w:color w:val="auto"/>
                <w:spacing w:val="-10"/>
                <w:szCs w:val="21"/>
              </w:rPr>
            </w:pPr>
          </w:p>
        </w:tc>
      </w:tr>
      <w:tr w14:paraId="7E07E1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93" w:hRule="atLeast"/>
          <w:jc w:val="center"/>
        </w:trPr>
        <w:tc>
          <w:tcPr>
            <w:tcW w:w="549" w:type="dxa"/>
            <w:tcBorders>
              <w:bottom w:val="single" w:color="auto" w:sz="8" w:space="0"/>
            </w:tcBorders>
            <w:tcMar>
              <w:left w:w="28" w:type="dxa"/>
              <w:right w:w="28" w:type="dxa"/>
            </w:tcMar>
            <w:vAlign w:val="center"/>
          </w:tcPr>
          <w:p w14:paraId="20213163">
            <w:pPr>
              <w:adjustRightInd w:val="0"/>
              <w:snapToGrid w:val="0"/>
              <w:jc w:val="center"/>
              <w:rPr>
                <w:rFonts w:hint="eastAsia"/>
                <w:color w:val="auto"/>
                <w:szCs w:val="21"/>
              </w:rPr>
            </w:pPr>
            <w:r>
              <w:rPr>
                <w:rFonts w:hint="eastAsia"/>
                <w:color w:val="auto"/>
                <w:szCs w:val="21"/>
              </w:rPr>
              <w:t>营期环境影响和保护措施</w:t>
            </w:r>
          </w:p>
        </w:tc>
        <w:tc>
          <w:tcPr>
            <w:tcW w:w="8274" w:type="dxa"/>
            <w:tcBorders>
              <w:bottom w:val="single" w:color="auto" w:sz="8" w:space="0"/>
            </w:tcBorders>
            <w:vAlign w:val="top"/>
          </w:tcPr>
          <w:p w14:paraId="1490695F">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1</w:t>
            </w:r>
            <w:r>
              <w:rPr>
                <w:rFonts w:hint="eastAsia"/>
                <w:b/>
                <w:bCs/>
                <w:snapToGrid w:val="0"/>
                <w:color w:val="auto"/>
                <w:spacing w:val="-2"/>
                <w:kern w:val="0"/>
                <w:szCs w:val="21"/>
              </w:rPr>
              <w:t>、废气影响分析</w:t>
            </w:r>
          </w:p>
          <w:p w14:paraId="26C2AE2F">
            <w:pPr>
              <w:adjustRightInd w:val="0"/>
              <w:snapToGrid w:val="0"/>
              <w:spacing w:line="360" w:lineRule="auto"/>
              <w:rPr>
                <w:rFonts w:ascii="Times New Roman" w:hAnsi="Times New Roman" w:eastAsia="宋体" w:cs="Times New Roman"/>
                <w:b/>
                <w:color w:val="auto"/>
                <w:sz w:val="21"/>
                <w:szCs w:val="21"/>
              </w:rPr>
            </w:pPr>
            <w:r>
              <w:rPr>
                <w:rFonts w:hint="eastAsia" w:cs="Times New Roman"/>
                <w:b/>
                <w:color w:val="auto"/>
                <w:sz w:val="21"/>
                <w:szCs w:val="21"/>
                <w:lang w:val="en-US" w:eastAsia="zh-CN"/>
              </w:rPr>
              <w:t>1.1</w:t>
            </w:r>
            <w:r>
              <w:rPr>
                <w:rFonts w:ascii="Times New Roman" w:hAnsi="Times New Roman" w:eastAsia="宋体" w:cs="Times New Roman"/>
                <w:b/>
                <w:color w:val="auto"/>
                <w:sz w:val="21"/>
                <w:szCs w:val="21"/>
              </w:rPr>
              <w:t>产排污情况</w:t>
            </w:r>
          </w:p>
          <w:p w14:paraId="74A6EDB5">
            <w:pPr>
              <w:spacing w:line="360" w:lineRule="auto"/>
              <w:ind w:firstLine="420" w:firstLineChars="200"/>
              <w:rPr>
                <w:rFonts w:hint="default"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rPr>
              <w:t>本项目</w:t>
            </w:r>
            <w:r>
              <w:rPr>
                <w:rFonts w:hint="eastAsia" w:ascii="Times New Roman" w:hAnsi="Times New Roman" w:eastAsia="宋体" w:cs="Times New Roman"/>
                <w:color w:val="auto"/>
                <w:sz w:val="21"/>
                <w:szCs w:val="21"/>
                <w:lang w:val="en-US" w:eastAsia="zh-CN"/>
              </w:rPr>
              <w:t>加弹、复合工段会产生废气，污染因子为</w:t>
            </w:r>
            <w:r>
              <w:rPr>
                <w:rFonts w:hint="eastAsia" w:cs="Times New Roman"/>
                <w:color w:val="auto"/>
                <w:sz w:val="21"/>
                <w:szCs w:val="21"/>
                <w:lang w:val="en-US" w:eastAsia="zh-CN"/>
              </w:rPr>
              <w:t>颗粒物、</w:t>
            </w:r>
            <w:r>
              <w:rPr>
                <w:rFonts w:hint="eastAsia" w:ascii="Times New Roman" w:hAnsi="Times New Roman" w:eastAsia="宋体" w:cs="Times New Roman"/>
                <w:color w:val="auto"/>
                <w:sz w:val="21"/>
                <w:szCs w:val="21"/>
                <w:lang w:val="en-US" w:eastAsia="zh-CN"/>
              </w:rPr>
              <w:t>非甲烷总烃</w:t>
            </w:r>
            <w:r>
              <w:rPr>
                <w:rFonts w:ascii="Times New Roman" w:hAnsi="Times New Roman" w:eastAsia="宋体" w:cs="Times New Roman"/>
                <w:color w:val="auto"/>
                <w:sz w:val="21"/>
                <w:szCs w:val="21"/>
              </w:rPr>
              <w:t>。</w:t>
            </w:r>
            <w:r>
              <w:rPr>
                <w:rFonts w:hint="eastAsia" w:cs="Times New Roman"/>
                <w:color w:val="auto"/>
                <w:sz w:val="21"/>
                <w:szCs w:val="21"/>
                <w:lang w:val="en-US" w:eastAsia="zh-CN"/>
              </w:rPr>
              <w:t>喷气织造产生极少量的纤维尘，本项目不做定量分析。</w:t>
            </w:r>
          </w:p>
          <w:p w14:paraId="144D20DE">
            <w:pPr>
              <w:spacing w:line="360" w:lineRule="auto"/>
              <w:ind w:firstLine="422" w:firstLineChars="20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b/>
                <w:bCs/>
                <w:color w:val="auto"/>
                <w:sz w:val="21"/>
                <w:szCs w:val="21"/>
                <w:lang w:val="en-US" w:eastAsia="zh-CN"/>
              </w:rPr>
              <w:t>加弹</w:t>
            </w:r>
            <w:r>
              <w:rPr>
                <w:rFonts w:hint="eastAsia" w:ascii="Times New Roman" w:hAnsi="Times New Roman" w:eastAsia="宋体" w:cs="Times New Roman"/>
                <w:color w:val="auto"/>
                <w:sz w:val="21"/>
                <w:szCs w:val="21"/>
                <w:lang w:val="en-US" w:eastAsia="zh-CN"/>
              </w:rPr>
              <w:t>：</w:t>
            </w:r>
          </w:p>
          <w:p w14:paraId="1915F0D4">
            <w:pPr>
              <w:spacing w:line="360" w:lineRule="auto"/>
              <w:ind w:firstLine="420" w:firstLineChars="20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项目原料涤纶丝中均含有纺丝油剂，纺丝油剂的主要成分为矿物油、表面活性剂等，纺丝油剂在加弹机中加热的过程中，化纤油中的矿物油等物质会在加热状态下变为气态，产生油烟，其主要污染物为油雾（颗粒物）和非甲烷总烃。本项目所用化纤丝成分为聚对苯二甲酸乙二醇酯，其裂解温度约为280℃，而加弹过程中的加热温度仅为150℃，不超过其裂解温度，因此化纤丝不会发生分解，不发生化学反应，仅是一个物理加热过程，只有少量残余未聚合单体挥发出来，主要成分为游离的低碳有机烃类物质，以非甲烷总烃计。本项目油剂挥发废气产污系数参照《排放源统计调查产排污核算方法和系数手册》2822 涤纶纤维制造行业 系数手册”中的涤纶DTY丝-涤纶POY丝“牵伸-加捻-卷绕”产排污系数取411.05g/t</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产品</w:t>
            </w:r>
            <w:r>
              <w:rPr>
                <w:rFonts w:hint="eastAsia" w:cs="Times New Roman"/>
                <w:color w:val="auto"/>
                <w:sz w:val="21"/>
                <w:szCs w:val="21"/>
                <w:lang w:val="en-US" w:eastAsia="zh-CN"/>
              </w:rPr>
              <w:t>。本项目产品重量约为2774.4t/a，则产生的非甲烷总烃约为1.14t/a。</w:t>
            </w:r>
          </w:p>
          <w:p w14:paraId="39DD0C27">
            <w:pPr>
              <w:spacing w:line="360" w:lineRule="auto"/>
              <w:ind w:firstLine="420" w:firstLineChars="20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根据《浙江省重点行业VOCs污染排放源排放量计算方法（1.1版）》－“二、化工、化纤行业VOCs排放量计算”中相关内容：“化纤行业的纺丝油烟监测指标与VOCs具有相关性，参考比例关系暂定为油烟比VOCs取1：0.3”</w:t>
            </w:r>
            <w:r>
              <w:rPr>
                <w:rFonts w:hint="eastAsia" w:cs="Times New Roman"/>
                <w:color w:val="auto"/>
                <w:sz w:val="21"/>
                <w:szCs w:val="21"/>
                <w:lang w:val="en-US" w:eastAsia="zh-CN"/>
              </w:rPr>
              <w:t>，根据上文，非甲烷总烃产生量约为1.14t/a，则产生的油雾约为3.8t/a。</w:t>
            </w:r>
          </w:p>
          <w:p w14:paraId="4A378AD8">
            <w:pPr>
              <w:spacing w:line="360" w:lineRule="auto"/>
              <w:ind w:firstLine="420" w:firstLineChars="20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本工艺产生的非甲烷总烃及油雾废气通过集气罩收集（收集效率90%），则收集非甲烷总烃的量为1.026t/a，收集油雾的量为3.42t/a。收集到的废气接入一套静电除油+二级活性炭处理设施处理（处理效率90%），并接入1根35m高排气筒DA001排放，则本工段非甲烷总烃的有组织排放量为0.103t/a，油雾废气的有组织排放量为0.342t/a。未收集气体无组织排放。</w:t>
            </w:r>
          </w:p>
          <w:p w14:paraId="288A2E5E">
            <w:pPr>
              <w:widowControl/>
              <w:adjustRightInd w:val="0"/>
              <w:snapToGrid w:val="0"/>
              <w:spacing w:line="360" w:lineRule="auto"/>
              <w:ind w:firstLine="422" w:firstLineChars="200"/>
              <w:outlineLvl w:val="2"/>
              <w:rPr>
                <w:rFonts w:hint="default" w:ascii="Times New Roman" w:hAnsi="Times New Roman" w:eastAsia="宋体" w:cs="Times New Roman"/>
                <w:b/>
                <w:bCs/>
                <w:color w:val="auto"/>
                <w:kern w:val="0"/>
                <w:sz w:val="21"/>
                <w:szCs w:val="21"/>
                <w:lang w:val="en-US" w:eastAsia="zh-CN"/>
              </w:rPr>
            </w:pPr>
            <w:r>
              <w:rPr>
                <w:rFonts w:hint="eastAsia" w:cs="Times New Roman"/>
                <w:b/>
                <w:bCs/>
                <w:color w:val="auto"/>
                <w:kern w:val="0"/>
                <w:sz w:val="21"/>
                <w:szCs w:val="21"/>
                <w:lang w:val="en-US" w:eastAsia="zh-CN"/>
              </w:rPr>
              <w:t>复合</w:t>
            </w:r>
            <w:r>
              <w:rPr>
                <w:rFonts w:hint="eastAsia" w:ascii="Times New Roman" w:hAnsi="Times New Roman" w:eastAsia="宋体" w:cs="Times New Roman"/>
                <w:b/>
                <w:bCs/>
                <w:color w:val="auto"/>
                <w:kern w:val="0"/>
                <w:sz w:val="21"/>
                <w:szCs w:val="21"/>
                <w:lang w:val="en-US" w:eastAsia="zh-CN"/>
              </w:rPr>
              <w:t>：</w:t>
            </w:r>
          </w:p>
          <w:p w14:paraId="1DAE3B32">
            <w:pPr>
              <w:widowControl/>
              <w:adjustRightInd w:val="0"/>
              <w:snapToGrid w:val="0"/>
              <w:spacing w:line="360" w:lineRule="auto"/>
              <w:ind w:firstLine="420" w:firstLineChars="200"/>
              <w:outlineLvl w:val="2"/>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本项目复合时需要使用胶粘剂，复合工艺需要加热，加热时胶粘剂会挥发有机废气。根据企业提供的VOCs检测报告，企业所使用的水性粘合剂TF-3901D的VOCs含量为10g/L，企业水性粘合剂TF-3901D用量为300t/a，密度为1.1g/cm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vertAlign w:val="baseline"/>
                <w:lang w:val="en-US" w:eastAsia="zh-CN"/>
              </w:rPr>
              <w:t>，则其体积为272.73m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vertAlign w:val="baseline"/>
                <w:lang w:val="en-US" w:eastAsia="zh-CN"/>
              </w:rPr>
              <w:t>。则挥发有机废气为2.73t/a</w:t>
            </w:r>
            <w:r>
              <w:rPr>
                <w:rFonts w:hint="eastAsia" w:ascii="Times New Roman" w:hAnsi="Times New Roman" w:eastAsia="宋体" w:cs="Times New Roman"/>
                <w:color w:val="auto"/>
                <w:sz w:val="21"/>
                <w:szCs w:val="21"/>
                <w:highlight w:val="none"/>
                <w:lang w:eastAsia="zh-CN"/>
              </w:rPr>
              <w:t>。</w:t>
            </w:r>
          </w:p>
          <w:p w14:paraId="09F2185D">
            <w:pPr>
              <w:widowControl/>
              <w:adjustRightInd w:val="0"/>
              <w:snapToGrid w:val="0"/>
              <w:spacing w:line="360" w:lineRule="auto"/>
              <w:ind w:firstLine="420" w:firstLineChars="200"/>
              <w:outlineLvl w:val="2"/>
              <w:rPr>
                <w:rFonts w:hint="eastAsia" w:ascii="Times New Roman" w:hAnsi="Times New Roman" w:eastAsia="宋体" w:cs="Times New Roman"/>
                <w:b/>
                <w:bCs/>
                <w:color w:val="auto"/>
                <w:kern w:val="0"/>
                <w:sz w:val="21"/>
                <w:szCs w:val="21"/>
                <w:lang w:eastAsia="zh-CN"/>
              </w:rPr>
            </w:pPr>
            <w:r>
              <w:rPr>
                <w:rFonts w:hint="eastAsia" w:ascii="Times New Roman" w:hAnsi="Times New Roman" w:eastAsia="宋体" w:cs="Times New Roman"/>
                <w:color w:val="auto"/>
                <w:sz w:val="21"/>
                <w:szCs w:val="21"/>
                <w:highlight w:val="none"/>
                <w:lang w:val="en-US" w:eastAsia="zh-CN"/>
              </w:rPr>
              <w:t>本工艺产生的非甲烷总烃废气通过集气罩收集（收集效率90%），则收集非甲烷总烃的量为2.457t/a，收集到的废气接入一套静电除油+二级活性炭处理设施处理，并接入1根35m高排气筒DA001排放</w:t>
            </w:r>
            <w:r>
              <w:rPr>
                <w:rFonts w:hint="eastAsia" w:cs="Times New Roman"/>
                <w:color w:val="auto"/>
                <w:sz w:val="21"/>
                <w:szCs w:val="21"/>
                <w:highlight w:val="none"/>
                <w:lang w:val="en-US" w:eastAsia="zh-CN"/>
              </w:rPr>
              <w:t>，则本工段非甲烷总烃的有组织排放量为0.103t/a</w:t>
            </w:r>
            <w:r>
              <w:rPr>
                <w:rFonts w:hint="eastAsia" w:ascii="Times New Roman" w:hAnsi="Times New Roman" w:eastAsia="宋体" w:cs="Times New Roman"/>
                <w:color w:val="auto"/>
                <w:sz w:val="21"/>
                <w:szCs w:val="21"/>
                <w:highlight w:val="none"/>
                <w:lang w:val="en-US" w:eastAsia="zh-CN"/>
              </w:rPr>
              <w:t>。未收集气体无组织排放</w:t>
            </w:r>
            <w:r>
              <w:rPr>
                <w:rFonts w:hint="eastAsia" w:cs="Times New Roman"/>
                <w:color w:val="auto"/>
                <w:sz w:val="21"/>
                <w:szCs w:val="21"/>
                <w:highlight w:val="none"/>
                <w:lang w:val="en-US" w:eastAsia="zh-CN"/>
              </w:rPr>
              <w:t>。</w:t>
            </w:r>
          </w:p>
          <w:p w14:paraId="62FACCA2">
            <w:pPr>
              <w:widowControl/>
              <w:adjustRightInd w:val="0"/>
              <w:snapToGrid w:val="0"/>
              <w:spacing w:line="360" w:lineRule="auto"/>
              <w:ind w:firstLine="422" w:firstLineChars="200"/>
              <w:outlineLvl w:val="2"/>
              <w:rPr>
                <w:rFonts w:ascii="Times New Roman" w:hAnsi="Times New Roman" w:eastAsia="宋体" w:cs="Times New Roman"/>
                <w:b/>
                <w:bCs/>
                <w:color w:val="auto"/>
                <w:kern w:val="0"/>
                <w:sz w:val="21"/>
                <w:szCs w:val="21"/>
              </w:rPr>
            </w:pPr>
            <w:r>
              <w:rPr>
                <w:rFonts w:ascii="Times New Roman" w:hAnsi="Times New Roman" w:eastAsia="宋体" w:cs="Times New Roman"/>
                <w:b/>
                <w:bCs/>
                <w:color w:val="auto"/>
                <w:kern w:val="0"/>
                <w:sz w:val="21"/>
                <w:szCs w:val="21"/>
              </w:rPr>
              <w:t>综上：</w:t>
            </w:r>
          </w:p>
          <w:p w14:paraId="4A1FF495">
            <w:pPr>
              <w:widowControl/>
              <w:adjustRightInd w:val="0"/>
              <w:snapToGrid w:val="0"/>
              <w:spacing w:line="360" w:lineRule="auto"/>
              <w:ind w:firstLine="420" w:firstLineChars="200"/>
              <w:outlineLvl w:val="2"/>
              <w:rPr>
                <w:rFonts w:hint="eastAsia"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rPr>
              <w:t>本项目产生非甲烷总烃废气共</w:t>
            </w:r>
            <w:r>
              <w:rPr>
                <w:rFonts w:hint="eastAsia" w:cs="Times New Roman"/>
                <w:color w:val="auto"/>
                <w:sz w:val="21"/>
                <w:szCs w:val="21"/>
                <w:lang w:val="en-US" w:eastAsia="zh-CN"/>
              </w:rPr>
              <w:t>3.87</w:t>
            </w:r>
            <w:r>
              <w:rPr>
                <w:rFonts w:ascii="Times New Roman" w:hAnsi="Times New Roman" w:eastAsia="宋体" w:cs="Times New Roman"/>
                <w:color w:val="auto"/>
                <w:sz w:val="21"/>
                <w:szCs w:val="21"/>
              </w:rPr>
              <w:t>t/a，</w:t>
            </w:r>
            <w:r>
              <w:rPr>
                <w:rFonts w:hint="eastAsia" w:cs="Times New Roman"/>
                <w:color w:val="auto"/>
                <w:sz w:val="21"/>
                <w:szCs w:val="21"/>
                <w:lang w:val="en-US" w:eastAsia="zh-CN"/>
              </w:rPr>
              <w:t>颗粒物（油雾）3.80</w:t>
            </w:r>
            <w:r>
              <w:rPr>
                <w:rFonts w:ascii="Times New Roman" w:hAnsi="Times New Roman" w:eastAsia="宋体" w:cs="Times New Roman"/>
                <w:color w:val="auto"/>
                <w:sz w:val="21"/>
                <w:szCs w:val="21"/>
              </w:rPr>
              <w:t>t/a</w:t>
            </w:r>
            <w:r>
              <w:rPr>
                <w:rFonts w:hint="eastAsia" w:cs="Times New Roman"/>
                <w:color w:val="auto"/>
                <w:sz w:val="21"/>
                <w:szCs w:val="21"/>
                <w:lang w:eastAsia="zh-CN"/>
              </w:rPr>
              <w:t>。</w:t>
            </w:r>
          </w:p>
          <w:p w14:paraId="28AE2E9A">
            <w:pPr>
              <w:widowControl/>
              <w:adjustRightInd w:val="0"/>
              <w:snapToGrid w:val="0"/>
              <w:spacing w:line="360" w:lineRule="auto"/>
              <w:ind w:firstLine="420" w:firstLineChars="200"/>
              <w:outlineLvl w:val="2"/>
              <w:rPr>
                <w:rFonts w:ascii="Times New Roman" w:hAnsi="Times New Roman" w:eastAsia="宋体" w:cs="Times New Roman"/>
                <w:color w:val="auto"/>
                <w:sz w:val="21"/>
                <w:szCs w:val="21"/>
              </w:rPr>
            </w:pPr>
            <w:r>
              <w:rPr>
                <w:rFonts w:hint="eastAsia" w:cs="Times New Roman"/>
                <w:color w:val="auto"/>
                <w:sz w:val="21"/>
                <w:szCs w:val="21"/>
                <w:lang w:val="en-US" w:eastAsia="zh-CN"/>
              </w:rPr>
              <w:t>使用集气罩将上述废气收集（收集效率90%），进入一套静电除油+二级活性炭吸附装置处理（处理效率90%）</w:t>
            </w:r>
            <w:r>
              <w:rPr>
                <w:rFonts w:ascii="Times New Roman" w:hAnsi="Times New Roman" w:eastAsia="宋体" w:cs="Times New Roman"/>
                <w:color w:val="auto"/>
                <w:sz w:val="21"/>
                <w:szCs w:val="21"/>
              </w:rPr>
              <w:t>，本项目有组织排放量</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无组织排放量如下表所示</w:t>
            </w:r>
            <w:r>
              <w:rPr>
                <w:rFonts w:ascii="Times New Roman" w:hAnsi="Times New Roman" w:eastAsia="宋体" w:cs="Times New Roman"/>
                <w:color w:val="auto"/>
                <w:sz w:val="21"/>
                <w:szCs w:val="21"/>
              </w:rPr>
              <w:t>：</w:t>
            </w:r>
          </w:p>
          <w:p w14:paraId="50754227">
            <w:pPr>
              <w:tabs>
                <w:tab w:val="center" w:pos="4156"/>
                <w:tab w:val="left" w:pos="5964"/>
              </w:tabs>
              <w:adjustRightInd w:val="0"/>
              <w:snapToGrid w:val="0"/>
              <w:jc w:val="center"/>
              <w:rPr>
                <w:rFonts w:hint="default" w:ascii="Times New Roman" w:hAnsi="Times New Roman" w:eastAsia="宋体" w:cs="Times New Roman"/>
                <w:b/>
                <w:snapToGrid w:val="0"/>
                <w:color w:val="auto"/>
                <w:szCs w:val="21"/>
                <w:lang w:val="en-US" w:eastAsia="zh-CN"/>
              </w:rPr>
            </w:pPr>
            <w:r>
              <w:rPr>
                <w:rFonts w:hint="default" w:ascii="Times New Roman" w:hAnsi="Times New Roman" w:eastAsia="宋体" w:cs="Times New Roman"/>
                <w:b/>
                <w:snapToGrid w:val="0"/>
                <w:color w:val="auto"/>
                <w:szCs w:val="21"/>
                <w:lang w:val="en-US" w:eastAsia="zh-CN"/>
              </w:rPr>
              <w:t>表4-</w:t>
            </w:r>
            <w:r>
              <w:rPr>
                <w:rFonts w:hint="eastAsia" w:cs="Times New Roman"/>
                <w:b/>
                <w:snapToGrid w:val="0"/>
                <w:color w:val="auto"/>
                <w:szCs w:val="21"/>
                <w:lang w:val="en-US" w:eastAsia="zh-CN"/>
              </w:rPr>
              <w:t>1</w:t>
            </w:r>
            <w:r>
              <w:rPr>
                <w:rFonts w:hint="default" w:ascii="Times New Roman" w:hAnsi="Times New Roman" w:eastAsia="宋体" w:cs="Times New Roman"/>
                <w:b/>
                <w:snapToGrid w:val="0"/>
                <w:color w:val="auto"/>
                <w:szCs w:val="21"/>
                <w:lang w:val="en-US" w:eastAsia="zh-CN"/>
              </w:rPr>
              <w:t>本项目有组织排放量</w:t>
            </w:r>
            <w:r>
              <w:rPr>
                <w:rFonts w:hint="eastAsia" w:ascii="Times New Roman" w:hAnsi="Times New Roman" w:eastAsia="宋体" w:cs="Times New Roman"/>
                <w:b/>
                <w:snapToGrid w:val="0"/>
                <w:color w:val="auto"/>
                <w:szCs w:val="21"/>
                <w:lang w:val="en-US" w:eastAsia="zh-CN"/>
              </w:rPr>
              <w:t>、无组织排放量</w:t>
            </w:r>
            <w:r>
              <w:rPr>
                <w:rFonts w:hint="default" w:ascii="Times New Roman" w:hAnsi="Times New Roman" w:eastAsia="宋体" w:cs="Times New Roman"/>
                <w:b/>
                <w:snapToGrid w:val="0"/>
                <w:color w:val="auto"/>
                <w:szCs w:val="21"/>
                <w:lang w:val="en-US" w:eastAsia="zh-CN"/>
              </w:rPr>
              <w:t>表</w:t>
            </w:r>
          </w:p>
          <w:tbl>
            <w:tblPr>
              <w:tblStyle w:val="26"/>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72"/>
              <w:gridCol w:w="1676"/>
              <w:gridCol w:w="1676"/>
              <w:gridCol w:w="1676"/>
              <w:gridCol w:w="1105"/>
            </w:tblGrid>
            <w:tr w14:paraId="16BBBD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2" w:type="pct"/>
                  <w:tcBorders>
                    <w:tl2br w:val="nil"/>
                    <w:tr2bl w:val="nil"/>
                  </w:tcBorders>
                  <w:vAlign w:val="center"/>
                </w:tcPr>
                <w:p w14:paraId="1C3B8400">
                  <w:pPr>
                    <w:widowControl/>
                    <w:adjustRightInd w:val="0"/>
                    <w:snapToGrid w:val="0"/>
                    <w:jc w:val="center"/>
                    <w:rPr>
                      <w:rFonts w:ascii="Times New Roman" w:hAnsi="Times New Roman" w:eastAsia="宋体" w:cs="Times New Roman"/>
                      <w:b w:val="0"/>
                      <w:bCs w:val="0"/>
                      <w:snapToGrid w:val="0"/>
                      <w:color w:val="auto"/>
                      <w:kern w:val="0"/>
                      <w:sz w:val="18"/>
                      <w:szCs w:val="18"/>
                    </w:rPr>
                  </w:pPr>
                  <w:r>
                    <w:rPr>
                      <w:rFonts w:ascii="Times New Roman" w:hAnsi="Times New Roman" w:eastAsia="宋体" w:cs="Times New Roman"/>
                      <w:b w:val="0"/>
                      <w:bCs w:val="0"/>
                      <w:snapToGrid w:val="0"/>
                      <w:color w:val="auto"/>
                      <w:kern w:val="0"/>
                      <w:sz w:val="18"/>
                      <w:szCs w:val="18"/>
                    </w:rPr>
                    <w:t>序号</w:t>
                  </w:r>
                </w:p>
              </w:tc>
              <w:tc>
                <w:tcPr>
                  <w:tcW w:w="851" w:type="pct"/>
                  <w:tcBorders>
                    <w:tl2br w:val="nil"/>
                    <w:tr2bl w:val="nil"/>
                  </w:tcBorders>
                  <w:vAlign w:val="center"/>
                </w:tcPr>
                <w:p w14:paraId="78BB9049">
                  <w:pPr>
                    <w:widowControl/>
                    <w:adjustRightInd w:val="0"/>
                    <w:snapToGrid w:val="0"/>
                    <w:jc w:val="center"/>
                    <w:rPr>
                      <w:rFonts w:hint="eastAsia" w:ascii="Times New Roman" w:hAnsi="Times New Roman" w:eastAsia="宋体" w:cs="Times New Roman"/>
                      <w:b w:val="0"/>
                      <w:bCs w:val="0"/>
                      <w:snapToGrid w:val="0"/>
                      <w:color w:val="auto"/>
                      <w:kern w:val="0"/>
                      <w:sz w:val="18"/>
                      <w:szCs w:val="18"/>
                      <w:lang w:eastAsia="zh-CN"/>
                    </w:rPr>
                  </w:pPr>
                  <w:r>
                    <w:rPr>
                      <w:rFonts w:hint="eastAsia" w:ascii="Times New Roman" w:hAnsi="Times New Roman" w:eastAsia="宋体" w:cs="Times New Roman"/>
                      <w:b w:val="0"/>
                      <w:bCs w:val="0"/>
                      <w:snapToGrid w:val="0"/>
                      <w:color w:val="auto"/>
                      <w:kern w:val="0"/>
                      <w:sz w:val="18"/>
                      <w:szCs w:val="18"/>
                      <w:lang w:val="en-US" w:eastAsia="zh-CN"/>
                    </w:rPr>
                    <w:t>污染因子</w:t>
                  </w:r>
                </w:p>
              </w:tc>
              <w:tc>
                <w:tcPr>
                  <w:tcW w:w="1040" w:type="pct"/>
                  <w:tcBorders>
                    <w:tl2br w:val="nil"/>
                    <w:tr2bl w:val="nil"/>
                  </w:tcBorders>
                  <w:vAlign w:val="center"/>
                </w:tcPr>
                <w:p w14:paraId="0AD52911">
                  <w:pPr>
                    <w:widowControl/>
                    <w:adjustRightInd w:val="0"/>
                    <w:snapToGrid w:val="0"/>
                    <w:jc w:val="center"/>
                    <w:rPr>
                      <w:rFonts w:hint="default" w:ascii="Times New Roman" w:hAnsi="Times New Roman" w:eastAsia="宋体" w:cs="Times New Roman"/>
                      <w:b w:val="0"/>
                      <w:bCs w:val="0"/>
                      <w:snapToGrid w:val="0"/>
                      <w:color w:val="auto"/>
                      <w:kern w:val="0"/>
                      <w:sz w:val="18"/>
                      <w:szCs w:val="18"/>
                      <w:lang w:val="en-US" w:eastAsia="zh-CN"/>
                    </w:rPr>
                  </w:pPr>
                  <w:r>
                    <w:rPr>
                      <w:rFonts w:hint="eastAsia" w:ascii="Times New Roman" w:hAnsi="Times New Roman" w:eastAsia="宋体" w:cs="Times New Roman"/>
                      <w:b w:val="0"/>
                      <w:bCs w:val="0"/>
                      <w:snapToGrid w:val="0"/>
                      <w:color w:val="auto"/>
                      <w:kern w:val="0"/>
                      <w:sz w:val="18"/>
                      <w:szCs w:val="18"/>
                      <w:lang w:val="en-US" w:eastAsia="zh-CN"/>
                    </w:rPr>
                    <w:t>产生量</w:t>
                  </w:r>
                  <w:r>
                    <w:rPr>
                      <w:rFonts w:hint="eastAsia" w:cs="Times New Roman"/>
                      <w:b w:val="0"/>
                      <w:bCs w:val="0"/>
                      <w:snapToGrid w:val="0"/>
                      <w:color w:val="auto"/>
                      <w:kern w:val="0"/>
                      <w:sz w:val="18"/>
                      <w:szCs w:val="18"/>
                      <w:lang w:val="en-US" w:eastAsia="zh-CN"/>
                    </w:rPr>
                    <w:t>t/a</w:t>
                  </w:r>
                </w:p>
              </w:tc>
              <w:tc>
                <w:tcPr>
                  <w:tcW w:w="1040" w:type="pct"/>
                  <w:tcBorders>
                    <w:tl2br w:val="nil"/>
                    <w:tr2bl w:val="nil"/>
                  </w:tcBorders>
                  <w:vAlign w:val="center"/>
                </w:tcPr>
                <w:p w14:paraId="2D6674B0">
                  <w:pPr>
                    <w:widowControl/>
                    <w:adjustRightInd w:val="0"/>
                    <w:snapToGrid w:val="0"/>
                    <w:jc w:val="center"/>
                    <w:rPr>
                      <w:rFonts w:hint="default" w:ascii="Times New Roman" w:hAnsi="Times New Roman" w:eastAsia="宋体" w:cs="Times New Roman"/>
                      <w:b w:val="0"/>
                      <w:bCs w:val="0"/>
                      <w:snapToGrid w:val="0"/>
                      <w:color w:val="auto"/>
                      <w:kern w:val="0"/>
                      <w:sz w:val="18"/>
                      <w:szCs w:val="18"/>
                      <w:lang w:val="en-US" w:eastAsia="zh-CN"/>
                    </w:rPr>
                  </w:pPr>
                  <w:r>
                    <w:rPr>
                      <w:rFonts w:hint="eastAsia" w:ascii="Times New Roman" w:hAnsi="Times New Roman" w:eastAsia="宋体" w:cs="Times New Roman"/>
                      <w:b w:val="0"/>
                      <w:bCs w:val="0"/>
                      <w:snapToGrid w:val="0"/>
                      <w:color w:val="auto"/>
                      <w:kern w:val="0"/>
                      <w:sz w:val="18"/>
                      <w:szCs w:val="18"/>
                      <w:lang w:val="en-US" w:eastAsia="zh-CN"/>
                    </w:rPr>
                    <w:t>有组织收集量</w:t>
                  </w:r>
                  <w:r>
                    <w:rPr>
                      <w:rFonts w:hint="eastAsia" w:cs="Times New Roman"/>
                      <w:b w:val="0"/>
                      <w:bCs w:val="0"/>
                      <w:snapToGrid w:val="0"/>
                      <w:color w:val="auto"/>
                      <w:kern w:val="0"/>
                      <w:sz w:val="18"/>
                      <w:szCs w:val="18"/>
                      <w:lang w:val="en-US" w:eastAsia="zh-CN"/>
                    </w:rPr>
                    <w:t>t/a</w:t>
                  </w:r>
                </w:p>
              </w:tc>
              <w:tc>
                <w:tcPr>
                  <w:tcW w:w="1040" w:type="pct"/>
                  <w:tcBorders>
                    <w:tl2br w:val="nil"/>
                    <w:tr2bl w:val="nil"/>
                  </w:tcBorders>
                  <w:vAlign w:val="center"/>
                </w:tcPr>
                <w:p w14:paraId="5E4AC99D">
                  <w:pPr>
                    <w:widowControl/>
                    <w:adjustRightInd w:val="0"/>
                    <w:snapToGrid w:val="0"/>
                    <w:jc w:val="center"/>
                    <w:rPr>
                      <w:rFonts w:hint="default" w:ascii="Times New Roman" w:hAnsi="Times New Roman" w:eastAsia="宋体" w:cs="Times New Roman"/>
                      <w:b w:val="0"/>
                      <w:bCs w:val="0"/>
                      <w:snapToGrid w:val="0"/>
                      <w:color w:val="auto"/>
                      <w:kern w:val="0"/>
                      <w:sz w:val="18"/>
                      <w:szCs w:val="18"/>
                      <w:lang w:val="en-US" w:eastAsia="zh-CN"/>
                    </w:rPr>
                  </w:pPr>
                  <w:r>
                    <w:rPr>
                      <w:rFonts w:hint="eastAsia" w:ascii="Times New Roman" w:hAnsi="Times New Roman" w:eastAsia="宋体" w:cs="Times New Roman"/>
                      <w:b w:val="0"/>
                      <w:bCs w:val="0"/>
                      <w:snapToGrid w:val="0"/>
                      <w:color w:val="auto"/>
                      <w:kern w:val="0"/>
                      <w:sz w:val="18"/>
                      <w:szCs w:val="18"/>
                      <w:lang w:val="en-US" w:eastAsia="zh-CN"/>
                    </w:rPr>
                    <w:t>有组织排放量</w:t>
                  </w:r>
                  <w:r>
                    <w:rPr>
                      <w:rFonts w:hint="eastAsia" w:cs="Times New Roman"/>
                      <w:b w:val="0"/>
                      <w:bCs w:val="0"/>
                      <w:snapToGrid w:val="0"/>
                      <w:color w:val="auto"/>
                      <w:kern w:val="0"/>
                      <w:sz w:val="18"/>
                      <w:szCs w:val="18"/>
                      <w:lang w:val="en-US" w:eastAsia="zh-CN"/>
                    </w:rPr>
                    <w:t>t/a</w:t>
                  </w:r>
                </w:p>
              </w:tc>
              <w:tc>
                <w:tcPr>
                  <w:tcW w:w="685" w:type="pct"/>
                  <w:tcBorders>
                    <w:tl2br w:val="nil"/>
                    <w:tr2bl w:val="nil"/>
                  </w:tcBorders>
                  <w:vAlign w:val="center"/>
                </w:tcPr>
                <w:p w14:paraId="78CBB9E1">
                  <w:pPr>
                    <w:widowControl/>
                    <w:adjustRightInd w:val="0"/>
                    <w:snapToGrid w:val="0"/>
                    <w:jc w:val="center"/>
                    <w:rPr>
                      <w:rFonts w:hint="default" w:ascii="Times New Roman" w:hAnsi="Times New Roman" w:eastAsia="宋体" w:cs="Times New Roman"/>
                      <w:b w:val="0"/>
                      <w:bCs w:val="0"/>
                      <w:snapToGrid w:val="0"/>
                      <w:color w:val="auto"/>
                      <w:kern w:val="0"/>
                      <w:sz w:val="18"/>
                      <w:szCs w:val="18"/>
                      <w:lang w:val="en-US" w:eastAsia="zh-CN"/>
                    </w:rPr>
                  </w:pPr>
                  <w:r>
                    <w:rPr>
                      <w:rFonts w:hint="eastAsia" w:ascii="Times New Roman" w:hAnsi="Times New Roman" w:eastAsia="宋体" w:cs="Times New Roman"/>
                      <w:b w:val="0"/>
                      <w:bCs w:val="0"/>
                      <w:snapToGrid w:val="0"/>
                      <w:color w:val="auto"/>
                      <w:kern w:val="0"/>
                      <w:sz w:val="18"/>
                      <w:szCs w:val="18"/>
                      <w:lang w:val="en-US" w:eastAsia="zh-CN"/>
                    </w:rPr>
                    <w:t>无组织排放量</w:t>
                  </w:r>
                  <w:r>
                    <w:rPr>
                      <w:rFonts w:hint="eastAsia" w:cs="Times New Roman"/>
                      <w:b w:val="0"/>
                      <w:bCs w:val="0"/>
                      <w:snapToGrid w:val="0"/>
                      <w:color w:val="auto"/>
                      <w:kern w:val="0"/>
                      <w:sz w:val="18"/>
                      <w:szCs w:val="18"/>
                      <w:lang w:val="en-US" w:eastAsia="zh-CN"/>
                    </w:rPr>
                    <w:t>t/a</w:t>
                  </w:r>
                </w:p>
              </w:tc>
            </w:tr>
            <w:tr w14:paraId="36AFD8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42" w:type="pct"/>
                  <w:tcBorders>
                    <w:tl2br w:val="nil"/>
                    <w:tr2bl w:val="nil"/>
                  </w:tcBorders>
                  <w:vAlign w:val="center"/>
                </w:tcPr>
                <w:p w14:paraId="23A2C795">
                  <w:pPr>
                    <w:jc w:val="center"/>
                    <w:rPr>
                      <w:rFonts w:ascii="Times New Roman" w:hAnsi="Times New Roman" w:eastAsia="宋体" w:cs="Times New Roman"/>
                      <w:b w:val="0"/>
                      <w:bCs w:val="0"/>
                      <w:snapToGrid w:val="0"/>
                      <w:color w:val="auto"/>
                      <w:sz w:val="18"/>
                      <w:szCs w:val="18"/>
                    </w:rPr>
                  </w:pPr>
                  <w:r>
                    <w:rPr>
                      <w:rFonts w:ascii="Times New Roman" w:hAnsi="Times New Roman" w:eastAsia="宋体" w:cs="Times New Roman"/>
                      <w:b w:val="0"/>
                      <w:bCs w:val="0"/>
                      <w:snapToGrid w:val="0"/>
                      <w:color w:val="auto"/>
                      <w:sz w:val="18"/>
                      <w:szCs w:val="18"/>
                    </w:rPr>
                    <w:t>1</w:t>
                  </w:r>
                </w:p>
              </w:tc>
              <w:tc>
                <w:tcPr>
                  <w:tcW w:w="851" w:type="pct"/>
                  <w:tcBorders>
                    <w:tl2br w:val="nil"/>
                    <w:tr2bl w:val="nil"/>
                  </w:tcBorders>
                  <w:vAlign w:val="center"/>
                </w:tcPr>
                <w:p w14:paraId="0C1A5067">
                  <w:pPr>
                    <w:jc w:val="center"/>
                    <w:rPr>
                      <w:rFonts w:ascii="Times New Roman" w:hAnsi="Times New Roman" w:eastAsia="宋体" w:cs="Times New Roman"/>
                      <w:b w:val="0"/>
                      <w:bCs w:val="0"/>
                      <w:snapToGrid w:val="0"/>
                      <w:color w:val="auto"/>
                      <w:sz w:val="18"/>
                      <w:szCs w:val="18"/>
                    </w:rPr>
                  </w:pPr>
                  <w:r>
                    <w:rPr>
                      <w:rFonts w:ascii="Times New Roman" w:hAnsi="Times New Roman" w:eastAsia="宋体" w:cs="Times New Roman"/>
                      <w:b w:val="0"/>
                      <w:bCs w:val="0"/>
                      <w:snapToGrid w:val="0"/>
                      <w:color w:val="auto"/>
                      <w:sz w:val="18"/>
                      <w:szCs w:val="18"/>
                    </w:rPr>
                    <w:t>非甲烷总烃</w:t>
                  </w:r>
                </w:p>
              </w:tc>
              <w:tc>
                <w:tcPr>
                  <w:tcW w:w="1040" w:type="pct"/>
                  <w:tcBorders>
                    <w:tl2br w:val="nil"/>
                    <w:tr2bl w:val="nil"/>
                  </w:tcBorders>
                  <w:vAlign w:val="center"/>
                </w:tcPr>
                <w:p w14:paraId="1E1FD525">
                  <w:pPr>
                    <w:jc w:val="center"/>
                    <w:rPr>
                      <w:rFonts w:hint="default" w:ascii="Times New Roman" w:hAnsi="Times New Roman" w:eastAsia="宋体" w:cs="Times New Roman"/>
                      <w:b w:val="0"/>
                      <w:bCs w:val="0"/>
                      <w:snapToGrid w:val="0"/>
                      <w:color w:val="auto"/>
                      <w:sz w:val="18"/>
                      <w:szCs w:val="18"/>
                      <w:lang w:val="en-US"/>
                    </w:rPr>
                  </w:pPr>
                  <w:r>
                    <w:rPr>
                      <w:rFonts w:hint="eastAsia" w:ascii="Times New Roman" w:hAnsi="Times New Roman" w:eastAsia="宋体" w:cs="Times New Roman"/>
                      <w:b w:val="0"/>
                      <w:bCs w:val="0"/>
                      <w:snapToGrid w:val="0"/>
                      <w:color w:val="auto"/>
                      <w:sz w:val="18"/>
                      <w:szCs w:val="18"/>
                      <w:lang w:val="en-US" w:eastAsia="zh-CN"/>
                    </w:rPr>
                    <w:t>3.87</w:t>
                  </w:r>
                </w:p>
              </w:tc>
              <w:tc>
                <w:tcPr>
                  <w:tcW w:w="1040" w:type="pct"/>
                  <w:tcBorders>
                    <w:tl2br w:val="nil"/>
                    <w:tr2bl w:val="nil"/>
                  </w:tcBorders>
                  <w:vAlign w:val="center"/>
                </w:tcPr>
                <w:p w14:paraId="20BD2300">
                  <w:pPr>
                    <w:jc w:val="center"/>
                    <w:rPr>
                      <w:rFonts w:hint="default" w:ascii="Times New Roman" w:hAnsi="Times New Roman" w:eastAsia="宋体" w:cs="Times New Roman"/>
                      <w:b w:val="0"/>
                      <w:bCs w:val="0"/>
                      <w:snapToGrid w:val="0"/>
                      <w:color w:val="auto"/>
                      <w:sz w:val="18"/>
                      <w:szCs w:val="18"/>
                      <w:lang w:val="en-US" w:eastAsia="zh-CN"/>
                    </w:rPr>
                  </w:pPr>
                  <w:r>
                    <w:rPr>
                      <w:rFonts w:hint="eastAsia" w:cs="Times New Roman"/>
                      <w:b w:val="0"/>
                      <w:bCs w:val="0"/>
                      <w:snapToGrid w:val="0"/>
                      <w:color w:val="auto"/>
                      <w:sz w:val="18"/>
                      <w:szCs w:val="18"/>
                      <w:lang w:val="en-US" w:eastAsia="zh-CN"/>
                    </w:rPr>
                    <w:t>3.48</w:t>
                  </w:r>
                </w:p>
              </w:tc>
              <w:tc>
                <w:tcPr>
                  <w:tcW w:w="1040" w:type="pct"/>
                  <w:tcBorders>
                    <w:tl2br w:val="nil"/>
                    <w:tr2bl w:val="nil"/>
                  </w:tcBorders>
                  <w:vAlign w:val="center"/>
                </w:tcPr>
                <w:p w14:paraId="342CD8BD">
                  <w:pPr>
                    <w:jc w:val="center"/>
                    <w:rPr>
                      <w:rFonts w:hint="default" w:ascii="Times New Roman" w:hAnsi="Times New Roman" w:eastAsia="宋体" w:cs="Times New Roman"/>
                      <w:b w:val="0"/>
                      <w:bCs w:val="0"/>
                      <w:snapToGrid w:val="0"/>
                      <w:color w:val="auto"/>
                      <w:sz w:val="18"/>
                      <w:szCs w:val="18"/>
                      <w:lang w:val="en-US" w:eastAsia="zh-CN"/>
                    </w:rPr>
                  </w:pPr>
                  <w:r>
                    <w:rPr>
                      <w:rFonts w:hint="eastAsia" w:cs="Times New Roman"/>
                      <w:b w:val="0"/>
                      <w:bCs w:val="0"/>
                      <w:snapToGrid w:val="0"/>
                      <w:color w:val="auto"/>
                      <w:sz w:val="18"/>
                      <w:szCs w:val="18"/>
                      <w:lang w:val="en-US" w:eastAsia="zh-CN"/>
                    </w:rPr>
                    <w:t>0.348</w:t>
                  </w:r>
                </w:p>
              </w:tc>
              <w:tc>
                <w:tcPr>
                  <w:tcW w:w="685" w:type="pct"/>
                  <w:tcBorders>
                    <w:tl2br w:val="nil"/>
                    <w:tr2bl w:val="nil"/>
                  </w:tcBorders>
                  <w:vAlign w:val="center"/>
                </w:tcPr>
                <w:p w14:paraId="0A5F9F7A">
                  <w:pPr>
                    <w:jc w:val="center"/>
                    <w:rPr>
                      <w:rFonts w:hint="default" w:ascii="Times New Roman" w:hAnsi="Times New Roman" w:eastAsia="宋体" w:cs="Times New Roman"/>
                      <w:b w:val="0"/>
                      <w:bCs w:val="0"/>
                      <w:snapToGrid w:val="0"/>
                      <w:color w:val="auto"/>
                      <w:sz w:val="18"/>
                      <w:szCs w:val="18"/>
                      <w:lang w:val="en-US"/>
                    </w:rPr>
                  </w:pPr>
                  <w:r>
                    <w:rPr>
                      <w:rFonts w:hint="eastAsia" w:cs="Times New Roman"/>
                      <w:b w:val="0"/>
                      <w:bCs w:val="0"/>
                      <w:snapToGrid w:val="0"/>
                      <w:color w:val="auto"/>
                      <w:sz w:val="18"/>
                      <w:szCs w:val="18"/>
                      <w:lang w:val="en-US" w:eastAsia="zh-CN"/>
                    </w:rPr>
                    <w:t>0.387</w:t>
                  </w:r>
                </w:p>
              </w:tc>
            </w:tr>
            <w:tr w14:paraId="721058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2" w:type="pct"/>
                  <w:tcBorders>
                    <w:tl2br w:val="nil"/>
                    <w:tr2bl w:val="nil"/>
                  </w:tcBorders>
                  <w:vAlign w:val="center"/>
                </w:tcPr>
                <w:p w14:paraId="753337EB">
                  <w:pPr>
                    <w:jc w:val="center"/>
                    <w:rPr>
                      <w:rFonts w:ascii="Times New Roman" w:hAnsi="Times New Roman" w:eastAsia="宋体" w:cs="Times New Roman"/>
                      <w:b w:val="0"/>
                      <w:bCs w:val="0"/>
                      <w:snapToGrid w:val="0"/>
                      <w:color w:val="auto"/>
                      <w:sz w:val="18"/>
                      <w:szCs w:val="18"/>
                    </w:rPr>
                  </w:pPr>
                  <w:r>
                    <w:rPr>
                      <w:rFonts w:ascii="Times New Roman" w:hAnsi="Times New Roman" w:eastAsia="宋体" w:cs="Times New Roman"/>
                      <w:b w:val="0"/>
                      <w:bCs w:val="0"/>
                      <w:snapToGrid w:val="0"/>
                      <w:color w:val="auto"/>
                      <w:sz w:val="18"/>
                      <w:szCs w:val="18"/>
                    </w:rPr>
                    <w:t>2</w:t>
                  </w:r>
                </w:p>
              </w:tc>
              <w:tc>
                <w:tcPr>
                  <w:tcW w:w="851" w:type="pct"/>
                  <w:tcBorders>
                    <w:tl2br w:val="nil"/>
                    <w:tr2bl w:val="nil"/>
                  </w:tcBorders>
                  <w:vAlign w:val="center"/>
                </w:tcPr>
                <w:p w14:paraId="0C0F2397">
                  <w:pPr>
                    <w:jc w:val="center"/>
                    <w:rPr>
                      <w:rFonts w:hint="eastAsia" w:ascii="Times New Roman" w:hAnsi="Times New Roman" w:eastAsia="宋体" w:cs="Times New Roman"/>
                      <w:b w:val="0"/>
                      <w:bCs w:val="0"/>
                      <w:snapToGrid w:val="0"/>
                      <w:color w:val="auto"/>
                      <w:sz w:val="18"/>
                      <w:szCs w:val="18"/>
                      <w:lang w:eastAsia="zh-CN"/>
                    </w:rPr>
                  </w:pPr>
                  <w:r>
                    <w:rPr>
                      <w:rFonts w:hint="eastAsia" w:cs="Times New Roman"/>
                      <w:b w:val="0"/>
                      <w:bCs w:val="0"/>
                      <w:snapToGrid w:val="0"/>
                      <w:color w:val="auto"/>
                      <w:sz w:val="18"/>
                      <w:szCs w:val="18"/>
                      <w:lang w:val="en-US" w:eastAsia="zh-CN"/>
                    </w:rPr>
                    <w:t>颗粒物（油雾）</w:t>
                  </w:r>
                </w:p>
              </w:tc>
              <w:tc>
                <w:tcPr>
                  <w:tcW w:w="1040" w:type="pct"/>
                  <w:tcBorders>
                    <w:tl2br w:val="nil"/>
                    <w:tr2bl w:val="nil"/>
                  </w:tcBorders>
                  <w:vAlign w:val="center"/>
                </w:tcPr>
                <w:p w14:paraId="4DFE6DCA">
                  <w:pPr>
                    <w:jc w:val="center"/>
                    <w:rPr>
                      <w:rFonts w:hint="default" w:ascii="Times New Roman" w:hAnsi="Times New Roman" w:eastAsia="宋体" w:cs="Times New Roman"/>
                      <w:b w:val="0"/>
                      <w:bCs w:val="0"/>
                      <w:snapToGrid w:val="0"/>
                      <w:color w:val="auto"/>
                      <w:sz w:val="18"/>
                      <w:szCs w:val="18"/>
                      <w:lang w:val="en-US" w:eastAsia="zh-CN"/>
                    </w:rPr>
                  </w:pPr>
                  <w:r>
                    <w:rPr>
                      <w:rFonts w:hint="eastAsia" w:ascii="Times New Roman" w:hAnsi="Times New Roman" w:eastAsia="宋体" w:cs="Times New Roman"/>
                      <w:b w:val="0"/>
                      <w:bCs w:val="0"/>
                      <w:snapToGrid w:val="0"/>
                      <w:color w:val="auto"/>
                      <w:sz w:val="18"/>
                      <w:szCs w:val="18"/>
                      <w:lang w:val="en-US" w:eastAsia="zh-CN"/>
                    </w:rPr>
                    <w:t>3.80</w:t>
                  </w:r>
                </w:p>
              </w:tc>
              <w:tc>
                <w:tcPr>
                  <w:tcW w:w="1040" w:type="pct"/>
                  <w:tcBorders>
                    <w:tl2br w:val="nil"/>
                    <w:tr2bl w:val="nil"/>
                  </w:tcBorders>
                  <w:vAlign w:val="center"/>
                </w:tcPr>
                <w:p w14:paraId="603BD972">
                  <w:pPr>
                    <w:jc w:val="center"/>
                    <w:rPr>
                      <w:rFonts w:hint="default" w:ascii="Times New Roman" w:hAnsi="Times New Roman" w:eastAsia="宋体" w:cs="Times New Roman"/>
                      <w:b w:val="0"/>
                      <w:bCs w:val="0"/>
                      <w:snapToGrid w:val="0"/>
                      <w:color w:val="auto"/>
                      <w:sz w:val="18"/>
                      <w:szCs w:val="18"/>
                      <w:lang w:val="en-US" w:eastAsia="zh-CN"/>
                    </w:rPr>
                  </w:pPr>
                  <w:r>
                    <w:rPr>
                      <w:rFonts w:hint="eastAsia" w:cs="Times New Roman"/>
                      <w:b w:val="0"/>
                      <w:bCs w:val="0"/>
                      <w:snapToGrid w:val="0"/>
                      <w:color w:val="auto"/>
                      <w:sz w:val="18"/>
                      <w:szCs w:val="18"/>
                      <w:lang w:val="en-US" w:eastAsia="zh-CN"/>
                    </w:rPr>
                    <w:t>3.42</w:t>
                  </w:r>
                </w:p>
              </w:tc>
              <w:tc>
                <w:tcPr>
                  <w:tcW w:w="1040" w:type="pct"/>
                  <w:tcBorders>
                    <w:tl2br w:val="nil"/>
                    <w:tr2bl w:val="nil"/>
                  </w:tcBorders>
                  <w:vAlign w:val="center"/>
                </w:tcPr>
                <w:p w14:paraId="0BD8F731">
                  <w:pPr>
                    <w:jc w:val="center"/>
                    <w:rPr>
                      <w:rFonts w:hint="default" w:ascii="Times New Roman" w:hAnsi="Times New Roman" w:eastAsia="宋体" w:cs="Times New Roman"/>
                      <w:b w:val="0"/>
                      <w:bCs w:val="0"/>
                      <w:snapToGrid w:val="0"/>
                      <w:color w:val="auto"/>
                      <w:sz w:val="18"/>
                      <w:szCs w:val="18"/>
                      <w:lang w:val="en-US" w:eastAsia="zh-CN"/>
                    </w:rPr>
                  </w:pPr>
                  <w:r>
                    <w:rPr>
                      <w:rFonts w:hint="eastAsia" w:cs="Times New Roman"/>
                      <w:b w:val="0"/>
                      <w:bCs w:val="0"/>
                      <w:snapToGrid w:val="0"/>
                      <w:color w:val="auto"/>
                      <w:sz w:val="18"/>
                      <w:szCs w:val="18"/>
                      <w:lang w:val="en-US" w:eastAsia="zh-CN"/>
                    </w:rPr>
                    <w:t>0.342</w:t>
                  </w:r>
                </w:p>
              </w:tc>
              <w:tc>
                <w:tcPr>
                  <w:tcW w:w="685" w:type="pct"/>
                  <w:tcBorders>
                    <w:tl2br w:val="nil"/>
                    <w:tr2bl w:val="nil"/>
                  </w:tcBorders>
                  <w:vAlign w:val="center"/>
                </w:tcPr>
                <w:p w14:paraId="098ACE05">
                  <w:pPr>
                    <w:jc w:val="center"/>
                    <w:rPr>
                      <w:rFonts w:hint="default" w:ascii="Times New Roman" w:hAnsi="Times New Roman" w:eastAsia="宋体" w:cs="Times New Roman"/>
                      <w:b w:val="0"/>
                      <w:bCs w:val="0"/>
                      <w:snapToGrid w:val="0"/>
                      <w:color w:val="auto"/>
                      <w:sz w:val="18"/>
                      <w:szCs w:val="18"/>
                      <w:lang w:val="en-US" w:eastAsia="zh-CN"/>
                    </w:rPr>
                  </w:pPr>
                  <w:r>
                    <w:rPr>
                      <w:rFonts w:hint="eastAsia" w:cs="Times New Roman"/>
                      <w:b w:val="0"/>
                      <w:bCs w:val="0"/>
                      <w:snapToGrid w:val="0"/>
                      <w:color w:val="auto"/>
                      <w:sz w:val="18"/>
                      <w:szCs w:val="18"/>
                      <w:lang w:val="en-US" w:eastAsia="zh-CN"/>
                    </w:rPr>
                    <w:t>0.380</w:t>
                  </w:r>
                </w:p>
              </w:tc>
            </w:tr>
          </w:tbl>
          <w:p w14:paraId="70A41DF6">
            <w:pPr>
              <w:autoSpaceDE w:val="0"/>
              <w:autoSpaceDN w:val="0"/>
              <w:adjustRightInd w:val="0"/>
              <w:snapToGrid w:val="0"/>
              <w:spacing w:line="360" w:lineRule="auto"/>
              <w:ind w:firstLine="420" w:firstLineChars="200"/>
              <w:jc w:val="left"/>
              <w:rPr>
                <w:rFonts w:hint="default" w:eastAsia="宋体"/>
                <w:color w:val="auto"/>
                <w:szCs w:val="21"/>
                <w:lang w:val="en-US" w:eastAsia="zh-CN"/>
              </w:rPr>
            </w:pPr>
          </w:p>
          <w:p w14:paraId="6FF5A120">
            <w:pPr>
              <w:tabs>
                <w:tab w:val="left" w:pos="2492"/>
                <w:tab w:val="left" w:pos="2520"/>
              </w:tabs>
              <w:overflowPunct w:val="0"/>
              <w:autoSpaceDE w:val="0"/>
              <w:autoSpaceDN w:val="0"/>
              <w:adjustRightInd w:val="0"/>
              <w:snapToGrid w:val="0"/>
              <w:spacing w:line="360" w:lineRule="auto"/>
              <w:rPr>
                <w:color w:val="auto"/>
              </w:rPr>
            </w:pPr>
          </w:p>
        </w:tc>
      </w:tr>
    </w:tbl>
    <w:p w14:paraId="677947C0">
      <w:p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tbl>
      <w:tblPr>
        <w:tblStyle w:val="26"/>
        <w:tblpPr w:leftFromText="180" w:rightFromText="180" w:vertAnchor="text" w:tblpXSpec="center" w:tblpY="1"/>
        <w:tblOverlap w:val="never"/>
        <w:tblW w:w="506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478"/>
      </w:tblGrid>
      <w:tr w14:paraId="46F54C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56" w:hRule="atLeast"/>
          <w:jc w:val="center"/>
        </w:trPr>
        <w:tc>
          <w:tcPr>
            <w:tcW w:w="823" w:type="dxa"/>
            <w:tcMar>
              <w:left w:w="28" w:type="dxa"/>
              <w:right w:w="28" w:type="dxa"/>
            </w:tcMar>
            <w:vAlign w:val="center"/>
          </w:tcPr>
          <w:p w14:paraId="4FB909B0">
            <w:pPr>
              <w:adjustRightInd w:val="0"/>
              <w:snapToGrid w:val="0"/>
              <w:jc w:val="center"/>
              <w:rPr>
                <w:rFonts w:hint="eastAsia"/>
                <w:color w:val="auto"/>
                <w:szCs w:val="21"/>
              </w:rPr>
            </w:pPr>
            <w:r>
              <w:rPr>
                <w:rFonts w:hint="eastAsia"/>
                <w:color w:val="auto"/>
                <w:szCs w:val="21"/>
              </w:rPr>
              <w:t>营期环境影响和保护措施</w:t>
            </w:r>
          </w:p>
        </w:tc>
        <w:tc>
          <w:tcPr>
            <w:tcW w:w="12404" w:type="dxa"/>
            <w:tcBorders>
              <w:bottom w:val="single" w:color="auto" w:sz="8" w:space="0"/>
            </w:tcBorders>
            <w:vAlign w:val="top"/>
          </w:tcPr>
          <w:p w14:paraId="3F935795">
            <w:pPr>
              <w:widowControl/>
              <w:topLinePunct/>
              <w:adjustRightInd w:val="0"/>
              <w:snapToGrid w:val="0"/>
              <w:spacing w:before="120" w:beforeLines="50" w:after="48" w:afterLines="20" w:line="240" w:lineRule="auto"/>
              <w:ind w:firstLine="422" w:firstLineChars="200"/>
              <w:jc w:val="center"/>
              <w:rPr>
                <w:rFonts w:hint="default" w:ascii="Times New Roman" w:hAnsi="Times New Roman" w:eastAsia="宋体" w:cs="Times New Roman"/>
                <w:b/>
                <w:kern w:val="0"/>
                <w:sz w:val="21"/>
                <w:szCs w:val="24"/>
                <w:lang w:val="en-US" w:eastAsia="zh-CN" w:bidi="ar-SA"/>
              </w:rPr>
            </w:pPr>
            <w:r>
              <w:rPr>
                <w:rFonts w:hint="default" w:ascii="Times New Roman" w:hAnsi="Times New Roman" w:eastAsia="宋体" w:cs="Times New Roman"/>
                <w:b/>
                <w:kern w:val="0"/>
                <w:sz w:val="21"/>
                <w:szCs w:val="24"/>
                <w:lang w:val="en-US" w:eastAsia="zh-CN" w:bidi="ar-SA"/>
              </w:rPr>
              <w:t>表4-</w:t>
            </w:r>
            <w:r>
              <w:rPr>
                <w:rFonts w:hint="eastAsia" w:cs="Times New Roman"/>
                <w:b/>
                <w:kern w:val="0"/>
                <w:sz w:val="21"/>
                <w:szCs w:val="24"/>
                <w:lang w:val="en-US" w:eastAsia="zh-CN" w:bidi="ar-SA"/>
              </w:rPr>
              <w:t>2</w:t>
            </w:r>
            <w:r>
              <w:rPr>
                <w:rFonts w:hint="default" w:ascii="Times New Roman" w:hAnsi="Times New Roman" w:eastAsia="宋体" w:cs="Times New Roman"/>
                <w:b/>
                <w:kern w:val="0"/>
                <w:sz w:val="21"/>
                <w:szCs w:val="24"/>
                <w:lang w:val="en-US" w:eastAsia="zh-CN" w:bidi="ar-SA"/>
              </w:rPr>
              <w:t>本项目有组织废气产生排放情况一览表</w:t>
            </w:r>
          </w:p>
          <w:tbl>
            <w:tblPr>
              <w:tblStyle w:val="26"/>
              <w:tblW w:w="1229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4"/>
              <w:gridCol w:w="689"/>
              <w:gridCol w:w="553"/>
              <w:gridCol w:w="889"/>
              <w:gridCol w:w="657"/>
              <w:gridCol w:w="615"/>
              <w:gridCol w:w="657"/>
              <w:gridCol w:w="636"/>
              <w:gridCol w:w="698"/>
              <w:gridCol w:w="847"/>
              <w:gridCol w:w="596"/>
              <w:gridCol w:w="596"/>
              <w:gridCol w:w="657"/>
              <w:gridCol w:w="539"/>
              <w:gridCol w:w="752"/>
              <w:gridCol w:w="701"/>
              <w:gridCol w:w="660"/>
              <w:gridCol w:w="698"/>
            </w:tblGrid>
            <w:tr w14:paraId="004AFD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vMerge w:val="restart"/>
                  <w:tcBorders>
                    <w:tl2br w:val="nil"/>
                    <w:tr2bl w:val="nil"/>
                  </w:tcBorders>
                  <w:vAlign w:val="center"/>
                </w:tcPr>
                <w:p w14:paraId="352E52F7">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排气筒编号</w:t>
                  </w:r>
                </w:p>
              </w:tc>
              <w:tc>
                <w:tcPr>
                  <w:tcW w:w="689" w:type="dxa"/>
                  <w:vMerge w:val="restart"/>
                  <w:tcBorders>
                    <w:tl2br w:val="nil"/>
                    <w:tr2bl w:val="nil"/>
                  </w:tcBorders>
                  <w:vAlign w:val="center"/>
                </w:tcPr>
                <w:p w14:paraId="08687290">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产污环节</w:t>
                  </w:r>
                </w:p>
              </w:tc>
              <w:tc>
                <w:tcPr>
                  <w:tcW w:w="553" w:type="dxa"/>
                  <w:vMerge w:val="restart"/>
                  <w:tcBorders>
                    <w:tl2br w:val="nil"/>
                    <w:tr2bl w:val="nil"/>
                  </w:tcBorders>
                  <w:vAlign w:val="center"/>
                </w:tcPr>
                <w:p w14:paraId="16529A9B">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污染物名称</w:t>
                  </w:r>
                </w:p>
              </w:tc>
              <w:tc>
                <w:tcPr>
                  <w:tcW w:w="2161" w:type="dxa"/>
                  <w:gridSpan w:val="3"/>
                  <w:tcBorders>
                    <w:tl2br w:val="nil"/>
                    <w:tr2bl w:val="nil"/>
                  </w:tcBorders>
                  <w:vAlign w:val="center"/>
                </w:tcPr>
                <w:p w14:paraId="0AB9B0BE">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本项目</w:t>
                  </w:r>
                  <w:r>
                    <w:rPr>
                      <w:rFonts w:hint="eastAsia" w:ascii="Times New Roman" w:hAnsi="Times New Roman" w:eastAsia="宋体" w:cs="Times New Roman"/>
                      <w:snapToGrid w:val="0"/>
                      <w:sz w:val="18"/>
                      <w:szCs w:val="18"/>
                      <w:lang w:val="en-US" w:eastAsia="zh-CN" w:bidi="ar-SA"/>
                    </w:rPr>
                    <w:t>有组织废气</w:t>
                  </w:r>
                  <w:r>
                    <w:rPr>
                      <w:rFonts w:hint="default" w:ascii="Times New Roman" w:hAnsi="Times New Roman" w:eastAsia="宋体" w:cs="Times New Roman"/>
                      <w:snapToGrid w:val="0"/>
                      <w:sz w:val="18"/>
                      <w:szCs w:val="18"/>
                      <w:lang w:val="en-US" w:eastAsia="zh-CN" w:bidi="ar-SA"/>
                    </w:rPr>
                    <w:t>产生状况</w:t>
                  </w:r>
                </w:p>
              </w:tc>
              <w:tc>
                <w:tcPr>
                  <w:tcW w:w="1991" w:type="dxa"/>
                  <w:gridSpan w:val="3"/>
                  <w:tcBorders>
                    <w:right w:val="single" w:color="000000" w:sz="4" w:space="0"/>
                    <w:tl2br w:val="nil"/>
                    <w:tr2bl w:val="nil"/>
                  </w:tcBorders>
                  <w:vAlign w:val="center"/>
                </w:tcPr>
                <w:p w14:paraId="2D942D99">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治理措施</w:t>
                  </w:r>
                </w:p>
              </w:tc>
              <w:tc>
                <w:tcPr>
                  <w:tcW w:w="847" w:type="dxa"/>
                  <w:vMerge w:val="restart"/>
                  <w:tcBorders>
                    <w:right w:val="single" w:color="000000" w:sz="4" w:space="0"/>
                    <w:tl2br w:val="nil"/>
                    <w:tr2bl w:val="nil"/>
                  </w:tcBorders>
                  <w:vAlign w:val="center"/>
                </w:tcPr>
                <w:p w14:paraId="48FA6873">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排气量m³/h</w:t>
                  </w:r>
                </w:p>
              </w:tc>
              <w:tc>
                <w:tcPr>
                  <w:tcW w:w="596" w:type="dxa"/>
                  <w:vMerge w:val="restart"/>
                  <w:tcBorders>
                    <w:right w:val="single" w:color="000000" w:sz="4" w:space="0"/>
                    <w:tl2br w:val="nil"/>
                    <w:tr2bl w:val="nil"/>
                  </w:tcBorders>
                  <w:vAlign w:val="center"/>
                </w:tcPr>
                <w:p w14:paraId="35F17FF4">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控制出口流速m/s</w:t>
                  </w:r>
                </w:p>
              </w:tc>
              <w:tc>
                <w:tcPr>
                  <w:tcW w:w="596" w:type="dxa"/>
                  <w:vMerge w:val="restart"/>
                  <w:tcBorders>
                    <w:right w:val="single" w:color="000000" w:sz="4" w:space="0"/>
                    <w:tl2br w:val="nil"/>
                    <w:tr2bl w:val="nil"/>
                  </w:tcBorders>
                  <w:vAlign w:val="center"/>
                </w:tcPr>
                <w:p w14:paraId="21C8D0A1">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排气筒高度m</w:t>
                  </w:r>
                </w:p>
              </w:tc>
              <w:tc>
                <w:tcPr>
                  <w:tcW w:w="657" w:type="dxa"/>
                  <w:vMerge w:val="restart"/>
                  <w:tcBorders>
                    <w:right w:val="single" w:color="000000" w:sz="4" w:space="0"/>
                    <w:tl2br w:val="nil"/>
                    <w:tr2bl w:val="nil"/>
                  </w:tcBorders>
                  <w:vAlign w:val="center"/>
                </w:tcPr>
                <w:p w14:paraId="3F74E642">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排气筒直径m</w:t>
                  </w:r>
                </w:p>
              </w:tc>
              <w:tc>
                <w:tcPr>
                  <w:tcW w:w="539" w:type="dxa"/>
                  <w:vMerge w:val="restart"/>
                  <w:tcBorders>
                    <w:right w:val="single" w:color="000000" w:sz="4" w:space="0"/>
                    <w:tl2br w:val="nil"/>
                    <w:tr2bl w:val="nil"/>
                  </w:tcBorders>
                  <w:vAlign w:val="center"/>
                </w:tcPr>
                <w:p w14:paraId="7C99D7B4">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排气温度℃</w:t>
                  </w:r>
                </w:p>
              </w:tc>
              <w:tc>
                <w:tcPr>
                  <w:tcW w:w="2113" w:type="dxa"/>
                  <w:gridSpan w:val="3"/>
                  <w:tcBorders>
                    <w:left w:val="single" w:color="000000" w:sz="4" w:space="0"/>
                    <w:tl2br w:val="nil"/>
                    <w:tr2bl w:val="nil"/>
                  </w:tcBorders>
                  <w:vAlign w:val="center"/>
                </w:tcPr>
                <w:p w14:paraId="5C47614A">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排放状况</w:t>
                  </w:r>
                </w:p>
              </w:tc>
              <w:tc>
                <w:tcPr>
                  <w:tcW w:w="698" w:type="dxa"/>
                  <w:vMerge w:val="restart"/>
                  <w:tcBorders>
                    <w:tl2br w:val="nil"/>
                    <w:tr2bl w:val="nil"/>
                  </w:tcBorders>
                  <w:vAlign w:val="center"/>
                </w:tcPr>
                <w:p w14:paraId="06B6927D">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排放时间</w:t>
                  </w:r>
                </w:p>
                <w:p w14:paraId="60352EB0">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h</w:t>
                  </w:r>
                </w:p>
              </w:tc>
            </w:tr>
            <w:tr w14:paraId="780852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vMerge w:val="continue"/>
                  <w:tcBorders>
                    <w:tl2br w:val="nil"/>
                    <w:tr2bl w:val="nil"/>
                  </w:tcBorders>
                  <w:vAlign w:val="center"/>
                </w:tcPr>
                <w:p w14:paraId="2A25D1AA">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689" w:type="dxa"/>
                  <w:vMerge w:val="continue"/>
                  <w:tcBorders>
                    <w:tl2br w:val="nil"/>
                    <w:tr2bl w:val="nil"/>
                  </w:tcBorders>
                  <w:vAlign w:val="center"/>
                </w:tcPr>
                <w:p w14:paraId="687A917A">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553" w:type="dxa"/>
                  <w:vMerge w:val="continue"/>
                  <w:tcBorders>
                    <w:tl2br w:val="nil"/>
                    <w:tr2bl w:val="nil"/>
                  </w:tcBorders>
                  <w:vAlign w:val="center"/>
                </w:tcPr>
                <w:p w14:paraId="62EC6A26">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889" w:type="dxa"/>
                  <w:tcBorders>
                    <w:tl2br w:val="nil"/>
                    <w:tr2bl w:val="nil"/>
                  </w:tcBorders>
                  <w:vAlign w:val="center"/>
                </w:tcPr>
                <w:p w14:paraId="498310EF">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产生浓度mg/m³</w:t>
                  </w:r>
                </w:p>
              </w:tc>
              <w:tc>
                <w:tcPr>
                  <w:tcW w:w="657" w:type="dxa"/>
                  <w:tcBorders>
                    <w:tl2br w:val="nil"/>
                    <w:tr2bl w:val="nil"/>
                  </w:tcBorders>
                  <w:vAlign w:val="center"/>
                </w:tcPr>
                <w:p w14:paraId="3F95B41D">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产生速率kg/h</w:t>
                  </w:r>
                </w:p>
              </w:tc>
              <w:tc>
                <w:tcPr>
                  <w:tcW w:w="615" w:type="dxa"/>
                  <w:tcBorders>
                    <w:tl2br w:val="nil"/>
                    <w:tr2bl w:val="nil"/>
                  </w:tcBorders>
                  <w:vAlign w:val="center"/>
                </w:tcPr>
                <w:p w14:paraId="3101C6ED">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产生量t/a</w:t>
                  </w:r>
                </w:p>
              </w:tc>
              <w:tc>
                <w:tcPr>
                  <w:tcW w:w="657" w:type="dxa"/>
                  <w:tcBorders>
                    <w:tl2br w:val="nil"/>
                    <w:tr2bl w:val="nil"/>
                  </w:tcBorders>
                  <w:vAlign w:val="center"/>
                </w:tcPr>
                <w:p w14:paraId="0831AB3C">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工艺名称</w:t>
                  </w:r>
                </w:p>
              </w:tc>
              <w:tc>
                <w:tcPr>
                  <w:tcW w:w="636" w:type="dxa"/>
                  <w:tcBorders>
                    <w:tl2br w:val="nil"/>
                    <w:tr2bl w:val="nil"/>
                  </w:tcBorders>
                  <w:vAlign w:val="center"/>
                </w:tcPr>
                <w:p w14:paraId="30148D3A">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收集效率%</w:t>
                  </w:r>
                </w:p>
              </w:tc>
              <w:tc>
                <w:tcPr>
                  <w:tcW w:w="698" w:type="dxa"/>
                  <w:tcBorders>
                    <w:right w:val="single" w:color="000000" w:sz="4" w:space="0"/>
                    <w:tl2br w:val="nil"/>
                    <w:tr2bl w:val="nil"/>
                  </w:tcBorders>
                  <w:vAlign w:val="center"/>
                </w:tcPr>
                <w:p w14:paraId="1D351638">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处理效率%</w:t>
                  </w:r>
                </w:p>
              </w:tc>
              <w:tc>
                <w:tcPr>
                  <w:tcW w:w="847" w:type="dxa"/>
                  <w:vMerge w:val="continue"/>
                  <w:tcBorders>
                    <w:right w:val="single" w:color="000000" w:sz="4" w:space="0"/>
                    <w:tl2br w:val="nil"/>
                    <w:tr2bl w:val="nil"/>
                  </w:tcBorders>
                  <w:vAlign w:val="center"/>
                </w:tcPr>
                <w:p w14:paraId="51A88469">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596" w:type="dxa"/>
                  <w:vMerge w:val="continue"/>
                  <w:tcBorders>
                    <w:right w:val="single" w:color="000000" w:sz="4" w:space="0"/>
                    <w:tl2br w:val="nil"/>
                    <w:tr2bl w:val="nil"/>
                  </w:tcBorders>
                  <w:vAlign w:val="center"/>
                </w:tcPr>
                <w:p w14:paraId="0EF2E43E">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596" w:type="dxa"/>
                  <w:vMerge w:val="continue"/>
                  <w:tcBorders>
                    <w:right w:val="single" w:color="000000" w:sz="4" w:space="0"/>
                    <w:tl2br w:val="nil"/>
                    <w:tr2bl w:val="nil"/>
                  </w:tcBorders>
                  <w:vAlign w:val="center"/>
                </w:tcPr>
                <w:p w14:paraId="31081D6B">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657" w:type="dxa"/>
                  <w:vMerge w:val="continue"/>
                  <w:tcBorders>
                    <w:right w:val="single" w:color="000000" w:sz="4" w:space="0"/>
                    <w:tl2br w:val="nil"/>
                    <w:tr2bl w:val="nil"/>
                  </w:tcBorders>
                  <w:vAlign w:val="center"/>
                </w:tcPr>
                <w:p w14:paraId="10FF1600">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539" w:type="dxa"/>
                  <w:vMerge w:val="continue"/>
                  <w:tcBorders>
                    <w:right w:val="single" w:color="000000" w:sz="4" w:space="0"/>
                    <w:tl2br w:val="nil"/>
                    <w:tr2bl w:val="nil"/>
                  </w:tcBorders>
                  <w:vAlign w:val="center"/>
                </w:tcPr>
                <w:p w14:paraId="5BF2D803">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752" w:type="dxa"/>
                  <w:tcBorders>
                    <w:left w:val="single" w:color="000000" w:sz="4" w:space="0"/>
                    <w:tl2br w:val="nil"/>
                    <w:tr2bl w:val="nil"/>
                  </w:tcBorders>
                  <w:vAlign w:val="center"/>
                </w:tcPr>
                <w:p w14:paraId="0CEB1946">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排放浓度mg/m³</w:t>
                  </w:r>
                </w:p>
              </w:tc>
              <w:tc>
                <w:tcPr>
                  <w:tcW w:w="701" w:type="dxa"/>
                  <w:tcBorders>
                    <w:tl2br w:val="nil"/>
                    <w:tr2bl w:val="nil"/>
                  </w:tcBorders>
                  <w:vAlign w:val="center"/>
                </w:tcPr>
                <w:p w14:paraId="03756436">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排放速率kg/h</w:t>
                  </w:r>
                </w:p>
              </w:tc>
              <w:tc>
                <w:tcPr>
                  <w:tcW w:w="660" w:type="dxa"/>
                  <w:tcBorders>
                    <w:tl2br w:val="nil"/>
                    <w:tr2bl w:val="nil"/>
                  </w:tcBorders>
                  <w:vAlign w:val="center"/>
                </w:tcPr>
                <w:p w14:paraId="143EABE1">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排放量t/a</w:t>
                  </w:r>
                </w:p>
              </w:tc>
              <w:tc>
                <w:tcPr>
                  <w:tcW w:w="698" w:type="dxa"/>
                  <w:vMerge w:val="continue"/>
                  <w:tcBorders>
                    <w:tl2br w:val="nil"/>
                    <w:tr2bl w:val="nil"/>
                  </w:tcBorders>
                  <w:vAlign w:val="center"/>
                </w:tcPr>
                <w:p w14:paraId="77CCCF83">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r>
            <w:tr w14:paraId="209A96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vMerge w:val="restart"/>
                  <w:tcBorders>
                    <w:tl2br w:val="nil"/>
                    <w:tr2bl w:val="nil"/>
                  </w:tcBorders>
                  <w:vAlign w:val="center"/>
                </w:tcPr>
                <w:p w14:paraId="07CBF22F">
                  <w:pPr>
                    <w:topLinePunct/>
                    <w:spacing w:before="48" w:beforeLines="0" w:after="48" w:afterLines="0"/>
                    <w:jc w:val="center"/>
                    <w:rPr>
                      <w:rFonts w:hint="eastAsia"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DA00</w:t>
                  </w:r>
                  <w:r>
                    <w:rPr>
                      <w:rFonts w:hint="eastAsia" w:ascii="Times New Roman" w:hAnsi="Times New Roman" w:eastAsia="宋体" w:cs="Times New Roman"/>
                      <w:snapToGrid w:val="0"/>
                      <w:sz w:val="18"/>
                      <w:szCs w:val="18"/>
                      <w:lang w:val="en-US" w:eastAsia="zh-CN" w:bidi="ar-SA"/>
                    </w:rPr>
                    <w:t>1</w:t>
                  </w:r>
                </w:p>
              </w:tc>
              <w:tc>
                <w:tcPr>
                  <w:tcW w:w="689" w:type="dxa"/>
                  <w:tcBorders>
                    <w:tl2br w:val="nil"/>
                    <w:tr2bl w:val="nil"/>
                  </w:tcBorders>
                  <w:vAlign w:val="center"/>
                </w:tcPr>
                <w:p w14:paraId="6E4D8A0F">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加弹、复合</w:t>
                  </w:r>
                </w:p>
              </w:tc>
              <w:tc>
                <w:tcPr>
                  <w:tcW w:w="553" w:type="dxa"/>
                  <w:tcBorders>
                    <w:tl2br w:val="nil"/>
                    <w:tr2bl w:val="nil"/>
                  </w:tcBorders>
                  <w:vAlign w:val="center"/>
                </w:tcPr>
                <w:p w14:paraId="44A0ADD1">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非甲烷总烃</w:t>
                  </w:r>
                </w:p>
              </w:tc>
              <w:tc>
                <w:tcPr>
                  <w:tcW w:w="889" w:type="dxa"/>
                  <w:tcBorders>
                    <w:tl2br w:val="nil"/>
                    <w:tr2bl w:val="nil"/>
                  </w:tcBorders>
                  <w:shd w:val="clear" w:color="auto" w:fill="auto"/>
                  <w:vAlign w:val="center"/>
                </w:tcPr>
                <w:p w14:paraId="2A005B0B">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79.473</w:t>
                  </w:r>
                </w:p>
              </w:tc>
              <w:tc>
                <w:tcPr>
                  <w:tcW w:w="657" w:type="dxa"/>
                  <w:tcBorders>
                    <w:tl2br w:val="nil"/>
                    <w:tr2bl w:val="nil"/>
                  </w:tcBorders>
                  <w:shd w:val="clear" w:color="auto" w:fill="auto"/>
                  <w:vAlign w:val="center"/>
                </w:tcPr>
                <w:p w14:paraId="24F20080">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0.397</w:t>
                  </w:r>
                </w:p>
              </w:tc>
              <w:tc>
                <w:tcPr>
                  <w:tcW w:w="615" w:type="dxa"/>
                  <w:tcBorders>
                    <w:tl2br w:val="nil"/>
                    <w:tr2bl w:val="nil"/>
                  </w:tcBorders>
                  <w:shd w:val="clear" w:color="auto" w:fill="auto"/>
                  <w:vAlign w:val="center"/>
                </w:tcPr>
                <w:p w14:paraId="793B63E8">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3.48</w:t>
                  </w:r>
                  <w:r>
                    <w:rPr>
                      <w:rFonts w:hint="eastAsia" w:cs="Times New Roman"/>
                      <w:snapToGrid w:val="0"/>
                      <w:sz w:val="18"/>
                      <w:szCs w:val="18"/>
                      <w:lang w:val="en-US" w:eastAsia="zh-CN" w:bidi="ar-SA"/>
                    </w:rPr>
                    <w:t>1</w:t>
                  </w:r>
                </w:p>
              </w:tc>
              <w:tc>
                <w:tcPr>
                  <w:tcW w:w="657" w:type="dxa"/>
                  <w:vMerge w:val="restart"/>
                  <w:tcBorders>
                    <w:tl2br w:val="nil"/>
                    <w:tr2bl w:val="nil"/>
                  </w:tcBorders>
                  <w:vAlign w:val="center"/>
                </w:tcPr>
                <w:p w14:paraId="19A3C8C1">
                  <w:pPr>
                    <w:topLinePunct/>
                    <w:spacing w:before="48" w:beforeLines="0" w:after="48" w:afterLines="0"/>
                    <w:jc w:val="center"/>
                    <w:rPr>
                      <w:rFonts w:hint="eastAsia"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静电除油+</w:t>
                  </w:r>
                  <w:r>
                    <w:rPr>
                      <w:rFonts w:hint="default" w:ascii="Times New Roman" w:hAnsi="Times New Roman" w:eastAsia="宋体" w:cs="Times New Roman"/>
                      <w:snapToGrid w:val="0"/>
                      <w:sz w:val="18"/>
                      <w:szCs w:val="18"/>
                      <w:lang w:val="en-US" w:eastAsia="zh-CN" w:bidi="ar-SA"/>
                    </w:rPr>
                    <w:t>二级活性炭</w:t>
                  </w:r>
                  <w:r>
                    <w:rPr>
                      <w:rFonts w:hint="eastAsia" w:ascii="Times New Roman" w:hAnsi="Times New Roman" w:eastAsia="宋体" w:cs="Times New Roman"/>
                      <w:snapToGrid w:val="0"/>
                      <w:sz w:val="18"/>
                      <w:szCs w:val="18"/>
                      <w:lang w:val="en-US" w:eastAsia="zh-CN" w:bidi="ar-SA"/>
                    </w:rPr>
                    <w:t>吸附</w:t>
                  </w:r>
                </w:p>
              </w:tc>
              <w:tc>
                <w:tcPr>
                  <w:tcW w:w="636" w:type="dxa"/>
                  <w:tcBorders>
                    <w:tl2br w:val="nil"/>
                    <w:tr2bl w:val="nil"/>
                  </w:tcBorders>
                  <w:vAlign w:val="center"/>
                </w:tcPr>
                <w:p w14:paraId="465A1DD0">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90</w:t>
                  </w:r>
                </w:p>
              </w:tc>
              <w:tc>
                <w:tcPr>
                  <w:tcW w:w="698" w:type="dxa"/>
                  <w:tcBorders>
                    <w:right w:val="single" w:color="000000" w:sz="4" w:space="0"/>
                    <w:tl2br w:val="nil"/>
                    <w:tr2bl w:val="nil"/>
                  </w:tcBorders>
                  <w:vAlign w:val="center"/>
                </w:tcPr>
                <w:p w14:paraId="0F91F7F1">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90</w:t>
                  </w:r>
                </w:p>
              </w:tc>
              <w:tc>
                <w:tcPr>
                  <w:tcW w:w="847" w:type="dxa"/>
                  <w:vMerge w:val="restart"/>
                  <w:tcBorders>
                    <w:right w:val="single" w:color="000000" w:sz="4" w:space="0"/>
                    <w:tl2br w:val="nil"/>
                    <w:tr2bl w:val="nil"/>
                  </w:tcBorders>
                  <w:vAlign w:val="center"/>
                </w:tcPr>
                <w:p w14:paraId="35431F91">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5</w:t>
                  </w:r>
                  <w:r>
                    <w:rPr>
                      <w:rFonts w:hint="default" w:ascii="Times New Roman" w:hAnsi="Times New Roman" w:eastAsia="宋体" w:cs="Times New Roman"/>
                      <w:snapToGrid w:val="0"/>
                      <w:sz w:val="18"/>
                      <w:szCs w:val="18"/>
                      <w:lang w:val="en-US" w:eastAsia="zh-CN" w:bidi="ar-SA"/>
                    </w:rPr>
                    <w:t>000</w:t>
                  </w:r>
                </w:p>
              </w:tc>
              <w:tc>
                <w:tcPr>
                  <w:tcW w:w="596" w:type="dxa"/>
                  <w:vMerge w:val="restart"/>
                  <w:tcBorders>
                    <w:right w:val="single" w:color="000000" w:sz="4" w:space="0"/>
                    <w:tl2br w:val="nil"/>
                    <w:tr2bl w:val="nil"/>
                  </w:tcBorders>
                  <w:vAlign w:val="center"/>
                </w:tcPr>
                <w:p w14:paraId="64395ED5">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15</w:t>
                  </w:r>
                </w:p>
              </w:tc>
              <w:tc>
                <w:tcPr>
                  <w:tcW w:w="596" w:type="dxa"/>
                  <w:vMerge w:val="restart"/>
                  <w:tcBorders>
                    <w:right w:val="single" w:color="000000" w:sz="4" w:space="0"/>
                    <w:tl2br w:val="nil"/>
                    <w:tr2bl w:val="nil"/>
                  </w:tcBorders>
                  <w:vAlign w:val="center"/>
                </w:tcPr>
                <w:p w14:paraId="397C98D8">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35</w:t>
                  </w:r>
                </w:p>
              </w:tc>
              <w:tc>
                <w:tcPr>
                  <w:tcW w:w="657" w:type="dxa"/>
                  <w:vMerge w:val="restart"/>
                  <w:tcBorders>
                    <w:right w:val="single" w:color="000000" w:sz="4" w:space="0"/>
                    <w:tl2br w:val="nil"/>
                    <w:tr2bl w:val="nil"/>
                  </w:tcBorders>
                  <w:vAlign w:val="center"/>
                </w:tcPr>
                <w:p w14:paraId="20994319">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0.</w:t>
                  </w:r>
                  <w:r>
                    <w:rPr>
                      <w:rFonts w:hint="eastAsia" w:ascii="Times New Roman" w:hAnsi="Times New Roman" w:eastAsia="宋体" w:cs="Times New Roman"/>
                      <w:snapToGrid w:val="0"/>
                      <w:sz w:val="18"/>
                      <w:szCs w:val="18"/>
                      <w:lang w:val="en-US" w:eastAsia="zh-CN" w:bidi="ar-SA"/>
                    </w:rPr>
                    <w:t>15</w:t>
                  </w:r>
                </w:p>
              </w:tc>
              <w:tc>
                <w:tcPr>
                  <w:tcW w:w="539" w:type="dxa"/>
                  <w:vMerge w:val="restart"/>
                  <w:tcBorders>
                    <w:right w:val="single" w:color="000000" w:sz="4" w:space="0"/>
                    <w:tl2br w:val="nil"/>
                    <w:tr2bl w:val="nil"/>
                  </w:tcBorders>
                  <w:vAlign w:val="center"/>
                </w:tcPr>
                <w:p w14:paraId="1DB23FAD">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常温</w:t>
                  </w:r>
                </w:p>
              </w:tc>
              <w:tc>
                <w:tcPr>
                  <w:tcW w:w="752" w:type="dxa"/>
                  <w:tcBorders>
                    <w:left w:val="single" w:color="000000" w:sz="4" w:space="0"/>
                    <w:tl2br w:val="nil"/>
                    <w:tr2bl w:val="nil"/>
                  </w:tcBorders>
                  <w:shd w:val="clear" w:color="auto" w:fill="auto"/>
                  <w:vAlign w:val="center"/>
                </w:tcPr>
                <w:p w14:paraId="36591563">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7.947</w:t>
                  </w:r>
                </w:p>
              </w:tc>
              <w:tc>
                <w:tcPr>
                  <w:tcW w:w="701" w:type="dxa"/>
                  <w:tcBorders>
                    <w:tl2br w:val="nil"/>
                    <w:tr2bl w:val="nil"/>
                  </w:tcBorders>
                  <w:shd w:val="clear" w:color="auto" w:fill="auto"/>
                  <w:vAlign w:val="center"/>
                </w:tcPr>
                <w:p w14:paraId="6F9BC2BA">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0.0</w:t>
                  </w:r>
                  <w:r>
                    <w:rPr>
                      <w:rFonts w:hint="eastAsia" w:cs="Times New Roman"/>
                      <w:snapToGrid w:val="0"/>
                      <w:sz w:val="18"/>
                      <w:szCs w:val="18"/>
                      <w:lang w:val="en-US" w:eastAsia="zh-CN" w:bidi="ar-SA"/>
                    </w:rPr>
                    <w:t>40</w:t>
                  </w:r>
                </w:p>
              </w:tc>
              <w:tc>
                <w:tcPr>
                  <w:tcW w:w="660" w:type="dxa"/>
                  <w:tcBorders>
                    <w:tl2br w:val="nil"/>
                    <w:tr2bl w:val="nil"/>
                  </w:tcBorders>
                  <w:shd w:val="clear" w:color="auto" w:fill="auto"/>
                  <w:vAlign w:val="center"/>
                </w:tcPr>
                <w:p w14:paraId="373E2075">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0.348</w:t>
                  </w:r>
                </w:p>
              </w:tc>
              <w:tc>
                <w:tcPr>
                  <w:tcW w:w="698" w:type="dxa"/>
                  <w:vMerge w:val="restart"/>
                  <w:tcBorders>
                    <w:tl2br w:val="nil"/>
                    <w:tr2bl w:val="nil"/>
                  </w:tcBorders>
                  <w:vAlign w:val="center"/>
                </w:tcPr>
                <w:p w14:paraId="5AA2217E">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8760</w:t>
                  </w:r>
                </w:p>
              </w:tc>
            </w:tr>
            <w:tr w14:paraId="1A55D1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54" w:type="dxa"/>
                  <w:vMerge w:val="continue"/>
                  <w:tcBorders>
                    <w:tl2br w:val="nil"/>
                    <w:tr2bl w:val="nil"/>
                  </w:tcBorders>
                  <w:vAlign w:val="center"/>
                </w:tcPr>
                <w:p w14:paraId="13FA965D">
                  <w:pPr>
                    <w:topLinePunct/>
                    <w:spacing w:before="48" w:beforeLines="0" w:after="48" w:afterLines="0"/>
                    <w:jc w:val="center"/>
                    <w:rPr>
                      <w:rFonts w:hint="default" w:ascii="Times New Roman" w:hAnsi="Times New Roman" w:eastAsia="宋体" w:cs="Times New Roman"/>
                      <w:snapToGrid w:val="0"/>
                      <w:sz w:val="21"/>
                      <w:lang w:val="en-US" w:eastAsia="zh-CN" w:bidi="ar-SA"/>
                    </w:rPr>
                  </w:pPr>
                </w:p>
              </w:tc>
              <w:tc>
                <w:tcPr>
                  <w:tcW w:w="689" w:type="dxa"/>
                  <w:tcBorders>
                    <w:tl2br w:val="nil"/>
                    <w:tr2bl w:val="nil"/>
                  </w:tcBorders>
                  <w:vAlign w:val="center"/>
                </w:tcPr>
                <w:p w14:paraId="710C9027">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加弹</w:t>
                  </w:r>
                </w:p>
              </w:tc>
              <w:tc>
                <w:tcPr>
                  <w:tcW w:w="553" w:type="dxa"/>
                  <w:tcBorders>
                    <w:tl2br w:val="nil"/>
                    <w:tr2bl w:val="nil"/>
                  </w:tcBorders>
                  <w:vAlign w:val="center"/>
                </w:tcPr>
                <w:p w14:paraId="1F71D9DD">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颗粒物</w:t>
                  </w:r>
                </w:p>
              </w:tc>
              <w:tc>
                <w:tcPr>
                  <w:tcW w:w="889" w:type="dxa"/>
                  <w:tcBorders>
                    <w:tl2br w:val="nil"/>
                    <w:tr2bl w:val="nil"/>
                  </w:tcBorders>
                  <w:shd w:val="clear" w:color="auto" w:fill="auto"/>
                  <w:vAlign w:val="center"/>
                </w:tcPr>
                <w:p w14:paraId="19771E4E">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78.11</w:t>
                  </w:r>
                  <w:r>
                    <w:rPr>
                      <w:rFonts w:hint="eastAsia" w:cs="Times New Roman"/>
                      <w:snapToGrid w:val="0"/>
                      <w:sz w:val="18"/>
                      <w:szCs w:val="18"/>
                      <w:lang w:val="en-US" w:eastAsia="zh-CN" w:bidi="ar-SA"/>
                    </w:rPr>
                    <w:t>1</w:t>
                  </w:r>
                </w:p>
              </w:tc>
              <w:tc>
                <w:tcPr>
                  <w:tcW w:w="657" w:type="dxa"/>
                  <w:tcBorders>
                    <w:tl2br w:val="nil"/>
                    <w:tr2bl w:val="nil"/>
                  </w:tcBorders>
                  <w:shd w:val="clear" w:color="auto" w:fill="auto"/>
                  <w:vAlign w:val="center"/>
                </w:tcPr>
                <w:p w14:paraId="617162B3">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0.39</w:t>
                  </w:r>
                  <w:r>
                    <w:rPr>
                      <w:rFonts w:hint="eastAsia" w:cs="Times New Roman"/>
                      <w:snapToGrid w:val="0"/>
                      <w:sz w:val="18"/>
                      <w:szCs w:val="18"/>
                      <w:lang w:val="en-US" w:eastAsia="zh-CN" w:bidi="ar-SA"/>
                    </w:rPr>
                    <w:t>1</w:t>
                  </w:r>
                </w:p>
              </w:tc>
              <w:tc>
                <w:tcPr>
                  <w:tcW w:w="615" w:type="dxa"/>
                  <w:tcBorders>
                    <w:tl2br w:val="nil"/>
                    <w:tr2bl w:val="nil"/>
                  </w:tcBorders>
                  <w:shd w:val="clear" w:color="auto" w:fill="auto"/>
                  <w:vAlign w:val="center"/>
                </w:tcPr>
                <w:p w14:paraId="7BE67356">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3.421</w:t>
                  </w:r>
                </w:p>
              </w:tc>
              <w:tc>
                <w:tcPr>
                  <w:tcW w:w="657" w:type="dxa"/>
                  <w:vMerge w:val="continue"/>
                  <w:tcBorders>
                    <w:tl2br w:val="nil"/>
                    <w:tr2bl w:val="nil"/>
                  </w:tcBorders>
                  <w:vAlign w:val="center"/>
                </w:tcPr>
                <w:p w14:paraId="641A05F9">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636" w:type="dxa"/>
                  <w:tcBorders>
                    <w:tl2br w:val="nil"/>
                    <w:tr2bl w:val="nil"/>
                  </w:tcBorders>
                  <w:vAlign w:val="center"/>
                </w:tcPr>
                <w:p w14:paraId="55C438F1">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90</w:t>
                  </w:r>
                </w:p>
              </w:tc>
              <w:tc>
                <w:tcPr>
                  <w:tcW w:w="698" w:type="dxa"/>
                  <w:tcBorders>
                    <w:right w:val="single" w:color="000000" w:sz="4" w:space="0"/>
                    <w:tl2br w:val="nil"/>
                    <w:tr2bl w:val="nil"/>
                  </w:tcBorders>
                  <w:vAlign w:val="center"/>
                </w:tcPr>
                <w:p w14:paraId="3CF4AD92">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90</w:t>
                  </w:r>
                </w:p>
              </w:tc>
              <w:tc>
                <w:tcPr>
                  <w:tcW w:w="847" w:type="dxa"/>
                  <w:vMerge w:val="continue"/>
                  <w:tcBorders>
                    <w:right w:val="single" w:color="000000" w:sz="4" w:space="0"/>
                    <w:tl2br w:val="nil"/>
                    <w:tr2bl w:val="nil"/>
                  </w:tcBorders>
                  <w:vAlign w:val="center"/>
                </w:tcPr>
                <w:p w14:paraId="4F177988">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596" w:type="dxa"/>
                  <w:vMerge w:val="continue"/>
                  <w:tcBorders>
                    <w:right w:val="single" w:color="000000" w:sz="4" w:space="0"/>
                    <w:tl2br w:val="nil"/>
                    <w:tr2bl w:val="nil"/>
                  </w:tcBorders>
                  <w:vAlign w:val="center"/>
                </w:tcPr>
                <w:p w14:paraId="1018D52B">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596" w:type="dxa"/>
                  <w:vMerge w:val="continue"/>
                  <w:tcBorders>
                    <w:right w:val="single" w:color="000000" w:sz="4" w:space="0"/>
                    <w:tl2br w:val="nil"/>
                    <w:tr2bl w:val="nil"/>
                  </w:tcBorders>
                  <w:vAlign w:val="center"/>
                </w:tcPr>
                <w:p w14:paraId="6D6A175E">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657" w:type="dxa"/>
                  <w:vMerge w:val="continue"/>
                  <w:tcBorders>
                    <w:right w:val="single" w:color="000000" w:sz="4" w:space="0"/>
                    <w:tl2br w:val="nil"/>
                    <w:tr2bl w:val="nil"/>
                  </w:tcBorders>
                  <w:vAlign w:val="center"/>
                </w:tcPr>
                <w:p w14:paraId="46B13DE8">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539" w:type="dxa"/>
                  <w:vMerge w:val="continue"/>
                  <w:tcBorders>
                    <w:right w:val="single" w:color="000000" w:sz="4" w:space="0"/>
                    <w:tl2br w:val="nil"/>
                    <w:tr2bl w:val="nil"/>
                  </w:tcBorders>
                  <w:vAlign w:val="center"/>
                </w:tcPr>
                <w:p w14:paraId="6FED5C54">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752" w:type="dxa"/>
                  <w:tcBorders>
                    <w:left w:val="single" w:color="000000" w:sz="4" w:space="0"/>
                    <w:tl2br w:val="nil"/>
                    <w:tr2bl w:val="nil"/>
                  </w:tcBorders>
                  <w:shd w:val="clear" w:color="auto" w:fill="auto"/>
                  <w:vAlign w:val="center"/>
                </w:tcPr>
                <w:p w14:paraId="316D7DAA">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7.811</w:t>
                  </w:r>
                </w:p>
              </w:tc>
              <w:tc>
                <w:tcPr>
                  <w:tcW w:w="701" w:type="dxa"/>
                  <w:tcBorders>
                    <w:tl2br w:val="nil"/>
                    <w:tr2bl w:val="nil"/>
                  </w:tcBorders>
                  <w:shd w:val="clear" w:color="auto" w:fill="auto"/>
                  <w:vAlign w:val="center"/>
                </w:tcPr>
                <w:p w14:paraId="71A7C282">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0.039</w:t>
                  </w:r>
                </w:p>
              </w:tc>
              <w:tc>
                <w:tcPr>
                  <w:tcW w:w="660" w:type="dxa"/>
                  <w:tcBorders>
                    <w:tl2br w:val="nil"/>
                    <w:tr2bl w:val="nil"/>
                  </w:tcBorders>
                  <w:shd w:val="clear" w:color="auto" w:fill="auto"/>
                  <w:vAlign w:val="center"/>
                </w:tcPr>
                <w:p w14:paraId="6784AC86">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0.342</w:t>
                  </w:r>
                </w:p>
              </w:tc>
              <w:tc>
                <w:tcPr>
                  <w:tcW w:w="698" w:type="dxa"/>
                  <w:vMerge w:val="continue"/>
                  <w:tcBorders>
                    <w:tl2br w:val="nil"/>
                    <w:tr2bl w:val="nil"/>
                  </w:tcBorders>
                  <w:vAlign w:val="center"/>
                </w:tcPr>
                <w:p w14:paraId="265AC76A">
                  <w:pPr>
                    <w:topLinePunct/>
                    <w:spacing w:before="48" w:beforeLines="0" w:after="48" w:afterLines="0"/>
                    <w:jc w:val="center"/>
                    <w:rPr>
                      <w:rFonts w:hint="default" w:ascii="Times New Roman" w:hAnsi="Times New Roman" w:eastAsia="宋体" w:cs="Times New Roman"/>
                      <w:snapToGrid w:val="0"/>
                      <w:sz w:val="21"/>
                      <w:lang w:val="en-US" w:eastAsia="zh-CN" w:bidi="ar-SA"/>
                    </w:rPr>
                  </w:pPr>
                </w:p>
              </w:tc>
            </w:tr>
          </w:tbl>
          <w:p w14:paraId="6276BDC3">
            <w:pPr>
              <w:widowControl/>
              <w:topLinePunct/>
              <w:adjustRightInd w:val="0"/>
              <w:snapToGrid w:val="0"/>
              <w:spacing w:before="120" w:beforeLines="50" w:after="48" w:afterLines="20" w:line="240" w:lineRule="auto"/>
              <w:ind w:firstLine="422" w:firstLineChars="200"/>
              <w:jc w:val="center"/>
              <w:rPr>
                <w:rFonts w:hint="default" w:ascii="Times New Roman" w:hAnsi="Times New Roman" w:eastAsia="宋体" w:cs="Times New Roman"/>
                <w:b/>
                <w:kern w:val="0"/>
                <w:sz w:val="21"/>
                <w:szCs w:val="24"/>
                <w:lang w:val="en-US" w:eastAsia="zh-CN" w:bidi="ar-SA"/>
              </w:rPr>
            </w:pPr>
            <w:r>
              <w:rPr>
                <w:rFonts w:hint="default" w:ascii="Times New Roman" w:hAnsi="Times New Roman" w:eastAsia="宋体" w:cs="Times New Roman"/>
                <w:b/>
                <w:kern w:val="0"/>
                <w:sz w:val="21"/>
                <w:szCs w:val="24"/>
                <w:lang w:val="en-US" w:eastAsia="zh-CN" w:bidi="ar-SA"/>
              </w:rPr>
              <w:t>表4-</w:t>
            </w:r>
            <w:r>
              <w:rPr>
                <w:rFonts w:hint="eastAsia" w:cs="Times New Roman"/>
                <w:b/>
                <w:kern w:val="0"/>
                <w:sz w:val="21"/>
                <w:szCs w:val="24"/>
                <w:lang w:val="en-US" w:eastAsia="zh-CN" w:bidi="ar-SA"/>
              </w:rPr>
              <w:t>3</w:t>
            </w:r>
            <w:r>
              <w:rPr>
                <w:rFonts w:hint="default" w:ascii="Times New Roman" w:hAnsi="Times New Roman" w:eastAsia="宋体" w:cs="Times New Roman"/>
                <w:b/>
                <w:kern w:val="0"/>
                <w:sz w:val="21"/>
                <w:szCs w:val="24"/>
                <w:lang w:val="en-US" w:eastAsia="zh-CN" w:bidi="ar-SA"/>
              </w:rPr>
              <w:t>无组织废气产生排放情况一览表</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609"/>
              <w:gridCol w:w="1386"/>
              <w:gridCol w:w="871"/>
              <w:gridCol w:w="925"/>
              <w:gridCol w:w="857"/>
              <w:gridCol w:w="1004"/>
              <w:gridCol w:w="1080"/>
              <w:gridCol w:w="1165"/>
              <w:gridCol w:w="1218"/>
              <w:gridCol w:w="1082"/>
            </w:tblGrid>
            <w:tr w14:paraId="10C77A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1065" w:type="dxa"/>
                  <w:vMerge w:val="restart"/>
                  <w:tcBorders>
                    <w:tl2br w:val="nil"/>
                    <w:tr2bl w:val="nil"/>
                  </w:tcBorders>
                  <w:vAlign w:val="center"/>
                </w:tcPr>
                <w:p w14:paraId="366F384E">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面源名称</w:t>
                  </w:r>
                </w:p>
              </w:tc>
              <w:tc>
                <w:tcPr>
                  <w:tcW w:w="1609" w:type="dxa"/>
                  <w:vMerge w:val="restart"/>
                  <w:tcBorders>
                    <w:tl2br w:val="nil"/>
                    <w:tr2bl w:val="nil"/>
                  </w:tcBorders>
                  <w:vAlign w:val="center"/>
                </w:tcPr>
                <w:p w14:paraId="4DD04571">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产污环节</w:t>
                  </w:r>
                </w:p>
              </w:tc>
              <w:tc>
                <w:tcPr>
                  <w:tcW w:w="1386" w:type="dxa"/>
                  <w:vMerge w:val="restart"/>
                  <w:tcBorders>
                    <w:tl2br w:val="nil"/>
                    <w:tr2bl w:val="nil"/>
                  </w:tcBorders>
                  <w:vAlign w:val="center"/>
                </w:tcPr>
                <w:p w14:paraId="7EE4D2A4">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污染物名称</w:t>
                  </w:r>
                </w:p>
              </w:tc>
              <w:tc>
                <w:tcPr>
                  <w:tcW w:w="871" w:type="dxa"/>
                  <w:vMerge w:val="restart"/>
                  <w:tcBorders>
                    <w:right w:val="single" w:color="000000" w:sz="4" w:space="0"/>
                    <w:tl2br w:val="nil"/>
                    <w:tr2bl w:val="nil"/>
                  </w:tcBorders>
                  <w:vAlign w:val="center"/>
                </w:tcPr>
                <w:p w14:paraId="33D29C68">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无组织废气产生量t/a</w:t>
                  </w:r>
                </w:p>
              </w:tc>
              <w:tc>
                <w:tcPr>
                  <w:tcW w:w="925" w:type="dxa"/>
                  <w:vMerge w:val="restart"/>
                  <w:tcBorders>
                    <w:left w:val="single" w:color="000000" w:sz="4" w:space="0"/>
                    <w:right w:val="single" w:color="000000" w:sz="4" w:space="0"/>
                    <w:tl2br w:val="nil"/>
                    <w:tr2bl w:val="nil"/>
                  </w:tcBorders>
                  <w:vAlign w:val="center"/>
                </w:tcPr>
                <w:p w14:paraId="56945A28">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削减量t/a</w:t>
                  </w:r>
                </w:p>
              </w:tc>
              <w:tc>
                <w:tcPr>
                  <w:tcW w:w="1861" w:type="dxa"/>
                  <w:gridSpan w:val="2"/>
                  <w:tcBorders>
                    <w:tl2br w:val="nil"/>
                    <w:tr2bl w:val="nil"/>
                  </w:tcBorders>
                  <w:vAlign w:val="center"/>
                </w:tcPr>
                <w:p w14:paraId="66EDB468">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治理措施</w:t>
                  </w:r>
                </w:p>
              </w:tc>
              <w:tc>
                <w:tcPr>
                  <w:tcW w:w="1080" w:type="dxa"/>
                  <w:vMerge w:val="restart"/>
                  <w:tcBorders>
                    <w:right w:val="single" w:color="000000" w:sz="4" w:space="0"/>
                    <w:tl2br w:val="nil"/>
                    <w:tr2bl w:val="nil"/>
                  </w:tcBorders>
                  <w:vAlign w:val="center"/>
                </w:tcPr>
                <w:p w14:paraId="258F5514">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排放量t/a</w:t>
                  </w:r>
                </w:p>
              </w:tc>
              <w:tc>
                <w:tcPr>
                  <w:tcW w:w="3465" w:type="dxa"/>
                  <w:gridSpan w:val="3"/>
                  <w:tcBorders>
                    <w:left w:val="single" w:color="000000" w:sz="4" w:space="0"/>
                    <w:tl2br w:val="nil"/>
                    <w:tr2bl w:val="nil"/>
                  </w:tcBorders>
                  <w:vAlign w:val="center"/>
                </w:tcPr>
                <w:p w14:paraId="55B3B61E">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面源参数</w:t>
                  </w:r>
                </w:p>
              </w:tc>
            </w:tr>
            <w:tr w14:paraId="602D4D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65" w:type="dxa"/>
                  <w:vMerge w:val="continue"/>
                  <w:tcBorders>
                    <w:tl2br w:val="nil"/>
                    <w:tr2bl w:val="nil"/>
                  </w:tcBorders>
                  <w:vAlign w:val="center"/>
                </w:tcPr>
                <w:p w14:paraId="5A827832">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1609" w:type="dxa"/>
                  <w:vMerge w:val="continue"/>
                  <w:tcBorders>
                    <w:tl2br w:val="nil"/>
                    <w:tr2bl w:val="nil"/>
                  </w:tcBorders>
                  <w:vAlign w:val="center"/>
                </w:tcPr>
                <w:p w14:paraId="7729FEF0">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1386" w:type="dxa"/>
                  <w:vMerge w:val="continue"/>
                  <w:tcBorders>
                    <w:tl2br w:val="nil"/>
                    <w:tr2bl w:val="nil"/>
                  </w:tcBorders>
                  <w:vAlign w:val="center"/>
                </w:tcPr>
                <w:p w14:paraId="6F96F757">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871" w:type="dxa"/>
                  <w:vMerge w:val="continue"/>
                  <w:tcBorders>
                    <w:right w:val="single" w:color="000000" w:sz="4" w:space="0"/>
                    <w:tl2br w:val="nil"/>
                    <w:tr2bl w:val="nil"/>
                  </w:tcBorders>
                  <w:vAlign w:val="center"/>
                </w:tcPr>
                <w:p w14:paraId="546B5099">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925" w:type="dxa"/>
                  <w:vMerge w:val="continue"/>
                  <w:tcBorders>
                    <w:left w:val="single" w:color="000000" w:sz="4" w:space="0"/>
                    <w:right w:val="single" w:color="000000" w:sz="4" w:space="0"/>
                    <w:tl2br w:val="nil"/>
                    <w:tr2bl w:val="nil"/>
                  </w:tcBorders>
                  <w:vAlign w:val="center"/>
                </w:tcPr>
                <w:p w14:paraId="32162AFE">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857" w:type="dxa"/>
                  <w:tcBorders>
                    <w:right w:val="single" w:color="000000" w:sz="4" w:space="0"/>
                    <w:tl2br w:val="nil"/>
                    <w:tr2bl w:val="nil"/>
                  </w:tcBorders>
                  <w:vAlign w:val="center"/>
                </w:tcPr>
                <w:p w14:paraId="66B3F109">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名称</w:t>
                  </w:r>
                </w:p>
              </w:tc>
              <w:tc>
                <w:tcPr>
                  <w:tcW w:w="1004" w:type="dxa"/>
                  <w:tcBorders>
                    <w:left w:val="single" w:color="000000" w:sz="4" w:space="0"/>
                    <w:tl2br w:val="nil"/>
                    <w:tr2bl w:val="nil"/>
                  </w:tcBorders>
                  <w:vAlign w:val="center"/>
                </w:tcPr>
                <w:p w14:paraId="6B38278A">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效率%</w:t>
                  </w:r>
                </w:p>
              </w:tc>
              <w:tc>
                <w:tcPr>
                  <w:tcW w:w="1080" w:type="dxa"/>
                  <w:vMerge w:val="continue"/>
                  <w:tcBorders>
                    <w:right w:val="single" w:color="000000" w:sz="4" w:space="0"/>
                    <w:tl2br w:val="nil"/>
                    <w:tr2bl w:val="nil"/>
                  </w:tcBorders>
                  <w:vAlign w:val="center"/>
                </w:tcPr>
                <w:p w14:paraId="7DE48C50">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1165" w:type="dxa"/>
                  <w:tcBorders>
                    <w:left w:val="single" w:color="000000" w:sz="4" w:space="0"/>
                    <w:tl2br w:val="nil"/>
                    <w:tr2bl w:val="nil"/>
                  </w:tcBorders>
                  <w:vAlign w:val="center"/>
                </w:tcPr>
                <w:p w14:paraId="0934635E">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面源长度m</w:t>
                  </w:r>
                </w:p>
              </w:tc>
              <w:tc>
                <w:tcPr>
                  <w:tcW w:w="1218" w:type="dxa"/>
                  <w:tcBorders>
                    <w:tl2br w:val="nil"/>
                    <w:tr2bl w:val="nil"/>
                  </w:tcBorders>
                  <w:vAlign w:val="center"/>
                </w:tcPr>
                <w:p w14:paraId="099CAE4B">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面源宽度m</w:t>
                  </w:r>
                </w:p>
              </w:tc>
              <w:tc>
                <w:tcPr>
                  <w:tcW w:w="1082" w:type="dxa"/>
                  <w:tcBorders>
                    <w:tl2br w:val="nil"/>
                    <w:tr2bl w:val="nil"/>
                  </w:tcBorders>
                  <w:vAlign w:val="center"/>
                </w:tcPr>
                <w:p w14:paraId="28EAAC5B">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面源高度m</w:t>
                  </w:r>
                </w:p>
              </w:tc>
            </w:tr>
            <w:tr w14:paraId="3DB2B5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Merge w:val="restart"/>
                  <w:tcBorders>
                    <w:tl2br w:val="nil"/>
                    <w:tr2bl w:val="nil"/>
                  </w:tcBorders>
                  <w:vAlign w:val="center"/>
                </w:tcPr>
                <w:p w14:paraId="105FA0E2">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生产车间</w:t>
                  </w:r>
                </w:p>
              </w:tc>
              <w:tc>
                <w:tcPr>
                  <w:tcW w:w="1609" w:type="dxa"/>
                  <w:vMerge w:val="restart"/>
                  <w:tcBorders>
                    <w:tl2br w:val="nil"/>
                    <w:tr2bl w:val="nil"/>
                  </w:tcBorders>
                  <w:vAlign w:val="center"/>
                </w:tcPr>
                <w:p w14:paraId="27267CD0">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加弹、复合</w:t>
                  </w:r>
                </w:p>
              </w:tc>
              <w:tc>
                <w:tcPr>
                  <w:tcW w:w="1386" w:type="dxa"/>
                  <w:tcBorders>
                    <w:tl2br w:val="nil"/>
                    <w:tr2bl w:val="nil"/>
                  </w:tcBorders>
                  <w:vAlign w:val="center"/>
                </w:tcPr>
                <w:p w14:paraId="03790A43">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非甲烷总烃</w:t>
                  </w:r>
                </w:p>
              </w:tc>
              <w:tc>
                <w:tcPr>
                  <w:tcW w:w="871" w:type="dxa"/>
                  <w:tcBorders>
                    <w:tl2br w:val="nil"/>
                    <w:tr2bl w:val="nil"/>
                  </w:tcBorders>
                  <w:vAlign w:val="center"/>
                </w:tcPr>
                <w:p w14:paraId="1612FAE4">
                  <w:pPr>
                    <w:jc w:val="center"/>
                    <w:rPr>
                      <w:rFonts w:hint="default" w:ascii="Times New Roman" w:hAnsi="Times New Roman" w:eastAsia="宋体" w:cs="Times New Roman"/>
                      <w:snapToGrid w:val="0"/>
                      <w:sz w:val="18"/>
                      <w:szCs w:val="18"/>
                      <w:lang w:val="en-US" w:eastAsia="zh-CN"/>
                    </w:rPr>
                  </w:pPr>
                  <w:r>
                    <w:rPr>
                      <w:rFonts w:hint="eastAsia" w:ascii="Times New Roman" w:hAnsi="Times New Roman" w:eastAsia="宋体" w:cs="Times New Roman"/>
                      <w:snapToGrid w:val="0"/>
                      <w:sz w:val="18"/>
                      <w:szCs w:val="18"/>
                      <w:lang w:val="en-US" w:eastAsia="zh-CN"/>
                    </w:rPr>
                    <w:t>0.38</w:t>
                  </w:r>
                  <w:r>
                    <w:rPr>
                      <w:rFonts w:hint="eastAsia" w:cs="Times New Roman"/>
                      <w:snapToGrid w:val="0"/>
                      <w:sz w:val="18"/>
                      <w:szCs w:val="18"/>
                      <w:lang w:val="en-US" w:eastAsia="zh-CN"/>
                    </w:rPr>
                    <w:t>7</w:t>
                  </w:r>
                </w:p>
              </w:tc>
              <w:tc>
                <w:tcPr>
                  <w:tcW w:w="925" w:type="dxa"/>
                  <w:tcBorders>
                    <w:tl2br w:val="nil"/>
                    <w:tr2bl w:val="nil"/>
                  </w:tcBorders>
                  <w:vAlign w:val="center"/>
                </w:tcPr>
                <w:p w14:paraId="793C1C75">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0</w:t>
                  </w:r>
                </w:p>
              </w:tc>
              <w:tc>
                <w:tcPr>
                  <w:tcW w:w="857" w:type="dxa"/>
                  <w:tcBorders>
                    <w:tl2br w:val="nil"/>
                    <w:tr2bl w:val="nil"/>
                  </w:tcBorders>
                  <w:vAlign w:val="center"/>
                </w:tcPr>
                <w:p w14:paraId="4451C168">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无</w:t>
                  </w:r>
                </w:p>
              </w:tc>
              <w:tc>
                <w:tcPr>
                  <w:tcW w:w="1004" w:type="dxa"/>
                  <w:tcBorders>
                    <w:tl2br w:val="nil"/>
                    <w:tr2bl w:val="nil"/>
                  </w:tcBorders>
                  <w:vAlign w:val="center"/>
                </w:tcPr>
                <w:p w14:paraId="52785F34">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0</w:t>
                  </w:r>
                </w:p>
              </w:tc>
              <w:tc>
                <w:tcPr>
                  <w:tcW w:w="1080" w:type="dxa"/>
                  <w:tcBorders>
                    <w:tl2br w:val="nil"/>
                    <w:tr2bl w:val="nil"/>
                  </w:tcBorders>
                  <w:vAlign w:val="center"/>
                </w:tcPr>
                <w:p w14:paraId="0E8163FC">
                  <w:pPr>
                    <w:jc w:val="center"/>
                    <w:rPr>
                      <w:rFonts w:hint="default" w:ascii="Arial Black" w:hAnsi="Arial Black" w:eastAsia="等线" w:cs="Arial Black"/>
                      <w:sz w:val="18"/>
                      <w:szCs w:val="18"/>
                      <w:lang w:val="en-US"/>
                    </w:rPr>
                  </w:pPr>
                  <w:r>
                    <w:rPr>
                      <w:rFonts w:hint="eastAsia" w:ascii="Times New Roman" w:hAnsi="Times New Roman" w:eastAsia="宋体" w:cs="Times New Roman"/>
                      <w:snapToGrid w:val="0"/>
                      <w:sz w:val="18"/>
                      <w:szCs w:val="18"/>
                      <w:lang w:val="en-US" w:eastAsia="zh-CN"/>
                    </w:rPr>
                    <w:t>0.38</w:t>
                  </w:r>
                  <w:r>
                    <w:rPr>
                      <w:rFonts w:hint="eastAsia" w:cs="Times New Roman"/>
                      <w:snapToGrid w:val="0"/>
                      <w:sz w:val="18"/>
                      <w:szCs w:val="18"/>
                      <w:lang w:val="en-US" w:eastAsia="zh-CN"/>
                    </w:rPr>
                    <w:t>7</w:t>
                  </w:r>
                </w:p>
              </w:tc>
              <w:tc>
                <w:tcPr>
                  <w:tcW w:w="1165" w:type="dxa"/>
                  <w:tcBorders>
                    <w:tl2br w:val="nil"/>
                    <w:tr2bl w:val="nil"/>
                  </w:tcBorders>
                  <w:vAlign w:val="center"/>
                </w:tcPr>
                <w:p w14:paraId="43C8082D">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122</w:t>
                  </w:r>
                </w:p>
              </w:tc>
              <w:tc>
                <w:tcPr>
                  <w:tcW w:w="1218" w:type="dxa"/>
                  <w:tcBorders>
                    <w:tl2br w:val="nil"/>
                    <w:tr2bl w:val="nil"/>
                  </w:tcBorders>
                  <w:vAlign w:val="center"/>
                </w:tcPr>
                <w:p w14:paraId="63216036">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54</w:t>
                  </w:r>
                </w:p>
              </w:tc>
              <w:tc>
                <w:tcPr>
                  <w:tcW w:w="1082" w:type="dxa"/>
                  <w:tcBorders>
                    <w:tl2br w:val="nil"/>
                    <w:tr2bl w:val="nil"/>
                  </w:tcBorders>
                  <w:vAlign w:val="center"/>
                </w:tcPr>
                <w:p w14:paraId="16EA0C18">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30</w:t>
                  </w:r>
                </w:p>
              </w:tc>
            </w:tr>
            <w:tr w14:paraId="67798B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Merge w:val="continue"/>
                  <w:tcBorders>
                    <w:tl2br w:val="nil"/>
                    <w:tr2bl w:val="nil"/>
                  </w:tcBorders>
                  <w:vAlign w:val="center"/>
                </w:tcPr>
                <w:p w14:paraId="661B0C80">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1609" w:type="dxa"/>
                  <w:vMerge w:val="continue"/>
                  <w:tcBorders>
                    <w:tl2br w:val="nil"/>
                    <w:tr2bl w:val="nil"/>
                  </w:tcBorders>
                  <w:vAlign w:val="center"/>
                </w:tcPr>
                <w:p w14:paraId="3BD7FF83">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p>
              </w:tc>
              <w:tc>
                <w:tcPr>
                  <w:tcW w:w="1386" w:type="dxa"/>
                  <w:tcBorders>
                    <w:tl2br w:val="nil"/>
                    <w:tr2bl w:val="nil"/>
                  </w:tcBorders>
                  <w:vAlign w:val="center"/>
                </w:tcPr>
                <w:p w14:paraId="36D8BDED">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颗粒物</w:t>
                  </w:r>
                </w:p>
              </w:tc>
              <w:tc>
                <w:tcPr>
                  <w:tcW w:w="871" w:type="dxa"/>
                  <w:tcBorders>
                    <w:tl2br w:val="nil"/>
                    <w:tr2bl w:val="nil"/>
                  </w:tcBorders>
                  <w:vAlign w:val="center"/>
                </w:tcPr>
                <w:p w14:paraId="4A626318">
                  <w:pPr>
                    <w:jc w:val="center"/>
                    <w:rPr>
                      <w:rFonts w:hint="default" w:ascii="Times New Roman" w:hAnsi="Times New Roman" w:eastAsia="宋体" w:cs="Times New Roman"/>
                      <w:snapToGrid w:val="0"/>
                      <w:sz w:val="18"/>
                      <w:szCs w:val="18"/>
                      <w:lang w:val="en-US" w:eastAsia="zh-CN"/>
                    </w:rPr>
                  </w:pPr>
                  <w:r>
                    <w:rPr>
                      <w:rFonts w:hint="eastAsia" w:ascii="Times New Roman" w:hAnsi="Times New Roman" w:eastAsia="宋体" w:cs="Times New Roman"/>
                      <w:snapToGrid w:val="0"/>
                      <w:sz w:val="18"/>
                      <w:szCs w:val="18"/>
                      <w:lang w:val="en-US" w:eastAsia="zh-CN"/>
                    </w:rPr>
                    <w:t>0.380</w:t>
                  </w:r>
                </w:p>
              </w:tc>
              <w:tc>
                <w:tcPr>
                  <w:tcW w:w="925" w:type="dxa"/>
                  <w:tcBorders>
                    <w:tl2br w:val="nil"/>
                    <w:tr2bl w:val="nil"/>
                  </w:tcBorders>
                  <w:vAlign w:val="center"/>
                </w:tcPr>
                <w:p w14:paraId="23E31273">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0</w:t>
                  </w:r>
                </w:p>
              </w:tc>
              <w:tc>
                <w:tcPr>
                  <w:tcW w:w="857" w:type="dxa"/>
                  <w:tcBorders>
                    <w:tl2br w:val="nil"/>
                    <w:tr2bl w:val="nil"/>
                  </w:tcBorders>
                  <w:vAlign w:val="center"/>
                </w:tcPr>
                <w:p w14:paraId="2B597B16">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无</w:t>
                  </w:r>
                </w:p>
              </w:tc>
              <w:tc>
                <w:tcPr>
                  <w:tcW w:w="1004" w:type="dxa"/>
                  <w:tcBorders>
                    <w:tl2br w:val="nil"/>
                    <w:tr2bl w:val="nil"/>
                  </w:tcBorders>
                  <w:vAlign w:val="center"/>
                </w:tcPr>
                <w:p w14:paraId="32774E9A">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0</w:t>
                  </w:r>
                </w:p>
              </w:tc>
              <w:tc>
                <w:tcPr>
                  <w:tcW w:w="1080" w:type="dxa"/>
                  <w:tcBorders>
                    <w:tl2br w:val="nil"/>
                    <w:tr2bl w:val="nil"/>
                  </w:tcBorders>
                  <w:vAlign w:val="center"/>
                </w:tcPr>
                <w:p w14:paraId="1EDA821F">
                  <w:pPr>
                    <w:jc w:val="center"/>
                    <w:rPr>
                      <w:rFonts w:hint="default" w:ascii="Arial Black" w:hAnsi="Arial Black" w:eastAsia="等线" w:cs="Arial Black"/>
                      <w:sz w:val="18"/>
                      <w:szCs w:val="18"/>
                    </w:rPr>
                  </w:pPr>
                  <w:r>
                    <w:rPr>
                      <w:rFonts w:hint="eastAsia" w:ascii="Times New Roman" w:hAnsi="Times New Roman" w:eastAsia="宋体" w:cs="Times New Roman"/>
                      <w:snapToGrid w:val="0"/>
                      <w:sz w:val="18"/>
                      <w:szCs w:val="18"/>
                      <w:lang w:val="en-US" w:eastAsia="zh-CN"/>
                    </w:rPr>
                    <w:t>0.380</w:t>
                  </w:r>
                </w:p>
              </w:tc>
              <w:tc>
                <w:tcPr>
                  <w:tcW w:w="1165" w:type="dxa"/>
                  <w:tcBorders>
                    <w:tl2br w:val="nil"/>
                    <w:tr2bl w:val="nil"/>
                  </w:tcBorders>
                  <w:shd w:val="clear" w:color="auto" w:fill="auto"/>
                  <w:vAlign w:val="center"/>
                </w:tcPr>
                <w:p w14:paraId="22FC81F0">
                  <w:pPr>
                    <w:topLinePunct/>
                    <w:spacing w:before="48" w:beforeLines="0" w:after="48" w:afterLines="0"/>
                    <w:jc w:val="center"/>
                    <w:rPr>
                      <w:rFonts w:hint="default" w:ascii="Times New Roman" w:hAnsi="Times New Roman" w:eastAsia="宋体" w:cs="Times New Roman"/>
                      <w:snapToGrid w:val="0"/>
                      <w:kern w:val="2"/>
                      <w:sz w:val="18"/>
                      <w:szCs w:val="18"/>
                      <w:lang w:val="en-US" w:eastAsia="zh-CN" w:bidi="ar-SA"/>
                    </w:rPr>
                  </w:pPr>
                  <w:r>
                    <w:rPr>
                      <w:rFonts w:hint="eastAsia" w:ascii="Times New Roman" w:hAnsi="Times New Roman" w:eastAsia="宋体" w:cs="Times New Roman"/>
                      <w:snapToGrid w:val="0"/>
                      <w:sz w:val="18"/>
                      <w:szCs w:val="18"/>
                      <w:lang w:val="en-US" w:eastAsia="zh-CN" w:bidi="ar-SA"/>
                    </w:rPr>
                    <w:t>122</w:t>
                  </w:r>
                </w:p>
              </w:tc>
              <w:tc>
                <w:tcPr>
                  <w:tcW w:w="1218" w:type="dxa"/>
                  <w:tcBorders>
                    <w:tl2br w:val="nil"/>
                    <w:tr2bl w:val="nil"/>
                  </w:tcBorders>
                  <w:shd w:val="clear" w:color="auto" w:fill="auto"/>
                  <w:vAlign w:val="center"/>
                </w:tcPr>
                <w:p w14:paraId="2476F051">
                  <w:pPr>
                    <w:topLinePunct/>
                    <w:spacing w:before="48" w:beforeLines="0" w:after="48" w:afterLines="0"/>
                    <w:jc w:val="center"/>
                    <w:rPr>
                      <w:rFonts w:hint="default" w:ascii="Times New Roman" w:hAnsi="Times New Roman" w:eastAsia="宋体" w:cs="Times New Roman"/>
                      <w:snapToGrid w:val="0"/>
                      <w:kern w:val="2"/>
                      <w:sz w:val="18"/>
                      <w:szCs w:val="18"/>
                      <w:lang w:val="en-US" w:eastAsia="zh-CN" w:bidi="ar-SA"/>
                    </w:rPr>
                  </w:pPr>
                  <w:r>
                    <w:rPr>
                      <w:rFonts w:hint="eastAsia" w:ascii="Times New Roman" w:hAnsi="Times New Roman" w:eastAsia="宋体" w:cs="Times New Roman"/>
                      <w:snapToGrid w:val="0"/>
                      <w:sz w:val="18"/>
                      <w:szCs w:val="18"/>
                      <w:lang w:val="en-US" w:eastAsia="zh-CN" w:bidi="ar-SA"/>
                    </w:rPr>
                    <w:t>54</w:t>
                  </w:r>
                </w:p>
              </w:tc>
              <w:tc>
                <w:tcPr>
                  <w:tcW w:w="1082" w:type="dxa"/>
                  <w:tcBorders>
                    <w:tl2br w:val="nil"/>
                    <w:tr2bl w:val="nil"/>
                  </w:tcBorders>
                  <w:shd w:val="clear" w:color="auto" w:fill="auto"/>
                  <w:vAlign w:val="center"/>
                </w:tcPr>
                <w:p w14:paraId="40236DDC">
                  <w:pPr>
                    <w:topLinePunct/>
                    <w:spacing w:before="48" w:beforeLines="0" w:after="48" w:afterLines="0"/>
                    <w:jc w:val="center"/>
                    <w:rPr>
                      <w:rFonts w:hint="default" w:ascii="Times New Roman" w:hAnsi="Times New Roman" w:eastAsia="宋体" w:cs="Times New Roman"/>
                      <w:snapToGrid w:val="0"/>
                      <w:kern w:val="2"/>
                      <w:sz w:val="18"/>
                      <w:szCs w:val="18"/>
                      <w:lang w:val="en-US" w:eastAsia="zh-CN" w:bidi="ar-SA"/>
                    </w:rPr>
                  </w:pPr>
                  <w:r>
                    <w:rPr>
                      <w:rFonts w:hint="eastAsia" w:ascii="Times New Roman" w:hAnsi="Times New Roman" w:eastAsia="宋体" w:cs="Times New Roman"/>
                      <w:snapToGrid w:val="0"/>
                      <w:sz w:val="18"/>
                      <w:szCs w:val="18"/>
                      <w:lang w:val="en-US" w:eastAsia="zh-CN" w:bidi="ar-SA"/>
                    </w:rPr>
                    <w:t>30</w:t>
                  </w:r>
                </w:p>
              </w:tc>
            </w:tr>
          </w:tbl>
          <w:p w14:paraId="19FC445E">
            <w:pPr>
              <w:tabs>
                <w:tab w:val="left" w:pos="2492"/>
                <w:tab w:val="left" w:pos="2520"/>
              </w:tabs>
              <w:overflowPunct w:val="0"/>
              <w:autoSpaceDE w:val="0"/>
              <w:autoSpaceDN w:val="0"/>
              <w:adjustRightInd w:val="0"/>
              <w:snapToGrid w:val="0"/>
              <w:spacing w:line="360" w:lineRule="auto"/>
              <w:rPr>
                <w:color w:val="auto"/>
              </w:rPr>
            </w:pPr>
          </w:p>
        </w:tc>
      </w:tr>
    </w:tbl>
    <w:p w14:paraId="4D714FA5"/>
    <w:p w14:paraId="0389E2CA">
      <w:pPr>
        <w:sectPr>
          <w:pgSz w:w="16840" w:h="11907" w:orient="landscape"/>
          <w:pgMar w:top="1531" w:right="1701" w:bottom="1531" w:left="2127" w:header="851" w:footer="851" w:gutter="0"/>
          <w:pgBorders>
            <w:top w:val="none" w:sz="0" w:space="0"/>
            <w:left w:val="none" w:sz="0" w:space="0"/>
            <w:bottom w:val="none" w:sz="0" w:space="0"/>
            <w:right w:val="none" w:sz="0" w:space="0"/>
          </w:pgBorders>
          <w:cols w:space="720" w:num="1"/>
          <w:docGrid w:linePitch="312" w:charSpace="0"/>
        </w:sectPr>
      </w:pPr>
    </w:p>
    <w:p w14:paraId="76327702"/>
    <w:tbl>
      <w:tblPr>
        <w:tblStyle w:val="26"/>
        <w:tblpPr w:leftFromText="180" w:rightFromText="180" w:vertAnchor="text" w:tblpXSpec="center" w:tblpY="1"/>
        <w:tblOverlap w:val="never"/>
        <w:tblW w:w="88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49"/>
        <w:gridCol w:w="8274"/>
      </w:tblGrid>
      <w:tr w14:paraId="10EA8F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93" w:hRule="atLeast"/>
          <w:jc w:val="center"/>
        </w:trPr>
        <w:tc>
          <w:tcPr>
            <w:tcW w:w="549" w:type="dxa"/>
            <w:tcBorders>
              <w:bottom w:val="single" w:color="auto" w:sz="8" w:space="0"/>
            </w:tcBorders>
            <w:tcMar>
              <w:left w:w="28" w:type="dxa"/>
              <w:right w:w="28" w:type="dxa"/>
            </w:tcMar>
            <w:vAlign w:val="center"/>
          </w:tcPr>
          <w:p w14:paraId="7BBA1146">
            <w:pPr>
              <w:adjustRightInd w:val="0"/>
              <w:snapToGrid w:val="0"/>
              <w:jc w:val="center"/>
              <w:rPr>
                <w:color w:val="auto"/>
                <w:szCs w:val="21"/>
              </w:rPr>
            </w:pPr>
            <w:r>
              <w:rPr>
                <w:rFonts w:hint="eastAsia"/>
                <w:color w:val="auto"/>
                <w:szCs w:val="21"/>
              </w:rPr>
              <w:t>营期环境影响和保护措施</w:t>
            </w:r>
          </w:p>
        </w:tc>
        <w:tc>
          <w:tcPr>
            <w:tcW w:w="8274" w:type="dxa"/>
            <w:tcBorders>
              <w:bottom w:val="single" w:color="auto" w:sz="8" w:space="0"/>
            </w:tcBorders>
            <w:vAlign w:val="top"/>
          </w:tcPr>
          <w:p w14:paraId="56A5B719">
            <w:pPr>
              <w:adjustRightInd w:val="0"/>
              <w:snapToGrid w:val="0"/>
              <w:spacing w:before="120" w:beforeLines="50" w:line="360" w:lineRule="auto"/>
              <w:rPr>
                <w:rFonts w:ascii="Times New Roman" w:hAnsi="Times New Roman" w:eastAsia="宋体" w:cs="Times New Roman"/>
                <w:b/>
                <w:sz w:val="21"/>
                <w:szCs w:val="21"/>
              </w:rPr>
            </w:pPr>
            <w:r>
              <w:rPr>
                <w:rFonts w:hint="eastAsia" w:cs="Times New Roman"/>
                <w:b/>
                <w:sz w:val="21"/>
                <w:szCs w:val="21"/>
                <w:lang w:val="en-US" w:eastAsia="zh-CN"/>
              </w:rPr>
              <w:t>1.2</w:t>
            </w:r>
            <w:r>
              <w:rPr>
                <w:rFonts w:ascii="Times New Roman" w:hAnsi="Times New Roman" w:eastAsia="宋体" w:cs="Times New Roman"/>
                <w:b/>
                <w:sz w:val="21"/>
                <w:szCs w:val="21"/>
              </w:rPr>
              <w:t>防治措施</w:t>
            </w:r>
          </w:p>
          <w:p w14:paraId="51100D7D">
            <w:pPr>
              <w:adjustRightInd w:val="0"/>
              <w:snapToGrid w:val="0"/>
              <w:spacing w:line="360" w:lineRule="auto"/>
              <w:ind w:firstLine="420" w:firstLineChars="200"/>
              <w:rPr>
                <w:rFonts w:ascii="Times New Roman" w:hAnsi="Times New Roman" w:eastAsia="宋体" w:cs="Times New Roman"/>
                <w:sz w:val="21"/>
                <w:szCs w:val="21"/>
              </w:rPr>
            </w:pPr>
            <w:r>
              <w:rPr>
                <w:rFonts w:ascii="Times New Roman" w:hAnsi="Times New Roman" w:eastAsia="宋体" w:cs="Times New Roman"/>
                <w:sz w:val="21"/>
                <w:szCs w:val="21"/>
              </w:rPr>
              <w:t>本项目产生的废气污染因子为非甲烷总烃</w:t>
            </w:r>
            <w:r>
              <w:rPr>
                <w:rFonts w:hint="eastAsia" w:cs="Times New Roman"/>
                <w:sz w:val="21"/>
                <w:szCs w:val="21"/>
                <w:lang w:val="en-US" w:eastAsia="zh-CN"/>
              </w:rPr>
              <w:t>颗粒物</w:t>
            </w:r>
            <w:r>
              <w:rPr>
                <w:rFonts w:ascii="Times New Roman" w:hAnsi="Times New Roman" w:eastAsia="宋体" w:cs="Times New Roman"/>
                <w:sz w:val="21"/>
                <w:szCs w:val="21"/>
              </w:rPr>
              <w:t>，废气处理流程见下图。</w:t>
            </w:r>
          </w:p>
          <w:p w14:paraId="332E286D">
            <w:pPr>
              <w:adjustRightInd w:val="0"/>
              <w:snapToGrid w:val="0"/>
              <w:spacing w:line="360" w:lineRule="auto"/>
              <w:rPr>
                <w:rFonts w:ascii="Times New Roman" w:hAnsi="Times New Roman" w:eastAsia="宋体" w:cs="Times New Roman"/>
                <w:bCs/>
                <w:sz w:val="21"/>
                <w:szCs w:val="21"/>
              </w:rPr>
            </w:pPr>
            <w:r>
              <w:rPr>
                <w:rFonts w:ascii="Times New Roman" w:hAnsi="Times New Roman" w:eastAsia="宋体" w:cs="Times New Roman"/>
                <w:bCs/>
                <w:spacing w:val="-10"/>
                <w:sz w:val="21"/>
                <w:szCs w:val="21"/>
              </w:rPr>
              <w:object>
                <v:shape id="_x0000_i1027" o:spt="75" type="#_x0000_t75" style="height:193.45pt;width:396.9pt;" o:ole="t" filled="f" o:preferrelative="t" stroked="f" coordsize="21600,21600">
                  <v:path/>
                  <v:fill on="f" focussize="0,0"/>
                  <v:stroke on="f"/>
                  <v:imagedata r:id="rId14" croptop="11951f" cropbottom="8413f" o:title=""/>
                  <o:lock v:ext="edit" aspectratio="f"/>
                  <w10:wrap type="none"/>
                  <w10:anchorlock/>
                </v:shape>
                <o:OLEObject Type="Embed" ProgID="Visio.Drawing.15" ShapeID="_x0000_i1027" DrawAspect="Content" ObjectID="_1468075727" r:id="rId13">
                  <o:LockedField>false</o:LockedField>
                </o:OLEObject>
              </w:object>
            </w:r>
          </w:p>
          <w:p w14:paraId="740C8D95">
            <w:pPr>
              <w:adjustRightInd w:val="0"/>
              <w:snapToGrid w:val="0"/>
              <w:spacing w:line="360" w:lineRule="auto"/>
              <w:jc w:val="center"/>
              <w:rPr>
                <w:rFonts w:ascii="Times New Roman" w:hAnsi="Times New Roman" w:eastAsia="宋体" w:cs="Times New Roman"/>
                <w:b/>
                <w:bCs/>
                <w:sz w:val="21"/>
                <w:szCs w:val="21"/>
              </w:rPr>
            </w:pPr>
            <w:r>
              <w:rPr>
                <w:rFonts w:ascii="Times New Roman" w:hAnsi="Times New Roman" w:eastAsia="宋体" w:cs="Times New Roman"/>
                <w:b/>
                <w:bCs/>
                <w:sz w:val="21"/>
                <w:szCs w:val="21"/>
              </w:rPr>
              <w:t>图4-1</w:t>
            </w:r>
            <w:r>
              <w:rPr>
                <w:rFonts w:hint="eastAsia" w:ascii="Times New Roman" w:hAnsi="Times New Roman" w:eastAsia="宋体" w:cs="Times New Roman"/>
                <w:b/>
                <w:bCs/>
                <w:sz w:val="21"/>
                <w:szCs w:val="21"/>
                <w:lang w:val="en-US" w:eastAsia="zh-CN"/>
              </w:rPr>
              <w:t>本项目</w:t>
            </w:r>
            <w:r>
              <w:rPr>
                <w:rFonts w:ascii="Times New Roman" w:hAnsi="Times New Roman" w:eastAsia="宋体" w:cs="Times New Roman"/>
                <w:b/>
                <w:bCs/>
                <w:sz w:val="21"/>
                <w:szCs w:val="21"/>
              </w:rPr>
              <w:t>废气处理流程图</w:t>
            </w:r>
          </w:p>
          <w:p w14:paraId="5CBE3C10">
            <w:pPr>
              <w:adjustRightInd w:val="0"/>
              <w:snapToGrid w:val="0"/>
              <w:spacing w:line="360" w:lineRule="auto"/>
              <w:ind w:firstLine="420" w:firstLineChars="200"/>
              <w:rPr>
                <w:rFonts w:ascii="Times New Roman" w:hAnsi="Times New Roman" w:eastAsia="宋体" w:cs="Times New Roman"/>
                <w:sz w:val="21"/>
                <w:szCs w:val="21"/>
              </w:rPr>
            </w:pPr>
            <w:r>
              <w:rPr>
                <w:rFonts w:ascii="Times New Roman" w:hAnsi="Times New Roman" w:eastAsia="宋体" w:cs="Times New Roman"/>
                <w:sz w:val="21"/>
                <w:szCs w:val="21"/>
              </w:rPr>
              <w:t>本项目废气治理措施为二级活性炭设备。</w:t>
            </w:r>
          </w:p>
          <w:p w14:paraId="0CF2852D">
            <w:pPr>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sz w:val="21"/>
                <w:szCs w:val="21"/>
              </w:rPr>
              <w:t>关于废气处理设施的相关分析如下：</w:t>
            </w:r>
          </w:p>
          <w:p w14:paraId="3A6100C1">
            <w:pPr>
              <w:overflowPunct w:val="0"/>
              <w:adjustRightInd w:val="0"/>
              <w:snapToGrid w:val="0"/>
              <w:spacing w:before="24" w:beforeLines="10" w:after="24" w:afterLines="10" w:line="360" w:lineRule="auto"/>
              <w:ind w:firstLine="420" w:firstLineChars="200"/>
              <w:jc w:val="left"/>
              <w:rPr>
                <w:rFonts w:ascii="Times New Roman" w:hAnsi="Times New Roman" w:eastAsia="宋体" w:cs="Times New Roman"/>
                <w:bCs/>
                <w:sz w:val="21"/>
                <w:szCs w:val="21"/>
              </w:rPr>
            </w:pPr>
            <w:r>
              <w:rPr>
                <w:rFonts w:ascii="Times New Roman" w:hAnsi="Times New Roman" w:eastAsia="宋体" w:cs="Times New Roman"/>
                <w:bCs/>
                <w:sz w:val="21"/>
                <w:szCs w:val="21"/>
              </w:rPr>
              <w:t>A、工作原理：</w:t>
            </w:r>
          </w:p>
          <w:p w14:paraId="1F90C3A6">
            <w:pPr>
              <w:overflowPunct w:val="0"/>
              <w:adjustRightInd w:val="0"/>
              <w:snapToGrid w:val="0"/>
              <w:spacing w:before="24" w:beforeLines="10" w:after="24" w:afterLines="10" w:line="360" w:lineRule="auto"/>
              <w:ind w:firstLine="422" w:firstLineChars="200"/>
              <w:jc w:val="left"/>
              <w:rPr>
                <w:rFonts w:hint="default" w:ascii="Times New Roman" w:hAnsi="Times New Roman" w:eastAsia="宋体" w:cs="Times New Roman"/>
                <w:b/>
                <w:sz w:val="21"/>
                <w:szCs w:val="21"/>
                <w:lang w:val="en-US" w:eastAsia="zh-CN"/>
              </w:rPr>
            </w:pPr>
            <w:r>
              <w:rPr>
                <w:rFonts w:hint="eastAsia" w:cs="Times New Roman"/>
                <w:b/>
                <w:sz w:val="21"/>
                <w:szCs w:val="21"/>
                <w:lang w:val="en-US" w:eastAsia="zh-CN"/>
              </w:rPr>
              <w:t>静电除油吸附工作原理：</w:t>
            </w:r>
          </w:p>
          <w:p w14:paraId="43BEDD9C">
            <w:pPr>
              <w:overflowPunct w:val="0"/>
              <w:adjustRightInd w:val="0"/>
              <w:snapToGrid w:val="0"/>
              <w:spacing w:before="24" w:beforeLines="10" w:after="24" w:afterLines="10" w:line="360" w:lineRule="auto"/>
              <w:jc w:val="center"/>
              <w:rPr>
                <w:rFonts w:ascii="Times New Roman" w:hAnsi="Times New Roman" w:eastAsia="宋体" w:cs="Times New Roman"/>
                <w:b/>
                <w:sz w:val="21"/>
                <w:szCs w:val="21"/>
              </w:rPr>
            </w:pPr>
            <w:r>
              <w:rPr>
                <w:rFonts w:ascii="Times New Roman" w:hAnsi="Times New Roman" w:eastAsia="宋体" w:cs="Times New Roman"/>
                <w:b/>
                <w:sz w:val="21"/>
                <w:szCs w:val="21"/>
              </w:rPr>
              <w:drawing>
                <wp:inline distT="0" distB="0" distL="114300" distR="114300">
                  <wp:extent cx="3787775" cy="1385570"/>
                  <wp:effectExtent l="0" t="0" r="3175" b="508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5"/>
                          <a:stretch>
                            <a:fillRect/>
                          </a:stretch>
                        </pic:blipFill>
                        <pic:spPr>
                          <a:xfrm>
                            <a:off x="0" y="0"/>
                            <a:ext cx="3787775" cy="1385570"/>
                          </a:xfrm>
                          <a:prstGeom prst="rect">
                            <a:avLst/>
                          </a:prstGeom>
                          <a:noFill/>
                          <a:ln>
                            <a:noFill/>
                          </a:ln>
                        </pic:spPr>
                      </pic:pic>
                    </a:graphicData>
                  </a:graphic>
                </wp:inline>
              </w:drawing>
            </w:r>
          </w:p>
          <w:p w14:paraId="7A695699">
            <w:pPr>
              <w:overflowPunct w:val="0"/>
              <w:adjustRightInd w:val="0"/>
              <w:snapToGrid w:val="0"/>
              <w:spacing w:before="24" w:beforeLines="10" w:after="24" w:afterLines="10" w:line="360" w:lineRule="auto"/>
              <w:jc w:val="center"/>
              <w:rPr>
                <w:rFonts w:ascii="Times New Roman" w:hAnsi="Times New Roman" w:eastAsia="宋体" w:cs="Times New Roman"/>
                <w:b/>
                <w:sz w:val="21"/>
                <w:szCs w:val="21"/>
              </w:rPr>
            </w:pPr>
            <w:r>
              <w:rPr>
                <w:rFonts w:ascii="Times New Roman" w:hAnsi="Times New Roman" w:eastAsia="宋体" w:cs="Times New Roman"/>
                <w:b/>
                <w:sz w:val="21"/>
                <w:szCs w:val="21"/>
              </w:rPr>
              <w:t>图4-2活性炭吸附示意图</w:t>
            </w:r>
          </w:p>
          <w:p w14:paraId="563E4E2A">
            <w:pPr>
              <w:autoSpaceDE w:val="0"/>
              <w:autoSpaceDN w:val="0"/>
              <w:adjustRightInd w:val="0"/>
              <w:snapToGrid w:val="0"/>
              <w:spacing w:before="24" w:beforeLines="10" w:after="24" w:afterLines="10" w:line="360" w:lineRule="auto"/>
              <w:ind w:firstLine="420" w:firstLineChars="200"/>
              <w:jc w:val="left"/>
              <w:rPr>
                <w:rFonts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静电除油是一种能以极高的效率吸附油污的技术，其运用电场或电压把含油液体或气体中的油分子分离出来，从而实现油气分离、油水分离、油气水分离、油污分离。静电除油通过高压电场可将物体表面的带电微粒排除，使其得到相应的去污效果</w:t>
            </w:r>
            <w:r>
              <w:rPr>
                <w:rFonts w:hint="eastAsia" w:cs="Times New Roman"/>
                <w:bCs/>
                <w:sz w:val="21"/>
                <w:szCs w:val="21"/>
                <w:lang w:val="en-US" w:eastAsia="zh-CN"/>
              </w:rPr>
              <w:t>。</w:t>
            </w:r>
          </w:p>
          <w:p w14:paraId="40CD0D71">
            <w:pPr>
              <w:overflowPunct w:val="0"/>
              <w:adjustRightInd w:val="0"/>
              <w:snapToGrid w:val="0"/>
              <w:spacing w:before="24" w:beforeLines="10" w:after="24" w:afterLines="10" w:line="360" w:lineRule="auto"/>
              <w:ind w:firstLine="422" w:firstLineChars="200"/>
              <w:jc w:val="left"/>
              <w:rPr>
                <w:rFonts w:ascii="Times New Roman" w:hAnsi="Times New Roman" w:eastAsia="宋体" w:cs="Times New Roman"/>
                <w:b/>
                <w:sz w:val="21"/>
                <w:szCs w:val="21"/>
              </w:rPr>
            </w:pPr>
            <w:r>
              <w:rPr>
                <w:rFonts w:ascii="Times New Roman" w:hAnsi="Times New Roman" w:eastAsia="宋体" w:cs="Times New Roman"/>
                <w:b/>
                <w:sz w:val="21"/>
                <w:szCs w:val="21"/>
              </w:rPr>
              <w:t>活性炭吸附工作原理：</w:t>
            </w:r>
          </w:p>
          <w:p w14:paraId="37EA9AB5">
            <w:pPr>
              <w:spacing w:before="24" w:beforeLines="10" w:after="24" w:afterLines="10" w:line="360" w:lineRule="auto"/>
              <w:ind w:firstLine="420"/>
              <w:jc w:val="center"/>
              <w:rPr>
                <w:rFonts w:ascii="Times New Roman" w:hAnsi="Times New Roman" w:eastAsia="宋体" w:cs="Times New Roman"/>
                <w:sz w:val="21"/>
                <w:szCs w:val="21"/>
              </w:rPr>
            </w:pPr>
            <w:r>
              <w:rPr>
                <w:rFonts w:ascii="Times New Roman" w:hAnsi="Times New Roman" w:eastAsia="宋体" w:cs="Times New Roman"/>
                <w:sz w:val="21"/>
                <w:szCs w:val="21"/>
              </w:rPr>
              <w:drawing>
                <wp:inline distT="0" distB="0" distL="114300" distR="114300">
                  <wp:extent cx="3200400" cy="1647825"/>
                  <wp:effectExtent l="0" t="0" r="0" b="952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6"/>
                          <a:stretch>
                            <a:fillRect/>
                          </a:stretch>
                        </pic:blipFill>
                        <pic:spPr>
                          <a:xfrm>
                            <a:off x="0" y="0"/>
                            <a:ext cx="3200400" cy="1647825"/>
                          </a:xfrm>
                          <a:prstGeom prst="rect">
                            <a:avLst/>
                          </a:prstGeom>
                          <a:noFill/>
                          <a:ln>
                            <a:noFill/>
                          </a:ln>
                        </pic:spPr>
                      </pic:pic>
                    </a:graphicData>
                  </a:graphic>
                </wp:inline>
              </w:drawing>
            </w:r>
          </w:p>
          <w:p w14:paraId="38DB8DEC">
            <w:pPr>
              <w:widowControl/>
              <w:spacing w:before="48" w:beforeLines="20" w:after="48" w:afterLines="20"/>
              <w:contextualSpacing/>
              <w:jc w:val="center"/>
              <w:rPr>
                <w:rFonts w:ascii="Times New Roman" w:hAnsi="Times New Roman" w:eastAsia="宋体" w:cs="Times New Roman"/>
                <w:b/>
                <w:kern w:val="28"/>
                <w:sz w:val="21"/>
                <w:szCs w:val="21"/>
              </w:rPr>
            </w:pPr>
            <w:r>
              <w:rPr>
                <w:rFonts w:ascii="Times New Roman" w:hAnsi="Times New Roman" w:eastAsia="宋体" w:cs="Times New Roman"/>
                <w:b/>
                <w:kern w:val="28"/>
                <w:sz w:val="21"/>
                <w:szCs w:val="21"/>
              </w:rPr>
              <w:t>图4-</w:t>
            </w:r>
            <w:r>
              <w:rPr>
                <w:rFonts w:hint="eastAsia" w:cs="Times New Roman"/>
                <w:b/>
                <w:kern w:val="28"/>
                <w:sz w:val="21"/>
                <w:szCs w:val="21"/>
                <w:lang w:val="en-US" w:eastAsia="zh-CN"/>
              </w:rPr>
              <w:t>3</w:t>
            </w:r>
            <w:r>
              <w:rPr>
                <w:rFonts w:ascii="Times New Roman" w:hAnsi="Times New Roman" w:eastAsia="宋体" w:cs="Times New Roman"/>
                <w:b/>
                <w:kern w:val="28"/>
                <w:sz w:val="21"/>
                <w:szCs w:val="21"/>
              </w:rPr>
              <w:t>活性炭吸附示意图</w:t>
            </w:r>
          </w:p>
          <w:p w14:paraId="620F21F4">
            <w:pPr>
              <w:autoSpaceDE w:val="0"/>
              <w:autoSpaceDN w:val="0"/>
              <w:adjustRightInd w:val="0"/>
              <w:snapToGrid w:val="0"/>
              <w:spacing w:before="24" w:beforeLines="10" w:after="24" w:afterLines="10" w:line="360" w:lineRule="auto"/>
              <w:ind w:firstLine="420" w:firstLineChars="200"/>
              <w:jc w:val="left"/>
              <w:rPr>
                <w:rFonts w:ascii="Times New Roman" w:hAnsi="Times New Roman" w:eastAsia="宋体" w:cs="Times New Roman"/>
                <w:bCs/>
                <w:sz w:val="21"/>
                <w:szCs w:val="21"/>
              </w:rPr>
            </w:pPr>
            <w:r>
              <w:rPr>
                <w:rFonts w:ascii="Times New Roman" w:hAnsi="Times New Roman" w:eastAsia="宋体" w:cs="Times New Roman"/>
                <w:bCs/>
                <w:sz w:val="21"/>
                <w:szCs w:val="21"/>
              </w:rPr>
              <w:t>活性炭主要是以含碳量较高的物质制成，如木材、煤、果壳、骨、石油残渣等，而以椰子壳为最常用的原料，在同等条件下，椰壳活性炭的活性质量及其他特性是最好的，因其有最大的比表面积。因此，建议本项目选用椰壳活性炭，活性炭吸附装置可设计为固定床式。随着活性炭的吸附过程，阻力随之缓慢增加，当活性炭吸附饱和时，阻力达到最大值，此后的净化效率基本失去。为此，需在活性炭吸附装置进出风口处设置差压测量系统，对该装置进出口的废气压力差进行检测并显示，及时更换活性炭。</w:t>
            </w:r>
          </w:p>
          <w:p w14:paraId="4067E730">
            <w:pPr>
              <w:autoSpaceDE w:val="0"/>
              <w:autoSpaceDN w:val="0"/>
              <w:adjustRightInd w:val="0"/>
              <w:snapToGrid w:val="0"/>
              <w:spacing w:before="24" w:beforeLines="10" w:after="24" w:afterLines="10" w:line="360" w:lineRule="auto"/>
              <w:ind w:firstLine="420" w:firstLineChars="200"/>
              <w:jc w:val="left"/>
              <w:rPr>
                <w:rFonts w:ascii="Times New Roman" w:hAnsi="Times New Roman" w:eastAsia="宋体" w:cs="Times New Roman"/>
                <w:bCs/>
                <w:sz w:val="21"/>
                <w:szCs w:val="21"/>
              </w:rPr>
            </w:pPr>
            <w:r>
              <w:rPr>
                <w:rFonts w:ascii="Times New Roman" w:hAnsi="Times New Roman" w:eastAsia="宋体" w:cs="Times New Roman"/>
                <w:bCs/>
                <w:sz w:val="21"/>
                <w:szCs w:val="21"/>
              </w:rPr>
              <w:t>活性炭吸附装置应配套设置差压测量系统，并保证与吸附装置同步运行，以随时监控活性炭吸附装置吸附效果。当发生活性炭处理效率降低或饱和的情况时，必须立即停止生产，及时更换活性炭，确保处理装置正常运行。</w:t>
            </w:r>
          </w:p>
          <w:p w14:paraId="60EE8821">
            <w:pPr>
              <w:autoSpaceDE w:val="0"/>
              <w:autoSpaceDN w:val="0"/>
              <w:adjustRightInd w:val="0"/>
              <w:snapToGrid w:val="0"/>
              <w:spacing w:before="24" w:beforeLines="10" w:after="24" w:afterLines="10" w:line="360" w:lineRule="auto"/>
              <w:ind w:firstLine="420" w:firstLineChars="200"/>
              <w:jc w:val="left"/>
              <w:rPr>
                <w:rFonts w:ascii="Times New Roman" w:hAnsi="Times New Roman" w:eastAsia="宋体" w:cs="Times New Roman"/>
                <w:bCs/>
                <w:sz w:val="21"/>
                <w:szCs w:val="21"/>
              </w:rPr>
            </w:pPr>
            <w:r>
              <w:rPr>
                <w:rFonts w:ascii="Times New Roman" w:hAnsi="Times New Roman" w:eastAsia="宋体" w:cs="Times New Roman"/>
                <w:bCs/>
                <w:sz w:val="21"/>
                <w:szCs w:val="21"/>
              </w:rPr>
              <w:t>活性炭及时更换以保证吸附效率，并且按照《吸附法工业有机废气治理工程技术规范》（HJ2026-2013）各项要求进行设计施工。</w:t>
            </w:r>
          </w:p>
          <w:p w14:paraId="45C6BF3F">
            <w:pPr>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sz w:val="21"/>
                <w:szCs w:val="21"/>
              </w:rPr>
              <w:t>根据江苏省生态环境厅关于将排污单位活性炭使用更换纳入排污许可管理的通知，活性炭用量计算公式如下：</w:t>
            </w:r>
          </w:p>
          <w:p w14:paraId="4C65CDCB">
            <w:pPr>
              <w:adjustRightInd w:val="0"/>
              <w:snapToGrid w:val="0"/>
              <w:spacing w:line="360" w:lineRule="auto"/>
              <w:ind w:firstLine="420" w:firstLineChars="200"/>
              <w:jc w:val="center"/>
              <w:rPr>
                <w:rFonts w:ascii="Times New Roman" w:hAnsi="Times New Roman" w:eastAsia="宋体" w:cs="Times New Roman"/>
                <w:bCs/>
                <w:sz w:val="21"/>
                <w:szCs w:val="21"/>
              </w:rPr>
            </w:pPr>
            <w:r>
              <w:rPr>
                <w:rFonts w:ascii="Times New Roman" w:hAnsi="Times New Roman" w:eastAsia="宋体" w:cs="Times New Roman"/>
                <w:bCs/>
                <w:sz w:val="21"/>
                <w:szCs w:val="21"/>
              </w:rPr>
              <w:t>T=m×s÷（c×10</w:t>
            </w:r>
            <w:r>
              <w:rPr>
                <w:rFonts w:ascii="Times New Roman" w:hAnsi="Times New Roman" w:eastAsia="宋体" w:cs="Times New Roman"/>
                <w:bCs/>
                <w:sz w:val="21"/>
                <w:szCs w:val="21"/>
                <w:vertAlign w:val="superscript"/>
              </w:rPr>
              <w:t>-6</w:t>
            </w:r>
            <w:r>
              <w:rPr>
                <w:rFonts w:ascii="Times New Roman" w:hAnsi="Times New Roman" w:eastAsia="宋体" w:cs="Times New Roman"/>
                <w:bCs/>
                <w:sz w:val="21"/>
                <w:szCs w:val="21"/>
              </w:rPr>
              <w:t>×Q×t）</w:t>
            </w:r>
          </w:p>
          <w:p w14:paraId="4FB83785">
            <w:pPr>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sz w:val="21"/>
                <w:szCs w:val="21"/>
              </w:rPr>
              <w:t>式中：</w:t>
            </w:r>
          </w:p>
          <w:p w14:paraId="1C5FD89C">
            <w:pPr>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sz w:val="21"/>
                <w:szCs w:val="21"/>
              </w:rPr>
              <w:t>T—更换周期，天；</w:t>
            </w:r>
          </w:p>
          <w:p w14:paraId="5E89CFF6">
            <w:pPr>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sz w:val="21"/>
                <w:szCs w:val="21"/>
              </w:rPr>
              <w:t>m—活性炭的用量，kg；</w:t>
            </w:r>
          </w:p>
          <w:p w14:paraId="2F9D7A94">
            <w:pPr>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sz w:val="21"/>
                <w:szCs w:val="21"/>
              </w:rPr>
              <w:t>s—动态吸附量，%；（一般取值10%）</w:t>
            </w:r>
          </w:p>
          <w:p w14:paraId="4681A3A2">
            <w:pPr>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sz w:val="21"/>
                <w:szCs w:val="21"/>
              </w:rPr>
              <w:t>c—活性炭削减的VOCs浓度，mg/m</w:t>
            </w:r>
            <w:r>
              <w:rPr>
                <w:rFonts w:ascii="Times New Roman" w:hAnsi="Times New Roman" w:eastAsia="宋体" w:cs="Times New Roman"/>
                <w:bCs/>
                <w:sz w:val="21"/>
                <w:szCs w:val="21"/>
                <w:vertAlign w:val="superscript"/>
              </w:rPr>
              <w:t>3</w:t>
            </w:r>
            <w:r>
              <w:rPr>
                <w:rFonts w:ascii="Times New Roman" w:hAnsi="Times New Roman" w:eastAsia="宋体" w:cs="Times New Roman"/>
                <w:bCs/>
                <w:sz w:val="21"/>
                <w:szCs w:val="21"/>
              </w:rPr>
              <w:t>；</w:t>
            </w:r>
          </w:p>
          <w:p w14:paraId="67F24348">
            <w:pPr>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sz w:val="21"/>
                <w:szCs w:val="21"/>
              </w:rPr>
              <w:t>Q—风量，单位m</w:t>
            </w:r>
            <w:r>
              <w:rPr>
                <w:rFonts w:ascii="Times New Roman" w:hAnsi="Times New Roman" w:eastAsia="宋体" w:cs="Times New Roman"/>
                <w:bCs/>
                <w:sz w:val="21"/>
                <w:szCs w:val="21"/>
                <w:vertAlign w:val="superscript"/>
              </w:rPr>
              <w:t>3</w:t>
            </w:r>
            <w:r>
              <w:rPr>
                <w:rFonts w:ascii="Times New Roman" w:hAnsi="Times New Roman" w:eastAsia="宋体" w:cs="Times New Roman"/>
                <w:bCs/>
                <w:sz w:val="21"/>
                <w:szCs w:val="21"/>
              </w:rPr>
              <w:t>/h；</w:t>
            </w:r>
          </w:p>
          <w:p w14:paraId="24E27919">
            <w:pPr>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sz w:val="21"/>
                <w:szCs w:val="21"/>
              </w:rPr>
              <w:t>t—运行时间，单位h/d。</w:t>
            </w:r>
          </w:p>
          <w:p w14:paraId="64E8CA43">
            <w:pPr>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sz w:val="21"/>
                <w:szCs w:val="21"/>
              </w:rPr>
              <w:t>更换时间为</w:t>
            </w:r>
            <w:r>
              <w:rPr>
                <w:rFonts w:hint="eastAsia" w:cs="Times New Roman"/>
                <w:bCs/>
                <w:color w:val="auto"/>
                <w:sz w:val="21"/>
                <w:szCs w:val="21"/>
                <w:lang w:val="en-US" w:eastAsia="zh-CN"/>
              </w:rPr>
              <w:t>90</w:t>
            </w:r>
            <w:r>
              <w:rPr>
                <w:rFonts w:ascii="Times New Roman" w:hAnsi="Times New Roman" w:eastAsia="宋体" w:cs="Times New Roman"/>
                <w:bCs/>
                <w:color w:val="auto"/>
                <w:sz w:val="21"/>
                <w:szCs w:val="21"/>
              </w:rPr>
              <w:t>天</w:t>
            </w:r>
            <w:r>
              <w:rPr>
                <w:rFonts w:ascii="Times New Roman" w:hAnsi="Times New Roman" w:eastAsia="宋体" w:cs="Times New Roman"/>
                <w:bCs/>
                <w:sz w:val="21"/>
                <w:szCs w:val="21"/>
              </w:rPr>
              <w:t>一更换，c值经上文计算为</w:t>
            </w:r>
            <w:r>
              <w:rPr>
                <w:rFonts w:hint="eastAsia" w:cs="Times New Roman"/>
                <w:bCs/>
                <w:sz w:val="21"/>
                <w:szCs w:val="21"/>
                <w:lang w:val="en-US" w:eastAsia="zh-CN"/>
              </w:rPr>
              <w:t>71.53</w:t>
            </w:r>
            <w:r>
              <w:rPr>
                <w:rFonts w:ascii="Times New Roman" w:hAnsi="Times New Roman" w:eastAsia="宋体" w:cs="Times New Roman"/>
                <w:bCs/>
                <w:sz w:val="21"/>
                <w:szCs w:val="21"/>
              </w:rPr>
              <w:t>，则每次装填量</w:t>
            </w:r>
            <w:r>
              <w:rPr>
                <w:rFonts w:hint="eastAsia" w:ascii="Times New Roman" w:hAnsi="Times New Roman" w:eastAsia="宋体" w:cs="Times New Roman"/>
                <w:bCs/>
                <w:sz w:val="21"/>
                <w:szCs w:val="21"/>
                <w:lang w:val="en-US" w:eastAsia="zh-CN"/>
              </w:rPr>
              <w:t>约</w:t>
            </w:r>
            <w:r>
              <w:rPr>
                <w:rFonts w:ascii="Times New Roman" w:hAnsi="Times New Roman" w:eastAsia="宋体" w:cs="Times New Roman"/>
                <w:bCs/>
                <w:sz w:val="21"/>
                <w:szCs w:val="21"/>
              </w:rPr>
              <w:t>为</w:t>
            </w:r>
            <w:r>
              <w:rPr>
                <w:rFonts w:hint="eastAsia" w:cs="Times New Roman"/>
                <w:bCs/>
                <w:sz w:val="21"/>
                <w:szCs w:val="21"/>
                <w:lang w:val="en-US" w:eastAsia="zh-CN"/>
              </w:rPr>
              <w:t>7.7</w:t>
            </w:r>
            <w:r>
              <w:rPr>
                <w:rFonts w:ascii="Times New Roman" w:hAnsi="Times New Roman" w:eastAsia="宋体" w:cs="Times New Roman"/>
                <w:bCs/>
                <w:sz w:val="21"/>
                <w:szCs w:val="21"/>
              </w:rPr>
              <w:t>t/a。故年用量为</w:t>
            </w:r>
            <w:r>
              <w:rPr>
                <w:rFonts w:hint="eastAsia" w:ascii="Times New Roman" w:hAnsi="Times New Roman" w:eastAsia="宋体" w:cs="Times New Roman"/>
                <w:bCs/>
                <w:sz w:val="21"/>
                <w:szCs w:val="21"/>
                <w:lang w:val="en-US" w:eastAsia="zh-CN"/>
              </w:rPr>
              <w:t>30.8</w:t>
            </w:r>
            <w:r>
              <w:rPr>
                <w:rFonts w:ascii="Times New Roman" w:hAnsi="Times New Roman" w:eastAsia="宋体" w:cs="Times New Roman"/>
                <w:bCs/>
                <w:sz w:val="21"/>
                <w:szCs w:val="21"/>
              </w:rPr>
              <w:t>t/a，吸附去除的非甲烷总烃量为</w:t>
            </w:r>
            <w:r>
              <w:rPr>
                <w:rFonts w:hint="eastAsia" w:cs="Times New Roman"/>
                <w:bCs/>
                <w:sz w:val="21"/>
                <w:szCs w:val="21"/>
                <w:lang w:val="en-US" w:eastAsia="zh-CN"/>
              </w:rPr>
              <w:t>3.13</w:t>
            </w:r>
            <w:r>
              <w:rPr>
                <w:rFonts w:ascii="Times New Roman" w:hAnsi="Times New Roman" w:eastAsia="宋体" w:cs="Times New Roman"/>
                <w:bCs/>
                <w:sz w:val="21"/>
                <w:szCs w:val="21"/>
              </w:rPr>
              <w:t>t/a，故废活性炭量</w:t>
            </w:r>
            <w:r>
              <w:rPr>
                <w:rFonts w:hint="eastAsia" w:ascii="Times New Roman" w:hAnsi="Times New Roman" w:eastAsia="宋体" w:cs="Times New Roman"/>
                <w:bCs/>
                <w:sz w:val="21"/>
                <w:szCs w:val="21"/>
                <w:lang w:val="en-US" w:eastAsia="zh-CN"/>
              </w:rPr>
              <w:t>约</w:t>
            </w:r>
            <w:r>
              <w:rPr>
                <w:rFonts w:ascii="Times New Roman" w:hAnsi="Times New Roman" w:eastAsia="宋体" w:cs="Times New Roman"/>
                <w:bCs/>
                <w:sz w:val="21"/>
                <w:szCs w:val="21"/>
              </w:rPr>
              <w:t>为</w:t>
            </w:r>
            <w:r>
              <w:rPr>
                <w:rFonts w:hint="eastAsia" w:cs="Times New Roman"/>
                <w:bCs/>
                <w:sz w:val="21"/>
                <w:szCs w:val="21"/>
                <w:lang w:val="en-US" w:eastAsia="zh-CN"/>
              </w:rPr>
              <w:t>33.93</w:t>
            </w:r>
            <w:r>
              <w:rPr>
                <w:rFonts w:ascii="Times New Roman" w:hAnsi="Times New Roman" w:eastAsia="宋体" w:cs="Times New Roman"/>
                <w:bCs/>
                <w:sz w:val="21"/>
                <w:szCs w:val="21"/>
              </w:rPr>
              <w:t>t/a</w:t>
            </w:r>
          </w:p>
          <w:p w14:paraId="64EE6045">
            <w:pPr>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sz w:val="21"/>
                <w:szCs w:val="21"/>
              </w:rPr>
              <w:t>本项目二级活性炭的主要参数见下表：</w:t>
            </w:r>
          </w:p>
          <w:p w14:paraId="48FF5BFE">
            <w:pPr>
              <w:widowControl/>
              <w:ind w:firstLine="420"/>
              <w:contextualSpacing/>
              <w:jc w:val="center"/>
              <w:rPr>
                <w:rFonts w:ascii="Times New Roman" w:hAnsi="Times New Roman" w:eastAsia="宋体" w:cs="Times New Roman"/>
                <w:b/>
                <w:snapToGrid w:val="0"/>
                <w:kern w:val="28"/>
                <w:sz w:val="21"/>
                <w:szCs w:val="21"/>
              </w:rPr>
            </w:pPr>
            <w:r>
              <w:rPr>
                <w:rFonts w:ascii="Times New Roman" w:hAnsi="Times New Roman" w:eastAsia="宋体" w:cs="Times New Roman"/>
                <w:b/>
                <w:snapToGrid w:val="0"/>
                <w:kern w:val="28"/>
                <w:sz w:val="21"/>
                <w:szCs w:val="21"/>
              </w:rPr>
              <w:t>表4-</w:t>
            </w:r>
            <w:r>
              <w:rPr>
                <w:rFonts w:hint="eastAsia" w:cs="Times New Roman"/>
                <w:b/>
                <w:snapToGrid w:val="0"/>
                <w:kern w:val="28"/>
                <w:sz w:val="21"/>
                <w:szCs w:val="21"/>
                <w:lang w:val="en-US" w:eastAsia="zh-CN"/>
              </w:rPr>
              <w:t>4</w:t>
            </w:r>
            <w:r>
              <w:rPr>
                <w:rFonts w:hint="eastAsia" w:ascii="Times New Roman" w:hAnsi="Times New Roman" w:eastAsia="宋体" w:cs="Times New Roman"/>
                <w:b/>
                <w:snapToGrid w:val="0"/>
                <w:kern w:val="28"/>
                <w:sz w:val="21"/>
                <w:szCs w:val="21"/>
                <w:lang w:val="en-US" w:eastAsia="zh-CN"/>
              </w:rPr>
              <w:t xml:space="preserve">  </w:t>
            </w:r>
            <w:r>
              <w:rPr>
                <w:rFonts w:ascii="Times New Roman" w:hAnsi="Times New Roman" w:eastAsia="宋体" w:cs="Times New Roman"/>
                <w:b/>
                <w:snapToGrid w:val="0"/>
                <w:kern w:val="28"/>
                <w:sz w:val="21"/>
                <w:szCs w:val="21"/>
              </w:rPr>
              <w:t>TA001活性炭吸附装置主要技术指标</w:t>
            </w:r>
          </w:p>
          <w:tbl>
            <w:tblPr>
              <w:tblStyle w:val="2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6"/>
              <w:gridCol w:w="3672"/>
              <w:gridCol w:w="3808"/>
            </w:tblGrid>
            <w:tr w14:paraId="072E9D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28" w:hRule="atLeast"/>
                <w:jc w:val="center"/>
              </w:trPr>
              <w:tc>
                <w:tcPr>
                  <w:tcW w:w="466" w:type="dxa"/>
                  <w:vAlign w:val="center"/>
                </w:tcPr>
                <w:p w14:paraId="4DC5EC95">
                  <w:pPr>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1</w:t>
                  </w:r>
                </w:p>
              </w:tc>
              <w:tc>
                <w:tcPr>
                  <w:tcW w:w="3672" w:type="dxa"/>
                  <w:vAlign w:val="center"/>
                </w:tcPr>
                <w:p w14:paraId="03E326D8">
                  <w:pPr>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设备型号</w:t>
                  </w:r>
                </w:p>
              </w:tc>
              <w:tc>
                <w:tcPr>
                  <w:tcW w:w="3808" w:type="dxa"/>
                  <w:vAlign w:val="center"/>
                </w:tcPr>
                <w:p w14:paraId="0AA6649F">
                  <w:pPr>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ST-HX</w:t>
                  </w:r>
                  <w:r>
                    <w:rPr>
                      <w:rFonts w:hint="eastAsia" w:cs="Times New Roman"/>
                      <w:snapToGrid w:val="0"/>
                      <w:sz w:val="18"/>
                      <w:szCs w:val="18"/>
                      <w:lang w:val="en-US" w:eastAsia="zh-CN"/>
                    </w:rPr>
                    <w:t>5</w:t>
                  </w:r>
                  <w:r>
                    <w:rPr>
                      <w:rFonts w:ascii="Times New Roman" w:hAnsi="Times New Roman" w:eastAsia="宋体" w:cs="Times New Roman"/>
                      <w:snapToGrid w:val="0"/>
                      <w:sz w:val="18"/>
                      <w:szCs w:val="18"/>
                    </w:rPr>
                    <w:t>000</w:t>
                  </w:r>
                </w:p>
              </w:tc>
            </w:tr>
            <w:tr w14:paraId="3702EA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66" w:type="dxa"/>
                  <w:vAlign w:val="center"/>
                </w:tcPr>
                <w:p w14:paraId="0B3C53EE">
                  <w:pPr>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2</w:t>
                  </w:r>
                </w:p>
              </w:tc>
              <w:tc>
                <w:tcPr>
                  <w:tcW w:w="3672" w:type="dxa"/>
                  <w:vAlign w:val="center"/>
                </w:tcPr>
                <w:p w14:paraId="0561C28F">
                  <w:pPr>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设计处理风量</w:t>
                  </w:r>
                </w:p>
              </w:tc>
              <w:tc>
                <w:tcPr>
                  <w:tcW w:w="3808" w:type="dxa"/>
                  <w:vAlign w:val="center"/>
                </w:tcPr>
                <w:p w14:paraId="7672003E">
                  <w:pPr>
                    <w:jc w:val="center"/>
                    <w:rPr>
                      <w:rFonts w:ascii="Times New Roman" w:hAnsi="Times New Roman" w:eastAsia="宋体" w:cs="Times New Roman"/>
                      <w:snapToGrid w:val="0"/>
                      <w:sz w:val="18"/>
                      <w:szCs w:val="18"/>
                    </w:rPr>
                  </w:pPr>
                  <w:r>
                    <w:rPr>
                      <w:rFonts w:hint="eastAsia" w:cs="Times New Roman"/>
                      <w:snapToGrid w:val="0"/>
                      <w:sz w:val="18"/>
                      <w:szCs w:val="18"/>
                      <w:lang w:val="en-US" w:eastAsia="zh-CN"/>
                    </w:rPr>
                    <w:t>5</w:t>
                  </w:r>
                  <w:r>
                    <w:rPr>
                      <w:rFonts w:ascii="Times New Roman" w:hAnsi="Times New Roman" w:eastAsia="宋体" w:cs="Times New Roman"/>
                      <w:snapToGrid w:val="0"/>
                      <w:sz w:val="18"/>
                      <w:szCs w:val="18"/>
                    </w:rPr>
                    <w:t>000m</w:t>
                  </w:r>
                  <w:r>
                    <w:rPr>
                      <w:rFonts w:ascii="Times New Roman" w:hAnsi="Times New Roman" w:eastAsia="宋体" w:cs="Times New Roman"/>
                      <w:snapToGrid w:val="0"/>
                      <w:sz w:val="18"/>
                      <w:szCs w:val="18"/>
                      <w:vertAlign w:val="superscript"/>
                    </w:rPr>
                    <w:t>3</w:t>
                  </w:r>
                  <w:r>
                    <w:rPr>
                      <w:rFonts w:ascii="Times New Roman" w:hAnsi="Times New Roman" w:eastAsia="宋体" w:cs="Times New Roman"/>
                      <w:snapToGrid w:val="0"/>
                      <w:sz w:val="18"/>
                      <w:szCs w:val="18"/>
                    </w:rPr>
                    <w:t>/h</w:t>
                  </w:r>
                </w:p>
              </w:tc>
            </w:tr>
            <w:tr w14:paraId="461E26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66" w:type="dxa"/>
                  <w:vAlign w:val="center"/>
                </w:tcPr>
                <w:p w14:paraId="3B2FD867">
                  <w:pPr>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3</w:t>
                  </w:r>
                </w:p>
              </w:tc>
              <w:tc>
                <w:tcPr>
                  <w:tcW w:w="3672" w:type="dxa"/>
                  <w:vAlign w:val="center"/>
                </w:tcPr>
                <w:p w14:paraId="697ACFAC">
                  <w:pPr>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主体材质</w:t>
                  </w:r>
                </w:p>
              </w:tc>
              <w:tc>
                <w:tcPr>
                  <w:tcW w:w="3808" w:type="dxa"/>
                  <w:vAlign w:val="center"/>
                </w:tcPr>
                <w:p w14:paraId="44DFE2B1">
                  <w:pPr>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碳钢板</w:t>
                  </w:r>
                </w:p>
              </w:tc>
            </w:tr>
            <w:tr w14:paraId="2D96FF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66" w:type="dxa"/>
                  <w:shd w:val="clear" w:color="auto" w:fill="auto"/>
                  <w:vAlign w:val="center"/>
                </w:tcPr>
                <w:p w14:paraId="19A9EBC9">
                  <w:pPr>
                    <w:jc w:val="center"/>
                    <w:rPr>
                      <w:rFonts w:ascii="Times New Roman" w:hAnsi="Times New Roman" w:eastAsia="宋体" w:cs="Times New Roman"/>
                      <w:snapToGrid w:val="0"/>
                      <w:kern w:val="2"/>
                      <w:sz w:val="18"/>
                      <w:szCs w:val="18"/>
                      <w:lang w:val="en-US" w:eastAsia="zh-CN" w:bidi="ar-SA"/>
                    </w:rPr>
                  </w:pPr>
                  <w:r>
                    <w:rPr>
                      <w:rFonts w:ascii="Times New Roman" w:hAnsi="Times New Roman" w:eastAsia="宋体" w:cs="Times New Roman"/>
                      <w:snapToGrid w:val="0"/>
                      <w:sz w:val="18"/>
                      <w:szCs w:val="18"/>
                    </w:rPr>
                    <w:t>4</w:t>
                  </w:r>
                </w:p>
              </w:tc>
              <w:tc>
                <w:tcPr>
                  <w:tcW w:w="3672" w:type="dxa"/>
                  <w:vAlign w:val="center"/>
                </w:tcPr>
                <w:p w14:paraId="1ACDE6DB">
                  <w:pPr>
                    <w:jc w:val="center"/>
                    <w:rPr>
                      <w:rFonts w:hint="default" w:ascii="Times New Roman" w:hAnsi="Times New Roman" w:eastAsia="宋体" w:cs="Times New Roman"/>
                      <w:snapToGrid w:val="0"/>
                      <w:sz w:val="18"/>
                      <w:szCs w:val="18"/>
                      <w:lang w:val="en-US" w:eastAsia="zh-CN"/>
                    </w:rPr>
                  </w:pPr>
                  <w:r>
                    <w:rPr>
                      <w:rFonts w:hint="eastAsia" w:ascii="Times New Roman" w:hAnsi="Times New Roman" w:eastAsia="宋体" w:cs="Times New Roman"/>
                      <w:snapToGrid w:val="0"/>
                      <w:sz w:val="18"/>
                      <w:szCs w:val="18"/>
                      <w:lang w:val="en-US" w:eastAsia="zh-CN"/>
                    </w:rPr>
                    <w:t>箱体尺寸</w:t>
                  </w:r>
                  <w:r>
                    <w:rPr>
                      <w:rFonts w:ascii="Times New Roman" w:hAnsi="Times New Roman" w:eastAsia="宋体" w:cs="Times New Roman"/>
                      <w:snapToGrid w:val="0"/>
                      <w:sz w:val="18"/>
                      <w:szCs w:val="18"/>
                    </w:rPr>
                    <w:t>（长）×（宽）×（高）mm</w:t>
                  </w:r>
                </w:p>
              </w:tc>
              <w:tc>
                <w:tcPr>
                  <w:tcW w:w="3808" w:type="dxa"/>
                  <w:vAlign w:val="center"/>
                </w:tcPr>
                <w:p w14:paraId="432CEDBB">
                  <w:pPr>
                    <w:jc w:val="center"/>
                    <w:rPr>
                      <w:rFonts w:ascii="Times New Roman" w:hAnsi="Times New Roman" w:eastAsia="宋体" w:cs="Times New Roman"/>
                      <w:snapToGrid w:val="0"/>
                      <w:sz w:val="18"/>
                      <w:szCs w:val="18"/>
                    </w:rPr>
                  </w:pPr>
                  <w:r>
                    <w:rPr>
                      <w:rFonts w:hint="eastAsia" w:ascii="Times New Roman" w:hAnsi="Times New Roman" w:eastAsia="宋体" w:cs="Times New Roman"/>
                      <w:snapToGrid w:val="0"/>
                      <w:sz w:val="18"/>
                      <w:szCs w:val="18"/>
                      <w:lang w:val="en-US" w:eastAsia="zh-CN"/>
                    </w:rPr>
                    <w:t>（</w:t>
                  </w:r>
                  <w:r>
                    <w:rPr>
                      <w:rFonts w:hint="eastAsia" w:cs="Times New Roman"/>
                      <w:snapToGrid w:val="0"/>
                      <w:sz w:val="18"/>
                      <w:szCs w:val="18"/>
                      <w:lang w:val="en-US" w:eastAsia="zh-CN"/>
                    </w:rPr>
                    <w:t>3</w:t>
                  </w:r>
                  <w:r>
                    <w:rPr>
                      <w:rFonts w:hint="eastAsia" w:ascii="Times New Roman" w:hAnsi="Times New Roman" w:eastAsia="宋体" w:cs="Times New Roman"/>
                      <w:snapToGrid w:val="0"/>
                      <w:sz w:val="18"/>
                      <w:szCs w:val="18"/>
                      <w:lang w:val="en-US" w:eastAsia="zh-CN"/>
                    </w:rPr>
                    <w:t>2</w:t>
                  </w:r>
                  <w:r>
                    <w:rPr>
                      <w:rFonts w:ascii="Times New Roman" w:hAnsi="Times New Roman" w:eastAsia="宋体" w:cs="Times New Roman"/>
                      <w:snapToGrid w:val="0"/>
                      <w:sz w:val="18"/>
                      <w:szCs w:val="18"/>
                    </w:rPr>
                    <w:t>00×</w:t>
                  </w:r>
                  <w:r>
                    <w:rPr>
                      <w:rFonts w:hint="eastAsia" w:ascii="Times New Roman" w:hAnsi="Times New Roman" w:eastAsia="宋体" w:cs="Times New Roman"/>
                      <w:snapToGrid w:val="0"/>
                      <w:sz w:val="18"/>
                      <w:szCs w:val="18"/>
                      <w:lang w:val="en-US" w:eastAsia="zh-CN"/>
                    </w:rPr>
                    <w:t>1</w:t>
                  </w:r>
                  <w:r>
                    <w:rPr>
                      <w:rFonts w:hint="eastAsia" w:cs="Times New Roman"/>
                      <w:snapToGrid w:val="0"/>
                      <w:sz w:val="18"/>
                      <w:szCs w:val="18"/>
                      <w:lang w:val="en-US" w:eastAsia="zh-CN"/>
                    </w:rPr>
                    <w:t>800</w:t>
                  </w:r>
                  <w:r>
                    <w:rPr>
                      <w:rFonts w:ascii="Times New Roman" w:hAnsi="Times New Roman" w:eastAsia="宋体" w:cs="Times New Roman"/>
                      <w:snapToGrid w:val="0"/>
                      <w:sz w:val="18"/>
                      <w:szCs w:val="18"/>
                    </w:rPr>
                    <w:t>×</w:t>
                  </w:r>
                  <w:r>
                    <w:rPr>
                      <w:rFonts w:hint="eastAsia" w:ascii="Times New Roman" w:hAnsi="Times New Roman" w:eastAsia="宋体" w:cs="Times New Roman"/>
                      <w:snapToGrid w:val="0"/>
                      <w:sz w:val="18"/>
                      <w:szCs w:val="18"/>
                      <w:lang w:val="en-US" w:eastAsia="zh-CN"/>
                    </w:rPr>
                    <w:t>1</w:t>
                  </w:r>
                  <w:r>
                    <w:rPr>
                      <w:rFonts w:hint="eastAsia" w:cs="Times New Roman"/>
                      <w:snapToGrid w:val="0"/>
                      <w:sz w:val="18"/>
                      <w:szCs w:val="18"/>
                      <w:lang w:val="en-US" w:eastAsia="zh-CN"/>
                    </w:rPr>
                    <w:t>800</w:t>
                  </w:r>
                  <w:r>
                    <w:rPr>
                      <w:rFonts w:hint="eastAsia" w:ascii="Times New Roman" w:hAnsi="Times New Roman" w:eastAsia="宋体" w:cs="Times New Roman"/>
                      <w:snapToGrid w:val="0"/>
                      <w:sz w:val="18"/>
                      <w:szCs w:val="18"/>
                      <w:lang w:eastAsia="zh-CN"/>
                    </w:rPr>
                    <w:t>）</w:t>
                  </w:r>
                  <w:r>
                    <w:rPr>
                      <w:rFonts w:ascii="Times New Roman" w:hAnsi="Times New Roman" w:eastAsia="宋体" w:cs="Times New Roman"/>
                      <w:snapToGrid w:val="0"/>
                      <w:sz w:val="18"/>
                      <w:szCs w:val="18"/>
                    </w:rPr>
                    <w:t>×</w:t>
                  </w:r>
                  <w:r>
                    <w:rPr>
                      <w:rFonts w:hint="eastAsia" w:ascii="Times New Roman" w:hAnsi="Times New Roman" w:eastAsia="宋体" w:cs="Times New Roman"/>
                      <w:snapToGrid w:val="0"/>
                      <w:sz w:val="18"/>
                      <w:szCs w:val="18"/>
                      <w:lang w:val="en-US" w:eastAsia="zh-CN"/>
                    </w:rPr>
                    <w:t>2</w:t>
                  </w:r>
                </w:p>
              </w:tc>
            </w:tr>
            <w:tr w14:paraId="5B4D2D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66" w:type="dxa"/>
                  <w:shd w:val="clear" w:color="auto" w:fill="auto"/>
                  <w:vAlign w:val="center"/>
                </w:tcPr>
                <w:p w14:paraId="41DCFD8A">
                  <w:pPr>
                    <w:jc w:val="center"/>
                    <w:rPr>
                      <w:rFonts w:ascii="Times New Roman" w:hAnsi="Times New Roman" w:eastAsia="宋体" w:cs="Times New Roman"/>
                      <w:snapToGrid w:val="0"/>
                      <w:kern w:val="2"/>
                      <w:sz w:val="18"/>
                      <w:szCs w:val="18"/>
                      <w:lang w:val="en-US" w:eastAsia="zh-CN" w:bidi="ar-SA"/>
                    </w:rPr>
                  </w:pPr>
                  <w:r>
                    <w:rPr>
                      <w:rFonts w:ascii="Times New Roman" w:hAnsi="Times New Roman" w:eastAsia="宋体" w:cs="Times New Roman"/>
                      <w:snapToGrid w:val="0"/>
                      <w:sz w:val="18"/>
                      <w:szCs w:val="18"/>
                    </w:rPr>
                    <w:t>5</w:t>
                  </w:r>
                </w:p>
              </w:tc>
              <w:tc>
                <w:tcPr>
                  <w:tcW w:w="3672" w:type="dxa"/>
                  <w:vAlign w:val="center"/>
                </w:tcPr>
                <w:p w14:paraId="0DAAA308">
                  <w:pPr>
                    <w:jc w:val="center"/>
                    <w:rPr>
                      <w:rFonts w:ascii="Times New Roman" w:hAnsi="Times New Roman" w:eastAsia="宋体" w:cs="Times New Roman"/>
                      <w:snapToGrid w:val="0"/>
                      <w:sz w:val="18"/>
                      <w:szCs w:val="18"/>
                    </w:rPr>
                  </w:pPr>
                  <w:r>
                    <w:rPr>
                      <w:rFonts w:hint="eastAsia" w:ascii="Times New Roman" w:hAnsi="Times New Roman" w:eastAsia="宋体" w:cs="Times New Roman"/>
                      <w:snapToGrid w:val="0"/>
                      <w:sz w:val="18"/>
                      <w:szCs w:val="18"/>
                      <w:lang w:val="en-US" w:eastAsia="zh-CN"/>
                    </w:rPr>
                    <w:t>装填</w:t>
                  </w:r>
                  <w:r>
                    <w:rPr>
                      <w:rFonts w:ascii="Times New Roman" w:hAnsi="Times New Roman" w:eastAsia="宋体" w:cs="Times New Roman"/>
                      <w:snapToGrid w:val="0"/>
                      <w:sz w:val="18"/>
                      <w:szCs w:val="18"/>
                    </w:rPr>
                    <w:t>尺寸（长）×（宽）×（高）mm</w:t>
                  </w:r>
                </w:p>
              </w:tc>
              <w:tc>
                <w:tcPr>
                  <w:tcW w:w="3808" w:type="dxa"/>
                  <w:vAlign w:val="center"/>
                </w:tcPr>
                <w:p w14:paraId="20A3E8F8">
                  <w:pPr>
                    <w:jc w:val="center"/>
                    <w:rPr>
                      <w:rFonts w:hint="default" w:ascii="Times New Roman" w:hAnsi="Times New Roman" w:eastAsia="宋体" w:cs="Times New Roman"/>
                      <w:snapToGrid w:val="0"/>
                      <w:sz w:val="18"/>
                      <w:szCs w:val="18"/>
                      <w:lang w:val="en-US" w:eastAsia="zh-CN"/>
                    </w:rPr>
                  </w:pPr>
                  <w:r>
                    <w:rPr>
                      <w:rFonts w:hint="eastAsia" w:ascii="Times New Roman" w:hAnsi="Times New Roman" w:eastAsia="宋体" w:cs="Times New Roman"/>
                      <w:snapToGrid w:val="0"/>
                      <w:sz w:val="18"/>
                      <w:szCs w:val="18"/>
                      <w:lang w:val="en-US" w:eastAsia="zh-CN"/>
                    </w:rPr>
                    <w:t>（</w:t>
                  </w:r>
                  <w:r>
                    <w:rPr>
                      <w:rFonts w:hint="eastAsia" w:cs="Times New Roman"/>
                      <w:snapToGrid w:val="0"/>
                      <w:sz w:val="18"/>
                      <w:szCs w:val="18"/>
                      <w:lang w:val="en-US" w:eastAsia="zh-CN"/>
                    </w:rPr>
                    <w:t>3000</w:t>
                  </w:r>
                  <w:r>
                    <w:rPr>
                      <w:rFonts w:ascii="Times New Roman" w:hAnsi="Times New Roman" w:eastAsia="宋体" w:cs="Times New Roman"/>
                      <w:snapToGrid w:val="0"/>
                      <w:sz w:val="18"/>
                      <w:szCs w:val="18"/>
                    </w:rPr>
                    <w:t>×</w:t>
                  </w:r>
                  <w:r>
                    <w:rPr>
                      <w:rFonts w:hint="eastAsia" w:cs="Times New Roman"/>
                      <w:snapToGrid w:val="0"/>
                      <w:sz w:val="18"/>
                      <w:szCs w:val="18"/>
                      <w:lang w:val="en-US" w:eastAsia="zh-CN"/>
                    </w:rPr>
                    <w:t>1600</w:t>
                  </w:r>
                  <w:r>
                    <w:rPr>
                      <w:rFonts w:ascii="Times New Roman" w:hAnsi="Times New Roman" w:eastAsia="宋体" w:cs="Times New Roman"/>
                      <w:snapToGrid w:val="0"/>
                      <w:sz w:val="18"/>
                      <w:szCs w:val="18"/>
                    </w:rPr>
                    <w:t>×</w:t>
                  </w:r>
                  <w:r>
                    <w:rPr>
                      <w:rFonts w:hint="eastAsia" w:cs="Times New Roman"/>
                      <w:snapToGrid w:val="0"/>
                      <w:sz w:val="18"/>
                      <w:szCs w:val="18"/>
                      <w:lang w:val="en-US" w:eastAsia="zh-CN"/>
                    </w:rPr>
                    <w:t>1600</w:t>
                  </w:r>
                  <w:r>
                    <w:rPr>
                      <w:rFonts w:hint="eastAsia" w:ascii="Times New Roman" w:hAnsi="Times New Roman" w:eastAsia="宋体" w:cs="Times New Roman"/>
                      <w:snapToGrid w:val="0"/>
                      <w:sz w:val="18"/>
                      <w:szCs w:val="18"/>
                      <w:lang w:eastAsia="zh-CN"/>
                    </w:rPr>
                    <w:t>）</w:t>
                  </w:r>
                  <w:r>
                    <w:rPr>
                      <w:rFonts w:ascii="Times New Roman" w:hAnsi="Times New Roman" w:eastAsia="宋体" w:cs="Times New Roman"/>
                      <w:snapToGrid w:val="0"/>
                      <w:sz w:val="18"/>
                      <w:szCs w:val="18"/>
                    </w:rPr>
                    <w:t>×</w:t>
                  </w:r>
                  <w:r>
                    <w:rPr>
                      <w:rFonts w:hint="eastAsia" w:ascii="Times New Roman" w:hAnsi="Times New Roman" w:eastAsia="宋体" w:cs="Times New Roman"/>
                      <w:snapToGrid w:val="0"/>
                      <w:sz w:val="18"/>
                      <w:szCs w:val="18"/>
                      <w:lang w:val="en-US" w:eastAsia="zh-CN"/>
                    </w:rPr>
                    <w:t>2</w:t>
                  </w:r>
                </w:p>
              </w:tc>
            </w:tr>
            <w:tr w14:paraId="65820D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66" w:type="dxa"/>
                  <w:shd w:val="clear" w:color="auto" w:fill="auto"/>
                  <w:vAlign w:val="center"/>
                </w:tcPr>
                <w:p w14:paraId="49919C38">
                  <w:pPr>
                    <w:jc w:val="center"/>
                    <w:rPr>
                      <w:rFonts w:ascii="Times New Roman" w:hAnsi="Times New Roman" w:eastAsia="宋体" w:cs="Times New Roman"/>
                      <w:snapToGrid w:val="0"/>
                      <w:kern w:val="2"/>
                      <w:sz w:val="18"/>
                      <w:szCs w:val="18"/>
                      <w:lang w:val="en-US" w:eastAsia="zh-CN" w:bidi="ar-SA"/>
                    </w:rPr>
                  </w:pPr>
                  <w:r>
                    <w:rPr>
                      <w:rFonts w:ascii="Times New Roman" w:hAnsi="Times New Roman" w:eastAsia="宋体" w:cs="Times New Roman"/>
                      <w:snapToGrid w:val="0"/>
                      <w:sz w:val="18"/>
                      <w:szCs w:val="18"/>
                    </w:rPr>
                    <w:t>6</w:t>
                  </w:r>
                </w:p>
              </w:tc>
              <w:tc>
                <w:tcPr>
                  <w:tcW w:w="3672" w:type="dxa"/>
                  <w:vAlign w:val="center"/>
                </w:tcPr>
                <w:p w14:paraId="1671009B">
                  <w:pPr>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活性炭更换周期</w:t>
                  </w:r>
                </w:p>
              </w:tc>
              <w:tc>
                <w:tcPr>
                  <w:tcW w:w="3808" w:type="dxa"/>
                  <w:vAlign w:val="center"/>
                </w:tcPr>
                <w:p w14:paraId="7CDC8B7A">
                  <w:pPr>
                    <w:jc w:val="center"/>
                    <w:rPr>
                      <w:rFonts w:ascii="Times New Roman" w:hAnsi="Times New Roman" w:eastAsia="宋体" w:cs="Times New Roman"/>
                      <w:snapToGrid w:val="0"/>
                      <w:color w:val="auto"/>
                      <w:sz w:val="18"/>
                      <w:szCs w:val="18"/>
                    </w:rPr>
                  </w:pPr>
                  <w:r>
                    <w:rPr>
                      <w:rFonts w:hint="eastAsia" w:cs="Times New Roman"/>
                      <w:snapToGrid w:val="0"/>
                      <w:color w:val="auto"/>
                      <w:sz w:val="18"/>
                      <w:szCs w:val="18"/>
                      <w:lang w:val="en-US" w:eastAsia="zh-CN"/>
                    </w:rPr>
                    <w:t>90</w:t>
                  </w:r>
                  <w:r>
                    <w:rPr>
                      <w:rFonts w:ascii="Times New Roman" w:hAnsi="Times New Roman" w:eastAsia="宋体" w:cs="Times New Roman"/>
                      <w:snapToGrid w:val="0"/>
                      <w:color w:val="auto"/>
                      <w:sz w:val="18"/>
                      <w:szCs w:val="18"/>
                    </w:rPr>
                    <w:t>天</w:t>
                  </w:r>
                </w:p>
              </w:tc>
            </w:tr>
            <w:tr w14:paraId="3304C9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66" w:type="dxa"/>
                  <w:shd w:val="clear" w:color="auto" w:fill="auto"/>
                  <w:vAlign w:val="center"/>
                </w:tcPr>
                <w:p w14:paraId="581E8998">
                  <w:pPr>
                    <w:jc w:val="center"/>
                    <w:rPr>
                      <w:rFonts w:ascii="Times New Roman" w:hAnsi="Times New Roman" w:eastAsia="宋体" w:cs="Times New Roman"/>
                      <w:snapToGrid w:val="0"/>
                      <w:kern w:val="2"/>
                      <w:sz w:val="18"/>
                      <w:szCs w:val="18"/>
                      <w:lang w:val="en-US" w:eastAsia="zh-CN" w:bidi="ar-SA"/>
                    </w:rPr>
                  </w:pPr>
                  <w:r>
                    <w:rPr>
                      <w:rFonts w:ascii="Times New Roman" w:hAnsi="Times New Roman" w:eastAsia="宋体" w:cs="Times New Roman"/>
                      <w:snapToGrid w:val="0"/>
                      <w:sz w:val="18"/>
                      <w:szCs w:val="18"/>
                    </w:rPr>
                    <w:t>7</w:t>
                  </w:r>
                </w:p>
              </w:tc>
              <w:tc>
                <w:tcPr>
                  <w:tcW w:w="3672" w:type="dxa"/>
                  <w:vAlign w:val="center"/>
                </w:tcPr>
                <w:p w14:paraId="72960ADA">
                  <w:pPr>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颗粒状活性炭规格</w:t>
                  </w:r>
                </w:p>
              </w:tc>
              <w:tc>
                <w:tcPr>
                  <w:tcW w:w="3808" w:type="dxa"/>
                  <w:vAlign w:val="center"/>
                </w:tcPr>
                <w:p w14:paraId="72C8796E">
                  <w:pPr>
                    <w:jc w:val="center"/>
                    <w:rPr>
                      <w:rFonts w:ascii="Times New Roman" w:hAnsi="Times New Roman" w:eastAsia="宋体" w:cs="Times New Roman"/>
                      <w:snapToGrid w:val="0"/>
                      <w:color w:val="auto"/>
                      <w:sz w:val="18"/>
                      <w:szCs w:val="18"/>
                    </w:rPr>
                  </w:pPr>
                  <w:r>
                    <w:rPr>
                      <w:rFonts w:ascii="Times New Roman" w:hAnsi="Times New Roman" w:eastAsia="宋体" w:cs="Times New Roman"/>
                      <w:snapToGrid w:val="0"/>
                      <w:color w:val="auto"/>
                      <w:sz w:val="18"/>
                      <w:szCs w:val="18"/>
                    </w:rPr>
                    <w:t>碘值≥800</w:t>
                  </w:r>
                </w:p>
              </w:tc>
            </w:tr>
            <w:tr w14:paraId="72B869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66" w:type="dxa"/>
                  <w:shd w:val="clear" w:color="auto" w:fill="auto"/>
                  <w:vAlign w:val="center"/>
                </w:tcPr>
                <w:p w14:paraId="15743AFE">
                  <w:pPr>
                    <w:jc w:val="center"/>
                    <w:rPr>
                      <w:rFonts w:ascii="Times New Roman" w:hAnsi="Times New Roman" w:eastAsia="宋体" w:cs="Times New Roman"/>
                      <w:snapToGrid w:val="0"/>
                      <w:kern w:val="2"/>
                      <w:sz w:val="18"/>
                      <w:szCs w:val="18"/>
                      <w:lang w:val="en-US" w:eastAsia="zh-CN" w:bidi="ar-SA"/>
                    </w:rPr>
                  </w:pPr>
                  <w:r>
                    <w:rPr>
                      <w:rFonts w:ascii="Times New Roman" w:hAnsi="Times New Roman" w:eastAsia="宋体" w:cs="Times New Roman"/>
                      <w:snapToGrid w:val="0"/>
                      <w:sz w:val="18"/>
                      <w:szCs w:val="18"/>
                    </w:rPr>
                    <w:t>8</w:t>
                  </w:r>
                </w:p>
              </w:tc>
              <w:tc>
                <w:tcPr>
                  <w:tcW w:w="3672" w:type="dxa"/>
                  <w:vAlign w:val="center"/>
                </w:tcPr>
                <w:p w14:paraId="60889031">
                  <w:pPr>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温度要求</w:t>
                  </w:r>
                </w:p>
              </w:tc>
              <w:tc>
                <w:tcPr>
                  <w:tcW w:w="3808" w:type="dxa"/>
                  <w:vAlign w:val="center"/>
                </w:tcPr>
                <w:p w14:paraId="5099816B">
                  <w:pPr>
                    <w:jc w:val="center"/>
                    <w:rPr>
                      <w:rFonts w:ascii="Times New Roman" w:hAnsi="Times New Roman" w:eastAsia="宋体" w:cs="Times New Roman"/>
                      <w:snapToGrid w:val="0"/>
                      <w:color w:val="auto"/>
                      <w:sz w:val="18"/>
                      <w:szCs w:val="18"/>
                    </w:rPr>
                  </w:pPr>
                  <w:r>
                    <w:rPr>
                      <w:rFonts w:ascii="Times New Roman" w:hAnsi="Times New Roman" w:eastAsia="宋体" w:cs="Times New Roman"/>
                      <w:snapToGrid w:val="0"/>
                      <w:color w:val="auto"/>
                      <w:sz w:val="18"/>
                      <w:szCs w:val="18"/>
                    </w:rPr>
                    <w:t>＜40℃</w:t>
                  </w:r>
                </w:p>
              </w:tc>
            </w:tr>
            <w:tr w14:paraId="12931A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66" w:type="dxa"/>
                  <w:shd w:val="clear" w:color="auto" w:fill="auto"/>
                  <w:vAlign w:val="center"/>
                </w:tcPr>
                <w:p w14:paraId="1F1B5EEE">
                  <w:pPr>
                    <w:jc w:val="center"/>
                    <w:rPr>
                      <w:rFonts w:ascii="Times New Roman" w:hAnsi="Times New Roman" w:eastAsia="宋体" w:cs="Times New Roman"/>
                      <w:snapToGrid w:val="0"/>
                      <w:kern w:val="2"/>
                      <w:sz w:val="18"/>
                      <w:szCs w:val="18"/>
                      <w:lang w:val="en-US" w:eastAsia="zh-CN" w:bidi="ar-SA"/>
                    </w:rPr>
                  </w:pPr>
                  <w:r>
                    <w:rPr>
                      <w:rFonts w:ascii="Times New Roman" w:hAnsi="Times New Roman" w:eastAsia="宋体" w:cs="Times New Roman"/>
                      <w:snapToGrid w:val="0"/>
                      <w:sz w:val="18"/>
                      <w:szCs w:val="18"/>
                    </w:rPr>
                    <w:t>9</w:t>
                  </w:r>
                </w:p>
              </w:tc>
              <w:tc>
                <w:tcPr>
                  <w:tcW w:w="3672" w:type="dxa"/>
                  <w:vAlign w:val="center"/>
                </w:tcPr>
                <w:p w14:paraId="6D00AD6B">
                  <w:pPr>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密度</w:t>
                  </w:r>
                </w:p>
              </w:tc>
              <w:tc>
                <w:tcPr>
                  <w:tcW w:w="3808" w:type="dxa"/>
                  <w:vAlign w:val="center"/>
                </w:tcPr>
                <w:p w14:paraId="7AE96B1D">
                  <w:pPr>
                    <w:jc w:val="center"/>
                    <w:rPr>
                      <w:rFonts w:ascii="Times New Roman" w:hAnsi="Times New Roman" w:eastAsia="宋体" w:cs="Times New Roman"/>
                      <w:snapToGrid w:val="0"/>
                      <w:color w:val="auto"/>
                      <w:sz w:val="18"/>
                      <w:szCs w:val="18"/>
                    </w:rPr>
                  </w:pPr>
                  <w:r>
                    <w:rPr>
                      <w:rFonts w:ascii="Times New Roman" w:hAnsi="Times New Roman" w:eastAsia="宋体" w:cs="Times New Roman"/>
                      <w:snapToGrid w:val="0"/>
                      <w:color w:val="auto"/>
                      <w:sz w:val="18"/>
                      <w:szCs w:val="18"/>
                    </w:rPr>
                    <w:t>0.5g/cm</w:t>
                  </w:r>
                  <w:r>
                    <w:rPr>
                      <w:rFonts w:ascii="Times New Roman" w:hAnsi="Times New Roman" w:eastAsia="宋体" w:cs="Times New Roman"/>
                      <w:snapToGrid w:val="0"/>
                      <w:color w:val="auto"/>
                      <w:sz w:val="18"/>
                      <w:szCs w:val="18"/>
                      <w:vertAlign w:val="superscript"/>
                    </w:rPr>
                    <w:t>3</w:t>
                  </w:r>
                </w:p>
              </w:tc>
            </w:tr>
            <w:tr w14:paraId="6CC61D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66" w:type="dxa"/>
                  <w:shd w:val="clear" w:color="auto" w:fill="auto"/>
                  <w:vAlign w:val="center"/>
                </w:tcPr>
                <w:p w14:paraId="50DA9661">
                  <w:pPr>
                    <w:jc w:val="center"/>
                    <w:rPr>
                      <w:rFonts w:ascii="Times New Roman" w:hAnsi="Times New Roman" w:eastAsia="宋体" w:cs="Times New Roman"/>
                      <w:snapToGrid w:val="0"/>
                      <w:kern w:val="2"/>
                      <w:sz w:val="18"/>
                      <w:szCs w:val="18"/>
                      <w:lang w:val="en-US" w:eastAsia="zh-CN" w:bidi="ar-SA"/>
                    </w:rPr>
                  </w:pPr>
                  <w:r>
                    <w:rPr>
                      <w:rFonts w:ascii="Times New Roman" w:hAnsi="Times New Roman" w:eastAsia="宋体" w:cs="Times New Roman"/>
                      <w:snapToGrid w:val="0"/>
                      <w:sz w:val="18"/>
                      <w:szCs w:val="18"/>
                    </w:rPr>
                    <w:t>10</w:t>
                  </w:r>
                </w:p>
              </w:tc>
              <w:tc>
                <w:tcPr>
                  <w:tcW w:w="3672" w:type="dxa"/>
                  <w:vAlign w:val="center"/>
                </w:tcPr>
                <w:p w14:paraId="0A5618DB">
                  <w:pPr>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每次装填量</w:t>
                  </w:r>
                </w:p>
              </w:tc>
              <w:tc>
                <w:tcPr>
                  <w:tcW w:w="3808" w:type="dxa"/>
                  <w:vAlign w:val="center"/>
                </w:tcPr>
                <w:p w14:paraId="2623E33F">
                  <w:pPr>
                    <w:jc w:val="center"/>
                    <w:rPr>
                      <w:rFonts w:ascii="Times New Roman" w:hAnsi="Times New Roman" w:eastAsia="宋体" w:cs="Times New Roman"/>
                      <w:snapToGrid w:val="0"/>
                      <w:color w:val="auto"/>
                      <w:sz w:val="18"/>
                      <w:szCs w:val="18"/>
                    </w:rPr>
                  </w:pPr>
                  <w:r>
                    <w:rPr>
                      <w:rFonts w:hint="eastAsia" w:cs="Times New Roman"/>
                      <w:snapToGrid w:val="0"/>
                      <w:color w:val="auto"/>
                      <w:sz w:val="18"/>
                      <w:szCs w:val="18"/>
                      <w:lang w:val="en-US" w:eastAsia="zh-CN"/>
                    </w:rPr>
                    <w:t>7.7</w:t>
                  </w:r>
                  <w:r>
                    <w:rPr>
                      <w:rFonts w:ascii="Times New Roman" w:hAnsi="Times New Roman" w:eastAsia="宋体" w:cs="Times New Roman"/>
                      <w:snapToGrid w:val="0"/>
                      <w:color w:val="auto"/>
                      <w:sz w:val="18"/>
                      <w:szCs w:val="18"/>
                    </w:rPr>
                    <w:t>t</w:t>
                  </w:r>
                </w:p>
              </w:tc>
            </w:tr>
            <w:tr w14:paraId="3C19ED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66" w:type="dxa"/>
                  <w:vAlign w:val="center"/>
                </w:tcPr>
                <w:p w14:paraId="37E75C39">
                  <w:pPr>
                    <w:jc w:val="center"/>
                    <w:rPr>
                      <w:rFonts w:hint="eastAsia" w:ascii="Times New Roman" w:hAnsi="Times New Roman" w:eastAsia="宋体" w:cs="Times New Roman"/>
                      <w:snapToGrid w:val="0"/>
                      <w:sz w:val="18"/>
                      <w:szCs w:val="18"/>
                      <w:lang w:eastAsia="zh-CN"/>
                    </w:rPr>
                  </w:pPr>
                  <w:r>
                    <w:rPr>
                      <w:rFonts w:ascii="Times New Roman" w:hAnsi="Times New Roman" w:eastAsia="宋体" w:cs="Times New Roman"/>
                      <w:snapToGrid w:val="0"/>
                      <w:sz w:val="18"/>
                      <w:szCs w:val="18"/>
                    </w:rPr>
                    <w:t>1</w:t>
                  </w:r>
                  <w:r>
                    <w:rPr>
                      <w:rFonts w:hint="eastAsia" w:ascii="Times New Roman" w:hAnsi="Times New Roman" w:eastAsia="宋体" w:cs="Times New Roman"/>
                      <w:snapToGrid w:val="0"/>
                      <w:sz w:val="18"/>
                      <w:szCs w:val="18"/>
                      <w:lang w:val="en-US" w:eastAsia="zh-CN"/>
                    </w:rPr>
                    <w:t>1</w:t>
                  </w:r>
                </w:p>
              </w:tc>
              <w:tc>
                <w:tcPr>
                  <w:tcW w:w="3672" w:type="dxa"/>
                  <w:vAlign w:val="center"/>
                </w:tcPr>
                <w:p w14:paraId="6CDB9A13">
                  <w:pPr>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吸附层数</w:t>
                  </w:r>
                </w:p>
              </w:tc>
              <w:tc>
                <w:tcPr>
                  <w:tcW w:w="3808" w:type="dxa"/>
                  <w:vAlign w:val="center"/>
                </w:tcPr>
                <w:p w14:paraId="7CFA9AB1">
                  <w:pPr>
                    <w:jc w:val="center"/>
                    <w:rPr>
                      <w:rFonts w:hint="eastAsia" w:ascii="Times New Roman" w:hAnsi="Times New Roman" w:eastAsia="等线" w:cs="Times New Roman"/>
                      <w:snapToGrid w:val="0"/>
                      <w:color w:val="auto"/>
                      <w:sz w:val="18"/>
                      <w:szCs w:val="18"/>
                      <w:lang w:eastAsia="zh-CN"/>
                    </w:rPr>
                  </w:pPr>
                  <w:r>
                    <w:rPr>
                      <w:rFonts w:hint="default" w:ascii="Times New Roman" w:hAnsi="Times New Roman" w:eastAsia="宋体" w:cs="Times New Roman"/>
                      <w:snapToGrid w:val="0"/>
                      <w:color w:val="auto"/>
                      <w:sz w:val="18"/>
                      <w:szCs w:val="18"/>
                      <w:lang w:val="en-US" w:eastAsia="zh-CN"/>
                    </w:rPr>
                    <w:t>4</w:t>
                  </w:r>
                  <w:r>
                    <w:rPr>
                      <w:rFonts w:ascii="Times New Roman" w:hAnsi="Times New Roman" w:eastAsia="宋体" w:cs="Times New Roman"/>
                      <w:snapToGrid w:val="0"/>
                      <w:color w:val="auto"/>
                      <w:sz w:val="18"/>
                      <w:szCs w:val="18"/>
                    </w:rPr>
                    <w:t>层</w:t>
                  </w:r>
                </w:p>
              </w:tc>
            </w:tr>
          </w:tbl>
          <w:p w14:paraId="445E48A5">
            <w:pPr>
              <w:overflowPunct w:val="0"/>
              <w:adjustRightInd w:val="0"/>
              <w:snapToGrid w:val="0"/>
              <w:spacing w:before="24" w:beforeLines="10" w:after="24" w:afterLines="10" w:line="360" w:lineRule="auto"/>
              <w:ind w:firstLine="412" w:firstLineChars="200"/>
              <w:jc w:val="left"/>
              <w:rPr>
                <w:rFonts w:ascii="Times New Roman" w:hAnsi="Times New Roman" w:eastAsia="宋体" w:cs="Times New Roman"/>
                <w:bCs/>
                <w:snapToGrid w:val="0"/>
                <w:spacing w:val="-2"/>
                <w:kern w:val="0"/>
                <w:sz w:val="21"/>
                <w:szCs w:val="21"/>
              </w:rPr>
            </w:pPr>
            <w:r>
              <w:rPr>
                <w:rFonts w:ascii="Times New Roman" w:hAnsi="Times New Roman" w:eastAsia="宋体" w:cs="Times New Roman"/>
                <w:bCs/>
                <w:snapToGrid w:val="0"/>
                <w:spacing w:val="-2"/>
                <w:kern w:val="0"/>
                <w:sz w:val="21"/>
                <w:szCs w:val="21"/>
              </w:rPr>
              <w:t>B、技术可行性论证</w:t>
            </w:r>
          </w:p>
          <w:p w14:paraId="2E1C3E5F">
            <w:pPr>
              <w:adjustRightInd w:val="0"/>
              <w:snapToGrid w:val="0"/>
              <w:spacing w:line="360" w:lineRule="auto"/>
              <w:ind w:firstLine="422" w:firstLineChars="200"/>
              <w:rPr>
                <w:rFonts w:ascii="Times New Roman" w:hAnsi="Times New Roman" w:eastAsia="宋体" w:cs="Times New Roman"/>
                <w:b/>
                <w:sz w:val="21"/>
                <w:szCs w:val="21"/>
              </w:rPr>
            </w:pPr>
            <w:r>
              <w:rPr>
                <w:rFonts w:hint="eastAsia" w:ascii="Times New Roman" w:hAnsi="Times New Roman" w:eastAsia="宋体" w:cs="Times New Roman"/>
                <w:b/>
                <w:sz w:val="21"/>
                <w:szCs w:val="21"/>
                <w:lang w:val="en-US" w:eastAsia="zh-CN"/>
              </w:rPr>
              <w:t>静电除油吸附</w:t>
            </w:r>
            <w:r>
              <w:rPr>
                <w:rFonts w:hint="eastAsia" w:cs="Times New Roman"/>
                <w:b/>
                <w:sz w:val="21"/>
                <w:szCs w:val="21"/>
                <w:lang w:val="en-US" w:eastAsia="zh-CN"/>
              </w:rPr>
              <w:t>：</w:t>
            </w:r>
          </w:p>
          <w:p w14:paraId="28BD1AA3">
            <w:pPr>
              <w:overflowPunct w:val="0"/>
              <w:adjustRightInd w:val="0"/>
              <w:snapToGrid w:val="0"/>
              <w:spacing w:before="24" w:beforeLines="10" w:after="24" w:afterLines="10" w:line="360" w:lineRule="auto"/>
              <w:ind w:firstLine="412" w:firstLineChars="200"/>
              <w:jc w:val="left"/>
              <w:rPr>
                <w:rFonts w:ascii="Times New Roman" w:hAnsi="Times New Roman" w:eastAsia="宋体" w:cs="Times New Roman"/>
                <w:bCs/>
                <w:snapToGrid w:val="0"/>
                <w:spacing w:val="-2"/>
                <w:kern w:val="0"/>
                <w:sz w:val="21"/>
                <w:szCs w:val="21"/>
              </w:rPr>
            </w:pPr>
            <w:r>
              <w:rPr>
                <w:rFonts w:hint="eastAsia" w:ascii="Times New Roman" w:hAnsi="Times New Roman" w:eastAsia="宋体" w:cs="Times New Roman"/>
                <w:bCs/>
                <w:snapToGrid w:val="0"/>
                <w:spacing w:val="-2"/>
                <w:kern w:val="0"/>
                <w:sz w:val="21"/>
                <w:szCs w:val="21"/>
                <w:lang w:val="en-US" w:eastAsia="zh-CN"/>
              </w:rPr>
              <w:t>经查《排污许可证申请与核发技术规范 化学纤维制造业》（</w:t>
            </w:r>
            <w:r>
              <w:rPr>
                <w:rFonts w:hint="default" w:ascii="Times New Roman" w:hAnsi="Times New Roman" w:eastAsia="宋体" w:cs="Times New Roman"/>
                <w:bCs/>
                <w:snapToGrid w:val="0"/>
                <w:spacing w:val="-2"/>
                <w:kern w:val="0"/>
                <w:sz w:val="21"/>
                <w:szCs w:val="21"/>
                <w:lang w:val="en-US" w:eastAsia="zh-CN"/>
              </w:rPr>
              <w:t>HJ1102-2020</w:t>
            </w:r>
            <w:r>
              <w:rPr>
                <w:rFonts w:hint="eastAsia" w:ascii="Times New Roman" w:hAnsi="Times New Roman" w:eastAsia="宋体" w:cs="Times New Roman"/>
                <w:bCs/>
                <w:snapToGrid w:val="0"/>
                <w:spacing w:val="-2"/>
                <w:kern w:val="0"/>
                <w:sz w:val="21"/>
                <w:szCs w:val="21"/>
                <w:lang w:val="en-US" w:eastAsia="zh-CN"/>
              </w:rPr>
              <w:t>）附录</w:t>
            </w:r>
            <w:r>
              <w:rPr>
                <w:rFonts w:hint="default" w:ascii="Times New Roman" w:hAnsi="Times New Roman" w:eastAsia="宋体" w:cs="Times New Roman"/>
                <w:bCs/>
                <w:snapToGrid w:val="0"/>
                <w:spacing w:val="-2"/>
                <w:kern w:val="0"/>
                <w:sz w:val="21"/>
                <w:szCs w:val="21"/>
                <w:lang w:val="en-US" w:eastAsia="zh-CN"/>
              </w:rPr>
              <w:t>A</w:t>
            </w:r>
            <w:r>
              <w:rPr>
                <w:rFonts w:hint="eastAsia" w:ascii="Times New Roman" w:hAnsi="Times New Roman" w:eastAsia="宋体" w:cs="Times New Roman"/>
                <w:bCs/>
                <w:snapToGrid w:val="0"/>
                <w:spacing w:val="-2"/>
                <w:kern w:val="0"/>
                <w:sz w:val="21"/>
                <w:szCs w:val="21"/>
                <w:lang w:val="en-US" w:eastAsia="zh-CN"/>
              </w:rPr>
              <w:t>，本项目加弹工序产生的油雾采用</w:t>
            </w:r>
            <w:r>
              <w:rPr>
                <w:rFonts w:hint="default" w:ascii="Times New Roman" w:hAnsi="Times New Roman" w:eastAsia="宋体" w:cs="Times New Roman"/>
                <w:bCs/>
                <w:snapToGrid w:val="0"/>
                <w:spacing w:val="-2"/>
                <w:kern w:val="0"/>
                <w:sz w:val="21"/>
                <w:szCs w:val="21"/>
                <w:lang w:val="en-US" w:eastAsia="zh-CN"/>
              </w:rPr>
              <w:t>“</w:t>
            </w:r>
            <w:r>
              <w:rPr>
                <w:rFonts w:hint="eastAsia" w:ascii="Times New Roman" w:hAnsi="Times New Roman" w:eastAsia="宋体" w:cs="Times New Roman"/>
                <w:bCs/>
                <w:snapToGrid w:val="0"/>
                <w:spacing w:val="-2"/>
                <w:kern w:val="0"/>
                <w:sz w:val="21"/>
                <w:szCs w:val="21"/>
                <w:lang w:val="en-US" w:eastAsia="zh-CN"/>
              </w:rPr>
              <w:t>静电除尘</w:t>
            </w:r>
            <w:r>
              <w:rPr>
                <w:rFonts w:hint="default" w:ascii="Times New Roman" w:hAnsi="Times New Roman" w:eastAsia="宋体" w:cs="Times New Roman"/>
                <w:bCs/>
                <w:snapToGrid w:val="0"/>
                <w:spacing w:val="-2"/>
                <w:kern w:val="0"/>
                <w:sz w:val="21"/>
                <w:szCs w:val="21"/>
                <w:lang w:val="en-US" w:eastAsia="zh-CN"/>
              </w:rPr>
              <w:t>”</w:t>
            </w:r>
            <w:r>
              <w:rPr>
                <w:rFonts w:hint="eastAsia" w:ascii="Times New Roman" w:hAnsi="Times New Roman" w:eastAsia="宋体" w:cs="Times New Roman"/>
                <w:bCs/>
                <w:snapToGrid w:val="0"/>
                <w:spacing w:val="-2"/>
                <w:kern w:val="0"/>
                <w:sz w:val="21"/>
                <w:szCs w:val="21"/>
                <w:lang w:val="en-US" w:eastAsia="zh-CN"/>
              </w:rPr>
              <w:t>是可行的</w:t>
            </w:r>
            <w:r>
              <w:rPr>
                <w:rFonts w:hint="eastAsia" w:cs="Times New Roman"/>
                <w:bCs/>
                <w:snapToGrid w:val="0"/>
                <w:spacing w:val="-2"/>
                <w:kern w:val="0"/>
                <w:sz w:val="21"/>
                <w:szCs w:val="21"/>
                <w:lang w:val="en-US" w:eastAsia="zh-CN"/>
              </w:rPr>
              <w:t>。</w:t>
            </w:r>
          </w:p>
          <w:p w14:paraId="73F7B2EE">
            <w:pPr>
              <w:adjustRightInd w:val="0"/>
              <w:snapToGrid w:val="0"/>
              <w:spacing w:line="360" w:lineRule="auto"/>
              <w:ind w:firstLine="422" w:firstLineChars="200"/>
              <w:rPr>
                <w:rFonts w:ascii="Times New Roman" w:hAnsi="Times New Roman" w:eastAsia="宋体" w:cs="Times New Roman"/>
                <w:b/>
                <w:sz w:val="21"/>
                <w:szCs w:val="21"/>
              </w:rPr>
            </w:pPr>
            <w:r>
              <w:rPr>
                <w:rFonts w:ascii="Times New Roman" w:hAnsi="Times New Roman" w:eastAsia="宋体" w:cs="Times New Roman"/>
                <w:b/>
                <w:sz w:val="21"/>
                <w:szCs w:val="21"/>
              </w:rPr>
              <w:t>二级活性炭：</w:t>
            </w:r>
          </w:p>
          <w:p w14:paraId="7619F8B5">
            <w:pPr>
              <w:overflowPunct w:val="0"/>
              <w:adjustRightInd w:val="0"/>
              <w:snapToGrid w:val="0"/>
              <w:spacing w:before="24" w:beforeLines="10" w:after="24" w:afterLines="10" w:line="360" w:lineRule="auto"/>
              <w:ind w:firstLine="412" w:firstLineChars="200"/>
              <w:jc w:val="left"/>
              <w:rPr>
                <w:rFonts w:ascii="Times New Roman" w:hAnsi="Times New Roman" w:eastAsia="宋体" w:cs="Times New Roman"/>
                <w:bCs/>
                <w:snapToGrid w:val="0"/>
                <w:spacing w:val="-2"/>
                <w:kern w:val="0"/>
                <w:sz w:val="21"/>
                <w:szCs w:val="21"/>
              </w:rPr>
            </w:pPr>
            <w:r>
              <w:rPr>
                <w:rFonts w:ascii="Times New Roman" w:hAnsi="Times New Roman" w:eastAsia="宋体" w:cs="Times New Roman"/>
                <w:bCs/>
                <w:snapToGrid w:val="0"/>
                <w:spacing w:val="-2"/>
                <w:kern w:val="0"/>
                <w:sz w:val="21"/>
                <w:szCs w:val="21"/>
              </w:rPr>
              <w:t>根据《吸附法工业有机废气治理工程技术规范》（HJ2026-2013）并结合本项目废气产生实际情况，企业应满足的要求及实施情况如下。</w:t>
            </w:r>
          </w:p>
          <w:p w14:paraId="472C9E37">
            <w:pPr>
              <w:widowControl/>
              <w:topLinePunct/>
              <w:adjustRightInd w:val="0"/>
              <w:snapToGrid w:val="0"/>
              <w:jc w:val="center"/>
              <w:rPr>
                <w:rFonts w:ascii="Times New Roman" w:hAnsi="Times New Roman" w:eastAsia="宋体" w:cs="Times New Roman"/>
                <w:b/>
                <w:kern w:val="0"/>
                <w:sz w:val="21"/>
                <w:szCs w:val="21"/>
              </w:rPr>
            </w:pPr>
            <w:r>
              <w:rPr>
                <w:rFonts w:ascii="Times New Roman" w:hAnsi="Times New Roman" w:eastAsia="宋体" w:cs="Times New Roman"/>
                <w:b/>
                <w:kern w:val="0"/>
                <w:sz w:val="21"/>
                <w:szCs w:val="21"/>
              </w:rPr>
              <w:t>表4-</w:t>
            </w:r>
            <w:r>
              <w:rPr>
                <w:rFonts w:hint="eastAsia" w:cs="Times New Roman"/>
                <w:b/>
                <w:kern w:val="0"/>
                <w:sz w:val="21"/>
                <w:szCs w:val="21"/>
                <w:lang w:val="en-US" w:eastAsia="zh-CN"/>
              </w:rPr>
              <w:t>5</w:t>
            </w:r>
            <w:r>
              <w:rPr>
                <w:rFonts w:ascii="Times New Roman" w:hAnsi="Times New Roman" w:eastAsia="宋体" w:cs="Times New Roman"/>
                <w:b/>
                <w:kern w:val="0"/>
                <w:sz w:val="21"/>
                <w:szCs w:val="21"/>
              </w:rPr>
              <w:t>本项目与《吸附法工业有机废气治理工程技术规范》（HJ2026-2013）相符性分析</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656"/>
              <w:gridCol w:w="4610"/>
              <w:gridCol w:w="2026"/>
            </w:tblGrid>
            <w:tr w14:paraId="41EC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tcBorders>
                    <w:top w:val="single" w:color="auto" w:sz="12" w:space="0"/>
                    <w:left w:val="nil"/>
                  </w:tcBorders>
                  <w:vAlign w:val="center"/>
                </w:tcPr>
                <w:p w14:paraId="16EB3799">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序号</w:t>
                  </w:r>
                </w:p>
              </w:tc>
              <w:tc>
                <w:tcPr>
                  <w:tcW w:w="5266" w:type="dxa"/>
                  <w:gridSpan w:val="2"/>
                  <w:tcBorders>
                    <w:top w:val="single" w:color="auto" w:sz="12" w:space="0"/>
                  </w:tcBorders>
                  <w:vAlign w:val="center"/>
                </w:tcPr>
                <w:p w14:paraId="66932542">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要求</w:t>
                  </w:r>
                </w:p>
              </w:tc>
              <w:tc>
                <w:tcPr>
                  <w:tcW w:w="2026" w:type="dxa"/>
                  <w:tcBorders>
                    <w:top w:val="single" w:color="auto" w:sz="12" w:space="0"/>
                    <w:right w:val="nil"/>
                  </w:tcBorders>
                  <w:vAlign w:val="center"/>
                </w:tcPr>
                <w:p w14:paraId="0BFEB736">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本项目情况</w:t>
                  </w:r>
                </w:p>
              </w:tc>
            </w:tr>
            <w:tr w14:paraId="42C7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tcBorders>
                    <w:left w:val="nil"/>
                  </w:tcBorders>
                  <w:vAlign w:val="center"/>
                </w:tcPr>
                <w:p w14:paraId="48E38431">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1</w:t>
                  </w:r>
                </w:p>
              </w:tc>
              <w:tc>
                <w:tcPr>
                  <w:tcW w:w="656" w:type="dxa"/>
                  <w:vAlign w:val="center"/>
                </w:tcPr>
                <w:p w14:paraId="667B892E">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一般规定</w:t>
                  </w:r>
                </w:p>
              </w:tc>
              <w:tc>
                <w:tcPr>
                  <w:tcW w:w="4610" w:type="dxa"/>
                  <w:vAlign w:val="center"/>
                </w:tcPr>
                <w:p w14:paraId="149F2112">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排气筒的设计应满足GB50051</w:t>
                  </w:r>
                </w:p>
              </w:tc>
              <w:tc>
                <w:tcPr>
                  <w:tcW w:w="2026" w:type="dxa"/>
                  <w:tcBorders>
                    <w:right w:val="nil"/>
                  </w:tcBorders>
                  <w:vAlign w:val="center"/>
                </w:tcPr>
                <w:p w14:paraId="087A8283">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本项目排气筒设计符合标准GB50051</w:t>
                  </w:r>
                </w:p>
              </w:tc>
            </w:tr>
            <w:tr w14:paraId="78FE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Merge w:val="restart"/>
                  <w:tcBorders>
                    <w:left w:val="nil"/>
                  </w:tcBorders>
                  <w:vAlign w:val="center"/>
                </w:tcPr>
                <w:p w14:paraId="2A67E7CB">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2</w:t>
                  </w:r>
                </w:p>
              </w:tc>
              <w:tc>
                <w:tcPr>
                  <w:tcW w:w="656" w:type="dxa"/>
                  <w:vMerge w:val="restart"/>
                  <w:vAlign w:val="center"/>
                </w:tcPr>
                <w:p w14:paraId="214ADF04">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废气收集</w:t>
                  </w:r>
                </w:p>
              </w:tc>
              <w:tc>
                <w:tcPr>
                  <w:tcW w:w="4610" w:type="dxa"/>
                  <w:vAlign w:val="center"/>
                </w:tcPr>
                <w:p w14:paraId="4C1F74FE">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吸附装置的效率不得低于90%</w:t>
                  </w:r>
                </w:p>
              </w:tc>
              <w:tc>
                <w:tcPr>
                  <w:tcW w:w="2026" w:type="dxa"/>
                  <w:tcBorders>
                    <w:right w:val="nil"/>
                  </w:tcBorders>
                  <w:vAlign w:val="center"/>
                </w:tcPr>
                <w:p w14:paraId="23FF3C74">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本项目二级活性炭的处理效率为90%</w:t>
                  </w:r>
                </w:p>
              </w:tc>
            </w:tr>
            <w:tr w14:paraId="13B6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Merge w:val="continue"/>
                  <w:tcBorders>
                    <w:left w:val="nil"/>
                  </w:tcBorders>
                  <w:vAlign w:val="center"/>
                </w:tcPr>
                <w:p w14:paraId="12A1E6A9">
                  <w:pPr>
                    <w:topLinePunct/>
                    <w:spacing w:before="48" w:beforeLines="20" w:after="48" w:afterLines="20"/>
                    <w:jc w:val="center"/>
                    <w:rPr>
                      <w:rFonts w:ascii="Times New Roman" w:hAnsi="Times New Roman" w:eastAsia="宋体" w:cs="Times New Roman"/>
                      <w:snapToGrid w:val="0"/>
                      <w:sz w:val="18"/>
                      <w:szCs w:val="18"/>
                    </w:rPr>
                  </w:pPr>
                </w:p>
              </w:tc>
              <w:tc>
                <w:tcPr>
                  <w:tcW w:w="656" w:type="dxa"/>
                  <w:vMerge w:val="continue"/>
                  <w:vAlign w:val="center"/>
                </w:tcPr>
                <w:p w14:paraId="37797759">
                  <w:pPr>
                    <w:topLinePunct/>
                    <w:spacing w:before="48" w:beforeLines="20" w:after="48" w:afterLines="20"/>
                    <w:jc w:val="center"/>
                    <w:rPr>
                      <w:rFonts w:ascii="Times New Roman" w:hAnsi="Times New Roman" w:eastAsia="宋体" w:cs="Times New Roman"/>
                      <w:snapToGrid w:val="0"/>
                      <w:sz w:val="18"/>
                      <w:szCs w:val="18"/>
                    </w:rPr>
                  </w:pPr>
                </w:p>
              </w:tc>
              <w:tc>
                <w:tcPr>
                  <w:tcW w:w="4610" w:type="dxa"/>
                  <w:vAlign w:val="center"/>
                </w:tcPr>
                <w:p w14:paraId="2046F6AD">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废气收集系统设计应符合GB50019的规定</w:t>
                  </w:r>
                </w:p>
              </w:tc>
              <w:tc>
                <w:tcPr>
                  <w:tcW w:w="2026" w:type="dxa"/>
                  <w:tcBorders>
                    <w:right w:val="nil"/>
                  </w:tcBorders>
                  <w:vAlign w:val="center"/>
                </w:tcPr>
                <w:p w14:paraId="1CB1BC5F">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本项目废气收集系统设计应符合GB50019的规定，符合规范要求</w:t>
                  </w:r>
                </w:p>
              </w:tc>
            </w:tr>
            <w:tr w14:paraId="7CAC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633" w:type="dxa"/>
                  <w:vMerge w:val="continue"/>
                  <w:tcBorders>
                    <w:left w:val="nil"/>
                  </w:tcBorders>
                  <w:vAlign w:val="center"/>
                </w:tcPr>
                <w:p w14:paraId="2C94B0F2">
                  <w:pPr>
                    <w:topLinePunct/>
                    <w:spacing w:before="48" w:beforeLines="20" w:after="48" w:afterLines="20"/>
                    <w:jc w:val="center"/>
                    <w:rPr>
                      <w:rFonts w:ascii="Times New Roman" w:hAnsi="Times New Roman" w:eastAsia="宋体" w:cs="Times New Roman"/>
                      <w:snapToGrid w:val="0"/>
                      <w:sz w:val="18"/>
                      <w:szCs w:val="18"/>
                    </w:rPr>
                  </w:pPr>
                </w:p>
              </w:tc>
              <w:tc>
                <w:tcPr>
                  <w:tcW w:w="656" w:type="dxa"/>
                  <w:vMerge w:val="continue"/>
                  <w:vAlign w:val="center"/>
                </w:tcPr>
                <w:p w14:paraId="30428FDC">
                  <w:pPr>
                    <w:topLinePunct/>
                    <w:spacing w:before="48" w:beforeLines="20" w:after="48" w:afterLines="20"/>
                    <w:jc w:val="center"/>
                    <w:rPr>
                      <w:rFonts w:ascii="Times New Roman" w:hAnsi="Times New Roman" w:eastAsia="宋体" w:cs="Times New Roman"/>
                      <w:snapToGrid w:val="0"/>
                      <w:sz w:val="18"/>
                      <w:szCs w:val="18"/>
                    </w:rPr>
                  </w:pPr>
                </w:p>
              </w:tc>
              <w:tc>
                <w:tcPr>
                  <w:tcW w:w="4610" w:type="dxa"/>
                  <w:vAlign w:val="center"/>
                </w:tcPr>
                <w:p w14:paraId="5340D0EE">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应尽可能利用主体生产装置本身的废气收集系统进行收集。集气罩的配置应与生产工艺协调一致，不影响工艺操作。在保证收集能力的前提下，应结构简单，便于安装和维护管理</w:t>
                  </w:r>
                </w:p>
              </w:tc>
              <w:tc>
                <w:tcPr>
                  <w:tcW w:w="2026" w:type="dxa"/>
                  <w:tcBorders>
                    <w:right w:val="nil"/>
                  </w:tcBorders>
                  <w:vAlign w:val="center"/>
                </w:tcPr>
                <w:p w14:paraId="6CC12F94">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符合规范要求</w:t>
                  </w:r>
                </w:p>
              </w:tc>
            </w:tr>
            <w:tr w14:paraId="6D1F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Merge w:val="continue"/>
                  <w:tcBorders>
                    <w:left w:val="nil"/>
                  </w:tcBorders>
                  <w:vAlign w:val="center"/>
                </w:tcPr>
                <w:p w14:paraId="42737F6E">
                  <w:pPr>
                    <w:topLinePunct/>
                    <w:spacing w:before="48" w:beforeLines="20" w:after="48" w:afterLines="20"/>
                    <w:jc w:val="center"/>
                    <w:rPr>
                      <w:rFonts w:ascii="Times New Roman" w:hAnsi="Times New Roman" w:eastAsia="宋体" w:cs="Times New Roman"/>
                      <w:snapToGrid w:val="0"/>
                      <w:sz w:val="18"/>
                      <w:szCs w:val="18"/>
                    </w:rPr>
                  </w:pPr>
                </w:p>
              </w:tc>
              <w:tc>
                <w:tcPr>
                  <w:tcW w:w="656" w:type="dxa"/>
                  <w:vMerge w:val="continue"/>
                  <w:vAlign w:val="center"/>
                </w:tcPr>
                <w:p w14:paraId="0BF2EA69">
                  <w:pPr>
                    <w:topLinePunct/>
                    <w:spacing w:before="48" w:beforeLines="20" w:after="48" w:afterLines="20"/>
                    <w:jc w:val="center"/>
                    <w:rPr>
                      <w:rFonts w:ascii="Times New Roman" w:hAnsi="Times New Roman" w:eastAsia="宋体" w:cs="Times New Roman"/>
                      <w:snapToGrid w:val="0"/>
                      <w:sz w:val="18"/>
                      <w:szCs w:val="18"/>
                    </w:rPr>
                  </w:pPr>
                </w:p>
              </w:tc>
              <w:tc>
                <w:tcPr>
                  <w:tcW w:w="4610" w:type="dxa"/>
                  <w:vAlign w:val="center"/>
                </w:tcPr>
                <w:p w14:paraId="0A0AB2F1">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确定集气罩的吸气口装置、结构和风速时，应使罩口呈微负压状态，且罩内负压均匀。</w:t>
                  </w:r>
                </w:p>
              </w:tc>
              <w:tc>
                <w:tcPr>
                  <w:tcW w:w="2026" w:type="dxa"/>
                  <w:tcBorders>
                    <w:right w:val="nil"/>
                  </w:tcBorders>
                  <w:vAlign w:val="center"/>
                </w:tcPr>
                <w:p w14:paraId="6B1CCA97">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符合规范要求</w:t>
                  </w:r>
                </w:p>
              </w:tc>
            </w:tr>
            <w:tr w14:paraId="2157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Merge w:val="continue"/>
                  <w:tcBorders>
                    <w:left w:val="nil"/>
                  </w:tcBorders>
                  <w:vAlign w:val="center"/>
                </w:tcPr>
                <w:p w14:paraId="15C7C9CA">
                  <w:pPr>
                    <w:topLinePunct/>
                    <w:spacing w:before="48" w:beforeLines="20" w:after="48" w:afterLines="20"/>
                    <w:jc w:val="center"/>
                    <w:rPr>
                      <w:rFonts w:ascii="Times New Roman" w:hAnsi="Times New Roman" w:eastAsia="宋体" w:cs="Times New Roman"/>
                      <w:snapToGrid w:val="0"/>
                      <w:sz w:val="18"/>
                      <w:szCs w:val="18"/>
                    </w:rPr>
                  </w:pPr>
                </w:p>
              </w:tc>
              <w:tc>
                <w:tcPr>
                  <w:tcW w:w="656" w:type="dxa"/>
                  <w:vMerge w:val="continue"/>
                  <w:vAlign w:val="center"/>
                </w:tcPr>
                <w:p w14:paraId="7571CBEC">
                  <w:pPr>
                    <w:topLinePunct/>
                    <w:spacing w:before="48" w:beforeLines="20" w:after="48" w:afterLines="20"/>
                    <w:jc w:val="center"/>
                    <w:rPr>
                      <w:rFonts w:ascii="Times New Roman" w:hAnsi="Times New Roman" w:eastAsia="宋体" w:cs="Times New Roman"/>
                      <w:snapToGrid w:val="0"/>
                      <w:sz w:val="18"/>
                      <w:szCs w:val="18"/>
                    </w:rPr>
                  </w:pPr>
                </w:p>
              </w:tc>
              <w:tc>
                <w:tcPr>
                  <w:tcW w:w="4610" w:type="dxa"/>
                  <w:vAlign w:val="center"/>
                </w:tcPr>
                <w:p w14:paraId="399B5821">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集气罩的吸气方向应尽可能与污染气流运动方向一致，防止吸气罩周围气流紊乱，避免或减弱干扰气流和送风气流等对吸气气流的影响。</w:t>
                  </w:r>
                </w:p>
              </w:tc>
              <w:tc>
                <w:tcPr>
                  <w:tcW w:w="2026" w:type="dxa"/>
                  <w:tcBorders>
                    <w:right w:val="nil"/>
                  </w:tcBorders>
                  <w:vAlign w:val="center"/>
                </w:tcPr>
                <w:p w14:paraId="7EC2CD66">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符合规范要求</w:t>
                  </w:r>
                </w:p>
              </w:tc>
            </w:tr>
            <w:tr w14:paraId="73BA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Merge w:val="continue"/>
                  <w:tcBorders>
                    <w:left w:val="nil"/>
                  </w:tcBorders>
                  <w:vAlign w:val="center"/>
                </w:tcPr>
                <w:p w14:paraId="2C3A443C">
                  <w:pPr>
                    <w:topLinePunct/>
                    <w:spacing w:before="48" w:beforeLines="20" w:after="48" w:afterLines="20"/>
                    <w:jc w:val="center"/>
                    <w:rPr>
                      <w:rFonts w:ascii="Times New Roman" w:hAnsi="Times New Roman" w:eastAsia="宋体" w:cs="Times New Roman"/>
                      <w:snapToGrid w:val="0"/>
                      <w:sz w:val="18"/>
                      <w:szCs w:val="18"/>
                    </w:rPr>
                  </w:pPr>
                </w:p>
              </w:tc>
              <w:tc>
                <w:tcPr>
                  <w:tcW w:w="656" w:type="dxa"/>
                  <w:vMerge w:val="continue"/>
                  <w:vAlign w:val="center"/>
                </w:tcPr>
                <w:p w14:paraId="52A4F54D">
                  <w:pPr>
                    <w:topLinePunct/>
                    <w:spacing w:before="48" w:beforeLines="20" w:after="48" w:afterLines="20"/>
                    <w:jc w:val="center"/>
                    <w:rPr>
                      <w:rFonts w:ascii="Times New Roman" w:hAnsi="Times New Roman" w:eastAsia="宋体" w:cs="Times New Roman"/>
                      <w:snapToGrid w:val="0"/>
                      <w:sz w:val="18"/>
                      <w:szCs w:val="18"/>
                    </w:rPr>
                  </w:pPr>
                </w:p>
              </w:tc>
              <w:tc>
                <w:tcPr>
                  <w:tcW w:w="4610" w:type="dxa"/>
                  <w:vAlign w:val="center"/>
                </w:tcPr>
                <w:p w14:paraId="52228FF8">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当废气产生点较多、彼此距离较远时，应适当分设多套收集系统</w:t>
                  </w:r>
                </w:p>
              </w:tc>
              <w:tc>
                <w:tcPr>
                  <w:tcW w:w="2026" w:type="dxa"/>
                  <w:tcBorders>
                    <w:right w:val="nil"/>
                  </w:tcBorders>
                  <w:vAlign w:val="center"/>
                </w:tcPr>
                <w:p w14:paraId="14819AFA">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本项目产废气工段设置</w:t>
                  </w:r>
                  <w:r>
                    <w:rPr>
                      <w:rFonts w:hint="eastAsia" w:ascii="Times New Roman" w:hAnsi="Times New Roman" w:eastAsia="宋体" w:cs="Times New Roman"/>
                      <w:snapToGrid w:val="0"/>
                      <w:sz w:val="18"/>
                      <w:szCs w:val="18"/>
                      <w:lang w:val="en-US" w:eastAsia="zh-CN"/>
                    </w:rPr>
                    <w:t>通风橱</w:t>
                  </w:r>
                  <w:r>
                    <w:rPr>
                      <w:rFonts w:ascii="Times New Roman" w:hAnsi="Times New Roman" w:eastAsia="宋体" w:cs="Times New Roman"/>
                      <w:snapToGrid w:val="0"/>
                      <w:sz w:val="18"/>
                      <w:szCs w:val="18"/>
                    </w:rPr>
                    <w:t>，满足要求</w:t>
                  </w:r>
                </w:p>
              </w:tc>
            </w:tr>
            <w:tr w14:paraId="195D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tcBorders>
                    <w:left w:val="nil"/>
                  </w:tcBorders>
                  <w:vAlign w:val="center"/>
                </w:tcPr>
                <w:p w14:paraId="64557E36">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3</w:t>
                  </w:r>
                </w:p>
              </w:tc>
              <w:tc>
                <w:tcPr>
                  <w:tcW w:w="656" w:type="dxa"/>
                  <w:vAlign w:val="center"/>
                </w:tcPr>
                <w:p w14:paraId="7DD30748">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预处理</w:t>
                  </w:r>
                </w:p>
              </w:tc>
              <w:tc>
                <w:tcPr>
                  <w:tcW w:w="4610" w:type="dxa"/>
                  <w:vAlign w:val="center"/>
                </w:tcPr>
                <w:p w14:paraId="70CB6CF1">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预处理设备应根据废气的成分、性质和影响吸附过程的物质性质及含量进行选择；当废气中颗粒物含量超过1mg/m³时，应先采用过滤或洗涤等方式进行预处理；当废气中含有吸附后难以脱附或造成吸附剂中毒的成分时，应采用洗涤或预吸附等预处理方式处理；过滤装置两端应装设压差计，当过滤器的阻力超过规定值时应及时清理或更换过滤材料</w:t>
                  </w:r>
                </w:p>
              </w:tc>
              <w:tc>
                <w:tcPr>
                  <w:tcW w:w="2026" w:type="dxa"/>
                  <w:tcBorders>
                    <w:right w:val="nil"/>
                  </w:tcBorders>
                  <w:vAlign w:val="center"/>
                </w:tcPr>
                <w:p w14:paraId="401D9DBE">
                  <w:pPr>
                    <w:spacing w:before="24" w:beforeLines="10" w:after="24" w:afterLines="10"/>
                    <w:jc w:val="center"/>
                    <w:rPr>
                      <w:rFonts w:ascii="Times New Roman" w:hAnsi="Times New Roman" w:eastAsia="宋体" w:cs="Times New Roman"/>
                      <w:snapToGrid w:val="0"/>
                      <w:sz w:val="18"/>
                      <w:szCs w:val="18"/>
                    </w:rPr>
                  </w:pPr>
                  <w:r>
                    <w:rPr>
                      <w:rFonts w:ascii="Times New Roman" w:hAnsi="Times New Roman" w:eastAsia="宋体" w:cs="Times New Roman"/>
                      <w:sz w:val="18"/>
                      <w:szCs w:val="18"/>
                    </w:rPr>
                    <w:t>本项目</w:t>
                  </w:r>
                  <w:r>
                    <w:rPr>
                      <w:rFonts w:hint="eastAsia" w:ascii="Times New Roman" w:hAnsi="Times New Roman" w:eastAsia="宋体" w:cs="Times New Roman"/>
                      <w:sz w:val="18"/>
                      <w:szCs w:val="18"/>
                    </w:rPr>
                    <w:t>废气</w:t>
                  </w:r>
                  <w:r>
                    <w:rPr>
                      <w:rFonts w:hint="eastAsia" w:cs="Times New Roman"/>
                      <w:sz w:val="18"/>
                      <w:szCs w:val="18"/>
                      <w:lang w:val="en-US" w:eastAsia="zh-CN"/>
                    </w:rPr>
                    <w:t>为颗粒物及非甲烷总烃，在活性炭之前已经采取静电除油装置，对颗粒物（油雾）进行处理</w:t>
                  </w:r>
                  <w:r>
                    <w:rPr>
                      <w:rFonts w:hint="eastAsia" w:ascii="Times New Roman" w:hAnsi="Times New Roman" w:eastAsia="宋体" w:cs="Times New Roman"/>
                      <w:sz w:val="18"/>
                      <w:szCs w:val="18"/>
                      <w:lang w:eastAsia="zh-CN"/>
                    </w:rPr>
                    <w:t>。</w:t>
                  </w:r>
                </w:p>
              </w:tc>
            </w:tr>
            <w:tr w14:paraId="21A5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tcBorders>
                    <w:left w:val="nil"/>
                  </w:tcBorders>
                  <w:vAlign w:val="center"/>
                </w:tcPr>
                <w:p w14:paraId="10747934">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4</w:t>
                  </w:r>
                </w:p>
              </w:tc>
              <w:tc>
                <w:tcPr>
                  <w:tcW w:w="656" w:type="dxa"/>
                  <w:vAlign w:val="center"/>
                </w:tcPr>
                <w:p w14:paraId="1900B990">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吸附剂的选择</w:t>
                  </w:r>
                </w:p>
              </w:tc>
              <w:tc>
                <w:tcPr>
                  <w:tcW w:w="4610" w:type="dxa"/>
                  <w:vAlign w:val="center"/>
                </w:tcPr>
                <w:p w14:paraId="39BB0DDD">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固定床吸附装置吸附层的气体流速应根据吸附剂的形态确定。采用颗粒状吸附剂时，气体流速宜低于0.60m/s；</w:t>
                  </w:r>
                </w:p>
              </w:tc>
              <w:tc>
                <w:tcPr>
                  <w:tcW w:w="2026" w:type="dxa"/>
                  <w:tcBorders>
                    <w:right w:val="nil"/>
                  </w:tcBorders>
                  <w:vAlign w:val="center"/>
                </w:tcPr>
                <w:p w14:paraId="44517F81">
                  <w:pPr>
                    <w:spacing w:before="24" w:beforeLines="10" w:after="24" w:afterLines="10"/>
                    <w:jc w:val="center"/>
                    <w:rPr>
                      <w:rFonts w:ascii="Times New Roman" w:hAnsi="Times New Roman" w:eastAsia="宋体" w:cs="Times New Roman"/>
                      <w:snapToGrid w:val="0"/>
                      <w:sz w:val="18"/>
                      <w:szCs w:val="18"/>
                    </w:rPr>
                  </w:pPr>
                  <w:r>
                    <w:rPr>
                      <w:rFonts w:ascii="Times New Roman" w:hAnsi="Times New Roman" w:eastAsia="宋体" w:cs="Times New Roman"/>
                      <w:sz w:val="18"/>
                      <w:szCs w:val="18"/>
                    </w:rPr>
                    <w:t>本项目采用颗粒状吸附剂，气体在活性炭吸附设备中的流速经计算为0.</w:t>
                  </w:r>
                  <w:r>
                    <w:rPr>
                      <w:rFonts w:hint="eastAsia" w:cs="Times New Roman"/>
                      <w:sz w:val="18"/>
                      <w:szCs w:val="18"/>
                      <w:lang w:val="en-US" w:eastAsia="zh-CN"/>
                    </w:rPr>
                    <w:t>3</w:t>
                  </w:r>
                  <w:r>
                    <w:rPr>
                      <w:rFonts w:ascii="Times New Roman" w:hAnsi="Times New Roman" w:eastAsia="宋体" w:cs="Times New Roman"/>
                      <w:sz w:val="18"/>
                      <w:szCs w:val="18"/>
                    </w:rPr>
                    <w:t>m/s，符合规范要求</w:t>
                  </w:r>
                </w:p>
              </w:tc>
            </w:tr>
            <w:tr w14:paraId="76E3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Merge w:val="restart"/>
                  <w:tcBorders>
                    <w:left w:val="nil"/>
                  </w:tcBorders>
                  <w:vAlign w:val="center"/>
                </w:tcPr>
                <w:p w14:paraId="43E88BDF">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5</w:t>
                  </w:r>
                </w:p>
              </w:tc>
              <w:tc>
                <w:tcPr>
                  <w:tcW w:w="656" w:type="dxa"/>
                  <w:vMerge w:val="restart"/>
                  <w:vAlign w:val="center"/>
                </w:tcPr>
                <w:p w14:paraId="5D793A50">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二次污染物控制</w:t>
                  </w:r>
                </w:p>
              </w:tc>
              <w:tc>
                <w:tcPr>
                  <w:tcW w:w="4610" w:type="dxa"/>
                  <w:vAlign w:val="center"/>
                </w:tcPr>
                <w:p w14:paraId="442B01B1">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预处理产生的粉尘和废渣以及更换后的过滤材料、吸附剂的处理应符合国家固体废弃物处理与处置的相关规定。</w:t>
                  </w:r>
                </w:p>
              </w:tc>
              <w:tc>
                <w:tcPr>
                  <w:tcW w:w="2026" w:type="dxa"/>
                  <w:tcBorders>
                    <w:right w:val="nil"/>
                  </w:tcBorders>
                  <w:vAlign w:val="center"/>
                </w:tcPr>
                <w:p w14:paraId="6C97E75C">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本项目废活性炭</w:t>
                  </w:r>
                  <w:r>
                    <w:rPr>
                      <w:rFonts w:hint="eastAsia" w:ascii="Times New Roman" w:hAnsi="Times New Roman" w:eastAsia="宋体" w:cs="Times New Roman"/>
                      <w:snapToGrid w:val="0"/>
                      <w:sz w:val="18"/>
                      <w:szCs w:val="18"/>
                      <w:lang w:eastAsia="zh-CN"/>
                    </w:rPr>
                    <w:t>交由</w:t>
                  </w:r>
                  <w:r>
                    <w:rPr>
                      <w:rFonts w:ascii="Times New Roman" w:hAnsi="Times New Roman" w:eastAsia="宋体" w:cs="Times New Roman"/>
                      <w:snapToGrid w:val="0"/>
                      <w:sz w:val="18"/>
                      <w:szCs w:val="18"/>
                    </w:rPr>
                    <w:t>资质单位处理，符合规范要求</w:t>
                  </w:r>
                </w:p>
              </w:tc>
            </w:tr>
            <w:tr w14:paraId="1AAF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Merge w:val="continue"/>
                  <w:tcBorders>
                    <w:left w:val="nil"/>
                    <w:bottom w:val="single" w:color="auto" w:sz="12" w:space="0"/>
                  </w:tcBorders>
                  <w:vAlign w:val="center"/>
                </w:tcPr>
                <w:p w14:paraId="738B93DD">
                  <w:pPr>
                    <w:topLinePunct/>
                    <w:spacing w:before="48" w:beforeLines="20" w:after="48" w:afterLines="20"/>
                    <w:jc w:val="center"/>
                    <w:rPr>
                      <w:rFonts w:ascii="Times New Roman" w:hAnsi="Times New Roman" w:eastAsia="宋体" w:cs="Times New Roman"/>
                      <w:snapToGrid w:val="0"/>
                      <w:sz w:val="18"/>
                      <w:szCs w:val="18"/>
                    </w:rPr>
                  </w:pPr>
                </w:p>
              </w:tc>
              <w:tc>
                <w:tcPr>
                  <w:tcW w:w="656" w:type="dxa"/>
                  <w:vMerge w:val="continue"/>
                  <w:tcBorders>
                    <w:bottom w:val="single" w:color="auto" w:sz="12" w:space="0"/>
                  </w:tcBorders>
                  <w:vAlign w:val="center"/>
                </w:tcPr>
                <w:p w14:paraId="4B863373">
                  <w:pPr>
                    <w:topLinePunct/>
                    <w:spacing w:before="48" w:beforeLines="20" w:after="48" w:afterLines="20"/>
                    <w:jc w:val="center"/>
                    <w:rPr>
                      <w:rFonts w:ascii="Times New Roman" w:hAnsi="Times New Roman" w:eastAsia="宋体" w:cs="Times New Roman"/>
                      <w:snapToGrid w:val="0"/>
                      <w:sz w:val="18"/>
                      <w:szCs w:val="18"/>
                    </w:rPr>
                  </w:pPr>
                </w:p>
              </w:tc>
              <w:tc>
                <w:tcPr>
                  <w:tcW w:w="4610" w:type="dxa"/>
                  <w:tcBorders>
                    <w:bottom w:val="single" w:color="auto" w:sz="12" w:space="0"/>
                  </w:tcBorders>
                  <w:vAlign w:val="center"/>
                </w:tcPr>
                <w:p w14:paraId="24FA634F">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噪声控制应符合GBJ87和GB12348的规定</w:t>
                  </w:r>
                </w:p>
              </w:tc>
              <w:tc>
                <w:tcPr>
                  <w:tcW w:w="2026" w:type="dxa"/>
                  <w:tcBorders>
                    <w:bottom w:val="single" w:color="auto" w:sz="12" w:space="0"/>
                    <w:right w:val="nil"/>
                  </w:tcBorders>
                  <w:vAlign w:val="center"/>
                </w:tcPr>
                <w:p w14:paraId="110519FC">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噪声控制符合GBJ87和GB12348的规定，符合规范要求</w:t>
                  </w:r>
                </w:p>
              </w:tc>
            </w:tr>
          </w:tbl>
          <w:p w14:paraId="5CB0B021">
            <w:pPr>
              <w:overflowPunct w:val="0"/>
              <w:adjustRightInd w:val="0"/>
              <w:snapToGrid w:val="0"/>
              <w:spacing w:before="24" w:beforeLines="10" w:after="24" w:afterLines="10" w:line="360" w:lineRule="auto"/>
              <w:ind w:firstLine="412" w:firstLineChars="200"/>
              <w:jc w:val="left"/>
              <w:rPr>
                <w:rFonts w:ascii="Times New Roman" w:hAnsi="Times New Roman" w:eastAsia="宋体" w:cs="Times New Roman"/>
                <w:bCs/>
                <w:snapToGrid w:val="0"/>
                <w:spacing w:val="-2"/>
                <w:kern w:val="0"/>
                <w:sz w:val="21"/>
                <w:szCs w:val="21"/>
              </w:rPr>
            </w:pPr>
            <w:r>
              <w:rPr>
                <w:rFonts w:ascii="Times New Roman" w:hAnsi="Times New Roman" w:eastAsia="宋体" w:cs="Times New Roman"/>
                <w:bCs/>
                <w:snapToGrid w:val="0"/>
                <w:spacing w:val="-2"/>
                <w:kern w:val="0"/>
                <w:sz w:val="21"/>
                <w:szCs w:val="21"/>
              </w:rPr>
              <w:t>综上，本项目采用二级活性炭处理非甲烷总烃废气具有技术可行性。</w:t>
            </w:r>
          </w:p>
          <w:p w14:paraId="57892BD6">
            <w:pPr>
              <w:overflowPunct w:val="0"/>
              <w:adjustRightInd w:val="0"/>
              <w:snapToGrid w:val="0"/>
              <w:spacing w:before="24" w:beforeLines="10" w:after="24" w:afterLines="10" w:line="360" w:lineRule="auto"/>
              <w:ind w:firstLine="412" w:firstLineChars="200"/>
              <w:jc w:val="left"/>
              <w:rPr>
                <w:rFonts w:ascii="Times New Roman" w:hAnsi="Times New Roman" w:eastAsia="宋体" w:cs="Times New Roman"/>
                <w:bCs/>
                <w:snapToGrid w:val="0"/>
                <w:spacing w:val="-2"/>
                <w:kern w:val="0"/>
                <w:sz w:val="21"/>
                <w:szCs w:val="21"/>
              </w:rPr>
            </w:pPr>
            <w:r>
              <w:rPr>
                <w:rFonts w:ascii="Times New Roman" w:hAnsi="Times New Roman" w:eastAsia="宋体" w:cs="Times New Roman"/>
                <w:bCs/>
                <w:snapToGrid w:val="0"/>
                <w:spacing w:val="-2"/>
                <w:kern w:val="0"/>
                <w:sz w:val="21"/>
                <w:szCs w:val="21"/>
              </w:rPr>
              <w:t>C、经济可行性论证</w:t>
            </w:r>
          </w:p>
          <w:p w14:paraId="05EBAA58">
            <w:pPr>
              <w:adjustRightInd w:val="0"/>
              <w:snapToGrid w:val="0"/>
              <w:spacing w:line="360" w:lineRule="auto"/>
              <w:ind w:firstLine="422" w:firstLineChars="200"/>
              <w:rPr>
                <w:rFonts w:ascii="Times New Roman" w:hAnsi="Times New Roman" w:eastAsia="宋体" w:cs="Times New Roman"/>
                <w:b/>
                <w:sz w:val="21"/>
                <w:szCs w:val="21"/>
              </w:rPr>
            </w:pPr>
            <w:r>
              <w:rPr>
                <w:rFonts w:hint="eastAsia" w:cs="Times New Roman"/>
                <w:b/>
                <w:sz w:val="21"/>
                <w:szCs w:val="21"/>
                <w:lang w:val="en-US" w:eastAsia="zh-CN"/>
              </w:rPr>
              <w:t>静电除油+</w:t>
            </w:r>
            <w:r>
              <w:rPr>
                <w:rFonts w:ascii="Times New Roman" w:hAnsi="Times New Roman" w:eastAsia="宋体" w:cs="Times New Roman"/>
                <w:b/>
                <w:sz w:val="21"/>
                <w:szCs w:val="21"/>
              </w:rPr>
              <w:t>二级活性炭：</w:t>
            </w:r>
          </w:p>
          <w:p w14:paraId="4DD3F7F7">
            <w:pPr>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color w:val="auto"/>
                <w:sz w:val="21"/>
                <w:szCs w:val="21"/>
              </w:rPr>
              <w:t>本项目设置一</w:t>
            </w:r>
            <w:r>
              <w:rPr>
                <w:rFonts w:hint="eastAsia" w:cs="Times New Roman"/>
                <w:bCs/>
                <w:color w:val="auto"/>
                <w:sz w:val="21"/>
                <w:szCs w:val="21"/>
                <w:lang w:val="en-US" w:eastAsia="zh-CN"/>
              </w:rPr>
              <w:t>套静电除油+</w:t>
            </w:r>
            <w:r>
              <w:rPr>
                <w:rFonts w:ascii="Times New Roman" w:hAnsi="Times New Roman" w:eastAsia="宋体" w:cs="Times New Roman"/>
                <w:bCs/>
                <w:color w:val="auto"/>
                <w:sz w:val="21"/>
                <w:szCs w:val="21"/>
              </w:rPr>
              <w:t>二级活性炭处理设施处理有机废气，该设备一次性投入</w:t>
            </w:r>
            <w:r>
              <w:rPr>
                <w:rFonts w:hint="eastAsia" w:ascii="Times New Roman" w:hAnsi="Times New Roman" w:eastAsia="宋体" w:cs="Times New Roman"/>
                <w:bCs/>
                <w:color w:val="auto"/>
                <w:sz w:val="21"/>
                <w:szCs w:val="21"/>
                <w:lang w:val="en-US" w:eastAsia="zh-CN"/>
              </w:rPr>
              <w:t>2</w:t>
            </w:r>
            <w:r>
              <w:rPr>
                <w:rFonts w:ascii="Times New Roman" w:hAnsi="Times New Roman" w:eastAsia="宋体" w:cs="Times New Roman"/>
                <w:bCs/>
                <w:color w:val="auto"/>
                <w:sz w:val="21"/>
                <w:szCs w:val="21"/>
              </w:rPr>
              <w:t>0万元，运行</w:t>
            </w:r>
            <w:r>
              <w:rPr>
                <w:rFonts w:ascii="Times New Roman" w:hAnsi="Times New Roman" w:eastAsia="宋体" w:cs="Times New Roman"/>
                <w:bCs/>
                <w:sz w:val="21"/>
                <w:szCs w:val="21"/>
              </w:rPr>
              <w:t>电费10万元/年，主体设备需专人管理和定期维护，定期维护费用1万元/年，检修费用0.2万元/年、活性炭更换费用2万元/年，故费用合计一年约13.2万元。企业完全有能力承担该部分费用，故使用</w:t>
            </w:r>
            <w:r>
              <w:rPr>
                <w:rFonts w:hint="eastAsia" w:ascii="Times New Roman" w:hAnsi="Times New Roman" w:eastAsia="宋体" w:cs="Times New Roman"/>
                <w:bCs/>
                <w:sz w:val="21"/>
                <w:szCs w:val="21"/>
                <w:lang w:val="en-US" w:eastAsia="zh-CN"/>
              </w:rPr>
              <w:t>静电除油+</w:t>
            </w:r>
            <w:r>
              <w:rPr>
                <w:rFonts w:ascii="Times New Roman" w:hAnsi="Times New Roman" w:eastAsia="宋体" w:cs="Times New Roman"/>
                <w:bCs/>
                <w:sz w:val="21"/>
                <w:szCs w:val="21"/>
              </w:rPr>
              <w:t>二级活性炭装置具有经济可行性。</w:t>
            </w:r>
          </w:p>
          <w:p w14:paraId="463E945D">
            <w:pPr>
              <w:adjustRightInd w:val="0"/>
              <w:snapToGrid w:val="0"/>
              <w:spacing w:line="360" w:lineRule="auto"/>
              <w:rPr>
                <w:rFonts w:ascii="Times New Roman" w:hAnsi="Times New Roman" w:eastAsia="宋体" w:cs="Times New Roman"/>
                <w:b/>
                <w:sz w:val="21"/>
                <w:szCs w:val="21"/>
              </w:rPr>
            </w:pPr>
            <w:r>
              <w:rPr>
                <w:rFonts w:hint="eastAsia" w:cs="Times New Roman"/>
                <w:b/>
                <w:sz w:val="21"/>
                <w:szCs w:val="21"/>
                <w:lang w:val="en-US" w:eastAsia="zh-CN"/>
              </w:rPr>
              <w:t>1.3</w:t>
            </w:r>
            <w:r>
              <w:rPr>
                <w:rFonts w:ascii="Times New Roman" w:hAnsi="Times New Roman" w:eastAsia="宋体" w:cs="Times New Roman"/>
                <w:b/>
                <w:sz w:val="21"/>
                <w:szCs w:val="21"/>
              </w:rPr>
              <w:t>非正常排放</w:t>
            </w:r>
          </w:p>
          <w:p w14:paraId="6B11919A">
            <w:pPr>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sz w:val="21"/>
                <w:szCs w:val="21"/>
              </w:rPr>
              <w:t>建设项目非正常工况是指生产运行阶段的开工、停工及维修或环保设施达不到设计规定指标等工况。</w:t>
            </w:r>
          </w:p>
          <w:p w14:paraId="28BA435D">
            <w:pPr>
              <w:adjustRightInd w:val="0"/>
              <w:snapToGrid w:val="0"/>
              <w:spacing w:line="360" w:lineRule="auto"/>
              <w:ind w:firstLine="420" w:firstLineChars="200"/>
              <w:rPr>
                <w:rFonts w:ascii="Times New Roman" w:hAnsi="Times New Roman" w:eastAsia="宋体" w:cs="Times New Roman"/>
                <w:sz w:val="21"/>
                <w:szCs w:val="21"/>
              </w:rPr>
            </w:pPr>
            <w:r>
              <w:rPr>
                <w:rFonts w:ascii="Times New Roman" w:hAnsi="Times New Roman" w:eastAsia="宋体" w:cs="Times New Roman"/>
                <w:bCs/>
                <w:sz w:val="21"/>
                <w:szCs w:val="21"/>
              </w:rPr>
              <w:t>本</w:t>
            </w:r>
            <w:r>
              <w:rPr>
                <w:rFonts w:ascii="Times New Roman" w:hAnsi="Times New Roman" w:eastAsia="宋体" w:cs="Times New Roman"/>
                <w:bCs/>
                <w:color w:val="auto"/>
                <w:sz w:val="21"/>
                <w:szCs w:val="21"/>
              </w:rPr>
              <w:t>项目设定有开停工管理制度，每班作业开始或结束时严格按照操作规程，基本无废气</w:t>
            </w:r>
            <w:r>
              <w:rPr>
                <w:rFonts w:hint="eastAsia" w:ascii="Times New Roman" w:hAnsi="Times New Roman" w:eastAsia="宋体" w:cs="Times New Roman"/>
                <w:bCs/>
                <w:color w:val="auto"/>
                <w:sz w:val="21"/>
                <w:szCs w:val="21"/>
                <w:lang w:val="en-US" w:eastAsia="zh-CN"/>
              </w:rPr>
              <w:t>逸出</w:t>
            </w:r>
            <w:r>
              <w:rPr>
                <w:rFonts w:ascii="Times New Roman" w:hAnsi="Times New Roman" w:eastAsia="宋体" w:cs="Times New Roman"/>
                <w:bCs/>
                <w:color w:val="auto"/>
                <w:sz w:val="21"/>
                <w:szCs w:val="21"/>
              </w:rPr>
              <w:t>。不正常操作及设备故障的具体原因有意外负荷跳闸，仪表失灵导致操作失控、误操作等，也可因突然断电等引起。发生不正常操作及设备故障时，将视情况及时停产。设有末端治理的大气污染源若遇处理设备故障，则会出现非正常排放的情况。本项目废气非正常工况主要考虑废气处理设施发生故障不能正常运行（处理效率按0%考</w:t>
            </w:r>
            <w:r>
              <w:rPr>
                <w:rFonts w:ascii="Times New Roman" w:hAnsi="Times New Roman" w:eastAsia="宋体" w:cs="Times New Roman"/>
                <w:bCs/>
                <w:sz w:val="21"/>
                <w:szCs w:val="21"/>
              </w:rPr>
              <w:t>虑）的情况为非正常排放。</w:t>
            </w:r>
          </w:p>
          <w:p w14:paraId="691318C4">
            <w:pPr>
              <w:widowControl/>
              <w:topLinePunct/>
              <w:adjustRightInd w:val="0"/>
              <w:snapToGrid w:val="0"/>
              <w:spacing w:before="120" w:beforeLines="50" w:after="48" w:afterLines="20"/>
              <w:ind w:firstLine="422" w:firstLineChars="200"/>
              <w:jc w:val="center"/>
              <w:rPr>
                <w:rFonts w:ascii="Times New Roman" w:hAnsi="Times New Roman" w:eastAsia="宋体" w:cs="Times New Roman"/>
                <w:b/>
                <w:kern w:val="0"/>
                <w:sz w:val="21"/>
                <w:szCs w:val="21"/>
              </w:rPr>
            </w:pPr>
            <w:r>
              <w:rPr>
                <w:rFonts w:ascii="Times New Roman" w:hAnsi="Times New Roman" w:eastAsia="宋体" w:cs="Times New Roman"/>
                <w:b/>
                <w:kern w:val="0"/>
                <w:sz w:val="21"/>
                <w:szCs w:val="21"/>
              </w:rPr>
              <w:t>表4-</w:t>
            </w:r>
            <w:r>
              <w:rPr>
                <w:rFonts w:hint="eastAsia" w:cs="Times New Roman"/>
                <w:b/>
                <w:kern w:val="0"/>
                <w:sz w:val="21"/>
                <w:szCs w:val="21"/>
                <w:lang w:val="en-US" w:eastAsia="zh-CN"/>
              </w:rPr>
              <w:t>6</w:t>
            </w:r>
            <w:r>
              <w:rPr>
                <w:rFonts w:ascii="Times New Roman" w:hAnsi="Times New Roman" w:eastAsia="宋体" w:cs="Times New Roman"/>
                <w:b/>
                <w:kern w:val="0"/>
                <w:sz w:val="21"/>
                <w:szCs w:val="21"/>
              </w:rPr>
              <w:t>非正常工况时废气排放情况表</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68"/>
              <w:gridCol w:w="1193"/>
              <w:gridCol w:w="869"/>
              <w:gridCol w:w="1296"/>
              <w:gridCol w:w="1292"/>
              <w:gridCol w:w="865"/>
              <w:gridCol w:w="877"/>
              <w:gridCol w:w="698"/>
            </w:tblGrid>
            <w:tr w14:paraId="263AEE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97" w:hRule="atLeast"/>
                <w:jc w:val="center"/>
              </w:trPr>
              <w:tc>
                <w:tcPr>
                  <w:tcW w:w="982" w:type="dxa"/>
                  <w:vAlign w:val="center"/>
                </w:tcPr>
                <w:p w14:paraId="2A285D6B">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污染源</w:t>
                  </w:r>
                </w:p>
              </w:tc>
              <w:tc>
                <w:tcPr>
                  <w:tcW w:w="1208" w:type="dxa"/>
                  <w:vAlign w:val="center"/>
                </w:tcPr>
                <w:p w14:paraId="6A9EA426">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非正常</w:t>
                  </w:r>
                </w:p>
                <w:p w14:paraId="4038A488">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排放原因</w:t>
                  </w:r>
                </w:p>
              </w:tc>
              <w:tc>
                <w:tcPr>
                  <w:tcW w:w="880" w:type="dxa"/>
                  <w:vAlign w:val="center"/>
                </w:tcPr>
                <w:p w14:paraId="5A9577E7">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污染物</w:t>
                  </w:r>
                </w:p>
              </w:tc>
              <w:tc>
                <w:tcPr>
                  <w:tcW w:w="1312" w:type="dxa"/>
                  <w:vAlign w:val="center"/>
                </w:tcPr>
                <w:p w14:paraId="387F77DF">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非正常</w:t>
                  </w:r>
                </w:p>
                <w:p w14:paraId="221D5171">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排放浓度</w:t>
                  </w:r>
                </w:p>
                <w:p w14:paraId="6DDF2FD3">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（mg/m</w:t>
                  </w:r>
                  <w:r>
                    <w:rPr>
                      <w:rFonts w:ascii="Times New Roman" w:hAnsi="Times New Roman" w:eastAsia="宋体" w:cs="Times New Roman"/>
                      <w:snapToGrid w:val="0"/>
                      <w:sz w:val="18"/>
                      <w:szCs w:val="18"/>
                      <w:vertAlign w:val="superscript"/>
                    </w:rPr>
                    <w:t>3</w:t>
                  </w:r>
                  <w:r>
                    <w:rPr>
                      <w:rFonts w:ascii="Times New Roman" w:hAnsi="Times New Roman" w:eastAsia="宋体" w:cs="Times New Roman"/>
                      <w:snapToGrid w:val="0"/>
                      <w:sz w:val="18"/>
                      <w:szCs w:val="18"/>
                    </w:rPr>
                    <w:t>）</w:t>
                  </w:r>
                </w:p>
              </w:tc>
              <w:tc>
                <w:tcPr>
                  <w:tcW w:w="1308" w:type="dxa"/>
                  <w:vAlign w:val="center"/>
                </w:tcPr>
                <w:p w14:paraId="3EB05728">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非正常</w:t>
                  </w:r>
                </w:p>
                <w:p w14:paraId="17365667">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排放速率</w:t>
                  </w:r>
                </w:p>
                <w:p w14:paraId="79ED04F9">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（kg/h）</w:t>
                  </w:r>
                </w:p>
              </w:tc>
              <w:tc>
                <w:tcPr>
                  <w:tcW w:w="876" w:type="dxa"/>
                  <w:vAlign w:val="center"/>
                </w:tcPr>
                <w:p w14:paraId="4C954D32">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单次持</w:t>
                  </w:r>
                </w:p>
                <w:p w14:paraId="1A68E0ED">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续时间</w:t>
                  </w:r>
                </w:p>
                <w:p w14:paraId="5FEC5310">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（h）</w:t>
                  </w:r>
                </w:p>
              </w:tc>
              <w:tc>
                <w:tcPr>
                  <w:tcW w:w="888" w:type="dxa"/>
                  <w:vAlign w:val="center"/>
                </w:tcPr>
                <w:p w14:paraId="6C0E0E8A">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年发生</w:t>
                  </w:r>
                </w:p>
                <w:p w14:paraId="4105407F">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频次</w:t>
                  </w:r>
                </w:p>
                <w:p w14:paraId="454C033A">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（次）</w:t>
                  </w:r>
                </w:p>
              </w:tc>
              <w:tc>
                <w:tcPr>
                  <w:tcW w:w="706" w:type="dxa"/>
                  <w:vAlign w:val="center"/>
                </w:tcPr>
                <w:p w14:paraId="784E29D6">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应对</w:t>
                  </w:r>
                </w:p>
                <w:p w14:paraId="5F4420A2">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措施</w:t>
                  </w:r>
                </w:p>
              </w:tc>
            </w:tr>
            <w:tr w14:paraId="534585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82" w:type="dxa"/>
                  <w:vMerge w:val="restart"/>
                  <w:vAlign w:val="center"/>
                </w:tcPr>
                <w:p w14:paraId="0A2B49E7">
                  <w:pPr>
                    <w:topLinePunct/>
                    <w:spacing w:before="48" w:beforeLines="20" w:after="48" w:afterLines="20"/>
                    <w:jc w:val="center"/>
                    <w:rPr>
                      <w:rFonts w:hint="eastAsia" w:ascii="Times New Roman" w:hAnsi="Times New Roman" w:eastAsia="宋体" w:cs="Times New Roman"/>
                      <w:snapToGrid w:val="0"/>
                      <w:sz w:val="18"/>
                      <w:szCs w:val="18"/>
                      <w:lang w:eastAsia="zh-CN"/>
                    </w:rPr>
                  </w:pPr>
                  <w:r>
                    <w:rPr>
                      <w:rFonts w:hint="eastAsia" w:cs="Times New Roman"/>
                      <w:snapToGrid w:val="0"/>
                      <w:sz w:val="18"/>
                      <w:szCs w:val="18"/>
                      <w:lang w:val="en-US" w:eastAsia="zh-CN"/>
                    </w:rPr>
                    <w:t>生产车间</w:t>
                  </w:r>
                </w:p>
              </w:tc>
              <w:tc>
                <w:tcPr>
                  <w:tcW w:w="1208" w:type="dxa"/>
                  <w:vMerge w:val="restart"/>
                  <w:vAlign w:val="center"/>
                </w:tcPr>
                <w:p w14:paraId="62DC1F3E">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活性炭更换不及时、</w:t>
                  </w:r>
                  <w:r>
                    <w:rPr>
                      <w:rFonts w:hint="eastAsia" w:cs="Times New Roman"/>
                      <w:snapToGrid w:val="0"/>
                      <w:sz w:val="18"/>
                      <w:szCs w:val="18"/>
                      <w:lang w:val="en-US" w:eastAsia="zh-CN"/>
                    </w:rPr>
                    <w:t>静电除油设备损坏、</w:t>
                  </w:r>
                  <w:r>
                    <w:rPr>
                      <w:rFonts w:ascii="Times New Roman" w:hAnsi="Times New Roman" w:eastAsia="宋体" w:cs="Times New Roman"/>
                      <w:snapToGrid w:val="0"/>
                      <w:sz w:val="18"/>
                      <w:szCs w:val="18"/>
                    </w:rPr>
                    <w:t>风机损坏</w:t>
                  </w:r>
                </w:p>
              </w:tc>
              <w:tc>
                <w:tcPr>
                  <w:tcW w:w="880" w:type="dxa"/>
                  <w:vAlign w:val="center"/>
                </w:tcPr>
                <w:p w14:paraId="130DE951">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非甲烷总烃</w:t>
                  </w:r>
                </w:p>
              </w:tc>
              <w:tc>
                <w:tcPr>
                  <w:tcW w:w="1312" w:type="dxa"/>
                  <w:vAlign w:val="center"/>
                </w:tcPr>
                <w:p w14:paraId="01C5AE48">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79.473</w:t>
                  </w:r>
                </w:p>
              </w:tc>
              <w:tc>
                <w:tcPr>
                  <w:tcW w:w="1308" w:type="dxa"/>
                  <w:vAlign w:val="center"/>
                </w:tcPr>
                <w:p w14:paraId="04FB5CEF">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0.397</w:t>
                  </w:r>
                </w:p>
              </w:tc>
              <w:tc>
                <w:tcPr>
                  <w:tcW w:w="876" w:type="dxa"/>
                  <w:vAlign w:val="center"/>
                </w:tcPr>
                <w:p w14:paraId="172A1B46">
                  <w:pPr>
                    <w:topLinePunct/>
                    <w:spacing w:before="48" w:beforeLines="20" w:after="48" w:afterLines="20"/>
                    <w:jc w:val="center"/>
                    <w:rPr>
                      <w:rFonts w:hint="eastAsia" w:ascii="Times New Roman" w:hAnsi="Times New Roman" w:eastAsia="宋体" w:cs="Times New Roman"/>
                      <w:snapToGrid w:val="0"/>
                      <w:sz w:val="18"/>
                      <w:szCs w:val="18"/>
                      <w:lang w:eastAsia="zh-CN"/>
                    </w:rPr>
                  </w:pPr>
                  <w:r>
                    <w:rPr>
                      <w:rFonts w:hint="eastAsia" w:ascii="Times New Roman" w:hAnsi="Times New Roman" w:eastAsia="宋体" w:cs="Times New Roman"/>
                      <w:snapToGrid w:val="0"/>
                      <w:sz w:val="18"/>
                      <w:szCs w:val="18"/>
                      <w:lang w:val="en-US" w:eastAsia="zh-CN"/>
                    </w:rPr>
                    <w:t>2</w:t>
                  </w:r>
                </w:p>
              </w:tc>
              <w:tc>
                <w:tcPr>
                  <w:tcW w:w="888" w:type="dxa"/>
                  <w:vAlign w:val="center"/>
                </w:tcPr>
                <w:p w14:paraId="6DFE34E3">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1</w:t>
                  </w:r>
                </w:p>
              </w:tc>
              <w:tc>
                <w:tcPr>
                  <w:tcW w:w="706" w:type="dxa"/>
                  <w:vAlign w:val="center"/>
                </w:tcPr>
                <w:p w14:paraId="00F66E91">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维修、更换</w:t>
                  </w:r>
                </w:p>
              </w:tc>
            </w:tr>
            <w:tr w14:paraId="4F3112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82" w:type="dxa"/>
                  <w:vMerge w:val="continue"/>
                  <w:vAlign w:val="center"/>
                </w:tcPr>
                <w:p w14:paraId="15BFCAA1">
                  <w:pPr>
                    <w:topLinePunct/>
                    <w:spacing w:before="48" w:beforeLines="20" w:after="48" w:afterLines="20"/>
                    <w:jc w:val="center"/>
                    <w:rPr>
                      <w:rFonts w:ascii="Times New Roman" w:hAnsi="Times New Roman" w:eastAsia="宋体" w:cs="Times New Roman"/>
                      <w:snapToGrid w:val="0"/>
                      <w:sz w:val="18"/>
                      <w:szCs w:val="18"/>
                    </w:rPr>
                  </w:pPr>
                </w:p>
              </w:tc>
              <w:tc>
                <w:tcPr>
                  <w:tcW w:w="1208" w:type="dxa"/>
                  <w:vMerge w:val="continue"/>
                  <w:vAlign w:val="center"/>
                </w:tcPr>
                <w:p w14:paraId="24EFDDC0">
                  <w:pPr>
                    <w:topLinePunct/>
                    <w:spacing w:before="48" w:beforeLines="20" w:after="48" w:afterLines="20"/>
                    <w:jc w:val="center"/>
                    <w:rPr>
                      <w:rFonts w:ascii="Times New Roman" w:hAnsi="Times New Roman" w:eastAsia="宋体" w:cs="Times New Roman"/>
                      <w:snapToGrid w:val="0"/>
                      <w:sz w:val="18"/>
                      <w:szCs w:val="18"/>
                    </w:rPr>
                  </w:pPr>
                </w:p>
              </w:tc>
              <w:tc>
                <w:tcPr>
                  <w:tcW w:w="880" w:type="dxa"/>
                  <w:vAlign w:val="center"/>
                </w:tcPr>
                <w:p w14:paraId="6C4CD1B2">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颗粒物</w:t>
                  </w:r>
                </w:p>
              </w:tc>
              <w:tc>
                <w:tcPr>
                  <w:tcW w:w="1312" w:type="dxa"/>
                  <w:vAlign w:val="center"/>
                </w:tcPr>
                <w:p w14:paraId="08433269">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78.11</w:t>
                  </w:r>
                  <w:r>
                    <w:rPr>
                      <w:rFonts w:hint="eastAsia" w:cs="Times New Roman"/>
                      <w:snapToGrid w:val="0"/>
                      <w:sz w:val="18"/>
                      <w:szCs w:val="18"/>
                      <w:lang w:val="en-US" w:eastAsia="zh-CN" w:bidi="ar-SA"/>
                    </w:rPr>
                    <w:t>1</w:t>
                  </w:r>
                </w:p>
              </w:tc>
              <w:tc>
                <w:tcPr>
                  <w:tcW w:w="1308" w:type="dxa"/>
                  <w:vAlign w:val="center"/>
                </w:tcPr>
                <w:p w14:paraId="01D1BE74">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eastAsia" w:ascii="Times New Roman" w:hAnsi="Times New Roman" w:eastAsia="宋体" w:cs="Times New Roman"/>
                      <w:snapToGrid w:val="0"/>
                      <w:sz w:val="18"/>
                      <w:szCs w:val="18"/>
                      <w:lang w:val="en-US" w:eastAsia="zh-CN" w:bidi="ar-SA"/>
                    </w:rPr>
                    <w:t>0.39</w:t>
                  </w:r>
                  <w:r>
                    <w:rPr>
                      <w:rFonts w:hint="eastAsia" w:cs="Times New Roman"/>
                      <w:snapToGrid w:val="0"/>
                      <w:sz w:val="18"/>
                      <w:szCs w:val="18"/>
                      <w:lang w:val="en-US" w:eastAsia="zh-CN" w:bidi="ar-SA"/>
                    </w:rPr>
                    <w:t>1</w:t>
                  </w:r>
                </w:p>
              </w:tc>
              <w:tc>
                <w:tcPr>
                  <w:tcW w:w="876" w:type="dxa"/>
                  <w:vAlign w:val="center"/>
                </w:tcPr>
                <w:p w14:paraId="38CBF5DC">
                  <w:pPr>
                    <w:topLinePunct/>
                    <w:spacing w:before="48" w:beforeLines="20" w:after="48" w:afterLines="20"/>
                    <w:jc w:val="center"/>
                    <w:rPr>
                      <w:rFonts w:hint="eastAsia" w:ascii="Times New Roman" w:hAnsi="Times New Roman" w:eastAsia="宋体" w:cs="Times New Roman"/>
                      <w:snapToGrid w:val="0"/>
                      <w:sz w:val="18"/>
                      <w:szCs w:val="18"/>
                      <w:lang w:eastAsia="zh-CN"/>
                    </w:rPr>
                  </w:pPr>
                  <w:r>
                    <w:rPr>
                      <w:rFonts w:hint="eastAsia" w:ascii="Times New Roman" w:hAnsi="Times New Roman" w:eastAsia="宋体" w:cs="Times New Roman"/>
                      <w:snapToGrid w:val="0"/>
                      <w:sz w:val="18"/>
                      <w:szCs w:val="18"/>
                      <w:lang w:val="en-US" w:eastAsia="zh-CN"/>
                    </w:rPr>
                    <w:t>2</w:t>
                  </w:r>
                </w:p>
              </w:tc>
              <w:tc>
                <w:tcPr>
                  <w:tcW w:w="888" w:type="dxa"/>
                  <w:vAlign w:val="center"/>
                </w:tcPr>
                <w:p w14:paraId="3865550C">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1</w:t>
                  </w:r>
                </w:p>
              </w:tc>
              <w:tc>
                <w:tcPr>
                  <w:tcW w:w="706" w:type="dxa"/>
                  <w:vAlign w:val="center"/>
                </w:tcPr>
                <w:p w14:paraId="32CCC754">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维修、更换</w:t>
                  </w:r>
                </w:p>
              </w:tc>
            </w:tr>
          </w:tbl>
          <w:p w14:paraId="45150474">
            <w:pPr>
              <w:adjustRightInd w:val="0"/>
              <w:snapToGrid w:val="0"/>
              <w:spacing w:line="360" w:lineRule="auto"/>
              <w:rPr>
                <w:rFonts w:ascii="Times New Roman" w:hAnsi="Times New Roman" w:eastAsia="宋体" w:cs="Times New Roman"/>
                <w:b/>
                <w:sz w:val="21"/>
                <w:szCs w:val="21"/>
              </w:rPr>
            </w:pPr>
            <w:r>
              <w:rPr>
                <w:rFonts w:hint="eastAsia" w:cs="Times New Roman"/>
                <w:b/>
                <w:sz w:val="21"/>
                <w:szCs w:val="21"/>
                <w:lang w:val="en-US" w:eastAsia="zh-CN"/>
              </w:rPr>
              <w:t>1.4</w:t>
            </w:r>
            <w:r>
              <w:rPr>
                <w:rFonts w:ascii="Times New Roman" w:hAnsi="Times New Roman" w:eastAsia="宋体" w:cs="Times New Roman"/>
                <w:b/>
                <w:sz w:val="21"/>
                <w:szCs w:val="21"/>
              </w:rPr>
              <w:t>排放口基本情况</w:t>
            </w:r>
          </w:p>
          <w:p w14:paraId="08889024">
            <w:pPr>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sz w:val="21"/>
                <w:szCs w:val="21"/>
              </w:rPr>
              <w:t>本项目排放口基本情况见</w:t>
            </w:r>
            <w:r>
              <w:rPr>
                <w:rFonts w:hint="eastAsia" w:ascii="Times New Roman" w:hAnsi="Times New Roman" w:eastAsia="宋体" w:cs="Times New Roman"/>
                <w:bCs/>
                <w:sz w:val="21"/>
                <w:szCs w:val="21"/>
                <w:lang w:val="en-US" w:eastAsia="zh-CN"/>
              </w:rPr>
              <w:t>下表</w:t>
            </w:r>
            <w:r>
              <w:rPr>
                <w:rFonts w:ascii="Times New Roman" w:hAnsi="Times New Roman" w:eastAsia="宋体" w:cs="Times New Roman"/>
                <w:bCs/>
                <w:sz w:val="21"/>
                <w:szCs w:val="21"/>
              </w:rPr>
              <w:t>。</w:t>
            </w:r>
          </w:p>
          <w:p w14:paraId="3BE555F7">
            <w:pPr>
              <w:widowControl/>
              <w:topLinePunct/>
              <w:adjustRightInd w:val="0"/>
              <w:snapToGrid w:val="0"/>
              <w:spacing w:before="120" w:beforeLines="50" w:after="48" w:afterLines="20"/>
              <w:ind w:firstLine="422" w:firstLineChars="200"/>
              <w:jc w:val="center"/>
              <w:rPr>
                <w:rFonts w:ascii="Times New Roman" w:hAnsi="Times New Roman" w:eastAsia="宋体" w:cs="Times New Roman"/>
                <w:b/>
                <w:kern w:val="0"/>
                <w:sz w:val="21"/>
                <w:szCs w:val="21"/>
              </w:rPr>
            </w:pPr>
            <w:r>
              <w:rPr>
                <w:rFonts w:ascii="Times New Roman" w:hAnsi="Times New Roman" w:eastAsia="宋体" w:cs="Times New Roman"/>
                <w:b/>
                <w:kern w:val="0"/>
                <w:sz w:val="21"/>
                <w:szCs w:val="21"/>
              </w:rPr>
              <w:t>表4-</w:t>
            </w:r>
            <w:r>
              <w:rPr>
                <w:rFonts w:hint="eastAsia" w:cs="Times New Roman"/>
                <w:b/>
                <w:kern w:val="0"/>
                <w:sz w:val="21"/>
                <w:szCs w:val="21"/>
                <w:lang w:val="en-US" w:eastAsia="zh-CN"/>
              </w:rPr>
              <w:t>7</w:t>
            </w:r>
            <w:r>
              <w:rPr>
                <w:rFonts w:ascii="Times New Roman" w:hAnsi="Times New Roman" w:eastAsia="宋体" w:cs="Times New Roman"/>
                <w:b/>
                <w:kern w:val="0"/>
                <w:sz w:val="21"/>
                <w:szCs w:val="21"/>
              </w:rPr>
              <w:t>排放口基本情况表</w:t>
            </w:r>
          </w:p>
          <w:tbl>
            <w:tblPr>
              <w:tblStyle w:val="26"/>
              <w:tblW w:w="0" w:type="auto"/>
              <w:jc w:val="center"/>
              <w:tblBorders>
                <w:top w:val="single" w:color="000000" w:sz="12" w:space="0"/>
                <w:left w:val="none" w:color="auto" w:sz="0" w:space="0"/>
                <w:bottom w:val="single" w:color="auto" w:sz="12" w:space="0"/>
                <w:right w:val="none" w:color="auto" w:sz="0" w:space="0"/>
                <w:insideH w:val="single" w:color="000000" w:sz="4" w:space="0"/>
                <w:insideV w:val="single" w:color="auto" w:sz="4" w:space="0"/>
              </w:tblBorders>
              <w:tblLayout w:type="fixed"/>
              <w:tblCellMar>
                <w:top w:w="0" w:type="dxa"/>
                <w:left w:w="0" w:type="dxa"/>
                <w:bottom w:w="0" w:type="dxa"/>
                <w:right w:w="0" w:type="dxa"/>
              </w:tblCellMar>
            </w:tblPr>
            <w:tblGrid>
              <w:gridCol w:w="518"/>
              <w:gridCol w:w="1197"/>
              <w:gridCol w:w="1563"/>
              <w:gridCol w:w="1280"/>
              <w:gridCol w:w="1046"/>
              <w:gridCol w:w="1061"/>
              <w:gridCol w:w="1281"/>
            </w:tblGrid>
            <w:tr w14:paraId="4AB85FE6">
              <w:tblPrEx>
                <w:tblBorders>
                  <w:top w:val="single" w:color="000000" w:sz="12" w:space="0"/>
                  <w:left w:val="none" w:color="auto" w:sz="0" w:space="0"/>
                  <w:bottom w:val="single" w:color="auto" w:sz="12" w:space="0"/>
                  <w:right w:val="none" w:color="auto" w:sz="0" w:space="0"/>
                  <w:insideH w:val="single" w:color="000000" w:sz="4" w:space="0"/>
                  <w:insideV w:val="single" w:color="auto" w:sz="4" w:space="0"/>
                </w:tblBorders>
                <w:tblCellMar>
                  <w:top w:w="0" w:type="dxa"/>
                  <w:left w:w="0" w:type="dxa"/>
                  <w:bottom w:w="0" w:type="dxa"/>
                  <w:right w:w="0" w:type="dxa"/>
                </w:tblCellMar>
              </w:tblPrEx>
              <w:trPr>
                <w:trHeight w:val="1267" w:hRule="atLeast"/>
                <w:jc w:val="center"/>
              </w:trPr>
              <w:tc>
                <w:tcPr>
                  <w:tcW w:w="518" w:type="dxa"/>
                  <w:tcBorders>
                    <w:tl2br w:val="nil"/>
                    <w:tr2bl w:val="nil"/>
                  </w:tcBorders>
                  <w:vAlign w:val="center"/>
                </w:tcPr>
                <w:p w14:paraId="1A818DA6">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序号</w:t>
                  </w:r>
                </w:p>
              </w:tc>
              <w:tc>
                <w:tcPr>
                  <w:tcW w:w="1197" w:type="dxa"/>
                  <w:tcBorders>
                    <w:tl2br w:val="nil"/>
                    <w:tr2bl w:val="nil"/>
                  </w:tcBorders>
                  <w:vAlign w:val="center"/>
                </w:tcPr>
                <w:p w14:paraId="3E02636A">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编号及</w:t>
                  </w:r>
                </w:p>
                <w:p w14:paraId="18A3FD9C">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名称</w:t>
                  </w:r>
                </w:p>
              </w:tc>
              <w:tc>
                <w:tcPr>
                  <w:tcW w:w="1563" w:type="dxa"/>
                  <w:tcBorders>
                    <w:tl2br w:val="nil"/>
                    <w:tr2bl w:val="nil"/>
                  </w:tcBorders>
                  <w:vAlign w:val="center"/>
                </w:tcPr>
                <w:p w14:paraId="0FD29999">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类型</w:t>
                  </w:r>
                </w:p>
              </w:tc>
              <w:tc>
                <w:tcPr>
                  <w:tcW w:w="1280" w:type="dxa"/>
                  <w:tcBorders>
                    <w:tl2br w:val="nil"/>
                    <w:tr2bl w:val="nil"/>
                  </w:tcBorders>
                  <w:vAlign w:val="center"/>
                </w:tcPr>
                <w:p w14:paraId="7EFC9509">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排气筒</w:t>
                  </w:r>
                </w:p>
                <w:p w14:paraId="55DD76F8">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高度</w:t>
                  </w:r>
                </w:p>
                <w:p w14:paraId="0EDECC55">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m</w:t>
                  </w:r>
                </w:p>
              </w:tc>
              <w:tc>
                <w:tcPr>
                  <w:tcW w:w="1046" w:type="dxa"/>
                  <w:tcBorders>
                    <w:tl2br w:val="nil"/>
                    <w:tr2bl w:val="nil"/>
                  </w:tcBorders>
                  <w:vAlign w:val="center"/>
                </w:tcPr>
                <w:p w14:paraId="031E83E5">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出口</w:t>
                  </w:r>
                </w:p>
                <w:p w14:paraId="4977F70B">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内径</w:t>
                  </w:r>
                </w:p>
                <w:p w14:paraId="1A85F17D">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m</w:t>
                  </w:r>
                </w:p>
              </w:tc>
              <w:tc>
                <w:tcPr>
                  <w:tcW w:w="1061" w:type="dxa"/>
                  <w:tcBorders>
                    <w:tl2br w:val="nil"/>
                    <w:tr2bl w:val="nil"/>
                  </w:tcBorders>
                  <w:vAlign w:val="center"/>
                </w:tcPr>
                <w:p w14:paraId="3CC0E2A8">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排气</w:t>
                  </w:r>
                </w:p>
                <w:p w14:paraId="50A468FD">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温度</w:t>
                  </w:r>
                </w:p>
                <w:p w14:paraId="12F43F95">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w:t>
                  </w:r>
                </w:p>
              </w:tc>
              <w:tc>
                <w:tcPr>
                  <w:tcW w:w="1281" w:type="dxa"/>
                  <w:tcBorders>
                    <w:tl2br w:val="nil"/>
                    <w:tr2bl w:val="nil"/>
                  </w:tcBorders>
                  <w:vAlign w:val="center"/>
                </w:tcPr>
                <w:p w14:paraId="109DF1EE">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污染物</w:t>
                  </w:r>
                </w:p>
                <w:p w14:paraId="1D6356D5">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种类</w:t>
                  </w:r>
                </w:p>
              </w:tc>
            </w:tr>
            <w:tr w14:paraId="73832743">
              <w:tblPrEx>
                <w:tblBorders>
                  <w:top w:val="single" w:color="000000" w:sz="12" w:space="0"/>
                  <w:left w:val="none" w:color="auto" w:sz="0" w:space="0"/>
                  <w:bottom w:val="single" w:color="auto" w:sz="12" w:space="0"/>
                  <w:right w:val="none" w:color="auto" w:sz="0" w:space="0"/>
                  <w:insideH w:val="single" w:color="000000" w:sz="4" w:space="0"/>
                  <w:insideV w:val="single" w:color="auto" w:sz="4" w:space="0"/>
                </w:tblBorders>
                <w:tblCellMar>
                  <w:top w:w="0" w:type="dxa"/>
                  <w:left w:w="0" w:type="dxa"/>
                  <w:bottom w:w="0" w:type="dxa"/>
                  <w:right w:w="0" w:type="dxa"/>
                </w:tblCellMar>
              </w:tblPrEx>
              <w:trPr>
                <w:trHeight w:val="284" w:hRule="atLeast"/>
                <w:jc w:val="center"/>
              </w:trPr>
              <w:tc>
                <w:tcPr>
                  <w:tcW w:w="518" w:type="dxa"/>
                  <w:tcBorders>
                    <w:tl2br w:val="nil"/>
                    <w:tr2bl w:val="nil"/>
                  </w:tcBorders>
                  <w:vAlign w:val="center"/>
                </w:tcPr>
                <w:p w14:paraId="4DB18D71">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1</w:t>
                  </w:r>
                </w:p>
              </w:tc>
              <w:tc>
                <w:tcPr>
                  <w:tcW w:w="1197" w:type="dxa"/>
                  <w:tcBorders>
                    <w:tl2br w:val="nil"/>
                    <w:tr2bl w:val="nil"/>
                  </w:tcBorders>
                  <w:vAlign w:val="center"/>
                </w:tcPr>
                <w:p w14:paraId="555E66C9">
                  <w:pPr>
                    <w:topLinePunct/>
                    <w:spacing w:before="48" w:beforeLines="20" w:after="48" w:afterLines="20"/>
                    <w:jc w:val="center"/>
                    <w:rPr>
                      <w:rFonts w:hint="eastAsia" w:ascii="Times New Roman" w:hAnsi="Times New Roman" w:eastAsia="宋体" w:cs="Times New Roman"/>
                      <w:snapToGrid w:val="0"/>
                      <w:sz w:val="18"/>
                      <w:szCs w:val="18"/>
                      <w:lang w:eastAsia="zh-CN"/>
                    </w:rPr>
                  </w:pPr>
                  <w:r>
                    <w:rPr>
                      <w:rFonts w:ascii="Times New Roman" w:hAnsi="Times New Roman" w:eastAsia="宋体" w:cs="Times New Roman"/>
                      <w:snapToGrid w:val="0"/>
                      <w:sz w:val="18"/>
                      <w:szCs w:val="18"/>
                    </w:rPr>
                    <w:t>DA00</w:t>
                  </w:r>
                  <w:r>
                    <w:rPr>
                      <w:rFonts w:hint="eastAsia" w:cs="Times New Roman"/>
                      <w:snapToGrid w:val="0"/>
                      <w:sz w:val="18"/>
                      <w:szCs w:val="18"/>
                      <w:lang w:val="en-US" w:eastAsia="zh-CN"/>
                    </w:rPr>
                    <w:t>1</w:t>
                  </w:r>
                </w:p>
              </w:tc>
              <w:tc>
                <w:tcPr>
                  <w:tcW w:w="1563" w:type="dxa"/>
                  <w:tcBorders>
                    <w:tl2br w:val="nil"/>
                    <w:tr2bl w:val="nil"/>
                  </w:tcBorders>
                  <w:vAlign w:val="center"/>
                </w:tcPr>
                <w:p w14:paraId="1F5CF529">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一般排放口</w:t>
                  </w:r>
                </w:p>
              </w:tc>
              <w:tc>
                <w:tcPr>
                  <w:tcW w:w="1280" w:type="dxa"/>
                  <w:tcBorders>
                    <w:tl2br w:val="nil"/>
                    <w:tr2bl w:val="nil"/>
                  </w:tcBorders>
                  <w:vAlign w:val="center"/>
                </w:tcPr>
                <w:p w14:paraId="744A5295">
                  <w:pPr>
                    <w:topLinePunct/>
                    <w:spacing w:before="48" w:beforeLines="20" w:after="48" w:afterLines="20"/>
                    <w:jc w:val="center"/>
                    <w:rPr>
                      <w:rFonts w:hint="default" w:ascii="Times New Roman" w:hAnsi="Times New Roman" w:eastAsia="宋体" w:cs="Times New Roman"/>
                      <w:snapToGrid w:val="0"/>
                      <w:sz w:val="18"/>
                      <w:szCs w:val="18"/>
                      <w:lang w:val="en-US" w:eastAsia="zh-CN"/>
                    </w:rPr>
                  </w:pPr>
                  <w:r>
                    <w:rPr>
                      <w:rFonts w:hint="eastAsia" w:cs="Times New Roman"/>
                      <w:snapToGrid w:val="0"/>
                      <w:sz w:val="18"/>
                      <w:szCs w:val="18"/>
                      <w:lang w:val="en-US" w:eastAsia="zh-CN"/>
                    </w:rPr>
                    <w:t>35</w:t>
                  </w:r>
                </w:p>
              </w:tc>
              <w:tc>
                <w:tcPr>
                  <w:tcW w:w="1046" w:type="dxa"/>
                  <w:tcBorders>
                    <w:tl2br w:val="nil"/>
                    <w:tr2bl w:val="nil"/>
                  </w:tcBorders>
                  <w:vAlign w:val="center"/>
                </w:tcPr>
                <w:p w14:paraId="316ED50F">
                  <w:pPr>
                    <w:topLinePunct/>
                    <w:spacing w:before="48" w:beforeLines="0" w:after="48" w:afterLines="0"/>
                    <w:jc w:val="center"/>
                    <w:rPr>
                      <w:rFonts w:hint="default" w:ascii="Times New Roman" w:hAnsi="Times New Roman" w:eastAsia="宋体" w:cs="Times New Roman"/>
                      <w:snapToGrid w:val="0"/>
                      <w:sz w:val="18"/>
                      <w:szCs w:val="18"/>
                      <w:lang w:val="en-US" w:eastAsia="zh-CN" w:bidi="ar-SA"/>
                    </w:rPr>
                  </w:pPr>
                  <w:r>
                    <w:rPr>
                      <w:rFonts w:hint="default" w:ascii="Times New Roman" w:hAnsi="Times New Roman" w:eastAsia="宋体" w:cs="Times New Roman"/>
                      <w:snapToGrid w:val="0"/>
                      <w:sz w:val="18"/>
                      <w:szCs w:val="18"/>
                      <w:lang w:val="en-US" w:eastAsia="zh-CN" w:bidi="ar-SA"/>
                    </w:rPr>
                    <w:t>0.15</w:t>
                  </w:r>
                </w:p>
              </w:tc>
              <w:tc>
                <w:tcPr>
                  <w:tcW w:w="1061" w:type="dxa"/>
                  <w:tcBorders>
                    <w:tl2br w:val="nil"/>
                    <w:tr2bl w:val="nil"/>
                  </w:tcBorders>
                  <w:vAlign w:val="center"/>
                </w:tcPr>
                <w:p w14:paraId="1A940238">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常温</w:t>
                  </w:r>
                </w:p>
              </w:tc>
              <w:tc>
                <w:tcPr>
                  <w:tcW w:w="1281" w:type="dxa"/>
                  <w:tcBorders>
                    <w:tl2br w:val="nil"/>
                    <w:tr2bl w:val="nil"/>
                  </w:tcBorders>
                  <w:vAlign w:val="center"/>
                </w:tcPr>
                <w:p w14:paraId="5A7B2C46">
                  <w:pPr>
                    <w:topLinePunct/>
                    <w:spacing w:before="48" w:beforeLines="20" w:after="48" w:afterLines="20"/>
                    <w:jc w:val="center"/>
                    <w:rPr>
                      <w:rFonts w:hint="eastAsia" w:ascii="Times New Roman" w:hAnsi="Times New Roman" w:eastAsia="宋体" w:cs="Times New Roman"/>
                      <w:b/>
                      <w:bCs/>
                      <w:snapToGrid w:val="0"/>
                      <w:sz w:val="18"/>
                      <w:szCs w:val="18"/>
                      <w:lang w:eastAsia="zh-CN"/>
                    </w:rPr>
                  </w:pPr>
                  <w:r>
                    <w:rPr>
                      <w:rFonts w:ascii="Times New Roman" w:hAnsi="Times New Roman" w:eastAsia="宋体" w:cs="Times New Roman"/>
                      <w:snapToGrid w:val="0"/>
                      <w:sz w:val="18"/>
                      <w:szCs w:val="18"/>
                    </w:rPr>
                    <w:t>非甲烷总烃、</w:t>
                  </w:r>
                  <w:r>
                    <w:rPr>
                      <w:rFonts w:hint="eastAsia" w:cs="Times New Roman"/>
                      <w:snapToGrid w:val="0"/>
                      <w:sz w:val="18"/>
                      <w:szCs w:val="18"/>
                      <w:lang w:val="en-US" w:eastAsia="zh-CN"/>
                    </w:rPr>
                    <w:t>颗粒物</w:t>
                  </w:r>
                </w:p>
              </w:tc>
            </w:tr>
          </w:tbl>
          <w:p w14:paraId="4E4C72A2">
            <w:pPr>
              <w:adjustRightInd w:val="0"/>
              <w:snapToGrid w:val="0"/>
              <w:spacing w:line="360" w:lineRule="auto"/>
              <w:ind w:firstLine="420" w:firstLineChars="200"/>
              <w:rPr>
                <w:rFonts w:ascii="Times New Roman" w:hAnsi="Times New Roman" w:eastAsia="宋体" w:cs="Times New Roman"/>
                <w:bCs/>
                <w:color w:val="000000"/>
                <w:sz w:val="21"/>
                <w:szCs w:val="21"/>
              </w:rPr>
            </w:pPr>
            <w:r>
              <w:rPr>
                <w:rFonts w:ascii="Times New Roman" w:hAnsi="Times New Roman" w:eastAsia="宋体" w:cs="Times New Roman"/>
                <w:bCs/>
                <w:sz w:val="21"/>
                <w:szCs w:val="21"/>
              </w:rPr>
              <w:t>根据现场勘查，本项目所在厂区周围没有高层建筑，主要为各类工业车间厂房，生产车间高度为</w:t>
            </w:r>
            <w:r>
              <w:rPr>
                <w:rFonts w:hint="eastAsia" w:cs="Times New Roman"/>
                <w:bCs/>
                <w:sz w:val="21"/>
                <w:szCs w:val="21"/>
                <w:lang w:val="en-US" w:eastAsia="zh-CN"/>
              </w:rPr>
              <w:t>30</w:t>
            </w:r>
            <w:r>
              <w:rPr>
                <w:rFonts w:ascii="Times New Roman" w:hAnsi="Times New Roman" w:eastAsia="宋体" w:cs="Times New Roman"/>
                <w:bCs/>
                <w:sz w:val="21"/>
                <w:szCs w:val="21"/>
              </w:rPr>
              <w:t>m，因此本项目设置</w:t>
            </w:r>
            <w:r>
              <w:rPr>
                <w:rFonts w:hint="eastAsia" w:cs="Times New Roman"/>
                <w:bCs/>
                <w:sz w:val="21"/>
                <w:szCs w:val="21"/>
                <w:lang w:val="en-US" w:eastAsia="zh-CN"/>
              </w:rPr>
              <w:t>35</w:t>
            </w:r>
            <w:r>
              <w:rPr>
                <w:rFonts w:hint="eastAsia" w:ascii="Times New Roman" w:hAnsi="Times New Roman" w:eastAsia="宋体" w:cs="Times New Roman"/>
                <w:bCs/>
                <w:sz w:val="21"/>
                <w:szCs w:val="21"/>
                <w:lang w:eastAsia="zh-CN"/>
              </w:rPr>
              <w:t>m高</w:t>
            </w:r>
            <w:r>
              <w:rPr>
                <w:rFonts w:ascii="Times New Roman" w:hAnsi="Times New Roman" w:eastAsia="宋体" w:cs="Times New Roman"/>
                <w:bCs/>
                <w:sz w:val="21"/>
                <w:szCs w:val="21"/>
              </w:rPr>
              <w:t>排气筒合理可行</w:t>
            </w:r>
            <w:r>
              <w:rPr>
                <w:rFonts w:ascii="Times New Roman" w:hAnsi="Times New Roman" w:eastAsia="宋体" w:cs="Times New Roman"/>
                <w:bCs/>
                <w:color w:val="000000"/>
                <w:sz w:val="21"/>
                <w:szCs w:val="21"/>
              </w:rPr>
              <w:t>。</w:t>
            </w:r>
          </w:p>
          <w:p w14:paraId="054CAD8A">
            <w:pPr>
              <w:adjustRightInd w:val="0"/>
              <w:snapToGrid w:val="0"/>
              <w:spacing w:line="360" w:lineRule="auto"/>
              <w:rPr>
                <w:rFonts w:ascii="Times New Roman" w:hAnsi="Times New Roman" w:eastAsia="宋体" w:cs="Times New Roman"/>
                <w:b/>
                <w:sz w:val="21"/>
                <w:szCs w:val="21"/>
              </w:rPr>
            </w:pPr>
            <w:r>
              <w:rPr>
                <w:rFonts w:hint="eastAsia" w:cs="Times New Roman"/>
                <w:b/>
                <w:sz w:val="21"/>
                <w:szCs w:val="21"/>
                <w:lang w:val="en-US" w:eastAsia="zh-CN"/>
              </w:rPr>
              <w:t>1.5</w:t>
            </w:r>
            <w:r>
              <w:rPr>
                <w:rFonts w:ascii="Times New Roman" w:hAnsi="Times New Roman" w:eastAsia="宋体" w:cs="Times New Roman"/>
                <w:b/>
                <w:sz w:val="21"/>
                <w:szCs w:val="21"/>
              </w:rPr>
              <w:t>监测要求</w:t>
            </w:r>
          </w:p>
          <w:p w14:paraId="77E7052D">
            <w:pPr>
              <w:adjustRightInd w:val="0"/>
              <w:snapToGrid w:val="0"/>
              <w:spacing w:line="360" w:lineRule="auto"/>
              <w:ind w:firstLine="420" w:firstLineChars="200"/>
              <w:rPr>
                <w:rFonts w:ascii="Times New Roman" w:hAnsi="Times New Roman" w:eastAsia="宋体" w:cs="Times New Roman"/>
                <w:sz w:val="21"/>
                <w:szCs w:val="21"/>
              </w:rPr>
            </w:pPr>
            <w:r>
              <w:rPr>
                <w:rFonts w:ascii="Times New Roman" w:hAnsi="Times New Roman" w:eastAsia="宋体" w:cs="Times New Roman"/>
                <w:sz w:val="21"/>
                <w:szCs w:val="21"/>
              </w:rPr>
              <w:t>依据《排污单位自行监测技术指南总则》（HJ819-2017），建议建设单位按下表制定建设项目的废气日常监测计划。</w:t>
            </w:r>
          </w:p>
          <w:p w14:paraId="06E3451C">
            <w:pPr>
              <w:widowControl/>
              <w:topLinePunct/>
              <w:adjustRightInd w:val="0"/>
              <w:snapToGrid w:val="0"/>
              <w:spacing w:before="120" w:beforeLines="50" w:after="48" w:afterLines="20"/>
              <w:ind w:firstLine="422" w:firstLineChars="200"/>
              <w:jc w:val="center"/>
              <w:rPr>
                <w:rFonts w:ascii="Times New Roman" w:hAnsi="Times New Roman" w:eastAsia="宋体" w:cs="Times New Roman"/>
                <w:b/>
                <w:kern w:val="0"/>
                <w:sz w:val="21"/>
                <w:szCs w:val="21"/>
              </w:rPr>
            </w:pPr>
            <w:r>
              <w:rPr>
                <w:rFonts w:ascii="Times New Roman" w:hAnsi="Times New Roman" w:eastAsia="宋体" w:cs="Times New Roman"/>
                <w:b/>
                <w:kern w:val="0"/>
                <w:sz w:val="21"/>
                <w:szCs w:val="21"/>
              </w:rPr>
              <w:t>表4-</w:t>
            </w:r>
            <w:r>
              <w:rPr>
                <w:rFonts w:hint="eastAsia" w:cs="Times New Roman"/>
                <w:b/>
                <w:kern w:val="0"/>
                <w:sz w:val="21"/>
                <w:szCs w:val="21"/>
                <w:lang w:val="en-US" w:eastAsia="zh-CN"/>
              </w:rPr>
              <w:t>8</w:t>
            </w:r>
            <w:r>
              <w:rPr>
                <w:rFonts w:ascii="Times New Roman" w:hAnsi="Times New Roman" w:eastAsia="宋体" w:cs="Times New Roman"/>
                <w:b/>
                <w:kern w:val="0"/>
                <w:sz w:val="21"/>
                <w:szCs w:val="21"/>
              </w:rPr>
              <w:t>本项目废气自行监测方案</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853"/>
              <w:gridCol w:w="1082"/>
              <w:gridCol w:w="1124"/>
              <w:gridCol w:w="3133"/>
            </w:tblGrid>
            <w:tr w14:paraId="21E816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74" w:type="dxa"/>
                  <w:vAlign w:val="center"/>
                </w:tcPr>
                <w:p w14:paraId="23B69769">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类别</w:t>
                  </w:r>
                </w:p>
              </w:tc>
              <w:tc>
                <w:tcPr>
                  <w:tcW w:w="1875" w:type="dxa"/>
                  <w:vAlign w:val="center"/>
                </w:tcPr>
                <w:p w14:paraId="582668E6">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监测点位</w:t>
                  </w:r>
                </w:p>
              </w:tc>
              <w:tc>
                <w:tcPr>
                  <w:tcW w:w="1092" w:type="dxa"/>
                  <w:vAlign w:val="center"/>
                </w:tcPr>
                <w:p w14:paraId="4DE88E75">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监测指标</w:t>
                  </w:r>
                </w:p>
              </w:tc>
              <w:tc>
                <w:tcPr>
                  <w:tcW w:w="1134" w:type="dxa"/>
                  <w:vAlign w:val="center"/>
                </w:tcPr>
                <w:p w14:paraId="1F00548E">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监测频次</w:t>
                  </w:r>
                </w:p>
              </w:tc>
              <w:tc>
                <w:tcPr>
                  <w:tcW w:w="3174" w:type="dxa"/>
                  <w:vAlign w:val="center"/>
                </w:tcPr>
                <w:p w14:paraId="352E04F8">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执行标准</w:t>
                  </w:r>
                </w:p>
              </w:tc>
            </w:tr>
            <w:tr w14:paraId="7A1A96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74" w:type="dxa"/>
                  <w:vAlign w:val="center"/>
                </w:tcPr>
                <w:p w14:paraId="716523CB">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有组织</w:t>
                  </w:r>
                </w:p>
              </w:tc>
              <w:tc>
                <w:tcPr>
                  <w:tcW w:w="1875" w:type="dxa"/>
                  <w:vAlign w:val="center"/>
                </w:tcPr>
                <w:p w14:paraId="371507E2">
                  <w:pPr>
                    <w:topLinePunct/>
                    <w:spacing w:before="48" w:beforeLines="20" w:after="48" w:afterLines="20"/>
                    <w:jc w:val="center"/>
                    <w:rPr>
                      <w:rFonts w:hint="eastAsia" w:ascii="Times New Roman" w:hAnsi="Times New Roman" w:eastAsia="宋体" w:cs="Times New Roman"/>
                      <w:snapToGrid w:val="0"/>
                      <w:sz w:val="18"/>
                      <w:szCs w:val="18"/>
                      <w:lang w:eastAsia="zh-CN"/>
                    </w:rPr>
                  </w:pPr>
                  <w:r>
                    <w:rPr>
                      <w:rFonts w:ascii="Times New Roman" w:hAnsi="Times New Roman" w:eastAsia="宋体" w:cs="Times New Roman"/>
                      <w:snapToGrid w:val="0"/>
                      <w:sz w:val="18"/>
                      <w:szCs w:val="18"/>
                    </w:rPr>
                    <w:t>DA00</w:t>
                  </w:r>
                  <w:r>
                    <w:rPr>
                      <w:rFonts w:hint="eastAsia" w:cs="Times New Roman"/>
                      <w:snapToGrid w:val="0"/>
                      <w:sz w:val="18"/>
                      <w:szCs w:val="18"/>
                      <w:lang w:val="en-US" w:eastAsia="zh-CN"/>
                    </w:rPr>
                    <w:t>1</w:t>
                  </w:r>
                </w:p>
              </w:tc>
              <w:tc>
                <w:tcPr>
                  <w:tcW w:w="1092" w:type="dxa"/>
                  <w:vAlign w:val="center"/>
                </w:tcPr>
                <w:p w14:paraId="4361F1AD">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非甲烷总烃、</w:t>
                  </w:r>
                  <w:r>
                    <w:rPr>
                      <w:rFonts w:hint="eastAsia" w:ascii="Times New Roman" w:hAnsi="Times New Roman" w:eastAsia="宋体" w:cs="Times New Roman"/>
                      <w:snapToGrid w:val="0"/>
                      <w:sz w:val="18"/>
                      <w:szCs w:val="18"/>
                      <w:lang w:val="en-US" w:eastAsia="zh-CN"/>
                    </w:rPr>
                    <w:t>颗粒物</w:t>
                  </w:r>
                </w:p>
              </w:tc>
              <w:tc>
                <w:tcPr>
                  <w:tcW w:w="1134" w:type="dxa"/>
                  <w:vAlign w:val="center"/>
                </w:tcPr>
                <w:p w14:paraId="093B5DE9">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1次/年</w:t>
                  </w:r>
                </w:p>
              </w:tc>
              <w:tc>
                <w:tcPr>
                  <w:tcW w:w="3174" w:type="dxa"/>
                  <w:vAlign w:val="center"/>
                </w:tcPr>
                <w:p w14:paraId="298A7336">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《大气综合排放标准》（DB32/4041-2021）</w:t>
                  </w:r>
                </w:p>
              </w:tc>
            </w:tr>
            <w:tr w14:paraId="1CBEFE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74" w:type="dxa"/>
                  <w:vMerge w:val="restart"/>
                  <w:vAlign w:val="center"/>
                </w:tcPr>
                <w:p w14:paraId="59B4666B">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无组织</w:t>
                  </w:r>
                </w:p>
              </w:tc>
              <w:tc>
                <w:tcPr>
                  <w:tcW w:w="1875" w:type="dxa"/>
                  <w:vAlign w:val="center"/>
                </w:tcPr>
                <w:p w14:paraId="0A88E514">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color w:val="auto"/>
                      <w:sz w:val="18"/>
                      <w:szCs w:val="18"/>
                    </w:rPr>
                    <w:t>厂</w:t>
                  </w:r>
                  <w:r>
                    <w:rPr>
                      <w:rFonts w:hint="eastAsia" w:ascii="Times New Roman" w:hAnsi="Times New Roman" w:eastAsia="宋体" w:cs="Times New Roman"/>
                      <w:snapToGrid w:val="0"/>
                      <w:color w:val="auto"/>
                      <w:sz w:val="18"/>
                      <w:szCs w:val="18"/>
                      <w:lang w:val="en-US" w:eastAsia="zh-CN"/>
                    </w:rPr>
                    <w:t>区</w:t>
                  </w:r>
                  <w:r>
                    <w:rPr>
                      <w:rFonts w:ascii="Times New Roman" w:hAnsi="Times New Roman" w:eastAsia="宋体" w:cs="Times New Roman"/>
                      <w:snapToGrid w:val="0"/>
                      <w:color w:val="auto"/>
                      <w:sz w:val="18"/>
                      <w:szCs w:val="18"/>
                    </w:rPr>
                    <w:t>内</w:t>
                  </w:r>
                </w:p>
              </w:tc>
              <w:tc>
                <w:tcPr>
                  <w:tcW w:w="1092" w:type="dxa"/>
                  <w:vAlign w:val="center"/>
                </w:tcPr>
                <w:p w14:paraId="15F6BD3A">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非甲烷总烃</w:t>
                  </w:r>
                </w:p>
              </w:tc>
              <w:tc>
                <w:tcPr>
                  <w:tcW w:w="1134" w:type="dxa"/>
                  <w:vAlign w:val="center"/>
                </w:tcPr>
                <w:p w14:paraId="1D0C9EDA">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1次/年</w:t>
                  </w:r>
                </w:p>
              </w:tc>
              <w:tc>
                <w:tcPr>
                  <w:tcW w:w="3174" w:type="dxa"/>
                  <w:vAlign w:val="center"/>
                </w:tcPr>
                <w:p w14:paraId="0074B86D">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《大气综合排放标准》（DB32/4041-2021）</w:t>
                  </w:r>
                </w:p>
              </w:tc>
            </w:tr>
            <w:tr w14:paraId="750859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74" w:type="dxa"/>
                  <w:vMerge w:val="continue"/>
                  <w:vAlign w:val="center"/>
                </w:tcPr>
                <w:p w14:paraId="2E291616">
                  <w:pPr>
                    <w:topLinePunct/>
                    <w:spacing w:before="48" w:beforeLines="20" w:after="48" w:afterLines="20"/>
                    <w:jc w:val="center"/>
                    <w:rPr>
                      <w:rFonts w:ascii="Times New Roman" w:hAnsi="Times New Roman" w:eastAsia="宋体" w:cs="Times New Roman"/>
                      <w:snapToGrid w:val="0"/>
                      <w:sz w:val="18"/>
                      <w:szCs w:val="18"/>
                    </w:rPr>
                  </w:pPr>
                </w:p>
              </w:tc>
              <w:tc>
                <w:tcPr>
                  <w:tcW w:w="1875" w:type="dxa"/>
                  <w:vAlign w:val="center"/>
                </w:tcPr>
                <w:p w14:paraId="4C5FCD04">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z w:val="18"/>
                      <w:szCs w:val="18"/>
                    </w:rPr>
                    <w:t>厂界</w:t>
                  </w:r>
                </w:p>
              </w:tc>
              <w:tc>
                <w:tcPr>
                  <w:tcW w:w="1092" w:type="dxa"/>
                  <w:vAlign w:val="center"/>
                </w:tcPr>
                <w:p w14:paraId="769D9FA6">
                  <w:pPr>
                    <w:topLinePunct/>
                    <w:spacing w:before="48" w:beforeLines="20" w:after="48" w:afterLines="20"/>
                    <w:jc w:val="center"/>
                    <w:rPr>
                      <w:rFonts w:hint="default" w:ascii="Times New Roman" w:hAnsi="Times New Roman" w:eastAsia="宋体" w:cs="Times New Roman"/>
                      <w:snapToGrid w:val="0"/>
                      <w:sz w:val="18"/>
                      <w:szCs w:val="18"/>
                      <w:lang w:val="en-US" w:eastAsia="zh-CN"/>
                    </w:rPr>
                  </w:pPr>
                  <w:r>
                    <w:rPr>
                      <w:rFonts w:ascii="Times New Roman" w:hAnsi="Times New Roman" w:eastAsia="宋体" w:cs="Times New Roman"/>
                      <w:snapToGrid w:val="0"/>
                      <w:sz w:val="18"/>
                      <w:szCs w:val="18"/>
                    </w:rPr>
                    <w:t>非甲烷总烃、</w:t>
                  </w:r>
                  <w:r>
                    <w:rPr>
                      <w:rFonts w:hint="eastAsia" w:ascii="Times New Roman" w:hAnsi="Times New Roman" w:eastAsia="宋体" w:cs="Times New Roman"/>
                      <w:snapToGrid w:val="0"/>
                      <w:sz w:val="18"/>
                      <w:szCs w:val="18"/>
                      <w:lang w:val="en-US" w:eastAsia="zh-CN"/>
                    </w:rPr>
                    <w:t>颗粒物</w:t>
                  </w:r>
                </w:p>
              </w:tc>
              <w:tc>
                <w:tcPr>
                  <w:tcW w:w="1134" w:type="dxa"/>
                  <w:vAlign w:val="center"/>
                </w:tcPr>
                <w:p w14:paraId="3BCF97EE">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1次/年</w:t>
                  </w:r>
                </w:p>
              </w:tc>
              <w:tc>
                <w:tcPr>
                  <w:tcW w:w="3174" w:type="dxa"/>
                  <w:vAlign w:val="center"/>
                </w:tcPr>
                <w:p w14:paraId="6D6B1807">
                  <w:pPr>
                    <w:topLinePunct/>
                    <w:spacing w:before="48" w:beforeLines="20" w:after="48" w:afterLines="20"/>
                    <w:jc w:val="center"/>
                    <w:rPr>
                      <w:rFonts w:ascii="Times New Roman" w:hAnsi="Times New Roman" w:eastAsia="宋体" w:cs="Times New Roman"/>
                      <w:snapToGrid w:val="0"/>
                      <w:sz w:val="18"/>
                      <w:szCs w:val="18"/>
                    </w:rPr>
                  </w:pPr>
                  <w:r>
                    <w:rPr>
                      <w:rFonts w:ascii="Times New Roman" w:hAnsi="Times New Roman" w:eastAsia="宋体" w:cs="Times New Roman"/>
                      <w:snapToGrid w:val="0"/>
                      <w:sz w:val="18"/>
                      <w:szCs w:val="18"/>
                    </w:rPr>
                    <w:t>《大气综合排放标准》（DB32/4041-2021）</w:t>
                  </w:r>
                </w:p>
              </w:tc>
            </w:tr>
          </w:tbl>
          <w:p w14:paraId="04A12CBD">
            <w:pPr>
              <w:adjustRightInd w:val="0"/>
              <w:snapToGrid w:val="0"/>
              <w:spacing w:line="360" w:lineRule="auto"/>
              <w:rPr>
                <w:rFonts w:ascii="Times New Roman" w:hAnsi="Times New Roman" w:eastAsia="宋体" w:cs="Times New Roman"/>
                <w:b/>
                <w:sz w:val="21"/>
                <w:szCs w:val="21"/>
              </w:rPr>
            </w:pPr>
            <w:r>
              <w:rPr>
                <w:rFonts w:hint="eastAsia" w:cs="Times New Roman"/>
                <w:b/>
                <w:sz w:val="21"/>
                <w:szCs w:val="21"/>
                <w:lang w:val="en-US" w:eastAsia="zh-CN"/>
              </w:rPr>
              <w:t>1.6</w:t>
            </w:r>
            <w:r>
              <w:rPr>
                <w:rFonts w:ascii="Times New Roman" w:hAnsi="Times New Roman" w:eastAsia="宋体" w:cs="Times New Roman"/>
                <w:b/>
                <w:sz w:val="21"/>
                <w:szCs w:val="21"/>
              </w:rPr>
              <w:t>达标情况分析</w:t>
            </w:r>
          </w:p>
          <w:p w14:paraId="72ABA4F6">
            <w:pPr>
              <w:adjustRightInd w:val="0"/>
              <w:snapToGrid w:val="0"/>
              <w:spacing w:line="360" w:lineRule="auto"/>
              <w:ind w:firstLine="420" w:firstLineChars="200"/>
              <w:rPr>
                <w:rFonts w:ascii="Times New Roman" w:hAnsi="Times New Roman" w:eastAsia="宋体" w:cs="Times New Roman"/>
                <w:b/>
                <w:sz w:val="21"/>
                <w:szCs w:val="21"/>
              </w:rPr>
            </w:pPr>
            <w:r>
              <w:rPr>
                <w:rFonts w:ascii="Times New Roman" w:hAnsi="Times New Roman" w:eastAsia="宋体" w:cs="Times New Roman"/>
                <w:sz w:val="21"/>
                <w:szCs w:val="21"/>
              </w:rPr>
              <w:t>根据本项目有组织废气产生及排放情况（见表4-</w:t>
            </w:r>
            <w:r>
              <w:rPr>
                <w:rFonts w:hint="eastAsia" w:cs="Times New Roman"/>
                <w:sz w:val="21"/>
                <w:szCs w:val="21"/>
                <w:lang w:val="en-US" w:eastAsia="zh-CN"/>
              </w:rPr>
              <w:t>2</w:t>
            </w:r>
            <w:r>
              <w:rPr>
                <w:rFonts w:ascii="Times New Roman" w:hAnsi="Times New Roman" w:eastAsia="宋体" w:cs="Times New Roman"/>
                <w:sz w:val="21"/>
                <w:szCs w:val="21"/>
              </w:rPr>
              <w:t>）、无组织产生及排放情况（见表4-</w:t>
            </w:r>
            <w:r>
              <w:rPr>
                <w:rFonts w:hint="eastAsia" w:cs="Times New Roman"/>
                <w:sz w:val="21"/>
                <w:szCs w:val="21"/>
                <w:lang w:val="en-US" w:eastAsia="zh-CN"/>
              </w:rPr>
              <w:t>3</w:t>
            </w:r>
            <w:r>
              <w:rPr>
                <w:rFonts w:ascii="Times New Roman" w:hAnsi="Times New Roman" w:eastAsia="宋体" w:cs="Times New Roman"/>
                <w:sz w:val="21"/>
                <w:szCs w:val="21"/>
              </w:rPr>
              <w:t>），本项目有组织、无组织废气在配备有效的处理设施处理的情况下可以做到达标排放。</w:t>
            </w:r>
          </w:p>
          <w:p w14:paraId="6E032094">
            <w:pPr>
              <w:adjustRightInd w:val="0"/>
              <w:snapToGrid w:val="0"/>
              <w:spacing w:line="360" w:lineRule="auto"/>
              <w:rPr>
                <w:rFonts w:ascii="Times New Roman" w:hAnsi="Times New Roman" w:eastAsia="宋体" w:cs="Times New Roman"/>
                <w:b/>
                <w:sz w:val="21"/>
                <w:szCs w:val="21"/>
              </w:rPr>
            </w:pPr>
            <w:r>
              <w:rPr>
                <w:rFonts w:hint="eastAsia" w:cs="Times New Roman"/>
                <w:b/>
                <w:sz w:val="21"/>
                <w:szCs w:val="21"/>
                <w:lang w:val="en-US" w:eastAsia="zh-CN"/>
              </w:rPr>
              <w:t>1.7</w:t>
            </w:r>
            <w:r>
              <w:rPr>
                <w:rFonts w:ascii="Times New Roman" w:hAnsi="Times New Roman" w:eastAsia="宋体" w:cs="Times New Roman"/>
                <w:b/>
                <w:sz w:val="21"/>
                <w:szCs w:val="21"/>
              </w:rPr>
              <w:t>废气排放环境影响分析</w:t>
            </w:r>
          </w:p>
          <w:p w14:paraId="17C36982">
            <w:pPr>
              <w:autoSpaceDE w:val="0"/>
              <w:autoSpaceDN w:val="0"/>
              <w:adjustRightInd w:val="0"/>
              <w:snapToGrid w:val="0"/>
              <w:spacing w:line="360" w:lineRule="auto"/>
              <w:ind w:firstLine="420" w:firstLineChars="200"/>
              <w:rPr>
                <w:rFonts w:ascii="Times New Roman" w:hAnsi="Times New Roman" w:eastAsia="宋体" w:cs="Times New Roman"/>
                <w:bCs/>
                <w:sz w:val="21"/>
                <w:szCs w:val="21"/>
              </w:rPr>
            </w:pPr>
            <w:r>
              <w:rPr>
                <w:rFonts w:ascii="Times New Roman" w:hAnsi="Times New Roman" w:eastAsia="宋体" w:cs="Times New Roman"/>
                <w:bCs/>
                <w:sz w:val="21"/>
                <w:szCs w:val="21"/>
              </w:rPr>
              <w:t>本项目产生的</w:t>
            </w:r>
            <w:r>
              <w:rPr>
                <w:rFonts w:ascii="Times New Roman" w:hAnsi="Times New Roman" w:eastAsia="宋体" w:cs="Times New Roman"/>
                <w:sz w:val="21"/>
                <w:szCs w:val="21"/>
              </w:rPr>
              <w:t>非甲烷总烃、</w:t>
            </w:r>
            <w:r>
              <w:rPr>
                <w:rFonts w:hint="eastAsia" w:ascii="Times New Roman" w:hAnsi="Times New Roman" w:eastAsia="宋体" w:cs="Times New Roman"/>
                <w:sz w:val="21"/>
                <w:szCs w:val="21"/>
                <w:lang w:val="en-US" w:eastAsia="zh-CN"/>
              </w:rPr>
              <w:t>颗粒物</w:t>
            </w:r>
            <w:r>
              <w:rPr>
                <w:rFonts w:hint="eastAsia" w:cs="Times New Roman"/>
                <w:sz w:val="21"/>
                <w:szCs w:val="21"/>
                <w:lang w:val="en-US" w:eastAsia="zh-CN"/>
              </w:rPr>
              <w:t>由集气罩收集，</w:t>
            </w:r>
            <w:r>
              <w:rPr>
                <w:rFonts w:ascii="Times New Roman" w:hAnsi="Times New Roman" w:eastAsia="宋体" w:cs="Times New Roman"/>
                <w:bCs/>
                <w:sz w:val="21"/>
                <w:szCs w:val="21"/>
              </w:rPr>
              <w:t>经</w:t>
            </w:r>
            <w:r>
              <w:rPr>
                <w:rFonts w:hint="eastAsia" w:cs="Times New Roman"/>
                <w:bCs/>
                <w:sz w:val="21"/>
                <w:szCs w:val="21"/>
                <w:lang w:val="en-US" w:eastAsia="zh-CN"/>
              </w:rPr>
              <w:t>静电除油+</w:t>
            </w:r>
            <w:r>
              <w:rPr>
                <w:rFonts w:ascii="Times New Roman" w:hAnsi="Times New Roman" w:eastAsia="宋体" w:cs="Times New Roman"/>
                <w:bCs/>
                <w:sz w:val="21"/>
                <w:szCs w:val="21"/>
              </w:rPr>
              <w:t>二级活性炭处理后达标排放</w:t>
            </w:r>
            <w:r>
              <w:rPr>
                <w:rFonts w:hint="eastAsia" w:ascii="Times New Roman" w:hAnsi="Times New Roman" w:eastAsia="宋体" w:cs="Times New Roman"/>
                <w:bCs/>
                <w:sz w:val="21"/>
                <w:szCs w:val="21"/>
                <w:lang w:eastAsia="zh-CN"/>
              </w:rPr>
              <w:t>，</w:t>
            </w:r>
            <w:r>
              <w:rPr>
                <w:rFonts w:hint="eastAsia" w:cs="Times New Roman"/>
                <w:bCs/>
                <w:sz w:val="21"/>
                <w:szCs w:val="21"/>
                <w:lang w:val="en-US" w:eastAsia="zh-CN"/>
              </w:rPr>
              <w:t>未收集的少量非甲烷总烃、颗粒物无组织排放，</w:t>
            </w:r>
            <w:r>
              <w:rPr>
                <w:rFonts w:ascii="Times New Roman" w:hAnsi="Times New Roman" w:eastAsia="宋体" w:cs="Times New Roman"/>
                <w:bCs/>
                <w:sz w:val="21"/>
                <w:szCs w:val="21"/>
              </w:rPr>
              <w:t>对周围大气环境影响不大。</w:t>
            </w:r>
          </w:p>
          <w:p w14:paraId="11AEE461">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2</w:t>
            </w:r>
            <w:r>
              <w:rPr>
                <w:rFonts w:hint="eastAsia"/>
                <w:b/>
                <w:bCs/>
                <w:snapToGrid w:val="0"/>
                <w:color w:val="auto"/>
                <w:spacing w:val="-2"/>
                <w:kern w:val="0"/>
                <w:szCs w:val="21"/>
              </w:rPr>
              <w:t>、废水影响分析</w:t>
            </w:r>
          </w:p>
          <w:p w14:paraId="3998D897">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2.1</w:t>
            </w:r>
            <w:r>
              <w:rPr>
                <w:rFonts w:hint="eastAsia"/>
                <w:b/>
                <w:bCs/>
                <w:snapToGrid w:val="0"/>
                <w:color w:val="auto"/>
                <w:spacing w:val="-2"/>
                <w:kern w:val="0"/>
                <w:szCs w:val="21"/>
              </w:rPr>
              <w:t>废水污染物产排情况</w:t>
            </w:r>
          </w:p>
          <w:p w14:paraId="3A1D6D0F">
            <w:pPr>
              <w:autoSpaceDE w:val="0"/>
              <w:autoSpaceDN w:val="0"/>
              <w:adjustRightInd w:val="0"/>
              <w:snapToGrid w:val="0"/>
              <w:spacing w:line="360" w:lineRule="auto"/>
              <w:ind w:firstLine="420" w:firstLineChars="200"/>
              <w:rPr>
                <w:bCs/>
                <w:color w:val="auto"/>
                <w:kern w:val="0"/>
                <w:szCs w:val="21"/>
              </w:rPr>
            </w:pPr>
            <w:r>
              <w:rPr>
                <w:rFonts w:hint="eastAsia"/>
                <w:bCs/>
                <w:color w:val="auto"/>
                <w:kern w:val="0"/>
                <w:szCs w:val="21"/>
              </w:rPr>
              <w:t>（</w:t>
            </w:r>
            <w:r>
              <w:rPr>
                <w:bCs/>
                <w:color w:val="auto"/>
                <w:kern w:val="0"/>
                <w:szCs w:val="21"/>
              </w:rPr>
              <w:t>1</w:t>
            </w:r>
            <w:r>
              <w:rPr>
                <w:rFonts w:hint="eastAsia"/>
                <w:bCs/>
                <w:color w:val="auto"/>
                <w:kern w:val="0"/>
                <w:szCs w:val="21"/>
              </w:rPr>
              <w:t>）废水产生与排放源强分析</w:t>
            </w:r>
          </w:p>
          <w:p w14:paraId="3B258F5F">
            <w:pPr>
              <w:overflowPunct w:val="0"/>
              <w:adjustRightInd w:val="0"/>
              <w:snapToGrid w:val="0"/>
              <w:spacing w:line="360" w:lineRule="auto"/>
              <w:ind w:firstLine="420" w:firstLineChars="200"/>
              <w:jc w:val="left"/>
              <w:rPr>
                <w:color w:val="auto"/>
              </w:rPr>
            </w:pPr>
            <w:r>
              <w:rPr>
                <w:rFonts w:hint="eastAsia"/>
                <w:color w:val="000000"/>
              </w:rPr>
              <w:t>本项目</w:t>
            </w:r>
            <w:r>
              <w:rPr>
                <w:rFonts w:hint="eastAsia"/>
                <w:color w:val="000000"/>
                <w:lang w:val="en-US" w:eastAsia="zh-CN"/>
              </w:rPr>
              <w:t>全厂</w:t>
            </w:r>
            <w:r>
              <w:rPr>
                <w:rFonts w:hint="eastAsia"/>
                <w:color w:val="000000" w:themeColor="text1"/>
                <w14:textFill>
                  <w14:solidFill>
                    <w14:schemeClr w14:val="tx1"/>
                  </w14:solidFill>
                </w14:textFill>
              </w:rPr>
              <w:t>员工</w:t>
            </w:r>
            <w:r>
              <w:rPr>
                <w:rFonts w:hint="eastAsia"/>
                <w:color w:val="000000" w:themeColor="text1"/>
                <w:lang w:val="en-US" w:eastAsia="zh-CN"/>
                <w14:textFill>
                  <w14:solidFill>
                    <w14:schemeClr w14:val="tx1"/>
                  </w14:solidFill>
                </w14:textFill>
              </w:rPr>
              <w:t>25人，根据上文，</w:t>
            </w:r>
            <w:r>
              <w:rPr>
                <w:rFonts w:hint="eastAsia"/>
                <w:color w:val="000000" w:themeColor="text1"/>
                <w:szCs w:val="21"/>
                <w14:textFill>
                  <w14:solidFill>
                    <w14:schemeClr w14:val="tx1"/>
                  </w14:solidFill>
                </w14:textFill>
              </w:rPr>
              <w:t>生活污水</w:t>
            </w:r>
            <w:r>
              <w:rPr>
                <w:rFonts w:hint="eastAsia"/>
                <w:color w:val="000000" w:themeColor="text1"/>
                <w:szCs w:val="21"/>
                <w:lang w:val="en-US" w:eastAsia="zh-CN"/>
                <w14:textFill>
                  <w14:solidFill>
                    <w14:schemeClr w14:val="tx1"/>
                  </w14:solidFill>
                </w14:textFill>
              </w:rPr>
              <w:t>排放775.6t/a，抽运至苏州市吴江桃源生活污水处理有限公司处理。</w:t>
            </w:r>
            <w:r>
              <w:rPr>
                <w:rFonts w:hint="eastAsia"/>
                <w:color w:val="auto"/>
                <w:lang w:val="en-US" w:eastAsia="zh-CN"/>
              </w:rPr>
              <w:t>本项目企业全厂生产废水接管量为</w:t>
            </w:r>
            <w:r>
              <w:rPr>
                <w:rFonts w:hint="eastAsia"/>
                <w:color w:val="auto"/>
                <w:szCs w:val="21"/>
                <w:lang w:val="en-US" w:eastAsia="zh-CN"/>
              </w:rPr>
              <w:t>171185</w:t>
            </w:r>
            <w:r>
              <w:rPr>
                <w:rFonts w:hint="eastAsia"/>
                <w:color w:val="auto"/>
                <w:lang w:val="en-US" w:eastAsia="zh-CN"/>
              </w:rPr>
              <w:t>t/a，由于现有项目不产生生产废水，所以全厂生产废水量也为173740t/a，生产废水</w:t>
            </w:r>
            <w:r>
              <w:rPr>
                <w:rFonts w:hint="eastAsia"/>
                <w:color w:val="auto"/>
              </w:rPr>
              <w:t>接管至苏州市桃源富乡污水处理有限公司处理后</w:t>
            </w:r>
            <w:r>
              <w:rPr>
                <w:rFonts w:hint="eastAsia"/>
                <w:color w:val="auto"/>
                <w:lang w:val="en-US" w:eastAsia="zh-CN"/>
              </w:rPr>
              <w:t>76%</w:t>
            </w:r>
            <w:r>
              <w:rPr>
                <w:rFonts w:hint="eastAsia"/>
                <w:color w:val="auto"/>
              </w:rPr>
              <w:t>回用</w:t>
            </w:r>
            <w:r>
              <w:rPr>
                <w:rFonts w:hint="eastAsia"/>
                <w:color w:val="auto"/>
                <w:lang w:eastAsia="zh-CN"/>
              </w:rPr>
              <w:t>，</w:t>
            </w:r>
            <w:r>
              <w:rPr>
                <w:rFonts w:hint="eastAsia"/>
                <w:color w:val="auto"/>
                <w:lang w:val="en-US" w:eastAsia="zh-CN"/>
              </w:rPr>
              <w:t>其余达标排入鳑鲏港</w:t>
            </w:r>
            <w:r>
              <w:rPr>
                <w:rFonts w:hint="eastAsia"/>
                <w:color w:val="auto"/>
              </w:rPr>
              <w:t>。</w:t>
            </w:r>
          </w:p>
          <w:p w14:paraId="56252DE8">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4-</w:t>
            </w:r>
            <w:r>
              <w:rPr>
                <w:rFonts w:hint="eastAsia"/>
                <w:b/>
                <w:snapToGrid w:val="0"/>
                <w:color w:val="auto"/>
                <w:szCs w:val="21"/>
                <w:lang w:val="en-US" w:eastAsia="zh-CN"/>
              </w:rPr>
              <w:t>9.1</w:t>
            </w:r>
            <w:r>
              <w:rPr>
                <w:b/>
                <w:snapToGrid w:val="0"/>
                <w:color w:val="auto"/>
                <w:szCs w:val="21"/>
              </w:rPr>
              <w:t xml:space="preserve">  </w:t>
            </w:r>
            <w:r>
              <w:rPr>
                <w:rFonts w:hint="eastAsia"/>
                <w:b/>
                <w:snapToGrid w:val="0"/>
                <w:color w:val="auto"/>
                <w:szCs w:val="21"/>
                <w:lang w:val="en-US" w:eastAsia="zh-CN"/>
              </w:rPr>
              <w:t>全厂</w:t>
            </w:r>
            <w:r>
              <w:rPr>
                <w:rFonts w:hint="eastAsia"/>
                <w:b/>
                <w:snapToGrid w:val="0"/>
                <w:color w:val="auto"/>
                <w:szCs w:val="21"/>
              </w:rPr>
              <w:t>废水产生及排放情况</w:t>
            </w:r>
          </w:p>
          <w:tbl>
            <w:tblPr>
              <w:tblStyle w:val="26"/>
              <w:tblW w:w="8079"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377"/>
              <w:gridCol w:w="848"/>
              <w:gridCol w:w="682"/>
              <w:gridCol w:w="586"/>
              <w:gridCol w:w="640"/>
              <w:gridCol w:w="634"/>
              <w:gridCol w:w="628"/>
              <w:gridCol w:w="572"/>
              <w:gridCol w:w="525"/>
              <w:gridCol w:w="682"/>
              <w:gridCol w:w="608"/>
              <w:gridCol w:w="1297"/>
            </w:tblGrid>
            <w:tr w14:paraId="5C35CD2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cantSplit/>
                <w:trHeight w:val="225" w:hRule="atLeast"/>
                <w:jc w:val="center"/>
              </w:trPr>
              <w:tc>
                <w:tcPr>
                  <w:tcW w:w="377" w:type="dxa"/>
                  <w:vMerge w:val="restart"/>
                  <w:tcBorders>
                    <w:tl2br w:val="nil"/>
                    <w:tr2bl w:val="nil"/>
                  </w:tcBorders>
                  <w:vAlign w:val="center"/>
                </w:tcPr>
                <w:p w14:paraId="6087C547">
                  <w:pPr>
                    <w:pStyle w:val="75"/>
                    <w:adjustRightInd w:val="0"/>
                    <w:snapToGrid w:val="0"/>
                    <w:textAlignment w:val="center"/>
                    <w:rPr>
                      <w:bCs/>
                      <w:color w:val="auto"/>
                      <w:sz w:val="18"/>
                      <w:szCs w:val="18"/>
                    </w:rPr>
                  </w:pPr>
                  <w:r>
                    <w:rPr>
                      <w:rFonts w:hint="eastAsia"/>
                      <w:bCs/>
                      <w:color w:val="auto"/>
                      <w:sz w:val="18"/>
                      <w:szCs w:val="18"/>
                    </w:rPr>
                    <w:t>污染源名称</w:t>
                  </w:r>
                </w:p>
              </w:tc>
              <w:tc>
                <w:tcPr>
                  <w:tcW w:w="2756" w:type="dxa"/>
                  <w:gridSpan w:val="4"/>
                  <w:tcBorders>
                    <w:tl2br w:val="nil"/>
                    <w:tr2bl w:val="nil"/>
                  </w:tcBorders>
                  <w:vAlign w:val="center"/>
                </w:tcPr>
                <w:p w14:paraId="08AA5092">
                  <w:pPr>
                    <w:pStyle w:val="75"/>
                    <w:adjustRightInd w:val="0"/>
                    <w:snapToGrid w:val="0"/>
                    <w:textAlignment w:val="center"/>
                    <w:rPr>
                      <w:bCs/>
                      <w:color w:val="auto"/>
                      <w:sz w:val="18"/>
                      <w:szCs w:val="18"/>
                    </w:rPr>
                  </w:pPr>
                  <w:r>
                    <w:rPr>
                      <w:rFonts w:hint="eastAsia"/>
                      <w:bCs/>
                      <w:color w:val="auto"/>
                      <w:sz w:val="18"/>
                      <w:szCs w:val="18"/>
                    </w:rPr>
                    <w:t>产生</w:t>
                  </w:r>
                </w:p>
              </w:tc>
              <w:tc>
                <w:tcPr>
                  <w:tcW w:w="634" w:type="dxa"/>
                  <w:vMerge w:val="restart"/>
                  <w:tcBorders>
                    <w:tl2br w:val="nil"/>
                    <w:tr2bl w:val="nil"/>
                  </w:tcBorders>
                  <w:vAlign w:val="center"/>
                </w:tcPr>
                <w:p w14:paraId="3857F314">
                  <w:pPr>
                    <w:pStyle w:val="75"/>
                    <w:adjustRightInd w:val="0"/>
                    <w:snapToGrid w:val="0"/>
                    <w:textAlignment w:val="center"/>
                    <w:rPr>
                      <w:bCs/>
                      <w:color w:val="auto"/>
                      <w:sz w:val="18"/>
                      <w:szCs w:val="18"/>
                    </w:rPr>
                  </w:pPr>
                  <w:r>
                    <w:rPr>
                      <w:rFonts w:hint="eastAsia"/>
                      <w:bCs/>
                      <w:color w:val="auto"/>
                      <w:sz w:val="18"/>
                      <w:szCs w:val="18"/>
                    </w:rPr>
                    <w:t>治理</w:t>
                  </w:r>
                </w:p>
                <w:p w14:paraId="01B4F458">
                  <w:pPr>
                    <w:pStyle w:val="75"/>
                    <w:adjustRightInd w:val="0"/>
                    <w:snapToGrid w:val="0"/>
                    <w:textAlignment w:val="center"/>
                    <w:rPr>
                      <w:bCs/>
                      <w:color w:val="auto"/>
                      <w:sz w:val="18"/>
                      <w:szCs w:val="18"/>
                    </w:rPr>
                  </w:pPr>
                  <w:r>
                    <w:rPr>
                      <w:rFonts w:hint="eastAsia"/>
                      <w:bCs/>
                      <w:color w:val="auto"/>
                      <w:sz w:val="18"/>
                      <w:szCs w:val="18"/>
                    </w:rPr>
                    <w:t>措施</w:t>
                  </w:r>
                </w:p>
              </w:tc>
              <w:tc>
                <w:tcPr>
                  <w:tcW w:w="2407" w:type="dxa"/>
                  <w:gridSpan w:val="4"/>
                  <w:tcBorders>
                    <w:tl2br w:val="nil"/>
                    <w:tr2bl w:val="nil"/>
                  </w:tcBorders>
                  <w:vAlign w:val="center"/>
                </w:tcPr>
                <w:p w14:paraId="067CB3BE">
                  <w:pPr>
                    <w:pStyle w:val="75"/>
                    <w:adjustRightInd w:val="0"/>
                    <w:snapToGrid w:val="0"/>
                    <w:textAlignment w:val="center"/>
                    <w:rPr>
                      <w:bCs/>
                      <w:color w:val="auto"/>
                      <w:sz w:val="18"/>
                      <w:szCs w:val="18"/>
                    </w:rPr>
                  </w:pPr>
                  <w:r>
                    <w:rPr>
                      <w:rFonts w:hint="eastAsia"/>
                      <w:bCs/>
                      <w:color w:val="auto"/>
                      <w:sz w:val="18"/>
                      <w:szCs w:val="18"/>
                    </w:rPr>
                    <w:t>排放</w:t>
                  </w:r>
                </w:p>
              </w:tc>
              <w:tc>
                <w:tcPr>
                  <w:tcW w:w="608" w:type="dxa"/>
                  <w:vMerge w:val="restart"/>
                  <w:tcBorders>
                    <w:tl2br w:val="nil"/>
                    <w:tr2bl w:val="nil"/>
                  </w:tcBorders>
                  <w:vAlign w:val="center"/>
                </w:tcPr>
                <w:p w14:paraId="72DB2D74">
                  <w:pPr>
                    <w:pStyle w:val="75"/>
                    <w:adjustRightInd w:val="0"/>
                    <w:snapToGrid w:val="0"/>
                    <w:textAlignment w:val="center"/>
                    <w:rPr>
                      <w:bCs/>
                      <w:color w:val="auto"/>
                      <w:sz w:val="18"/>
                      <w:szCs w:val="18"/>
                    </w:rPr>
                  </w:pPr>
                  <w:r>
                    <w:rPr>
                      <w:rFonts w:hint="eastAsia"/>
                      <w:bCs/>
                      <w:color w:val="auto"/>
                      <w:sz w:val="18"/>
                      <w:szCs w:val="18"/>
                    </w:rPr>
                    <w:t>标准浓度限值</w:t>
                  </w:r>
                </w:p>
                <w:p w14:paraId="3714A90A">
                  <w:pPr>
                    <w:pStyle w:val="75"/>
                    <w:adjustRightInd w:val="0"/>
                    <w:snapToGrid w:val="0"/>
                    <w:textAlignment w:val="center"/>
                    <w:rPr>
                      <w:bCs/>
                      <w:color w:val="auto"/>
                      <w:sz w:val="18"/>
                      <w:szCs w:val="18"/>
                    </w:rPr>
                  </w:pPr>
                  <w:r>
                    <w:rPr>
                      <w:bCs/>
                      <w:color w:val="auto"/>
                      <w:sz w:val="18"/>
                      <w:szCs w:val="18"/>
                    </w:rPr>
                    <w:t>(mg/L)</w:t>
                  </w:r>
                </w:p>
              </w:tc>
              <w:tc>
                <w:tcPr>
                  <w:tcW w:w="1297" w:type="dxa"/>
                  <w:vMerge w:val="restart"/>
                  <w:tcBorders>
                    <w:tl2br w:val="nil"/>
                    <w:tr2bl w:val="nil"/>
                  </w:tcBorders>
                  <w:vAlign w:val="center"/>
                </w:tcPr>
                <w:p w14:paraId="59DC3FF4">
                  <w:pPr>
                    <w:pStyle w:val="75"/>
                    <w:adjustRightInd w:val="0"/>
                    <w:snapToGrid w:val="0"/>
                    <w:textAlignment w:val="center"/>
                    <w:rPr>
                      <w:bCs/>
                      <w:color w:val="auto"/>
                      <w:sz w:val="18"/>
                      <w:szCs w:val="18"/>
                    </w:rPr>
                  </w:pPr>
                  <w:r>
                    <w:rPr>
                      <w:rFonts w:hint="eastAsia"/>
                      <w:bCs/>
                      <w:color w:val="auto"/>
                      <w:sz w:val="18"/>
                      <w:szCs w:val="18"/>
                    </w:rPr>
                    <w:t>排放方式与去向</w:t>
                  </w:r>
                </w:p>
              </w:tc>
            </w:tr>
            <w:tr w14:paraId="11C4FA7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455" w:hRule="atLeast"/>
                <w:jc w:val="center"/>
              </w:trPr>
              <w:tc>
                <w:tcPr>
                  <w:tcW w:w="377" w:type="dxa"/>
                  <w:vMerge w:val="continue"/>
                  <w:tcBorders>
                    <w:tl2br w:val="nil"/>
                    <w:tr2bl w:val="nil"/>
                  </w:tcBorders>
                  <w:vAlign w:val="center"/>
                </w:tcPr>
                <w:p w14:paraId="04C99486">
                  <w:pPr>
                    <w:pStyle w:val="75"/>
                    <w:adjustRightInd w:val="0"/>
                    <w:snapToGrid w:val="0"/>
                    <w:textAlignment w:val="center"/>
                    <w:rPr>
                      <w:bCs/>
                      <w:color w:val="auto"/>
                      <w:sz w:val="18"/>
                      <w:szCs w:val="18"/>
                    </w:rPr>
                  </w:pPr>
                </w:p>
              </w:tc>
              <w:tc>
                <w:tcPr>
                  <w:tcW w:w="848" w:type="dxa"/>
                  <w:tcBorders>
                    <w:tl2br w:val="nil"/>
                    <w:tr2bl w:val="nil"/>
                  </w:tcBorders>
                  <w:vAlign w:val="center"/>
                </w:tcPr>
                <w:p w14:paraId="1040F7E1">
                  <w:pPr>
                    <w:pStyle w:val="75"/>
                    <w:adjustRightInd w:val="0"/>
                    <w:snapToGrid w:val="0"/>
                    <w:textAlignment w:val="center"/>
                    <w:rPr>
                      <w:bCs/>
                      <w:color w:val="auto"/>
                      <w:sz w:val="18"/>
                      <w:szCs w:val="18"/>
                    </w:rPr>
                  </w:pPr>
                  <w:r>
                    <w:rPr>
                      <w:rFonts w:hint="eastAsia"/>
                      <w:bCs/>
                      <w:color w:val="auto"/>
                      <w:sz w:val="18"/>
                      <w:szCs w:val="18"/>
                    </w:rPr>
                    <w:t>水量</w:t>
                  </w:r>
                </w:p>
                <w:p w14:paraId="2624DE9E">
                  <w:pPr>
                    <w:pStyle w:val="75"/>
                    <w:adjustRightInd w:val="0"/>
                    <w:snapToGrid w:val="0"/>
                    <w:textAlignment w:val="center"/>
                    <w:rPr>
                      <w:bCs/>
                      <w:color w:val="auto"/>
                      <w:sz w:val="18"/>
                      <w:szCs w:val="18"/>
                    </w:rPr>
                  </w:pPr>
                  <w:r>
                    <w:rPr>
                      <w:bCs/>
                      <w:color w:val="auto"/>
                      <w:sz w:val="18"/>
                      <w:szCs w:val="18"/>
                    </w:rPr>
                    <w:t>(m</w:t>
                  </w:r>
                  <w:r>
                    <w:rPr>
                      <w:bCs/>
                      <w:color w:val="auto"/>
                      <w:sz w:val="18"/>
                      <w:szCs w:val="18"/>
                      <w:vertAlign w:val="superscript"/>
                    </w:rPr>
                    <w:t>3</w:t>
                  </w:r>
                  <w:r>
                    <w:rPr>
                      <w:bCs/>
                      <w:color w:val="auto"/>
                      <w:sz w:val="18"/>
                      <w:szCs w:val="18"/>
                    </w:rPr>
                    <w:t>/a)</w:t>
                  </w:r>
                </w:p>
              </w:tc>
              <w:tc>
                <w:tcPr>
                  <w:tcW w:w="682" w:type="dxa"/>
                  <w:tcBorders>
                    <w:tl2br w:val="nil"/>
                    <w:tr2bl w:val="nil"/>
                  </w:tcBorders>
                  <w:vAlign w:val="center"/>
                </w:tcPr>
                <w:p w14:paraId="18A91829">
                  <w:pPr>
                    <w:pStyle w:val="75"/>
                    <w:adjustRightInd w:val="0"/>
                    <w:snapToGrid w:val="0"/>
                    <w:textAlignment w:val="center"/>
                    <w:rPr>
                      <w:bCs/>
                      <w:color w:val="auto"/>
                      <w:sz w:val="18"/>
                      <w:szCs w:val="18"/>
                    </w:rPr>
                  </w:pPr>
                  <w:r>
                    <w:rPr>
                      <w:rFonts w:hint="eastAsia"/>
                      <w:bCs/>
                      <w:color w:val="auto"/>
                      <w:sz w:val="18"/>
                      <w:szCs w:val="18"/>
                    </w:rPr>
                    <w:t>污染物</w:t>
                  </w:r>
                </w:p>
                <w:p w14:paraId="181CD398">
                  <w:pPr>
                    <w:pStyle w:val="75"/>
                    <w:adjustRightInd w:val="0"/>
                    <w:snapToGrid w:val="0"/>
                    <w:textAlignment w:val="center"/>
                    <w:rPr>
                      <w:bCs/>
                      <w:color w:val="auto"/>
                      <w:sz w:val="18"/>
                      <w:szCs w:val="18"/>
                    </w:rPr>
                  </w:pPr>
                  <w:r>
                    <w:rPr>
                      <w:rFonts w:hint="eastAsia"/>
                      <w:bCs/>
                      <w:color w:val="auto"/>
                      <w:sz w:val="18"/>
                      <w:szCs w:val="18"/>
                    </w:rPr>
                    <w:t>名称</w:t>
                  </w:r>
                </w:p>
              </w:tc>
              <w:tc>
                <w:tcPr>
                  <w:tcW w:w="586" w:type="dxa"/>
                  <w:tcBorders>
                    <w:tl2br w:val="nil"/>
                    <w:tr2bl w:val="nil"/>
                  </w:tcBorders>
                  <w:vAlign w:val="center"/>
                </w:tcPr>
                <w:p w14:paraId="466D77E4">
                  <w:pPr>
                    <w:pStyle w:val="75"/>
                    <w:adjustRightInd w:val="0"/>
                    <w:snapToGrid w:val="0"/>
                    <w:textAlignment w:val="center"/>
                    <w:rPr>
                      <w:bCs/>
                      <w:color w:val="auto"/>
                      <w:sz w:val="18"/>
                      <w:szCs w:val="18"/>
                    </w:rPr>
                  </w:pPr>
                  <w:r>
                    <w:rPr>
                      <w:rFonts w:hint="eastAsia"/>
                      <w:bCs/>
                      <w:color w:val="auto"/>
                      <w:sz w:val="18"/>
                      <w:szCs w:val="18"/>
                    </w:rPr>
                    <w:t>浓度</w:t>
                  </w:r>
                </w:p>
                <w:p w14:paraId="7D918D3D">
                  <w:pPr>
                    <w:pStyle w:val="75"/>
                    <w:adjustRightInd w:val="0"/>
                    <w:snapToGrid w:val="0"/>
                    <w:textAlignment w:val="center"/>
                    <w:rPr>
                      <w:bCs/>
                      <w:color w:val="auto"/>
                      <w:sz w:val="18"/>
                      <w:szCs w:val="18"/>
                    </w:rPr>
                  </w:pPr>
                  <w:r>
                    <w:rPr>
                      <w:bCs/>
                      <w:color w:val="auto"/>
                      <w:sz w:val="18"/>
                      <w:szCs w:val="18"/>
                    </w:rPr>
                    <w:t>(mg/L)</w:t>
                  </w:r>
                </w:p>
              </w:tc>
              <w:tc>
                <w:tcPr>
                  <w:tcW w:w="640" w:type="dxa"/>
                  <w:tcBorders>
                    <w:tl2br w:val="nil"/>
                    <w:tr2bl w:val="nil"/>
                  </w:tcBorders>
                  <w:vAlign w:val="center"/>
                </w:tcPr>
                <w:p w14:paraId="2EF4C3D7">
                  <w:pPr>
                    <w:pStyle w:val="75"/>
                    <w:adjustRightInd w:val="0"/>
                    <w:snapToGrid w:val="0"/>
                    <w:textAlignment w:val="center"/>
                    <w:rPr>
                      <w:bCs/>
                      <w:color w:val="auto"/>
                      <w:sz w:val="18"/>
                      <w:szCs w:val="18"/>
                    </w:rPr>
                  </w:pPr>
                  <w:r>
                    <w:rPr>
                      <w:rFonts w:hint="eastAsia"/>
                      <w:bCs/>
                      <w:color w:val="auto"/>
                      <w:sz w:val="18"/>
                      <w:szCs w:val="18"/>
                    </w:rPr>
                    <w:t>产生量</w:t>
                  </w:r>
                  <w:r>
                    <w:rPr>
                      <w:bCs/>
                      <w:color w:val="auto"/>
                      <w:sz w:val="18"/>
                      <w:szCs w:val="18"/>
                    </w:rPr>
                    <w:t>(t/a)</w:t>
                  </w:r>
                </w:p>
              </w:tc>
              <w:tc>
                <w:tcPr>
                  <w:tcW w:w="634" w:type="dxa"/>
                  <w:vMerge w:val="continue"/>
                  <w:tcBorders>
                    <w:tl2br w:val="nil"/>
                    <w:tr2bl w:val="nil"/>
                  </w:tcBorders>
                  <w:vAlign w:val="center"/>
                </w:tcPr>
                <w:p w14:paraId="45D712EB">
                  <w:pPr>
                    <w:pStyle w:val="75"/>
                    <w:adjustRightInd w:val="0"/>
                    <w:snapToGrid w:val="0"/>
                    <w:textAlignment w:val="center"/>
                    <w:rPr>
                      <w:bCs/>
                      <w:color w:val="auto"/>
                      <w:sz w:val="18"/>
                      <w:szCs w:val="18"/>
                    </w:rPr>
                  </w:pPr>
                </w:p>
              </w:tc>
              <w:tc>
                <w:tcPr>
                  <w:tcW w:w="628" w:type="dxa"/>
                  <w:tcBorders>
                    <w:tl2br w:val="nil"/>
                    <w:tr2bl w:val="nil"/>
                  </w:tcBorders>
                  <w:vAlign w:val="center"/>
                </w:tcPr>
                <w:p w14:paraId="38C4A89B">
                  <w:pPr>
                    <w:pStyle w:val="75"/>
                    <w:adjustRightInd w:val="0"/>
                    <w:snapToGrid w:val="0"/>
                    <w:textAlignment w:val="center"/>
                    <w:rPr>
                      <w:bCs/>
                      <w:color w:val="auto"/>
                      <w:sz w:val="18"/>
                      <w:szCs w:val="18"/>
                    </w:rPr>
                  </w:pPr>
                  <w:r>
                    <w:rPr>
                      <w:rFonts w:hint="eastAsia"/>
                      <w:bCs/>
                      <w:color w:val="auto"/>
                      <w:sz w:val="18"/>
                      <w:szCs w:val="18"/>
                    </w:rPr>
                    <w:t>水量</w:t>
                  </w:r>
                </w:p>
                <w:p w14:paraId="7360B70B">
                  <w:pPr>
                    <w:pStyle w:val="75"/>
                    <w:adjustRightInd w:val="0"/>
                    <w:snapToGrid w:val="0"/>
                    <w:textAlignment w:val="center"/>
                    <w:rPr>
                      <w:bCs/>
                      <w:color w:val="auto"/>
                      <w:sz w:val="18"/>
                      <w:szCs w:val="18"/>
                    </w:rPr>
                  </w:pPr>
                  <w:r>
                    <w:rPr>
                      <w:bCs/>
                      <w:color w:val="auto"/>
                      <w:sz w:val="18"/>
                      <w:szCs w:val="18"/>
                    </w:rPr>
                    <w:t>(m</w:t>
                  </w:r>
                  <w:r>
                    <w:rPr>
                      <w:bCs/>
                      <w:color w:val="auto"/>
                      <w:sz w:val="18"/>
                      <w:szCs w:val="18"/>
                      <w:vertAlign w:val="superscript"/>
                    </w:rPr>
                    <w:t>3</w:t>
                  </w:r>
                  <w:r>
                    <w:rPr>
                      <w:bCs/>
                      <w:color w:val="auto"/>
                      <w:sz w:val="18"/>
                      <w:szCs w:val="18"/>
                    </w:rPr>
                    <w:t>/a)</w:t>
                  </w:r>
                </w:p>
              </w:tc>
              <w:tc>
                <w:tcPr>
                  <w:tcW w:w="572" w:type="dxa"/>
                  <w:tcBorders>
                    <w:tl2br w:val="nil"/>
                    <w:tr2bl w:val="nil"/>
                  </w:tcBorders>
                  <w:vAlign w:val="center"/>
                </w:tcPr>
                <w:p w14:paraId="7C1B3D07">
                  <w:pPr>
                    <w:pStyle w:val="75"/>
                    <w:adjustRightInd w:val="0"/>
                    <w:snapToGrid w:val="0"/>
                    <w:textAlignment w:val="center"/>
                    <w:rPr>
                      <w:bCs/>
                      <w:color w:val="auto"/>
                      <w:sz w:val="18"/>
                      <w:szCs w:val="18"/>
                    </w:rPr>
                  </w:pPr>
                  <w:r>
                    <w:rPr>
                      <w:rFonts w:hint="eastAsia"/>
                      <w:bCs/>
                      <w:color w:val="auto"/>
                      <w:sz w:val="18"/>
                      <w:szCs w:val="18"/>
                    </w:rPr>
                    <w:t>污染物</w:t>
                  </w:r>
                </w:p>
                <w:p w14:paraId="3B64B92D">
                  <w:pPr>
                    <w:pStyle w:val="75"/>
                    <w:adjustRightInd w:val="0"/>
                    <w:snapToGrid w:val="0"/>
                    <w:textAlignment w:val="center"/>
                    <w:rPr>
                      <w:bCs/>
                      <w:color w:val="auto"/>
                      <w:sz w:val="18"/>
                      <w:szCs w:val="18"/>
                    </w:rPr>
                  </w:pPr>
                  <w:r>
                    <w:rPr>
                      <w:rFonts w:hint="eastAsia"/>
                      <w:bCs/>
                      <w:color w:val="auto"/>
                      <w:sz w:val="18"/>
                      <w:szCs w:val="18"/>
                    </w:rPr>
                    <w:t>名称</w:t>
                  </w:r>
                </w:p>
              </w:tc>
              <w:tc>
                <w:tcPr>
                  <w:tcW w:w="525" w:type="dxa"/>
                  <w:tcBorders>
                    <w:tl2br w:val="nil"/>
                    <w:tr2bl w:val="nil"/>
                  </w:tcBorders>
                  <w:vAlign w:val="center"/>
                </w:tcPr>
                <w:p w14:paraId="06369F8B">
                  <w:pPr>
                    <w:pStyle w:val="75"/>
                    <w:adjustRightInd w:val="0"/>
                    <w:snapToGrid w:val="0"/>
                    <w:textAlignment w:val="center"/>
                    <w:rPr>
                      <w:bCs/>
                      <w:color w:val="auto"/>
                      <w:sz w:val="18"/>
                      <w:szCs w:val="18"/>
                    </w:rPr>
                  </w:pPr>
                  <w:r>
                    <w:rPr>
                      <w:rFonts w:hint="eastAsia"/>
                      <w:bCs/>
                      <w:color w:val="auto"/>
                      <w:sz w:val="18"/>
                      <w:szCs w:val="18"/>
                    </w:rPr>
                    <w:t>浓度</w:t>
                  </w:r>
                </w:p>
                <w:p w14:paraId="5CF5AE27">
                  <w:pPr>
                    <w:pStyle w:val="75"/>
                    <w:adjustRightInd w:val="0"/>
                    <w:snapToGrid w:val="0"/>
                    <w:textAlignment w:val="center"/>
                    <w:rPr>
                      <w:bCs/>
                      <w:color w:val="auto"/>
                      <w:sz w:val="18"/>
                      <w:szCs w:val="18"/>
                    </w:rPr>
                  </w:pPr>
                  <w:r>
                    <w:rPr>
                      <w:bCs/>
                      <w:color w:val="auto"/>
                      <w:sz w:val="18"/>
                      <w:szCs w:val="18"/>
                    </w:rPr>
                    <w:t>(mg/L)</w:t>
                  </w:r>
                </w:p>
              </w:tc>
              <w:tc>
                <w:tcPr>
                  <w:tcW w:w="682" w:type="dxa"/>
                  <w:tcBorders>
                    <w:tl2br w:val="nil"/>
                    <w:tr2bl w:val="nil"/>
                  </w:tcBorders>
                  <w:vAlign w:val="center"/>
                </w:tcPr>
                <w:p w14:paraId="4DE993BF">
                  <w:pPr>
                    <w:pStyle w:val="75"/>
                    <w:adjustRightInd w:val="0"/>
                    <w:snapToGrid w:val="0"/>
                    <w:textAlignment w:val="center"/>
                    <w:rPr>
                      <w:bCs/>
                      <w:color w:val="auto"/>
                      <w:sz w:val="18"/>
                      <w:szCs w:val="18"/>
                    </w:rPr>
                  </w:pPr>
                  <w:r>
                    <w:rPr>
                      <w:rFonts w:hint="eastAsia"/>
                      <w:bCs/>
                      <w:color w:val="auto"/>
                      <w:sz w:val="18"/>
                      <w:szCs w:val="18"/>
                    </w:rPr>
                    <w:t>排放量</w:t>
                  </w:r>
                </w:p>
                <w:p w14:paraId="7B0FF706">
                  <w:pPr>
                    <w:pStyle w:val="75"/>
                    <w:adjustRightInd w:val="0"/>
                    <w:snapToGrid w:val="0"/>
                    <w:textAlignment w:val="center"/>
                    <w:rPr>
                      <w:bCs/>
                      <w:color w:val="auto"/>
                      <w:sz w:val="18"/>
                      <w:szCs w:val="18"/>
                    </w:rPr>
                  </w:pPr>
                  <w:r>
                    <w:rPr>
                      <w:bCs/>
                      <w:color w:val="auto"/>
                      <w:sz w:val="18"/>
                      <w:szCs w:val="18"/>
                    </w:rPr>
                    <w:t>(t/a)</w:t>
                  </w:r>
                </w:p>
              </w:tc>
              <w:tc>
                <w:tcPr>
                  <w:tcW w:w="608" w:type="dxa"/>
                  <w:vMerge w:val="continue"/>
                  <w:tcBorders>
                    <w:tl2br w:val="nil"/>
                    <w:tr2bl w:val="nil"/>
                  </w:tcBorders>
                  <w:vAlign w:val="center"/>
                </w:tcPr>
                <w:p w14:paraId="6200A4F9">
                  <w:pPr>
                    <w:pStyle w:val="75"/>
                    <w:adjustRightInd w:val="0"/>
                    <w:snapToGrid w:val="0"/>
                    <w:textAlignment w:val="center"/>
                    <w:rPr>
                      <w:bCs/>
                      <w:color w:val="auto"/>
                      <w:sz w:val="18"/>
                      <w:szCs w:val="18"/>
                    </w:rPr>
                  </w:pPr>
                </w:p>
              </w:tc>
              <w:tc>
                <w:tcPr>
                  <w:tcW w:w="1297" w:type="dxa"/>
                  <w:vMerge w:val="continue"/>
                  <w:tcBorders>
                    <w:tl2br w:val="nil"/>
                    <w:tr2bl w:val="nil"/>
                  </w:tcBorders>
                  <w:vAlign w:val="center"/>
                </w:tcPr>
                <w:p w14:paraId="4C5E754C">
                  <w:pPr>
                    <w:pStyle w:val="75"/>
                    <w:adjustRightInd w:val="0"/>
                    <w:snapToGrid w:val="0"/>
                    <w:textAlignment w:val="center"/>
                    <w:rPr>
                      <w:bCs/>
                      <w:color w:val="auto"/>
                      <w:sz w:val="18"/>
                      <w:szCs w:val="18"/>
                    </w:rPr>
                  </w:pPr>
                </w:p>
              </w:tc>
            </w:tr>
            <w:tr w14:paraId="7C84C92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455" w:hRule="atLeast"/>
                <w:jc w:val="center"/>
              </w:trPr>
              <w:tc>
                <w:tcPr>
                  <w:tcW w:w="377" w:type="dxa"/>
                  <w:vMerge w:val="restart"/>
                  <w:tcBorders>
                    <w:tl2br w:val="nil"/>
                    <w:tr2bl w:val="nil"/>
                  </w:tcBorders>
                  <w:vAlign w:val="center"/>
                </w:tcPr>
                <w:p w14:paraId="75B8895B">
                  <w:pPr>
                    <w:pStyle w:val="75"/>
                    <w:adjustRightInd w:val="0"/>
                    <w:snapToGrid w:val="0"/>
                    <w:textAlignment w:val="center"/>
                    <w:rPr>
                      <w:bCs/>
                      <w:color w:val="auto"/>
                      <w:sz w:val="18"/>
                      <w:szCs w:val="18"/>
                    </w:rPr>
                  </w:pPr>
                  <w:r>
                    <w:rPr>
                      <w:rFonts w:hint="eastAsia"/>
                      <w:bCs/>
                      <w:color w:val="auto"/>
                      <w:sz w:val="18"/>
                      <w:szCs w:val="18"/>
                    </w:rPr>
                    <w:t>生活</w:t>
                  </w:r>
                </w:p>
                <w:p w14:paraId="09EE587B">
                  <w:pPr>
                    <w:pStyle w:val="75"/>
                    <w:adjustRightInd w:val="0"/>
                    <w:snapToGrid w:val="0"/>
                    <w:textAlignment w:val="center"/>
                    <w:rPr>
                      <w:bCs/>
                      <w:color w:val="auto"/>
                      <w:sz w:val="18"/>
                      <w:szCs w:val="18"/>
                    </w:rPr>
                  </w:pPr>
                  <w:r>
                    <w:rPr>
                      <w:rFonts w:hint="eastAsia"/>
                      <w:bCs/>
                      <w:color w:val="auto"/>
                      <w:sz w:val="18"/>
                      <w:szCs w:val="18"/>
                    </w:rPr>
                    <w:t>污水</w:t>
                  </w:r>
                </w:p>
              </w:tc>
              <w:tc>
                <w:tcPr>
                  <w:tcW w:w="848" w:type="dxa"/>
                  <w:vMerge w:val="restart"/>
                  <w:tcBorders>
                    <w:tl2br w:val="nil"/>
                    <w:tr2bl w:val="nil"/>
                  </w:tcBorders>
                  <w:vAlign w:val="center"/>
                </w:tcPr>
                <w:p w14:paraId="0BD65B9B">
                  <w:pPr>
                    <w:pStyle w:val="75"/>
                    <w:adjustRightInd w:val="0"/>
                    <w:snapToGrid w:val="0"/>
                    <w:textAlignment w:val="center"/>
                    <w:rPr>
                      <w:rFonts w:hint="default"/>
                      <w:bCs/>
                      <w:color w:val="auto"/>
                      <w:sz w:val="18"/>
                      <w:szCs w:val="18"/>
                      <w:lang w:val="en-US"/>
                    </w:rPr>
                  </w:pPr>
                  <w:r>
                    <w:rPr>
                      <w:rFonts w:hint="eastAsia"/>
                      <w:bCs/>
                      <w:color w:val="auto"/>
                      <w:sz w:val="18"/>
                      <w:szCs w:val="18"/>
                      <w:lang w:val="en-US" w:eastAsia="zh-CN"/>
                    </w:rPr>
                    <w:t>775.6</w:t>
                  </w:r>
                </w:p>
              </w:tc>
              <w:tc>
                <w:tcPr>
                  <w:tcW w:w="682" w:type="dxa"/>
                  <w:tcBorders>
                    <w:tl2br w:val="nil"/>
                    <w:tr2bl w:val="nil"/>
                  </w:tcBorders>
                  <w:vAlign w:val="center"/>
                </w:tcPr>
                <w:p w14:paraId="6C745AE7">
                  <w:pPr>
                    <w:pStyle w:val="75"/>
                    <w:adjustRightInd w:val="0"/>
                    <w:snapToGrid w:val="0"/>
                    <w:textAlignment w:val="center"/>
                    <w:rPr>
                      <w:rFonts w:hint="eastAsia"/>
                      <w:bCs/>
                      <w:color w:val="auto"/>
                      <w:sz w:val="18"/>
                      <w:szCs w:val="18"/>
                    </w:rPr>
                  </w:pPr>
                  <w:r>
                    <w:rPr>
                      <w:rFonts w:hint="eastAsia"/>
                      <w:bCs/>
                      <w:color w:val="auto"/>
                      <w:sz w:val="18"/>
                      <w:szCs w:val="18"/>
                    </w:rPr>
                    <w:t>COD</w:t>
                  </w:r>
                </w:p>
              </w:tc>
              <w:tc>
                <w:tcPr>
                  <w:tcW w:w="586" w:type="dxa"/>
                  <w:tcBorders>
                    <w:tl2br w:val="nil"/>
                    <w:tr2bl w:val="nil"/>
                  </w:tcBorders>
                  <w:vAlign w:val="center"/>
                </w:tcPr>
                <w:p w14:paraId="537C8D21">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350</w:t>
                  </w:r>
                </w:p>
              </w:tc>
              <w:tc>
                <w:tcPr>
                  <w:tcW w:w="640" w:type="dxa"/>
                  <w:tcBorders>
                    <w:tl2br w:val="nil"/>
                    <w:tr2bl w:val="nil"/>
                  </w:tcBorders>
                  <w:vAlign w:val="center"/>
                </w:tcPr>
                <w:p w14:paraId="014AED7D">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0.271</w:t>
                  </w:r>
                </w:p>
              </w:tc>
              <w:tc>
                <w:tcPr>
                  <w:tcW w:w="634" w:type="dxa"/>
                  <w:vMerge w:val="restart"/>
                  <w:tcBorders>
                    <w:tl2br w:val="nil"/>
                    <w:tr2bl w:val="nil"/>
                  </w:tcBorders>
                  <w:shd w:val="clear" w:color="auto" w:fill="auto"/>
                  <w:vAlign w:val="center"/>
                </w:tcPr>
                <w:p w14:paraId="7F61409D">
                  <w:pPr>
                    <w:pStyle w:val="75"/>
                    <w:adjustRightInd w:val="0"/>
                    <w:snapToGrid w:val="0"/>
                    <w:textAlignment w:val="center"/>
                    <w:rPr>
                      <w:rFonts w:hint="eastAsia"/>
                      <w:bCs/>
                      <w:color w:val="auto"/>
                      <w:sz w:val="18"/>
                      <w:szCs w:val="18"/>
                      <w:lang w:val="en-US" w:eastAsia="zh-CN"/>
                    </w:rPr>
                  </w:pPr>
                  <w:r>
                    <w:rPr>
                      <w:rFonts w:hint="eastAsia"/>
                      <w:bCs/>
                      <w:color w:val="auto"/>
                      <w:sz w:val="18"/>
                      <w:szCs w:val="18"/>
                    </w:rPr>
                    <w:t>/</w:t>
                  </w:r>
                </w:p>
              </w:tc>
              <w:tc>
                <w:tcPr>
                  <w:tcW w:w="628" w:type="dxa"/>
                  <w:vMerge w:val="restart"/>
                  <w:tcBorders>
                    <w:tl2br w:val="nil"/>
                    <w:tr2bl w:val="nil"/>
                  </w:tcBorders>
                  <w:shd w:val="clear" w:color="auto" w:fill="auto"/>
                  <w:vAlign w:val="center"/>
                </w:tcPr>
                <w:p w14:paraId="19777F98">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775.6</w:t>
                  </w:r>
                </w:p>
              </w:tc>
              <w:tc>
                <w:tcPr>
                  <w:tcW w:w="572" w:type="dxa"/>
                  <w:tcBorders>
                    <w:tl2br w:val="nil"/>
                    <w:tr2bl w:val="nil"/>
                  </w:tcBorders>
                  <w:vAlign w:val="center"/>
                </w:tcPr>
                <w:p w14:paraId="623CF748">
                  <w:pPr>
                    <w:pStyle w:val="75"/>
                    <w:adjustRightInd w:val="0"/>
                    <w:snapToGrid w:val="0"/>
                    <w:textAlignment w:val="center"/>
                    <w:rPr>
                      <w:rFonts w:hint="eastAsia"/>
                      <w:bCs/>
                      <w:color w:val="auto"/>
                      <w:sz w:val="18"/>
                      <w:szCs w:val="18"/>
                    </w:rPr>
                  </w:pPr>
                  <w:r>
                    <w:rPr>
                      <w:rFonts w:hint="eastAsia"/>
                      <w:bCs/>
                      <w:color w:val="auto"/>
                      <w:sz w:val="18"/>
                      <w:szCs w:val="18"/>
                    </w:rPr>
                    <w:t>COD</w:t>
                  </w:r>
                </w:p>
              </w:tc>
              <w:tc>
                <w:tcPr>
                  <w:tcW w:w="525" w:type="dxa"/>
                  <w:tcBorders>
                    <w:tl2br w:val="nil"/>
                    <w:tr2bl w:val="nil"/>
                  </w:tcBorders>
                  <w:vAlign w:val="center"/>
                </w:tcPr>
                <w:p w14:paraId="7603EEB7">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350</w:t>
                  </w:r>
                </w:p>
              </w:tc>
              <w:tc>
                <w:tcPr>
                  <w:tcW w:w="682" w:type="dxa"/>
                  <w:tcBorders>
                    <w:tl2br w:val="nil"/>
                    <w:tr2bl w:val="nil"/>
                  </w:tcBorders>
                  <w:vAlign w:val="center"/>
                </w:tcPr>
                <w:p w14:paraId="44F02FB4">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0.271</w:t>
                  </w:r>
                </w:p>
              </w:tc>
              <w:tc>
                <w:tcPr>
                  <w:tcW w:w="608" w:type="dxa"/>
                  <w:tcBorders>
                    <w:tl2br w:val="nil"/>
                    <w:tr2bl w:val="nil"/>
                  </w:tcBorders>
                  <w:vAlign w:val="center"/>
                </w:tcPr>
                <w:p w14:paraId="0538FCAA">
                  <w:pPr>
                    <w:pStyle w:val="75"/>
                    <w:adjustRightInd w:val="0"/>
                    <w:snapToGrid w:val="0"/>
                    <w:textAlignment w:val="center"/>
                    <w:rPr>
                      <w:rFonts w:hint="eastAsia"/>
                      <w:bCs/>
                      <w:color w:val="auto"/>
                      <w:sz w:val="18"/>
                      <w:szCs w:val="18"/>
                    </w:rPr>
                  </w:pPr>
                  <w:r>
                    <w:rPr>
                      <w:rFonts w:hint="eastAsia"/>
                      <w:bCs/>
                      <w:color w:val="auto"/>
                      <w:sz w:val="18"/>
                      <w:szCs w:val="18"/>
                    </w:rPr>
                    <w:t>500</w:t>
                  </w:r>
                </w:p>
              </w:tc>
              <w:tc>
                <w:tcPr>
                  <w:tcW w:w="1297" w:type="dxa"/>
                  <w:vMerge w:val="restart"/>
                  <w:tcBorders>
                    <w:tl2br w:val="nil"/>
                    <w:tr2bl w:val="nil"/>
                  </w:tcBorders>
                  <w:vAlign w:val="center"/>
                </w:tcPr>
                <w:p w14:paraId="3F571D45">
                  <w:pPr>
                    <w:pStyle w:val="75"/>
                    <w:adjustRightInd w:val="0"/>
                    <w:snapToGrid w:val="0"/>
                    <w:textAlignment w:val="center"/>
                    <w:rPr>
                      <w:bCs/>
                      <w:color w:val="auto"/>
                      <w:sz w:val="18"/>
                      <w:szCs w:val="18"/>
                    </w:rPr>
                  </w:pPr>
                  <w:r>
                    <w:rPr>
                      <w:rFonts w:hint="eastAsia"/>
                      <w:bCs/>
                      <w:color w:val="auto"/>
                      <w:sz w:val="18"/>
                      <w:szCs w:val="18"/>
                      <w:lang w:eastAsia="zh-CN"/>
                    </w:rPr>
                    <w:t>抽运至苏州市吴江桃源生活污水处理有限公司</w:t>
                  </w:r>
                </w:p>
              </w:tc>
            </w:tr>
            <w:tr w14:paraId="5186C2B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455" w:hRule="atLeast"/>
                <w:jc w:val="center"/>
              </w:trPr>
              <w:tc>
                <w:tcPr>
                  <w:tcW w:w="377" w:type="dxa"/>
                  <w:vMerge w:val="continue"/>
                  <w:tcBorders>
                    <w:tl2br w:val="nil"/>
                    <w:tr2bl w:val="nil"/>
                  </w:tcBorders>
                  <w:vAlign w:val="center"/>
                </w:tcPr>
                <w:p w14:paraId="518A9A1B">
                  <w:pPr>
                    <w:pStyle w:val="75"/>
                    <w:adjustRightInd w:val="0"/>
                    <w:snapToGrid w:val="0"/>
                    <w:textAlignment w:val="center"/>
                    <w:rPr>
                      <w:bCs/>
                      <w:color w:val="auto"/>
                      <w:sz w:val="18"/>
                      <w:szCs w:val="18"/>
                    </w:rPr>
                  </w:pPr>
                </w:p>
              </w:tc>
              <w:tc>
                <w:tcPr>
                  <w:tcW w:w="848" w:type="dxa"/>
                  <w:vMerge w:val="continue"/>
                  <w:tcBorders>
                    <w:tl2br w:val="nil"/>
                    <w:tr2bl w:val="nil"/>
                  </w:tcBorders>
                  <w:vAlign w:val="center"/>
                </w:tcPr>
                <w:p w14:paraId="7100F6A5">
                  <w:pPr>
                    <w:pStyle w:val="75"/>
                    <w:adjustRightInd w:val="0"/>
                    <w:snapToGrid w:val="0"/>
                    <w:textAlignment w:val="center"/>
                    <w:rPr>
                      <w:bCs/>
                      <w:color w:val="auto"/>
                      <w:sz w:val="18"/>
                      <w:szCs w:val="18"/>
                    </w:rPr>
                  </w:pPr>
                </w:p>
              </w:tc>
              <w:tc>
                <w:tcPr>
                  <w:tcW w:w="682" w:type="dxa"/>
                  <w:tcBorders>
                    <w:tl2br w:val="nil"/>
                    <w:tr2bl w:val="nil"/>
                  </w:tcBorders>
                  <w:vAlign w:val="center"/>
                </w:tcPr>
                <w:p w14:paraId="6CFA086D">
                  <w:pPr>
                    <w:pStyle w:val="75"/>
                    <w:adjustRightInd w:val="0"/>
                    <w:snapToGrid w:val="0"/>
                    <w:textAlignment w:val="center"/>
                    <w:rPr>
                      <w:rFonts w:hint="eastAsia"/>
                      <w:bCs/>
                      <w:color w:val="auto"/>
                      <w:sz w:val="18"/>
                      <w:szCs w:val="18"/>
                    </w:rPr>
                  </w:pPr>
                  <w:r>
                    <w:rPr>
                      <w:rFonts w:hint="eastAsia"/>
                      <w:bCs/>
                      <w:color w:val="auto"/>
                      <w:sz w:val="18"/>
                      <w:szCs w:val="18"/>
                    </w:rPr>
                    <w:t>SS</w:t>
                  </w:r>
                </w:p>
              </w:tc>
              <w:tc>
                <w:tcPr>
                  <w:tcW w:w="586" w:type="dxa"/>
                  <w:tcBorders>
                    <w:tl2br w:val="nil"/>
                    <w:tr2bl w:val="nil"/>
                  </w:tcBorders>
                  <w:vAlign w:val="center"/>
                </w:tcPr>
                <w:p w14:paraId="7D4C6C09">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220</w:t>
                  </w:r>
                </w:p>
              </w:tc>
              <w:tc>
                <w:tcPr>
                  <w:tcW w:w="640" w:type="dxa"/>
                  <w:tcBorders>
                    <w:tl2br w:val="nil"/>
                    <w:tr2bl w:val="nil"/>
                  </w:tcBorders>
                  <w:vAlign w:val="center"/>
                </w:tcPr>
                <w:p w14:paraId="37BBD552">
                  <w:pPr>
                    <w:pStyle w:val="75"/>
                    <w:adjustRightInd w:val="0"/>
                    <w:snapToGrid w:val="0"/>
                    <w:textAlignment w:val="center"/>
                    <w:rPr>
                      <w:rFonts w:hint="default"/>
                      <w:bCs/>
                      <w:color w:val="auto"/>
                      <w:sz w:val="18"/>
                      <w:szCs w:val="18"/>
                      <w:lang w:val="en-US"/>
                    </w:rPr>
                  </w:pPr>
                  <w:r>
                    <w:rPr>
                      <w:rFonts w:hint="eastAsia"/>
                      <w:bCs/>
                      <w:color w:val="auto"/>
                      <w:sz w:val="18"/>
                      <w:szCs w:val="18"/>
                      <w:lang w:val="en-US" w:eastAsia="zh-CN"/>
                    </w:rPr>
                    <w:t>0.171</w:t>
                  </w:r>
                </w:p>
              </w:tc>
              <w:tc>
                <w:tcPr>
                  <w:tcW w:w="634" w:type="dxa"/>
                  <w:vMerge w:val="continue"/>
                  <w:tcBorders>
                    <w:tl2br w:val="nil"/>
                    <w:tr2bl w:val="nil"/>
                  </w:tcBorders>
                  <w:vAlign w:val="center"/>
                </w:tcPr>
                <w:p w14:paraId="5ED1727F">
                  <w:pPr>
                    <w:pStyle w:val="75"/>
                    <w:adjustRightInd w:val="0"/>
                    <w:snapToGrid w:val="0"/>
                    <w:textAlignment w:val="center"/>
                    <w:rPr>
                      <w:rFonts w:hint="eastAsia"/>
                      <w:bCs/>
                      <w:color w:val="auto"/>
                      <w:sz w:val="18"/>
                      <w:szCs w:val="18"/>
                    </w:rPr>
                  </w:pPr>
                </w:p>
              </w:tc>
              <w:tc>
                <w:tcPr>
                  <w:tcW w:w="628" w:type="dxa"/>
                  <w:vMerge w:val="continue"/>
                  <w:tcBorders>
                    <w:tl2br w:val="nil"/>
                    <w:tr2bl w:val="nil"/>
                  </w:tcBorders>
                  <w:vAlign w:val="center"/>
                </w:tcPr>
                <w:p w14:paraId="227FA5C4">
                  <w:pPr>
                    <w:pStyle w:val="75"/>
                    <w:adjustRightInd w:val="0"/>
                    <w:snapToGrid w:val="0"/>
                    <w:textAlignment w:val="center"/>
                    <w:rPr>
                      <w:rFonts w:hint="eastAsia"/>
                      <w:bCs/>
                      <w:color w:val="auto"/>
                      <w:sz w:val="18"/>
                      <w:szCs w:val="18"/>
                    </w:rPr>
                  </w:pPr>
                </w:p>
              </w:tc>
              <w:tc>
                <w:tcPr>
                  <w:tcW w:w="572" w:type="dxa"/>
                  <w:tcBorders>
                    <w:tl2br w:val="nil"/>
                    <w:tr2bl w:val="nil"/>
                  </w:tcBorders>
                  <w:vAlign w:val="center"/>
                </w:tcPr>
                <w:p w14:paraId="3B0BF29A">
                  <w:pPr>
                    <w:pStyle w:val="75"/>
                    <w:adjustRightInd w:val="0"/>
                    <w:snapToGrid w:val="0"/>
                    <w:textAlignment w:val="center"/>
                    <w:rPr>
                      <w:rFonts w:hint="eastAsia"/>
                      <w:bCs/>
                      <w:color w:val="auto"/>
                      <w:sz w:val="18"/>
                      <w:szCs w:val="18"/>
                    </w:rPr>
                  </w:pPr>
                  <w:r>
                    <w:rPr>
                      <w:rFonts w:hint="eastAsia"/>
                      <w:bCs/>
                      <w:color w:val="auto"/>
                      <w:sz w:val="18"/>
                      <w:szCs w:val="18"/>
                    </w:rPr>
                    <w:t>SS</w:t>
                  </w:r>
                </w:p>
              </w:tc>
              <w:tc>
                <w:tcPr>
                  <w:tcW w:w="525" w:type="dxa"/>
                  <w:tcBorders>
                    <w:tl2br w:val="nil"/>
                    <w:tr2bl w:val="nil"/>
                  </w:tcBorders>
                  <w:vAlign w:val="center"/>
                </w:tcPr>
                <w:p w14:paraId="1569C95E">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220</w:t>
                  </w:r>
                </w:p>
              </w:tc>
              <w:tc>
                <w:tcPr>
                  <w:tcW w:w="682" w:type="dxa"/>
                  <w:tcBorders>
                    <w:tl2br w:val="nil"/>
                    <w:tr2bl w:val="nil"/>
                  </w:tcBorders>
                  <w:vAlign w:val="center"/>
                </w:tcPr>
                <w:p w14:paraId="4793C8F5">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0.171</w:t>
                  </w:r>
                </w:p>
              </w:tc>
              <w:tc>
                <w:tcPr>
                  <w:tcW w:w="608" w:type="dxa"/>
                  <w:tcBorders>
                    <w:tl2br w:val="nil"/>
                    <w:tr2bl w:val="nil"/>
                  </w:tcBorders>
                  <w:vAlign w:val="center"/>
                </w:tcPr>
                <w:p w14:paraId="3052A17E">
                  <w:pPr>
                    <w:pStyle w:val="75"/>
                    <w:adjustRightInd w:val="0"/>
                    <w:snapToGrid w:val="0"/>
                    <w:textAlignment w:val="center"/>
                    <w:rPr>
                      <w:rFonts w:hint="eastAsia"/>
                      <w:bCs/>
                      <w:color w:val="auto"/>
                      <w:sz w:val="18"/>
                      <w:szCs w:val="18"/>
                    </w:rPr>
                  </w:pPr>
                  <w:r>
                    <w:rPr>
                      <w:rFonts w:hint="eastAsia"/>
                      <w:bCs/>
                      <w:color w:val="auto"/>
                      <w:sz w:val="18"/>
                      <w:szCs w:val="18"/>
                    </w:rPr>
                    <w:t>400</w:t>
                  </w:r>
                </w:p>
              </w:tc>
              <w:tc>
                <w:tcPr>
                  <w:tcW w:w="1297" w:type="dxa"/>
                  <w:vMerge w:val="continue"/>
                  <w:tcBorders>
                    <w:tl2br w:val="nil"/>
                    <w:tr2bl w:val="nil"/>
                  </w:tcBorders>
                  <w:vAlign w:val="center"/>
                </w:tcPr>
                <w:p w14:paraId="3CD257AB">
                  <w:pPr>
                    <w:pStyle w:val="75"/>
                    <w:adjustRightInd w:val="0"/>
                    <w:snapToGrid w:val="0"/>
                    <w:textAlignment w:val="center"/>
                    <w:rPr>
                      <w:bCs/>
                      <w:color w:val="auto"/>
                      <w:sz w:val="18"/>
                      <w:szCs w:val="18"/>
                    </w:rPr>
                  </w:pPr>
                </w:p>
              </w:tc>
            </w:tr>
            <w:tr w14:paraId="42420F7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455" w:hRule="atLeast"/>
                <w:jc w:val="center"/>
              </w:trPr>
              <w:tc>
                <w:tcPr>
                  <w:tcW w:w="377" w:type="dxa"/>
                  <w:vMerge w:val="continue"/>
                  <w:tcBorders>
                    <w:tl2br w:val="nil"/>
                    <w:tr2bl w:val="nil"/>
                  </w:tcBorders>
                  <w:vAlign w:val="center"/>
                </w:tcPr>
                <w:p w14:paraId="02EC5494">
                  <w:pPr>
                    <w:pStyle w:val="75"/>
                    <w:adjustRightInd w:val="0"/>
                    <w:snapToGrid w:val="0"/>
                    <w:textAlignment w:val="center"/>
                    <w:rPr>
                      <w:bCs/>
                      <w:color w:val="auto"/>
                      <w:sz w:val="18"/>
                      <w:szCs w:val="18"/>
                    </w:rPr>
                  </w:pPr>
                </w:p>
              </w:tc>
              <w:tc>
                <w:tcPr>
                  <w:tcW w:w="848" w:type="dxa"/>
                  <w:vMerge w:val="continue"/>
                  <w:tcBorders>
                    <w:tl2br w:val="nil"/>
                    <w:tr2bl w:val="nil"/>
                  </w:tcBorders>
                  <w:vAlign w:val="center"/>
                </w:tcPr>
                <w:p w14:paraId="12203785">
                  <w:pPr>
                    <w:pStyle w:val="75"/>
                    <w:adjustRightInd w:val="0"/>
                    <w:snapToGrid w:val="0"/>
                    <w:textAlignment w:val="center"/>
                    <w:rPr>
                      <w:bCs/>
                      <w:color w:val="auto"/>
                      <w:sz w:val="18"/>
                      <w:szCs w:val="18"/>
                    </w:rPr>
                  </w:pPr>
                </w:p>
              </w:tc>
              <w:tc>
                <w:tcPr>
                  <w:tcW w:w="682" w:type="dxa"/>
                  <w:tcBorders>
                    <w:tl2br w:val="nil"/>
                    <w:tr2bl w:val="nil"/>
                  </w:tcBorders>
                  <w:vAlign w:val="center"/>
                </w:tcPr>
                <w:p w14:paraId="6ADCC35D">
                  <w:pPr>
                    <w:pStyle w:val="75"/>
                    <w:adjustRightInd w:val="0"/>
                    <w:snapToGrid w:val="0"/>
                    <w:textAlignment w:val="center"/>
                    <w:rPr>
                      <w:rFonts w:hint="eastAsia"/>
                      <w:bCs/>
                      <w:color w:val="auto"/>
                      <w:sz w:val="18"/>
                      <w:szCs w:val="18"/>
                    </w:rPr>
                  </w:pPr>
                  <w:r>
                    <w:rPr>
                      <w:rFonts w:hint="eastAsia"/>
                      <w:bCs/>
                      <w:color w:val="auto"/>
                      <w:sz w:val="18"/>
                      <w:szCs w:val="18"/>
                    </w:rPr>
                    <w:t>NH</w:t>
                  </w:r>
                  <w:r>
                    <w:rPr>
                      <w:rFonts w:hint="eastAsia"/>
                      <w:bCs/>
                      <w:color w:val="auto"/>
                      <w:sz w:val="18"/>
                      <w:szCs w:val="18"/>
                      <w:vertAlign w:val="subscript"/>
                    </w:rPr>
                    <w:t>3</w:t>
                  </w:r>
                  <w:r>
                    <w:rPr>
                      <w:rFonts w:hint="eastAsia"/>
                      <w:bCs/>
                      <w:color w:val="auto"/>
                      <w:sz w:val="18"/>
                      <w:szCs w:val="18"/>
                    </w:rPr>
                    <w:t>-N</w:t>
                  </w:r>
                </w:p>
              </w:tc>
              <w:tc>
                <w:tcPr>
                  <w:tcW w:w="586" w:type="dxa"/>
                  <w:tcBorders>
                    <w:tl2br w:val="nil"/>
                    <w:tr2bl w:val="nil"/>
                  </w:tcBorders>
                  <w:vAlign w:val="center"/>
                </w:tcPr>
                <w:p w14:paraId="3BE0179B">
                  <w:pPr>
                    <w:pStyle w:val="75"/>
                    <w:adjustRightInd w:val="0"/>
                    <w:snapToGrid w:val="0"/>
                    <w:textAlignment w:val="center"/>
                    <w:rPr>
                      <w:rFonts w:hint="eastAsia"/>
                      <w:bCs/>
                      <w:color w:val="auto"/>
                      <w:sz w:val="18"/>
                      <w:szCs w:val="18"/>
                    </w:rPr>
                  </w:pPr>
                  <w:r>
                    <w:rPr>
                      <w:rFonts w:hint="eastAsia"/>
                      <w:bCs/>
                      <w:color w:val="auto"/>
                      <w:sz w:val="18"/>
                      <w:szCs w:val="18"/>
                    </w:rPr>
                    <w:t>3</w:t>
                  </w:r>
                  <w:r>
                    <w:rPr>
                      <w:rFonts w:hint="eastAsia"/>
                      <w:bCs/>
                      <w:color w:val="auto"/>
                      <w:sz w:val="18"/>
                      <w:szCs w:val="18"/>
                      <w:lang w:val="en-US" w:eastAsia="zh-CN"/>
                    </w:rPr>
                    <w:t>0</w:t>
                  </w:r>
                </w:p>
              </w:tc>
              <w:tc>
                <w:tcPr>
                  <w:tcW w:w="640" w:type="dxa"/>
                  <w:tcBorders>
                    <w:tl2br w:val="nil"/>
                    <w:tr2bl w:val="nil"/>
                  </w:tcBorders>
                  <w:vAlign w:val="center"/>
                </w:tcPr>
                <w:p w14:paraId="267F8484">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0.023</w:t>
                  </w:r>
                </w:p>
              </w:tc>
              <w:tc>
                <w:tcPr>
                  <w:tcW w:w="634" w:type="dxa"/>
                  <w:vMerge w:val="continue"/>
                  <w:tcBorders>
                    <w:tl2br w:val="nil"/>
                    <w:tr2bl w:val="nil"/>
                  </w:tcBorders>
                  <w:vAlign w:val="center"/>
                </w:tcPr>
                <w:p w14:paraId="64C722B6">
                  <w:pPr>
                    <w:pStyle w:val="75"/>
                    <w:adjustRightInd w:val="0"/>
                    <w:snapToGrid w:val="0"/>
                    <w:textAlignment w:val="center"/>
                    <w:rPr>
                      <w:rFonts w:hint="eastAsia"/>
                      <w:bCs/>
                      <w:color w:val="auto"/>
                      <w:sz w:val="18"/>
                      <w:szCs w:val="18"/>
                    </w:rPr>
                  </w:pPr>
                </w:p>
              </w:tc>
              <w:tc>
                <w:tcPr>
                  <w:tcW w:w="628" w:type="dxa"/>
                  <w:vMerge w:val="continue"/>
                  <w:tcBorders>
                    <w:tl2br w:val="nil"/>
                    <w:tr2bl w:val="nil"/>
                  </w:tcBorders>
                  <w:vAlign w:val="center"/>
                </w:tcPr>
                <w:p w14:paraId="539C0E79">
                  <w:pPr>
                    <w:pStyle w:val="75"/>
                    <w:adjustRightInd w:val="0"/>
                    <w:snapToGrid w:val="0"/>
                    <w:textAlignment w:val="center"/>
                    <w:rPr>
                      <w:rFonts w:hint="eastAsia"/>
                      <w:bCs/>
                      <w:color w:val="auto"/>
                      <w:sz w:val="18"/>
                      <w:szCs w:val="18"/>
                    </w:rPr>
                  </w:pPr>
                </w:p>
              </w:tc>
              <w:tc>
                <w:tcPr>
                  <w:tcW w:w="572" w:type="dxa"/>
                  <w:tcBorders>
                    <w:tl2br w:val="nil"/>
                    <w:tr2bl w:val="nil"/>
                  </w:tcBorders>
                  <w:vAlign w:val="center"/>
                </w:tcPr>
                <w:p w14:paraId="5497B379">
                  <w:pPr>
                    <w:pStyle w:val="75"/>
                    <w:adjustRightInd w:val="0"/>
                    <w:snapToGrid w:val="0"/>
                    <w:textAlignment w:val="center"/>
                    <w:rPr>
                      <w:rFonts w:hint="eastAsia"/>
                      <w:bCs/>
                      <w:color w:val="auto"/>
                      <w:sz w:val="18"/>
                      <w:szCs w:val="18"/>
                    </w:rPr>
                  </w:pPr>
                  <w:r>
                    <w:rPr>
                      <w:rFonts w:hint="eastAsia"/>
                      <w:bCs/>
                      <w:color w:val="auto"/>
                      <w:sz w:val="18"/>
                      <w:szCs w:val="18"/>
                    </w:rPr>
                    <w:t>NH</w:t>
                  </w:r>
                  <w:r>
                    <w:rPr>
                      <w:rFonts w:hint="eastAsia"/>
                      <w:bCs/>
                      <w:color w:val="auto"/>
                      <w:sz w:val="18"/>
                      <w:szCs w:val="18"/>
                      <w:vertAlign w:val="subscript"/>
                    </w:rPr>
                    <w:t>3</w:t>
                  </w:r>
                  <w:r>
                    <w:rPr>
                      <w:rFonts w:hint="eastAsia"/>
                      <w:bCs/>
                      <w:color w:val="auto"/>
                      <w:sz w:val="18"/>
                      <w:szCs w:val="18"/>
                    </w:rPr>
                    <w:t>-N</w:t>
                  </w:r>
                </w:p>
              </w:tc>
              <w:tc>
                <w:tcPr>
                  <w:tcW w:w="525" w:type="dxa"/>
                  <w:tcBorders>
                    <w:tl2br w:val="nil"/>
                    <w:tr2bl w:val="nil"/>
                  </w:tcBorders>
                  <w:vAlign w:val="center"/>
                </w:tcPr>
                <w:p w14:paraId="476C6ADC">
                  <w:pPr>
                    <w:pStyle w:val="75"/>
                    <w:adjustRightInd w:val="0"/>
                    <w:snapToGrid w:val="0"/>
                    <w:textAlignment w:val="center"/>
                    <w:rPr>
                      <w:rFonts w:hint="eastAsia"/>
                      <w:bCs/>
                      <w:color w:val="auto"/>
                      <w:sz w:val="18"/>
                      <w:szCs w:val="18"/>
                    </w:rPr>
                  </w:pPr>
                  <w:r>
                    <w:rPr>
                      <w:rFonts w:hint="eastAsia"/>
                      <w:bCs/>
                      <w:color w:val="auto"/>
                      <w:sz w:val="18"/>
                      <w:szCs w:val="18"/>
                    </w:rPr>
                    <w:t>3</w:t>
                  </w:r>
                  <w:r>
                    <w:rPr>
                      <w:rFonts w:hint="eastAsia"/>
                      <w:bCs/>
                      <w:color w:val="auto"/>
                      <w:sz w:val="18"/>
                      <w:szCs w:val="18"/>
                      <w:lang w:val="en-US" w:eastAsia="zh-CN"/>
                    </w:rPr>
                    <w:t>0</w:t>
                  </w:r>
                </w:p>
              </w:tc>
              <w:tc>
                <w:tcPr>
                  <w:tcW w:w="682" w:type="dxa"/>
                  <w:tcBorders>
                    <w:tl2br w:val="nil"/>
                    <w:tr2bl w:val="nil"/>
                  </w:tcBorders>
                  <w:vAlign w:val="center"/>
                </w:tcPr>
                <w:p w14:paraId="2F81170D">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0.023</w:t>
                  </w:r>
                </w:p>
              </w:tc>
              <w:tc>
                <w:tcPr>
                  <w:tcW w:w="608" w:type="dxa"/>
                  <w:tcBorders>
                    <w:tl2br w:val="nil"/>
                    <w:tr2bl w:val="nil"/>
                  </w:tcBorders>
                  <w:vAlign w:val="center"/>
                </w:tcPr>
                <w:p w14:paraId="66B07A6E">
                  <w:pPr>
                    <w:pStyle w:val="75"/>
                    <w:adjustRightInd w:val="0"/>
                    <w:snapToGrid w:val="0"/>
                    <w:textAlignment w:val="center"/>
                    <w:rPr>
                      <w:rFonts w:hint="eastAsia"/>
                      <w:bCs/>
                      <w:color w:val="auto"/>
                      <w:sz w:val="18"/>
                      <w:szCs w:val="18"/>
                    </w:rPr>
                  </w:pPr>
                  <w:r>
                    <w:rPr>
                      <w:rFonts w:hint="eastAsia"/>
                      <w:bCs/>
                      <w:color w:val="auto"/>
                      <w:sz w:val="18"/>
                      <w:szCs w:val="18"/>
                    </w:rPr>
                    <w:t>45</w:t>
                  </w:r>
                </w:p>
              </w:tc>
              <w:tc>
                <w:tcPr>
                  <w:tcW w:w="1297" w:type="dxa"/>
                  <w:vMerge w:val="continue"/>
                  <w:tcBorders>
                    <w:tl2br w:val="nil"/>
                    <w:tr2bl w:val="nil"/>
                  </w:tcBorders>
                  <w:vAlign w:val="center"/>
                </w:tcPr>
                <w:p w14:paraId="5F587F9A">
                  <w:pPr>
                    <w:pStyle w:val="75"/>
                    <w:adjustRightInd w:val="0"/>
                    <w:snapToGrid w:val="0"/>
                    <w:textAlignment w:val="center"/>
                    <w:rPr>
                      <w:bCs/>
                      <w:color w:val="auto"/>
                      <w:sz w:val="18"/>
                      <w:szCs w:val="18"/>
                    </w:rPr>
                  </w:pPr>
                </w:p>
              </w:tc>
            </w:tr>
            <w:tr w14:paraId="72FDA85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455" w:hRule="atLeast"/>
                <w:jc w:val="center"/>
              </w:trPr>
              <w:tc>
                <w:tcPr>
                  <w:tcW w:w="377" w:type="dxa"/>
                  <w:vMerge w:val="continue"/>
                  <w:tcBorders>
                    <w:tl2br w:val="nil"/>
                    <w:tr2bl w:val="nil"/>
                  </w:tcBorders>
                  <w:vAlign w:val="center"/>
                </w:tcPr>
                <w:p w14:paraId="301C75A2">
                  <w:pPr>
                    <w:pStyle w:val="75"/>
                    <w:adjustRightInd w:val="0"/>
                    <w:snapToGrid w:val="0"/>
                    <w:textAlignment w:val="center"/>
                    <w:rPr>
                      <w:bCs/>
                      <w:color w:val="auto"/>
                      <w:sz w:val="18"/>
                      <w:szCs w:val="18"/>
                    </w:rPr>
                  </w:pPr>
                </w:p>
              </w:tc>
              <w:tc>
                <w:tcPr>
                  <w:tcW w:w="848" w:type="dxa"/>
                  <w:vMerge w:val="continue"/>
                  <w:tcBorders>
                    <w:tl2br w:val="nil"/>
                    <w:tr2bl w:val="nil"/>
                  </w:tcBorders>
                  <w:vAlign w:val="center"/>
                </w:tcPr>
                <w:p w14:paraId="4453945D">
                  <w:pPr>
                    <w:pStyle w:val="75"/>
                    <w:adjustRightInd w:val="0"/>
                    <w:snapToGrid w:val="0"/>
                    <w:textAlignment w:val="center"/>
                    <w:rPr>
                      <w:bCs/>
                      <w:color w:val="auto"/>
                      <w:sz w:val="18"/>
                      <w:szCs w:val="18"/>
                    </w:rPr>
                  </w:pPr>
                </w:p>
              </w:tc>
              <w:tc>
                <w:tcPr>
                  <w:tcW w:w="682" w:type="dxa"/>
                  <w:tcBorders>
                    <w:tl2br w:val="nil"/>
                    <w:tr2bl w:val="nil"/>
                  </w:tcBorders>
                  <w:vAlign w:val="center"/>
                </w:tcPr>
                <w:p w14:paraId="1AE89296">
                  <w:pPr>
                    <w:pStyle w:val="75"/>
                    <w:adjustRightInd w:val="0"/>
                    <w:snapToGrid w:val="0"/>
                    <w:textAlignment w:val="center"/>
                    <w:rPr>
                      <w:rFonts w:hint="eastAsia"/>
                      <w:bCs/>
                      <w:color w:val="auto"/>
                      <w:sz w:val="18"/>
                      <w:szCs w:val="18"/>
                    </w:rPr>
                  </w:pPr>
                  <w:r>
                    <w:rPr>
                      <w:rFonts w:hint="eastAsia"/>
                      <w:bCs/>
                      <w:color w:val="auto"/>
                      <w:sz w:val="18"/>
                      <w:szCs w:val="18"/>
                    </w:rPr>
                    <w:t>TP</w:t>
                  </w:r>
                </w:p>
              </w:tc>
              <w:tc>
                <w:tcPr>
                  <w:tcW w:w="586" w:type="dxa"/>
                  <w:tcBorders>
                    <w:tl2br w:val="nil"/>
                    <w:tr2bl w:val="nil"/>
                  </w:tcBorders>
                  <w:vAlign w:val="center"/>
                </w:tcPr>
                <w:p w14:paraId="3A334BD3">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4</w:t>
                  </w:r>
                </w:p>
              </w:tc>
              <w:tc>
                <w:tcPr>
                  <w:tcW w:w="640" w:type="dxa"/>
                  <w:tcBorders>
                    <w:tl2br w:val="nil"/>
                    <w:tr2bl w:val="nil"/>
                  </w:tcBorders>
                  <w:vAlign w:val="center"/>
                </w:tcPr>
                <w:p w14:paraId="2F2912C2">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0.003</w:t>
                  </w:r>
                </w:p>
              </w:tc>
              <w:tc>
                <w:tcPr>
                  <w:tcW w:w="634" w:type="dxa"/>
                  <w:vMerge w:val="continue"/>
                  <w:tcBorders>
                    <w:tl2br w:val="nil"/>
                    <w:tr2bl w:val="nil"/>
                  </w:tcBorders>
                  <w:vAlign w:val="center"/>
                </w:tcPr>
                <w:p w14:paraId="2ECB1D33">
                  <w:pPr>
                    <w:pStyle w:val="75"/>
                    <w:adjustRightInd w:val="0"/>
                    <w:snapToGrid w:val="0"/>
                    <w:textAlignment w:val="center"/>
                    <w:rPr>
                      <w:rFonts w:hint="eastAsia"/>
                      <w:bCs/>
                      <w:color w:val="auto"/>
                      <w:sz w:val="18"/>
                      <w:szCs w:val="18"/>
                    </w:rPr>
                  </w:pPr>
                </w:p>
              </w:tc>
              <w:tc>
                <w:tcPr>
                  <w:tcW w:w="628" w:type="dxa"/>
                  <w:vMerge w:val="continue"/>
                  <w:tcBorders>
                    <w:tl2br w:val="nil"/>
                    <w:tr2bl w:val="nil"/>
                  </w:tcBorders>
                  <w:vAlign w:val="center"/>
                </w:tcPr>
                <w:p w14:paraId="5E6A2576">
                  <w:pPr>
                    <w:pStyle w:val="75"/>
                    <w:adjustRightInd w:val="0"/>
                    <w:snapToGrid w:val="0"/>
                    <w:textAlignment w:val="center"/>
                    <w:rPr>
                      <w:rFonts w:hint="eastAsia"/>
                      <w:bCs/>
                      <w:color w:val="auto"/>
                      <w:sz w:val="18"/>
                      <w:szCs w:val="18"/>
                    </w:rPr>
                  </w:pPr>
                </w:p>
              </w:tc>
              <w:tc>
                <w:tcPr>
                  <w:tcW w:w="572" w:type="dxa"/>
                  <w:tcBorders>
                    <w:tl2br w:val="nil"/>
                    <w:tr2bl w:val="nil"/>
                  </w:tcBorders>
                  <w:vAlign w:val="center"/>
                </w:tcPr>
                <w:p w14:paraId="025343AE">
                  <w:pPr>
                    <w:pStyle w:val="75"/>
                    <w:adjustRightInd w:val="0"/>
                    <w:snapToGrid w:val="0"/>
                    <w:textAlignment w:val="center"/>
                    <w:rPr>
                      <w:rFonts w:hint="eastAsia"/>
                      <w:bCs/>
                      <w:color w:val="auto"/>
                      <w:sz w:val="18"/>
                      <w:szCs w:val="18"/>
                    </w:rPr>
                  </w:pPr>
                  <w:r>
                    <w:rPr>
                      <w:rFonts w:hint="eastAsia"/>
                      <w:bCs/>
                      <w:color w:val="auto"/>
                      <w:sz w:val="18"/>
                      <w:szCs w:val="18"/>
                    </w:rPr>
                    <w:t>TP</w:t>
                  </w:r>
                </w:p>
              </w:tc>
              <w:tc>
                <w:tcPr>
                  <w:tcW w:w="525" w:type="dxa"/>
                  <w:tcBorders>
                    <w:tl2br w:val="nil"/>
                    <w:tr2bl w:val="nil"/>
                  </w:tcBorders>
                  <w:vAlign w:val="center"/>
                </w:tcPr>
                <w:p w14:paraId="52209312">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4</w:t>
                  </w:r>
                </w:p>
              </w:tc>
              <w:tc>
                <w:tcPr>
                  <w:tcW w:w="682" w:type="dxa"/>
                  <w:tcBorders>
                    <w:tl2br w:val="nil"/>
                    <w:tr2bl w:val="nil"/>
                  </w:tcBorders>
                  <w:vAlign w:val="center"/>
                </w:tcPr>
                <w:p w14:paraId="6CB9C6F8">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0.003</w:t>
                  </w:r>
                </w:p>
              </w:tc>
              <w:tc>
                <w:tcPr>
                  <w:tcW w:w="608" w:type="dxa"/>
                  <w:tcBorders>
                    <w:tl2br w:val="nil"/>
                    <w:tr2bl w:val="nil"/>
                  </w:tcBorders>
                  <w:vAlign w:val="center"/>
                </w:tcPr>
                <w:p w14:paraId="5326278C">
                  <w:pPr>
                    <w:pStyle w:val="75"/>
                    <w:adjustRightInd w:val="0"/>
                    <w:snapToGrid w:val="0"/>
                    <w:textAlignment w:val="center"/>
                    <w:rPr>
                      <w:rFonts w:hint="eastAsia"/>
                      <w:bCs/>
                      <w:color w:val="auto"/>
                      <w:sz w:val="18"/>
                      <w:szCs w:val="18"/>
                    </w:rPr>
                  </w:pPr>
                  <w:r>
                    <w:rPr>
                      <w:rFonts w:hint="eastAsia"/>
                      <w:bCs/>
                      <w:color w:val="auto"/>
                      <w:sz w:val="18"/>
                      <w:szCs w:val="18"/>
                    </w:rPr>
                    <w:t>8</w:t>
                  </w:r>
                </w:p>
              </w:tc>
              <w:tc>
                <w:tcPr>
                  <w:tcW w:w="1297" w:type="dxa"/>
                  <w:vMerge w:val="continue"/>
                  <w:tcBorders>
                    <w:tl2br w:val="nil"/>
                    <w:tr2bl w:val="nil"/>
                  </w:tcBorders>
                  <w:vAlign w:val="center"/>
                </w:tcPr>
                <w:p w14:paraId="3819F35C">
                  <w:pPr>
                    <w:pStyle w:val="75"/>
                    <w:adjustRightInd w:val="0"/>
                    <w:snapToGrid w:val="0"/>
                    <w:textAlignment w:val="center"/>
                    <w:rPr>
                      <w:bCs/>
                      <w:color w:val="auto"/>
                      <w:sz w:val="18"/>
                      <w:szCs w:val="18"/>
                    </w:rPr>
                  </w:pPr>
                </w:p>
              </w:tc>
            </w:tr>
            <w:tr w14:paraId="6794E6D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455" w:hRule="atLeast"/>
                <w:jc w:val="center"/>
              </w:trPr>
              <w:tc>
                <w:tcPr>
                  <w:tcW w:w="377" w:type="dxa"/>
                  <w:vMerge w:val="continue"/>
                  <w:tcBorders>
                    <w:tl2br w:val="nil"/>
                    <w:tr2bl w:val="nil"/>
                  </w:tcBorders>
                  <w:vAlign w:val="center"/>
                </w:tcPr>
                <w:p w14:paraId="2ADFA169">
                  <w:pPr>
                    <w:pStyle w:val="75"/>
                    <w:adjustRightInd w:val="0"/>
                    <w:snapToGrid w:val="0"/>
                    <w:textAlignment w:val="center"/>
                    <w:rPr>
                      <w:bCs/>
                      <w:color w:val="auto"/>
                      <w:sz w:val="18"/>
                      <w:szCs w:val="18"/>
                    </w:rPr>
                  </w:pPr>
                </w:p>
              </w:tc>
              <w:tc>
                <w:tcPr>
                  <w:tcW w:w="848" w:type="dxa"/>
                  <w:vMerge w:val="continue"/>
                  <w:tcBorders>
                    <w:tl2br w:val="nil"/>
                    <w:tr2bl w:val="nil"/>
                  </w:tcBorders>
                  <w:vAlign w:val="center"/>
                </w:tcPr>
                <w:p w14:paraId="1984315B">
                  <w:pPr>
                    <w:pStyle w:val="75"/>
                    <w:adjustRightInd w:val="0"/>
                    <w:snapToGrid w:val="0"/>
                    <w:textAlignment w:val="center"/>
                    <w:rPr>
                      <w:bCs/>
                      <w:color w:val="auto"/>
                      <w:sz w:val="18"/>
                      <w:szCs w:val="18"/>
                    </w:rPr>
                  </w:pPr>
                </w:p>
              </w:tc>
              <w:tc>
                <w:tcPr>
                  <w:tcW w:w="682" w:type="dxa"/>
                  <w:tcBorders>
                    <w:tl2br w:val="nil"/>
                    <w:tr2bl w:val="nil"/>
                  </w:tcBorders>
                  <w:vAlign w:val="center"/>
                </w:tcPr>
                <w:p w14:paraId="0D5C7E3A">
                  <w:pPr>
                    <w:pStyle w:val="75"/>
                    <w:adjustRightInd w:val="0"/>
                    <w:snapToGrid w:val="0"/>
                    <w:textAlignment w:val="center"/>
                    <w:rPr>
                      <w:rFonts w:hint="eastAsia"/>
                      <w:bCs/>
                      <w:color w:val="auto"/>
                      <w:sz w:val="18"/>
                      <w:szCs w:val="18"/>
                    </w:rPr>
                  </w:pPr>
                  <w:r>
                    <w:rPr>
                      <w:rFonts w:hint="eastAsia"/>
                      <w:bCs/>
                      <w:color w:val="auto"/>
                      <w:sz w:val="18"/>
                      <w:szCs w:val="18"/>
                    </w:rPr>
                    <w:t>TN</w:t>
                  </w:r>
                </w:p>
              </w:tc>
              <w:tc>
                <w:tcPr>
                  <w:tcW w:w="586" w:type="dxa"/>
                  <w:tcBorders>
                    <w:tl2br w:val="nil"/>
                    <w:tr2bl w:val="nil"/>
                  </w:tcBorders>
                  <w:vAlign w:val="center"/>
                </w:tcPr>
                <w:p w14:paraId="3F82534E">
                  <w:pPr>
                    <w:pStyle w:val="75"/>
                    <w:adjustRightInd w:val="0"/>
                    <w:snapToGrid w:val="0"/>
                    <w:textAlignment w:val="center"/>
                    <w:rPr>
                      <w:rFonts w:hint="eastAsia"/>
                      <w:bCs/>
                      <w:color w:val="auto"/>
                      <w:sz w:val="18"/>
                      <w:szCs w:val="18"/>
                    </w:rPr>
                  </w:pPr>
                  <w:r>
                    <w:rPr>
                      <w:rFonts w:hint="eastAsia"/>
                      <w:bCs/>
                      <w:color w:val="auto"/>
                      <w:sz w:val="18"/>
                      <w:szCs w:val="18"/>
                    </w:rPr>
                    <w:t>40</w:t>
                  </w:r>
                </w:p>
              </w:tc>
              <w:tc>
                <w:tcPr>
                  <w:tcW w:w="640" w:type="dxa"/>
                  <w:tcBorders>
                    <w:tl2br w:val="nil"/>
                    <w:tr2bl w:val="nil"/>
                  </w:tcBorders>
                  <w:vAlign w:val="center"/>
                </w:tcPr>
                <w:p w14:paraId="5F0A8E65">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0.031</w:t>
                  </w:r>
                </w:p>
              </w:tc>
              <w:tc>
                <w:tcPr>
                  <w:tcW w:w="634" w:type="dxa"/>
                  <w:vMerge w:val="continue"/>
                  <w:tcBorders>
                    <w:tl2br w:val="nil"/>
                    <w:tr2bl w:val="nil"/>
                  </w:tcBorders>
                  <w:vAlign w:val="center"/>
                </w:tcPr>
                <w:p w14:paraId="0399FCE7">
                  <w:pPr>
                    <w:pStyle w:val="75"/>
                    <w:adjustRightInd w:val="0"/>
                    <w:snapToGrid w:val="0"/>
                    <w:textAlignment w:val="center"/>
                    <w:rPr>
                      <w:rFonts w:hint="eastAsia"/>
                      <w:bCs/>
                      <w:color w:val="auto"/>
                      <w:sz w:val="18"/>
                      <w:szCs w:val="18"/>
                    </w:rPr>
                  </w:pPr>
                </w:p>
              </w:tc>
              <w:tc>
                <w:tcPr>
                  <w:tcW w:w="628" w:type="dxa"/>
                  <w:vMerge w:val="continue"/>
                  <w:tcBorders>
                    <w:tl2br w:val="nil"/>
                    <w:tr2bl w:val="nil"/>
                  </w:tcBorders>
                  <w:vAlign w:val="center"/>
                </w:tcPr>
                <w:p w14:paraId="1F958172">
                  <w:pPr>
                    <w:pStyle w:val="75"/>
                    <w:adjustRightInd w:val="0"/>
                    <w:snapToGrid w:val="0"/>
                    <w:textAlignment w:val="center"/>
                    <w:rPr>
                      <w:rFonts w:hint="eastAsia"/>
                      <w:bCs/>
                      <w:color w:val="auto"/>
                      <w:sz w:val="18"/>
                      <w:szCs w:val="18"/>
                    </w:rPr>
                  </w:pPr>
                </w:p>
              </w:tc>
              <w:tc>
                <w:tcPr>
                  <w:tcW w:w="572" w:type="dxa"/>
                  <w:tcBorders>
                    <w:tl2br w:val="nil"/>
                    <w:tr2bl w:val="nil"/>
                  </w:tcBorders>
                  <w:vAlign w:val="center"/>
                </w:tcPr>
                <w:p w14:paraId="14C3BBC5">
                  <w:pPr>
                    <w:pStyle w:val="75"/>
                    <w:adjustRightInd w:val="0"/>
                    <w:snapToGrid w:val="0"/>
                    <w:textAlignment w:val="center"/>
                    <w:rPr>
                      <w:rFonts w:hint="eastAsia"/>
                      <w:bCs/>
                      <w:color w:val="auto"/>
                      <w:sz w:val="18"/>
                      <w:szCs w:val="18"/>
                    </w:rPr>
                  </w:pPr>
                  <w:r>
                    <w:rPr>
                      <w:rFonts w:hint="eastAsia"/>
                      <w:bCs/>
                      <w:color w:val="auto"/>
                      <w:sz w:val="18"/>
                      <w:szCs w:val="18"/>
                    </w:rPr>
                    <w:t>TN</w:t>
                  </w:r>
                </w:p>
              </w:tc>
              <w:tc>
                <w:tcPr>
                  <w:tcW w:w="525" w:type="dxa"/>
                  <w:tcBorders>
                    <w:tl2br w:val="nil"/>
                    <w:tr2bl w:val="nil"/>
                  </w:tcBorders>
                  <w:vAlign w:val="center"/>
                </w:tcPr>
                <w:p w14:paraId="4E44D398">
                  <w:pPr>
                    <w:pStyle w:val="75"/>
                    <w:adjustRightInd w:val="0"/>
                    <w:snapToGrid w:val="0"/>
                    <w:textAlignment w:val="center"/>
                    <w:rPr>
                      <w:rFonts w:hint="eastAsia"/>
                      <w:bCs/>
                      <w:color w:val="auto"/>
                      <w:sz w:val="18"/>
                      <w:szCs w:val="18"/>
                    </w:rPr>
                  </w:pPr>
                  <w:r>
                    <w:rPr>
                      <w:rFonts w:hint="eastAsia"/>
                      <w:bCs/>
                      <w:color w:val="auto"/>
                      <w:sz w:val="18"/>
                      <w:szCs w:val="18"/>
                    </w:rPr>
                    <w:t>40</w:t>
                  </w:r>
                </w:p>
              </w:tc>
              <w:tc>
                <w:tcPr>
                  <w:tcW w:w="682" w:type="dxa"/>
                  <w:tcBorders>
                    <w:tl2br w:val="nil"/>
                    <w:tr2bl w:val="nil"/>
                  </w:tcBorders>
                  <w:vAlign w:val="center"/>
                </w:tcPr>
                <w:p w14:paraId="4DCC8123">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0.031</w:t>
                  </w:r>
                </w:p>
              </w:tc>
              <w:tc>
                <w:tcPr>
                  <w:tcW w:w="608" w:type="dxa"/>
                  <w:tcBorders>
                    <w:tl2br w:val="nil"/>
                    <w:tr2bl w:val="nil"/>
                  </w:tcBorders>
                  <w:vAlign w:val="center"/>
                </w:tcPr>
                <w:p w14:paraId="2BA41F42">
                  <w:pPr>
                    <w:pStyle w:val="75"/>
                    <w:adjustRightInd w:val="0"/>
                    <w:snapToGrid w:val="0"/>
                    <w:textAlignment w:val="center"/>
                    <w:rPr>
                      <w:rFonts w:hint="eastAsia"/>
                      <w:bCs/>
                      <w:color w:val="auto"/>
                      <w:sz w:val="18"/>
                      <w:szCs w:val="18"/>
                    </w:rPr>
                  </w:pPr>
                  <w:r>
                    <w:rPr>
                      <w:rFonts w:hint="eastAsia"/>
                      <w:bCs/>
                      <w:color w:val="auto"/>
                      <w:sz w:val="18"/>
                      <w:szCs w:val="18"/>
                    </w:rPr>
                    <w:t>70</w:t>
                  </w:r>
                </w:p>
              </w:tc>
              <w:tc>
                <w:tcPr>
                  <w:tcW w:w="1297" w:type="dxa"/>
                  <w:vMerge w:val="continue"/>
                  <w:tcBorders>
                    <w:tl2br w:val="nil"/>
                    <w:tr2bl w:val="nil"/>
                  </w:tcBorders>
                  <w:vAlign w:val="center"/>
                </w:tcPr>
                <w:p w14:paraId="38EB66C4">
                  <w:pPr>
                    <w:pStyle w:val="75"/>
                    <w:adjustRightInd w:val="0"/>
                    <w:snapToGrid w:val="0"/>
                    <w:textAlignment w:val="center"/>
                    <w:rPr>
                      <w:bCs/>
                      <w:color w:val="auto"/>
                      <w:sz w:val="18"/>
                      <w:szCs w:val="18"/>
                    </w:rPr>
                  </w:pPr>
                </w:p>
              </w:tc>
            </w:tr>
            <w:tr w14:paraId="64334F2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90" w:hRule="atLeast"/>
                <w:jc w:val="center"/>
              </w:trPr>
              <w:tc>
                <w:tcPr>
                  <w:tcW w:w="377" w:type="dxa"/>
                  <w:vMerge w:val="restart"/>
                  <w:tcBorders>
                    <w:tl2br w:val="nil"/>
                    <w:tr2bl w:val="nil"/>
                  </w:tcBorders>
                  <w:vAlign w:val="center"/>
                </w:tcPr>
                <w:p w14:paraId="41D50B51">
                  <w:pPr>
                    <w:pStyle w:val="75"/>
                    <w:adjustRightInd w:val="0"/>
                    <w:snapToGrid w:val="0"/>
                    <w:textAlignment w:val="center"/>
                    <w:rPr>
                      <w:bCs/>
                      <w:color w:val="auto"/>
                      <w:sz w:val="18"/>
                      <w:szCs w:val="18"/>
                    </w:rPr>
                  </w:pPr>
                  <w:r>
                    <w:rPr>
                      <w:rFonts w:hint="eastAsia"/>
                      <w:bCs/>
                      <w:color w:val="auto"/>
                      <w:sz w:val="18"/>
                      <w:szCs w:val="18"/>
                      <w:lang w:val="en-US" w:eastAsia="zh-CN"/>
                    </w:rPr>
                    <w:t>生产</w:t>
                  </w:r>
                  <w:r>
                    <w:rPr>
                      <w:rFonts w:hint="eastAsia"/>
                      <w:bCs/>
                      <w:color w:val="auto"/>
                      <w:sz w:val="18"/>
                      <w:szCs w:val="18"/>
                    </w:rPr>
                    <w:t>废水</w:t>
                  </w:r>
                </w:p>
              </w:tc>
              <w:tc>
                <w:tcPr>
                  <w:tcW w:w="848" w:type="dxa"/>
                  <w:vMerge w:val="restart"/>
                  <w:tcBorders>
                    <w:tl2br w:val="nil"/>
                    <w:tr2bl w:val="nil"/>
                  </w:tcBorders>
                  <w:vAlign w:val="center"/>
                </w:tcPr>
                <w:p w14:paraId="7F8A573D">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173740</w:t>
                  </w:r>
                </w:p>
              </w:tc>
              <w:tc>
                <w:tcPr>
                  <w:tcW w:w="682" w:type="dxa"/>
                  <w:tcBorders>
                    <w:tl2br w:val="nil"/>
                    <w:tr2bl w:val="nil"/>
                  </w:tcBorders>
                  <w:vAlign w:val="center"/>
                </w:tcPr>
                <w:p w14:paraId="566E2685">
                  <w:pPr>
                    <w:pStyle w:val="75"/>
                    <w:adjustRightInd w:val="0"/>
                    <w:snapToGrid w:val="0"/>
                    <w:textAlignment w:val="center"/>
                    <w:rPr>
                      <w:rFonts w:hint="eastAsia"/>
                      <w:bCs/>
                      <w:color w:val="auto"/>
                      <w:sz w:val="18"/>
                      <w:szCs w:val="18"/>
                    </w:rPr>
                  </w:pPr>
                  <w:r>
                    <w:rPr>
                      <w:rFonts w:hint="eastAsia"/>
                      <w:bCs/>
                      <w:color w:val="auto"/>
                      <w:sz w:val="18"/>
                      <w:szCs w:val="18"/>
                    </w:rPr>
                    <w:t>COD</w:t>
                  </w:r>
                </w:p>
              </w:tc>
              <w:tc>
                <w:tcPr>
                  <w:tcW w:w="586" w:type="dxa"/>
                  <w:tcBorders>
                    <w:tl2br w:val="nil"/>
                    <w:tr2bl w:val="nil"/>
                  </w:tcBorders>
                  <w:vAlign w:val="center"/>
                </w:tcPr>
                <w:p w14:paraId="6CF5778F">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500</w:t>
                  </w:r>
                </w:p>
              </w:tc>
              <w:tc>
                <w:tcPr>
                  <w:tcW w:w="640" w:type="dxa"/>
                  <w:tcBorders>
                    <w:tl2br w:val="nil"/>
                    <w:tr2bl w:val="nil"/>
                  </w:tcBorders>
                  <w:shd w:val="clear" w:color="auto" w:fill="auto"/>
                  <w:vAlign w:val="center"/>
                </w:tcPr>
                <w:p w14:paraId="1BFE8DA9">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86.87</w:t>
                  </w:r>
                </w:p>
              </w:tc>
              <w:tc>
                <w:tcPr>
                  <w:tcW w:w="634" w:type="dxa"/>
                  <w:vMerge w:val="restart"/>
                  <w:tcBorders>
                    <w:tl2br w:val="nil"/>
                    <w:tr2bl w:val="nil"/>
                  </w:tcBorders>
                  <w:vAlign w:val="center"/>
                </w:tcPr>
                <w:p w14:paraId="56991895">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w:t>
                  </w:r>
                </w:p>
              </w:tc>
              <w:tc>
                <w:tcPr>
                  <w:tcW w:w="628" w:type="dxa"/>
                  <w:vMerge w:val="restart"/>
                  <w:tcBorders>
                    <w:tl2br w:val="nil"/>
                    <w:tr2bl w:val="nil"/>
                  </w:tcBorders>
                  <w:vAlign w:val="center"/>
                </w:tcPr>
                <w:p w14:paraId="6988C016">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173740</w:t>
                  </w:r>
                </w:p>
              </w:tc>
              <w:tc>
                <w:tcPr>
                  <w:tcW w:w="572" w:type="dxa"/>
                  <w:tcBorders>
                    <w:tl2br w:val="nil"/>
                    <w:tr2bl w:val="nil"/>
                  </w:tcBorders>
                  <w:vAlign w:val="center"/>
                </w:tcPr>
                <w:p w14:paraId="21B42CBB">
                  <w:pPr>
                    <w:pStyle w:val="75"/>
                    <w:adjustRightInd w:val="0"/>
                    <w:snapToGrid w:val="0"/>
                    <w:textAlignment w:val="center"/>
                    <w:rPr>
                      <w:rFonts w:hint="eastAsia"/>
                      <w:bCs/>
                      <w:color w:val="auto"/>
                      <w:sz w:val="18"/>
                      <w:szCs w:val="18"/>
                    </w:rPr>
                  </w:pPr>
                  <w:r>
                    <w:rPr>
                      <w:rFonts w:hint="eastAsia"/>
                      <w:bCs/>
                      <w:color w:val="auto"/>
                      <w:sz w:val="18"/>
                      <w:szCs w:val="18"/>
                    </w:rPr>
                    <w:t>COD</w:t>
                  </w:r>
                </w:p>
              </w:tc>
              <w:tc>
                <w:tcPr>
                  <w:tcW w:w="525" w:type="dxa"/>
                  <w:tcBorders>
                    <w:tl2br w:val="nil"/>
                    <w:tr2bl w:val="nil"/>
                  </w:tcBorders>
                  <w:vAlign w:val="center"/>
                </w:tcPr>
                <w:p w14:paraId="7FE09802">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500</w:t>
                  </w:r>
                </w:p>
              </w:tc>
              <w:tc>
                <w:tcPr>
                  <w:tcW w:w="682" w:type="dxa"/>
                  <w:tcBorders>
                    <w:tl2br w:val="nil"/>
                    <w:tr2bl w:val="nil"/>
                  </w:tcBorders>
                  <w:vAlign w:val="center"/>
                </w:tcPr>
                <w:p w14:paraId="2FF0979E">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86.87</w:t>
                  </w:r>
                </w:p>
              </w:tc>
              <w:tc>
                <w:tcPr>
                  <w:tcW w:w="608" w:type="dxa"/>
                  <w:tcBorders>
                    <w:tl2br w:val="nil"/>
                    <w:tr2bl w:val="nil"/>
                  </w:tcBorders>
                  <w:vAlign w:val="center"/>
                </w:tcPr>
                <w:p w14:paraId="6451769F">
                  <w:pPr>
                    <w:pStyle w:val="75"/>
                    <w:adjustRightInd w:val="0"/>
                    <w:snapToGrid w:val="0"/>
                    <w:textAlignment w:val="center"/>
                    <w:rPr>
                      <w:rFonts w:hint="eastAsia"/>
                      <w:bCs/>
                      <w:color w:val="auto"/>
                      <w:sz w:val="18"/>
                      <w:szCs w:val="18"/>
                    </w:rPr>
                  </w:pPr>
                  <w:r>
                    <w:rPr>
                      <w:rFonts w:hint="eastAsia"/>
                      <w:bCs/>
                      <w:color w:val="auto"/>
                      <w:sz w:val="18"/>
                      <w:szCs w:val="18"/>
                    </w:rPr>
                    <w:t>500</w:t>
                  </w:r>
                </w:p>
              </w:tc>
              <w:tc>
                <w:tcPr>
                  <w:tcW w:w="1297" w:type="dxa"/>
                  <w:vMerge w:val="restart"/>
                  <w:tcBorders>
                    <w:tl2br w:val="nil"/>
                    <w:tr2bl w:val="nil"/>
                  </w:tcBorders>
                  <w:vAlign w:val="center"/>
                </w:tcPr>
                <w:p w14:paraId="768DB8F8">
                  <w:pPr>
                    <w:pStyle w:val="75"/>
                    <w:adjustRightInd w:val="0"/>
                    <w:snapToGrid w:val="0"/>
                    <w:textAlignment w:val="center"/>
                    <w:rPr>
                      <w:bCs/>
                      <w:color w:val="auto"/>
                      <w:sz w:val="18"/>
                      <w:szCs w:val="18"/>
                    </w:rPr>
                  </w:pPr>
                  <w:r>
                    <w:rPr>
                      <w:rFonts w:hint="eastAsia"/>
                      <w:bCs/>
                      <w:color w:val="auto"/>
                      <w:sz w:val="18"/>
                      <w:szCs w:val="18"/>
                    </w:rPr>
                    <w:t>接管至苏州市桃源富乡污水处理有限公司处理后</w:t>
                  </w:r>
                  <w:r>
                    <w:rPr>
                      <w:rFonts w:hint="eastAsia"/>
                      <w:bCs/>
                      <w:color w:val="auto"/>
                      <w:sz w:val="18"/>
                      <w:szCs w:val="18"/>
                      <w:lang w:eastAsia="zh-CN"/>
                    </w:rPr>
                    <w:t>76%</w:t>
                  </w:r>
                  <w:r>
                    <w:rPr>
                      <w:rFonts w:hint="eastAsia"/>
                      <w:bCs/>
                      <w:color w:val="auto"/>
                      <w:sz w:val="18"/>
                      <w:szCs w:val="18"/>
                    </w:rPr>
                    <w:t>回用，其余达标排入鳑鲏港</w:t>
                  </w:r>
                </w:p>
              </w:tc>
            </w:tr>
            <w:tr w14:paraId="37AEF09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491" w:hRule="atLeast"/>
                <w:jc w:val="center"/>
              </w:trPr>
              <w:tc>
                <w:tcPr>
                  <w:tcW w:w="377" w:type="dxa"/>
                  <w:vMerge w:val="continue"/>
                  <w:tcBorders>
                    <w:tl2br w:val="nil"/>
                    <w:tr2bl w:val="nil"/>
                  </w:tcBorders>
                  <w:vAlign w:val="center"/>
                </w:tcPr>
                <w:p w14:paraId="539ED55D">
                  <w:pPr>
                    <w:pStyle w:val="75"/>
                    <w:adjustRightInd w:val="0"/>
                    <w:snapToGrid w:val="0"/>
                    <w:textAlignment w:val="center"/>
                    <w:rPr>
                      <w:bCs/>
                      <w:color w:val="auto"/>
                      <w:sz w:val="18"/>
                      <w:szCs w:val="18"/>
                    </w:rPr>
                  </w:pPr>
                </w:p>
              </w:tc>
              <w:tc>
                <w:tcPr>
                  <w:tcW w:w="848" w:type="dxa"/>
                  <w:vMerge w:val="continue"/>
                  <w:tcBorders>
                    <w:tl2br w:val="nil"/>
                    <w:tr2bl w:val="nil"/>
                  </w:tcBorders>
                  <w:vAlign w:val="center"/>
                </w:tcPr>
                <w:p w14:paraId="4878FD62">
                  <w:pPr>
                    <w:pStyle w:val="75"/>
                    <w:adjustRightInd w:val="0"/>
                    <w:snapToGrid w:val="0"/>
                    <w:textAlignment w:val="center"/>
                    <w:rPr>
                      <w:bCs/>
                      <w:color w:val="auto"/>
                      <w:sz w:val="18"/>
                      <w:szCs w:val="18"/>
                    </w:rPr>
                  </w:pPr>
                </w:p>
              </w:tc>
              <w:tc>
                <w:tcPr>
                  <w:tcW w:w="682" w:type="dxa"/>
                  <w:tcBorders>
                    <w:tl2br w:val="nil"/>
                    <w:tr2bl w:val="nil"/>
                  </w:tcBorders>
                  <w:vAlign w:val="center"/>
                </w:tcPr>
                <w:p w14:paraId="18525A32">
                  <w:pPr>
                    <w:pStyle w:val="75"/>
                    <w:adjustRightInd w:val="0"/>
                    <w:snapToGrid w:val="0"/>
                    <w:textAlignment w:val="center"/>
                    <w:rPr>
                      <w:rFonts w:hint="eastAsia"/>
                      <w:bCs/>
                      <w:color w:val="auto"/>
                      <w:sz w:val="18"/>
                      <w:szCs w:val="18"/>
                    </w:rPr>
                  </w:pPr>
                  <w:r>
                    <w:rPr>
                      <w:rFonts w:hint="eastAsia"/>
                      <w:bCs/>
                      <w:color w:val="auto"/>
                      <w:sz w:val="18"/>
                      <w:szCs w:val="18"/>
                    </w:rPr>
                    <w:t>SS</w:t>
                  </w:r>
                </w:p>
              </w:tc>
              <w:tc>
                <w:tcPr>
                  <w:tcW w:w="586" w:type="dxa"/>
                  <w:tcBorders>
                    <w:tl2br w:val="nil"/>
                    <w:tr2bl w:val="nil"/>
                  </w:tcBorders>
                  <w:vAlign w:val="center"/>
                </w:tcPr>
                <w:p w14:paraId="21BD1A20">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250</w:t>
                  </w:r>
                </w:p>
              </w:tc>
              <w:tc>
                <w:tcPr>
                  <w:tcW w:w="640" w:type="dxa"/>
                  <w:tcBorders>
                    <w:tl2br w:val="nil"/>
                    <w:tr2bl w:val="nil"/>
                  </w:tcBorders>
                  <w:shd w:val="clear" w:color="auto" w:fill="auto"/>
                  <w:vAlign w:val="center"/>
                </w:tcPr>
                <w:p w14:paraId="6C56A5B5">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43.435</w:t>
                  </w:r>
                </w:p>
              </w:tc>
              <w:tc>
                <w:tcPr>
                  <w:tcW w:w="634" w:type="dxa"/>
                  <w:vMerge w:val="continue"/>
                  <w:tcBorders>
                    <w:tl2br w:val="nil"/>
                    <w:tr2bl w:val="nil"/>
                  </w:tcBorders>
                  <w:vAlign w:val="center"/>
                </w:tcPr>
                <w:p w14:paraId="61CC1547">
                  <w:pPr>
                    <w:pStyle w:val="75"/>
                    <w:adjustRightInd w:val="0"/>
                    <w:snapToGrid w:val="0"/>
                    <w:textAlignment w:val="center"/>
                    <w:rPr>
                      <w:rFonts w:hint="eastAsia"/>
                      <w:bCs/>
                      <w:color w:val="auto"/>
                      <w:sz w:val="18"/>
                      <w:szCs w:val="18"/>
                    </w:rPr>
                  </w:pPr>
                </w:p>
              </w:tc>
              <w:tc>
                <w:tcPr>
                  <w:tcW w:w="628" w:type="dxa"/>
                  <w:vMerge w:val="continue"/>
                  <w:tcBorders>
                    <w:tl2br w:val="nil"/>
                    <w:tr2bl w:val="nil"/>
                  </w:tcBorders>
                  <w:vAlign w:val="center"/>
                </w:tcPr>
                <w:p w14:paraId="2DA93CB2">
                  <w:pPr>
                    <w:pStyle w:val="75"/>
                    <w:adjustRightInd w:val="0"/>
                    <w:snapToGrid w:val="0"/>
                    <w:textAlignment w:val="center"/>
                    <w:rPr>
                      <w:rFonts w:hint="eastAsia"/>
                      <w:bCs/>
                      <w:color w:val="auto"/>
                      <w:sz w:val="18"/>
                      <w:szCs w:val="18"/>
                    </w:rPr>
                  </w:pPr>
                </w:p>
              </w:tc>
              <w:tc>
                <w:tcPr>
                  <w:tcW w:w="572" w:type="dxa"/>
                  <w:tcBorders>
                    <w:tl2br w:val="nil"/>
                    <w:tr2bl w:val="nil"/>
                  </w:tcBorders>
                  <w:vAlign w:val="center"/>
                </w:tcPr>
                <w:p w14:paraId="1BEFE833">
                  <w:pPr>
                    <w:pStyle w:val="75"/>
                    <w:adjustRightInd w:val="0"/>
                    <w:snapToGrid w:val="0"/>
                    <w:textAlignment w:val="center"/>
                    <w:rPr>
                      <w:rFonts w:hint="eastAsia"/>
                      <w:bCs/>
                      <w:color w:val="auto"/>
                      <w:sz w:val="18"/>
                      <w:szCs w:val="18"/>
                    </w:rPr>
                  </w:pPr>
                  <w:r>
                    <w:rPr>
                      <w:rFonts w:hint="eastAsia"/>
                      <w:bCs/>
                      <w:color w:val="auto"/>
                      <w:sz w:val="18"/>
                      <w:szCs w:val="18"/>
                    </w:rPr>
                    <w:t>SS</w:t>
                  </w:r>
                </w:p>
              </w:tc>
              <w:tc>
                <w:tcPr>
                  <w:tcW w:w="525" w:type="dxa"/>
                  <w:tcBorders>
                    <w:tl2br w:val="nil"/>
                    <w:tr2bl w:val="nil"/>
                  </w:tcBorders>
                  <w:vAlign w:val="center"/>
                </w:tcPr>
                <w:p w14:paraId="46471E3E">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250</w:t>
                  </w:r>
                </w:p>
              </w:tc>
              <w:tc>
                <w:tcPr>
                  <w:tcW w:w="682" w:type="dxa"/>
                  <w:tcBorders>
                    <w:tl2br w:val="nil"/>
                    <w:tr2bl w:val="nil"/>
                  </w:tcBorders>
                  <w:vAlign w:val="center"/>
                </w:tcPr>
                <w:p w14:paraId="2DE8BB12">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43.435</w:t>
                  </w:r>
                </w:p>
              </w:tc>
              <w:tc>
                <w:tcPr>
                  <w:tcW w:w="608" w:type="dxa"/>
                  <w:tcBorders>
                    <w:tl2br w:val="nil"/>
                    <w:tr2bl w:val="nil"/>
                  </w:tcBorders>
                  <w:vAlign w:val="center"/>
                </w:tcPr>
                <w:p w14:paraId="04BBE9AA">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250</w:t>
                  </w:r>
                </w:p>
              </w:tc>
              <w:tc>
                <w:tcPr>
                  <w:tcW w:w="1297" w:type="dxa"/>
                  <w:vMerge w:val="continue"/>
                  <w:tcBorders>
                    <w:tl2br w:val="nil"/>
                    <w:tr2bl w:val="nil"/>
                  </w:tcBorders>
                  <w:vAlign w:val="center"/>
                </w:tcPr>
                <w:p w14:paraId="4723D38C">
                  <w:pPr>
                    <w:pStyle w:val="75"/>
                    <w:adjustRightInd w:val="0"/>
                    <w:snapToGrid w:val="0"/>
                    <w:textAlignment w:val="center"/>
                    <w:rPr>
                      <w:bCs/>
                      <w:color w:val="auto"/>
                      <w:sz w:val="18"/>
                      <w:szCs w:val="18"/>
                    </w:rPr>
                  </w:pPr>
                </w:p>
              </w:tc>
            </w:tr>
            <w:tr w14:paraId="61E2D30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cantSplit/>
                <w:trHeight w:val="491" w:hRule="atLeast"/>
                <w:jc w:val="center"/>
              </w:trPr>
              <w:tc>
                <w:tcPr>
                  <w:tcW w:w="377" w:type="dxa"/>
                  <w:vMerge w:val="continue"/>
                  <w:tcBorders>
                    <w:tl2br w:val="nil"/>
                    <w:tr2bl w:val="nil"/>
                  </w:tcBorders>
                  <w:vAlign w:val="center"/>
                </w:tcPr>
                <w:p w14:paraId="4704AF11">
                  <w:pPr>
                    <w:pStyle w:val="75"/>
                    <w:adjustRightInd w:val="0"/>
                    <w:snapToGrid w:val="0"/>
                    <w:textAlignment w:val="center"/>
                    <w:rPr>
                      <w:bCs/>
                      <w:color w:val="auto"/>
                      <w:sz w:val="18"/>
                      <w:szCs w:val="18"/>
                    </w:rPr>
                  </w:pPr>
                </w:p>
              </w:tc>
              <w:tc>
                <w:tcPr>
                  <w:tcW w:w="848" w:type="dxa"/>
                  <w:vMerge w:val="continue"/>
                  <w:tcBorders>
                    <w:tl2br w:val="nil"/>
                    <w:tr2bl w:val="nil"/>
                  </w:tcBorders>
                  <w:vAlign w:val="center"/>
                </w:tcPr>
                <w:p w14:paraId="18A58587">
                  <w:pPr>
                    <w:pStyle w:val="75"/>
                    <w:adjustRightInd w:val="0"/>
                    <w:snapToGrid w:val="0"/>
                    <w:textAlignment w:val="center"/>
                    <w:rPr>
                      <w:bCs/>
                      <w:color w:val="auto"/>
                      <w:sz w:val="18"/>
                      <w:szCs w:val="18"/>
                    </w:rPr>
                  </w:pPr>
                </w:p>
              </w:tc>
              <w:tc>
                <w:tcPr>
                  <w:tcW w:w="682" w:type="dxa"/>
                  <w:tcBorders>
                    <w:tl2br w:val="nil"/>
                    <w:tr2bl w:val="nil"/>
                  </w:tcBorders>
                  <w:vAlign w:val="center"/>
                </w:tcPr>
                <w:p w14:paraId="2874F4FA">
                  <w:pPr>
                    <w:pStyle w:val="75"/>
                    <w:adjustRightInd w:val="0"/>
                    <w:snapToGrid w:val="0"/>
                    <w:textAlignment w:val="center"/>
                    <w:rPr>
                      <w:rFonts w:hint="eastAsia"/>
                      <w:bCs/>
                      <w:color w:val="auto"/>
                      <w:sz w:val="18"/>
                      <w:szCs w:val="18"/>
                      <w:lang w:eastAsia="zh-CN"/>
                    </w:rPr>
                  </w:pPr>
                  <w:r>
                    <w:rPr>
                      <w:rFonts w:hint="eastAsia"/>
                      <w:bCs/>
                      <w:color w:val="auto"/>
                      <w:sz w:val="18"/>
                      <w:szCs w:val="18"/>
                      <w:lang w:val="en-US" w:eastAsia="zh-CN"/>
                    </w:rPr>
                    <w:t>石油类</w:t>
                  </w:r>
                </w:p>
              </w:tc>
              <w:tc>
                <w:tcPr>
                  <w:tcW w:w="586" w:type="dxa"/>
                  <w:tcBorders>
                    <w:tl2br w:val="nil"/>
                    <w:tr2bl w:val="nil"/>
                  </w:tcBorders>
                  <w:vAlign w:val="center"/>
                </w:tcPr>
                <w:p w14:paraId="06D5C270">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15</w:t>
                  </w:r>
                </w:p>
              </w:tc>
              <w:tc>
                <w:tcPr>
                  <w:tcW w:w="640" w:type="dxa"/>
                  <w:tcBorders>
                    <w:tl2br w:val="nil"/>
                    <w:tr2bl w:val="nil"/>
                  </w:tcBorders>
                  <w:shd w:val="clear" w:color="auto" w:fill="auto"/>
                  <w:vAlign w:val="center"/>
                </w:tcPr>
                <w:p w14:paraId="5F7BA811">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2.606</w:t>
                  </w:r>
                </w:p>
              </w:tc>
              <w:tc>
                <w:tcPr>
                  <w:tcW w:w="634" w:type="dxa"/>
                  <w:vMerge w:val="continue"/>
                  <w:tcBorders>
                    <w:tl2br w:val="nil"/>
                    <w:tr2bl w:val="nil"/>
                  </w:tcBorders>
                  <w:vAlign w:val="center"/>
                </w:tcPr>
                <w:p w14:paraId="0D12544C">
                  <w:pPr>
                    <w:pStyle w:val="75"/>
                    <w:adjustRightInd w:val="0"/>
                    <w:snapToGrid w:val="0"/>
                    <w:textAlignment w:val="center"/>
                    <w:rPr>
                      <w:rFonts w:hint="eastAsia"/>
                      <w:bCs/>
                      <w:color w:val="auto"/>
                      <w:sz w:val="18"/>
                      <w:szCs w:val="18"/>
                    </w:rPr>
                  </w:pPr>
                </w:p>
              </w:tc>
              <w:tc>
                <w:tcPr>
                  <w:tcW w:w="628" w:type="dxa"/>
                  <w:vMerge w:val="continue"/>
                  <w:tcBorders>
                    <w:tl2br w:val="nil"/>
                    <w:tr2bl w:val="nil"/>
                  </w:tcBorders>
                  <w:vAlign w:val="center"/>
                </w:tcPr>
                <w:p w14:paraId="0CA81BD2">
                  <w:pPr>
                    <w:pStyle w:val="75"/>
                    <w:adjustRightInd w:val="0"/>
                    <w:snapToGrid w:val="0"/>
                    <w:textAlignment w:val="center"/>
                    <w:rPr>
                      <w:rFonts w:hint="eastAsia"/>
                      <w:bCs/>
                      <w:color w:val="auto"/>
                      <w:sz w:val="18"/>
                      <w:szCs w:val="18"/>
                    </w:rPr>
                  </w:pPr>
                </w:p>
              </w:tc>
              <w:tc>
                <w:tcPr>
                  <w:tcW w:w="572" w:type="dxa"/>
                  <w:tcBorders>
                    <w:tl2br w:val="nil"/>
                    <w:tr2bl w:val="nil"/>
                  </w:tcBorders>
                  <w:vAlign w:val="center"/>
                </w:tcPr>
                <w:p w14:paraId="3A422328">
                  <w:pPr>
                    <w:pStyle w:val="75"/>
                    <w:adjustRightInd w:val="0"/>
                    <w:snapToGrid w:val="0"/>
                    <w:textAlignment w:val="center"/>
                    <w:rPr>
                      <w:rFonts w:hint="eastAsia"/>
                      <w:bCs/>
                      <w:color w:val="auto"/>
                      <w:sz w:val="18"/>
                      <w:szCs w:val="18"/>
                    </w:rPr>
                  </w:pPr>
                  <w:r>
                    <w:rPr>
                      <w:rFonts w:hint="eastAsia"/>
                      <w:bCs/>
                      <w:color w:val="auto"/>
                      <w:sz w:val="18"/>
                      <w:szCs w:val="18"/>
                      <w:lang w:val="en-US" w:eastAsia="zh-CN"/>
                    </w:rPr>
                    <w:t>石油类</w:t>
                  </w:r>
                </w:p>
              </w:tc>
              <w:tc>
                <w:tcPr>
                  <w:tcW w:w="525" w:type="dxa"/>
                  <w:tcBorders>
                    <w:tl2br w:val="nil"/>
                    <w:tr2bl w:val="nil"/>
                  </w:tcBorders>
                  <w:vAlign w:val="center"/>
                </w:tcPr>
                <w:p w14:paraId="7466D9A1">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15</w:t>
                  </w:r>
                </w:p>
              </w:tc>
              <w:tc>
                <w:tcPr>
                  <w:tcW w:w="682" w:type="dxa"/>
                  <w:tcBorders>
                    <w:tl2br w:val="nil"/>
                    <w:tr2bl w:val="nil"/>
                  </w:tcBorders>
                  <w:vAlign w:val="center"/>
                </w:tcPr>
                <w:p w14:paraId="197209CD">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2.606</w:t>
                  </w:r>
                </w:p>
              </w:tc>
              <w:tc>
                <w:tcPr>
                  <w:tcW w:w="608" w:type="dxa"/>
                  <w:tcBorders>
                    <w:tl2br w:val="nil"/>
                    <w:tr2bl w:val="nil"/>
                  </w:tcBorders>
                  <w:vAlign w:val="center"/>
                </w:tcPr>
                <w:p w14:paraId="6BAB35E4">
                  <w:pPr>
                    <w:pStyle w:val="75"/>
                    <w:adjustRightInd w:val="0"/>
                    <w:snapToGrid w:val="0"/>
                    <w:textAlignment w:val="center"/>
                    <w:rPr>
                      <w:rFonts w:hint="default"/>
                      <w:bCs/>
                      <w:color w:val="auto"/>
                      <w:sz w:val="18"/>
                      <w:szCs w:val="18"/>
                      <w:lang w:val="en-US" w:eastAsia="zh-CN"/>
                    </w:rPr>
                  </w:pPr>
                  <w:r>
                    <w:rPr>
                      <w:rFonts w:hint="eastAsia"/>
                      <w:bCs/>
                      <w:color w:val="auto"/>
                      <w:sz w:val="18"/>
                      <w:szCs w:val="18"/>
                      <w:lang w:val="en-US" w:eastAsia="zh-CN"/>
                    </w:rPr>
                    <w:t>15</w:t>
                  </w:r>
                </w:p>
              </w:tc>
              <w:tc>
                <w:tcPr>
                  <w:tcW w:w="1297" w:type="dxa"/>
                  <w:vMerge w:val="continue"/>
                  <w:tcBorders>
                    <w:tl2br w:val="nil"/>
                    <w:tr2bl w:val="nil"/>
                  </w:tcBorders>
                  <w:vAlign w:val="center"/>
                </w:tcPr>
                <w:p w14:paraId="5E9F04F5">
                  <w:pPr>
                    <w:pStyle w:val="75"/>
                    <w:adjustRightInd w:val="0"/>
                    <w:snapToGrid w:val="0"/>
                    <w:textAlignment w:val="center"/>
                    <w:rPr>
                      <w:bCs/>
                      <w:color w:val="auto"/>
                      <w:sz w:val="18"/>
                      <w:szCs w:val="18"/>
                    </w:rPr>
                  </w:pPr>
                </w:p>
              </w:tc>
            </w:tr>
          </w:tbl>
          <w:p w14:paraId="101271F2">
            <w:pPr>
              <w:tabs>
                <w:tab w:val="center" w:pos="4156"/>
                <w:tab w:val="left" w:pos="5964"/>
              </w:tabs>
              <w:adjustRightInd w:val="0"/>
              <w:snapToGrid w:val="0"/>
              <w:jc w:val="center"/>
              <w:rPr>
                <w:b/>
                <w:snapToGrid w:val="0"/>
                <w:color w:val="auto"/>
                <w:szCs w:val="21"/>
                <w:highlight w:val="none"/>
              </w:rPr>
            </w:pPr>
            <w:r>
              <w:rPr>
                <w:rFonts w:hint="eastAsia"/>
                <w:b/>
                <w:snapToGrid w:val="0"/>
                <w:color w:val="auto"/>
                <w:szCs w:val="21"/>
                <w:highlight w:val="none"/>
              </w:rPr>
              <w:t>表</w:t>
            </w:r>
            <w:r>
              <w:rPr>
                <w:b/>
                <w:snapToGrid w:val="0"/>
                <w:color w:val="auto"/>
                <w:szCs w:val="21"/>
                <w:highlight w:val="none"/>
              </w:rPr>
              <w:t>4-</w:t>
            </w:r>
            <w:r>
              <w:rPr>
                <w:rFonts w:hint="eastAsia"/>
                <w:b/>
                <w:snapToGrid w:val="0"/>
                <w:color w:val="auto"/>
                <w:szCs w:val="21"/>
                <w:highlight w:val="none"/>
                <w:lang w:val="en-US" w:eastAsia="zh-CN"/>
              </w:rPr>
              <w:t>9.2</w:t>
            </w:r>
            <w:r>
              <w:rPr>
                <w:b/>
                <w:snapToGrid w:val="0"/>
                <w:color w:val="auto"/>
                <w:szCs w:val="21"/>
                <w:highlight w:val="none"/>
              </w:rPr>
              <w:t xml:space="preserve">  </w:t>
            </w:r>
            <w:r>
              <w:rPr>
                <w:rFonts w:hint="eastAsia"/>
                <w:b/>
                <w:snapToGrid w:val="0"/>
                <w:color w:val="auto"/>
                <w:szCs w:val="21"/>
                <w:highlight w:val="none"/>
                <w:lang w:val="en-US" w:eastAsia="zh-CN"/>
              </w:rPr>
              <w:t>受纳</w:t>
            </w:r>
            <w:r>
              <w:rPr>
                <w:rFonts w:hint="eastAsia" w:ascii="Times New Roman" w:eastAsia="宋体"/>
                <w:b/>
                <w:snapToGrid w:val="0"/>
                <w:color w:val="auto"/>
                <w:szCs w:val="21"/>
                <w:highlight w:val="none"/>
                <w:lang w:val="en-US" w:eastAsia="zh-CN"/>
              </w:rPr>
              <w:t>污水厂</w:t>
            </w:r>
            <w:r>
              <w:rPr>
                <w:rFonts w:hint="eastAsia"/>
                <w:b/>
                <w:snapToGrid w:val="0"/>
                <w:color w:val="auto"/>
                <w:szCs w:val="21"/>
                <w:highlight w:val="none"/>
              </w:rPr>
              <w:t>废水</w:t>
            </w:r>
            <w:r>
              <w:rPr>
                <w:rFonts w:hint="eastAsia" w:ascii="Times New Roman" w:eastAsia="宋体"/>
                <w:b/>
                <w:snapToGrid w:val="0"/>
                <w:color w:val="auto"/>
                <w:szCs w:val="21"/>
                <w:highlight w:val="none"/>
                <w:lang w:val="en-US" w:eastAsia="zh-CN"/>
              </w:rPr>
              <w:t>向外环境</w:t>
            </w:r>
            <w:r>
              <w:rPr>
                <w:rFonts w:hint="eastAsia"/>
                <w:b/>
                <w:snapToGrid w:val="0"/>
                <w:color w:val="auto"/>
                <w:szCs w:val="21"/>
                <w:highlight w:val="none"/>
              </w:rPr>
              <w:t>排放情况</w:t>
            </w:r>
          </w:p>
          <w:tbl>
            <w:tblPr>
              <w:tblStyle w:val="26"/>
              <w:tblW w:w="8079"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377"/>
              <w:gridCol w:w="585"/>
              <w:gridCol w:w="615"/>
              <w:gridCol w:w="600"/>
              <w:gridCol w:w="540"/>
              <w:gridCol w:w="1050"/>
              <w:gridCol w:w="600"/>
              <w:gridCol w:w="600"/>
              <w:gridCol w:w="525"/>
              <w:gridCol w:w="600"/>
              <w:gridCol w:w="690"/>
              <w:gridCol w:w="1297"/>
            </w:tblGrid>
            <w:tr w14:paraId="5338584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225" w:hRule="atLeast"/>
                <w:jc w:val="center"/>
              </w:trPr>
              <w:tc>
                <w:tcPr>
                  <w:tcW w:w="377" w:type="dxa"/>
                  <w:vMerge w:val="restart"/>
                  <w:tcBorders>
                    <w:tl2br w:val="nil"/>
                    <w:tr2bl w:val="nil"/>
                  </w:tcBorders>
                  <w:vAlign w:val="center"/>
                </w:tcPr>
                <w:p w14:paraId="0203B226">
                  <w:pPr>
                    <w:pStyle w:val="75"/>
                    <w:adjustRightInd w:val="0"/>
                    <w:snapToGrid w:val="0"/>
                    <w:textAlignment w:val="center"/>
                    <w:rPr>
                      <w:bCs/>
                      <w:color w:val="auto"/>
                      <w:sz w:val="18"/>
                      <w:szCs w:val="18"/>
                      <w:highlight w:val="none"/>
                    </w:rPr>
                  </w:pPr>
                  <w:r>
                    <w:rPr>
                      <w:rFonts w:hint="eastAsia"/>
                      <w:bCs/>
                      <w:color w:val="auto"/>
                      <w:sz w:val="18"/>
                      <w:szCs w:val="18"/>
                      <w:highlight w:val="none"/>
                    </w:rPr>
                    <w:t>污染源名称</w:t>
                  </w:r>
                </w:p>
              </w:tc>
              <w:tc>
                <w:tcPr>
                  <w:tcW w:w="2340" w:type="dxa"/>
                  <w:gridSpan w:val="4"/>
                  <w:tcBorders>
                    <w:tl2br w:val="nil"/>
                    <w:tr2bl w:val="nil"/>
                  </w:tcBorders>
                  <w:vAlign w:val="center"/>
                </w:tcPr>
                <w:p w14:paraId="1E1AB88C">
                  <w:pPr>
                    <w:pStyle w:val="75"/>
                    <w:adjustRightInd w:val="0"/>
                    <w:snapToGrid w:val="0"/>
                    <w:textAlignment w:val="center"/>
                    <w:rPr>
                      <w:rFonts w:hint="eastAsia" w:eastAsia="宋体"/>
                      <w:bCs/>
                      <w:color w:val="auto"/>
                      <w:sz w:val="18"/>
                      <w:szCs w:val="18"/>
                      <w:highlight w:val="none"/>
                      <w:lang w:val="en-US" w:eastAsia="zh-CN"/>
                    </w:rPr>
                  </w:pPr>
                  <w:r>
                    <w:rPr>
                      <w:rFonts w:hint="eastAsia"/>
                      <w:bCs/>
                      <w:color w:val="auto"/>
                      <w:sz w:val="18"/>
                      <w:szCs w:val="18"/>
                      <w:highlight w:val="none"/>
                      <w:lang w:val="en-US" w:eastAsia="zh-CN"/>
                    </w:rPr>
                    <w:t>接管</w:t>
                  </w:r>
                </w:p>
              </w:tc>
              <w:tc>
                <w:tcPr>
                  <w:tcW w:w="1050" w:type="dxa"/>
                  <w:vMerge w:val="restart"/>
                  <w:tcBorders>
                    <w:tl2br w:val="nil"/>
                    <w:tr2bl w:val="nil"/>
                  </w:tcBorders>
                  <w:vAlign w:val="center"/>
                </w:tcPr>
                <w:p w14:paraId="59EDDF32">
                  <w:pPr>
                    <w:pStyle w:val="75"/>
                    <w:adjustRightInd w:val="0"/>
                    <w:snapToGrid w:val="0"/>
                    <w:textAlignment w:val="center"/>
                    <w:rPr>
                      <w:bCs/>
                      <w:color w:val="auto"/>
                      <w:sz w:val="18"/>
                      <w:szCs w:val="18"/>
                      <w:highlight w:val="none"/>
                    </w:rPr>
                  </w:pPr>
                  <w:r>
                    <w:rPr>
                      <w:rFonts w:hint="eastAsia"/>
                      <w:bCs/>
                      <w:color w:val="auto"/>
                      <w:sz w:val="18"/>
                      <w:szCs w:val="18"/>
                      <w:highlight w:val="none"/>
                    </w:rPr>
                    <w:t>治理</w:t>
                  </w:r>
                </w:p>
                <w:p w14:paraId="304F1F7D">
                  <w:pPr>
                    <w:pStyle w:val="75"/>
                    <w:adjustRightInd w:val="0"/>
                    <w:snapToGrid w:val="0"/>
                    <w:textAlignment w:val="center"/>
                    <w:rPr>
                      <w:bCs/>
                      <w:color w:val="auto"/>
                      <w:sz w:val="18"/>
                      <w:szCs w:val="18"/>
                      <w:highlight w:val="none"/>
                    </w:rPr>
                  </w:pPr>
                  <w:r>
                    <w:rPr>
                      <w:rFonts w:hint="eastAsia"/>
                      <w:bCs/>
                      <w:color w:val="auto"/>
                      <w:sz w:val="18"/>
                      <w:szCs w:val="18"/>
                      <w:highlight w:val="none"/>
                    </w:rPr>
                    <w:t>措施</w:t>
                  </w:r>
                </w:p>
              </w:tc>
              <w:tc>
                <w:tcPr>
                  <w:tcW w:w="2325" w:type="dxa"/>
                  <w:gridSpan w:val="4"/>
                  <w:tcBorders>
                    <w:tl2br w:val="nil"/>
                    <w:tr2bl w:val="nil"/>
                  </w:tcBorders>
                  <w:vAlign w:val="center"/>
                </w:tcPr>
                <w:p w14:paraId="3C02E2AE">
                  <w:pPr>
                    <w:pStyle w:val="75"/>
                    <w:adjustRightInd w:val="0"/>
                    <w:snapToGrid w:val="0"/>
                    <w:textAlignment w:val="center"/>
                    <w:rPr>
                      <w:bCs/>
                      <w:color w:val="auto"/>
                      <w:sz w:val="18"/>
                      <w:szCs w:val="18"/>
                      <w:highlight w:val="none"/>
                    </w:rPr>
                  </w:pPr>
                  <w:r>
                    <w:rPr>
                      <w:rFonts w:hint="eastAsia"/>
                      <w:bCs/>
                      <w:color w:val="auto"/>
                      <w:sz w:val="18"/>
                      <w:szCs w:val="18"/>
                      <w:highlight w:val="none"/>
                    </w:rPr>
                    <w:t>排放</w:t>
                  </w:r>
                </w:p>
              </w:tc>
              <w:tc>
                <w:tcPr>
                  <w:tcW w:w="690" w:type="dxa"/>
                  <w:vMerge w:val="restart"/>
                  <w:tcBorders>
                    <w:tl2br w:val="nil"/>
                    <w:tr2bl w:val="nil"/>
                  </w:tcBorders>
                  <w:vAlign w:val="center"/>
                </w:tcPr>
                <w:p w14:paraId="09919072">
                  <w:pPr>
                    <w:pStyle w:val="75"/>
                    <w:adjustRightInd w:val="0"/>
                    <w:snapToGrid w:val="0"/>
                    <w:textAlignment w:val="center"/>
                    <w:rPr>
                      <w:bCs/>
                      <w:color w:val="auto"/>
                      <w:sz w:val="18"/>
                      <w:szCs w:val="18"/>
                      <w:highlight w:val="none"/>
                    </w:rPr>
                  </w:pPr>
                  <w:r>
                    <w:rPr>
                      <w:rFonts w:hint="eastAsia"/>
                      <w:bCs/>
                      <w:color w:val="auto"/>
                      <w:sz w:val="18"/>
                      <w:szCs w:val="18"/>
                      <w:highlight w:val="none"/>
                    </w:rPr>
                    <w:t>标准浓度限值</w:t>
                  </w:r>
                </w:p>
                <w:p w14:paraId="5AEE5A71">
                  <w:pPr>
                    <w:pStyle w:val="75"/>
                    <w:adjustRightInd w:val="0"/>
                    <w:snapToGrid w:val="0"/>
                    <w:textAlignment w:val="center"/>
                    <w:rPr>
                      <w:bCs/>
                      <w:color w:val="auto"/>
                      <w:sz w:val="18"/>
                      <w:szCs w:val="18"/>
                      <w:highlight w:val="none"/>
                    </w:rPr>
                  </w:pPr>
                  <w:r>
                    <w:rPr>
                      <w:bCs/>
                      <w:color w:val="auto"/>
                      <w:sz w:val="18"/>
                      <w:szCs w:val="18"/>
                      <w:highlight w:val="none"/>
                    </w:rPr>
                    <w:t>(mg/L)</w:t>
                  </w:r>
                </w:p>
              </w:tc>
              <w:tc>
                <w:tcPr>
                  <w:tcW w:w="1297" w:type="dxa"/>
                  <w:vMerge w:val="restart"/>
                  <w:tcBorders>
                    <w:tl2br w:val="nil"/>
                    <w:tr2bl w:val="nil"/>
                  </w:tcBorders>
                  <w:vAlign w:val="center"/>
                </w:tcPr>
                <w:p w14:paraId="0B347D29">
                  <w:pPr>
                    <w:pStyle w:val="75"/>
                    <w:adjustRightInd w:val="0"/>
                    <w:snapToGrid w:val="0"/>
                    <w:textAlignment w:val="center"/>
                    <w:rPr>
                      <w:bCs/>
                      <w:color w:val="auto"/>
                      <w:sz w:val="18"/>
                      <w:szCs w:val="18"/>
                      <w:highlight w:val="none"/>
                    </w:rPr>
                  </w:pPr>
                  <w:r>
                    <w:rPr>
                      <w:rFonts w:hint="eastAsia"/>
                      <w:bCs/>
                      <w:color w:val="auto"/>
                      <w:sz w:val="18"/>
                      <w:szCs w:val="18"/>
                      <w:highlight w:val="none"/>
                    </w:rPr>
                    <w:t>排放方式与去向</w:t>
                  </w:r>
                </w:p>
              </w:tc>
            </w:tr>
            <w:tr w14:paraId="7000434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455" w:hRule="atLeast"/>
                <w:jc w:val="center"/>
              </w:trPr>
              <w:tc>
                <w:tcPr>
                  <w:tcW w:w="377" w:type="dxa"/>
                  <w:vMerge w:val="continue"/>
                  <w:tcBorders>
                    <w:tl2br w:val="nil"/>
                    <w:tr2bl w:val="nil"/>
                  </w:tcBorders>
                  <w:vAlign w:val="center"/>
                </w:tcPr>
                <w:p w14:paraId="12C063F6">
                  <w:pPr>
                    <w:pStyle w:val="75"/>
                    <w:adjustRightInd w:val="0"/>
                    <w:snapToGrid w:val="0"/>
                    <w:textAlignment w:val="center"/>
                    <w:rPr>
                      <w:bCs/>
                      <w:color w:val="auto"/>
                      <w:sz w:val="18"/>
                      <w:szCs w:val="18"/>
                      <w:highlight w:val="none"/>
                    </w:rPr>
                  </w:pPr>
                </w:p>
              </w:tc>
              <w:tc>
                <w:tcPr>
                  <w:tcW w:w="585" w:type="dxa"/>
                  <w:tcBorders>
                    <w:tl2br w:val="nil"/>
                    <w:tr2bl w:val="nil"/>
                  </w:tcBorders>
                  <w:vAlign w:val="center"/>
                </w:tcPr>
                <w:p w14:paraId="7B43025E">
                  <w:pPr>
                    <w:pStyle w:val="75"/>
                    <w:adjustRightInd w:val="0"/>
                    <w:snapToGrid w:val="0"/>
                    <w:textAlignment w:val="center"/>
                    <w:rPr>
                      <w:bCs/>
                      <w:color w:val="auto"/>
                      <w:sz w:val="18"/>
                      <w:szCs w:val="18"/>
                      <w:highlight w:val="none"/>
                    </w:rPr>
                  </w:pPr>
                  <w:r>
                    <w:rPr>
                      <w:rFonts w:hint="eastAsia"/>
                      <w:bCs/>
                      <w:color w:val="auto"/>
                      <w:sz w:val="18"/>
                      <w:szCs w:val="18"/>
                      <w:highlight w:val="none"/>
                    </w:rPr>
                    <w:t>水量</w:t>
                  </w:r>
                </w:p>
                <w:p w14:paraId="39ED2EF7">
                  <w:pPr>
                    <w:pStyle w:val="75"/>
                    <w:adjustRightInd w:val="0"/>
                    <w:snapToGrid w:val="0"/>
                    <w:textAlignment w:val="center"/>
                    <w:rPr>
                      <w:bCs/>
                      <w:color w:val="auto"/>
                      <w:sz w:val="18"/>
                      <w:szCs w:val="18"/>
                      <w:highlight w:val="none"/>
                    </w:rPr>
                  </w:pPr>
                  <w:r>
                    <w:rPr>
                      <w:bCs/>
                      <w:color w:val="auto"/>
                      <w:sz w:val="18"/>
                      <w:szCs w:val="18"/>
                      <w:highlight w:val="none"/>
                    </w:rPr>
                    <w:t>(m</w:t>
                  </w:r>
                  <w:r>
                    <w:rPr>
                      <w:bCs/>
                      <w:color w:val="auto"/>
                      <w:sz w:val="18"/>
                      <w:szCs w:val="18"/>
                      <w:highlight w:val="none"/>
                      <w:vertAlign w:val="superscript"/>
                    </w:rPr>
                    <w:t>3</w:t>
                  </w:r>
                  <w:r>
                    <w:rPr>
                      <w:bCs/>
                      <w:color w:val="auto"/>
                      <w:sz w:val="18"/>
                      <w:szCs w:val="18"/>
                      <w:highlight w:val="none"/>
                    </w:rPr>
                    <w:t>/a)</w:t>
                  </w:r>
                </w:p>
              </w:tc>
              <w:tc>
                <w:tcPr>
                  <w:tcW w:w="615" w:type="dxa"/>
                  <w:tcBorders>
                    <w:tl2br w:val="nil"/>
                    <w:tr2bl w:val="nil"/>
                  </w:tcBorders>
                  <w:vAlign w:val="center"/>
                </w:tcPr>
                <w:p w14:paraId="39E783B6">
                  <w:pPr>
                    <w:pStyle w:val="75"/>
                    <w:adjustRightInd w:val="0"/>
                    <w:snapToGrid w:val="0"/>
                    <w:textAlignment w:val="center"/>
                    <w:rPr>
                      <w:bCs/>
                      <w:color w:val="auto"/>
                      <w:sz w:val="18"/>
                      <w:szCs w:val="18"/>
                      <w:highlight w:val="none"/>
                    </w:rPr>
                  </w:pPr>
                  <w:r>
                    <w:rPr>
                      <w:rFonts w:hint="eastAsia"/>
                      <w:bCs/>
                      <w:color w:val="auto"/>
                      <w:sz w:val="18"/>
                      <w:szCs w:val="18"/>
                      <w:highlight w:val="none"/>
                    </w:rPr>
                    <w:t>污染物</w:t>
                  </w:r>
                </w:p>
                <w:p w14:paraId="5B675C00">
                  <w:pPr>
                    <w:pStyle w:val="75"/>
                    <w:adjustRightInd w:val="0"/>
                    <w:snapToGrid w:val="0"/>
                    <w:textAlignment w:val="center"/>
                    <w:rPr>
                      <w:bCs/>
                      <w:color w:val="auto"/>
                      <w:sz w:val="18"/>
                      <w:szCs w:val="18"/>
                      <w:highlight w:val="none"/>
                    </w:rPr>
                  </w:pPr>
                  <w:r>
                    <w:rPr>
                      <w:rFonts w:hint="eastAsia"/>
                      <w:bCs/>
                      <w:color w:val="auto"/>
                      <w:sz w:val="18"/>
                      <w:szCs w:val="18"/>
                      <w:highlight w:val="none"/>
                    </w:rPr>
                    <w:t>名称</w:t>
                  </w:r>
                </w:p>
              </w:tc>
              <w:tc>
                <w:tcPr>
                  <w:tcW w:w="600" w:type="dxa"/>
                  <w:tcBorders>
                    <w:tl2br w:val="nil"/>
                    <w:tr2bl w:val="nil"/>
                  </w:tcBorders>
                  <w:vAlign w:val="center"/>
                </w:tcPr>
                <w:p w14:paraId="4BD7C07F">
                  <w:pPr>
                    <w:pStyle w:val="75"/>
                    <w:adjustRightInd w:val="0"/>
                    <w:snapToGrid w:val="0"/>
                    <w:textAlignment w:val="center"/>
                    <w:rPr>
                      <w:bCs/>
                      <w:color w:val="auto"/>
                      <w:sz w:val="18"/>
                      <w:szCs w:val="18"/>
                      <w:highlight w:val="none"/>
                    </w:rPr>
                  </w:pPr>
                  <w:r>
                    <w:rPr>
                      <w:rFonts w:hint="eastAsia"/>
                      <w:bCs/>
                      <w:color w:val="auto"/>
                      <w:sz w:val="18"/>
                      <w:szCs w:val="18"/>
                      <w:highlight w:val="none"/>
                    </w:rPr>
                    <w:t>浓度</w:t>
                  </w:r>
                </w:p>
                <w:p w14:paraId="2E02E53A">
                  <w:pPr>
                    <w:pStyle w:val="75"/>
                    <w:adjustRightInd w:val="0"/>
                    <w:snapToGrid w:val="0"/>
                    <w:textAlignment w:val="center"/>
                    <w:rPr>
                      <w:bCs/>
                      <w:color w:val="auto"/>
                      <w:sz w:val="18"/>
                      <w:szCs w:val="18"/>
                      <w:highlight w:val="none"/>
                    </w:rPr>
                  </w:pPr>
                  <w:r>
                    <w:rPr>
                      <w:bCs/>
                      <w:color w:val="auto"/>
                      <w:sz w:val="18"/>
                      <w:szCs w:val="18"/>
                      <w:highlight w:val="none"/>
                    </w:rPr>
                    <w:t>(mg/L)</w:t>
                  </w:r>
                </w:p>
              </w:tc>
              <w:tc>
                <w:tcPr>
                  <w:tcW w:w="540" w:type="dxa"/>
                  <w:tcBorders>
                    <w:tl2br w:val="nil"/>
                    <w:tr2bl w:val="nil"/>
                  </w:tcBorders>
                  <w:vAlign w:val="center"/>
                </w:tcPr>
                <w:p w14:paraId="54172800">
                  <w:pPr>
                    <w:pStyle w:val="75"/>
                    <w:adjustRightInd w:val="0"/>
                    <w:snapToGrid w:val="0"/>
                    <w:textAlignment w:val="center"/>
                    <w:rPr>
                      <w:bCs/>
                      <w:color w:val="auto"/>
                      <w:sz w:val="18"/>
                      <w:szCs w:val="18"/>
                      <w:highlight w:val="none"/>
                    </w:rPr>
                  </w:pPr>
                  <w:r>
                    <w:rPr>
                      <w:rFonts w:hint="eastAsia"/>
                      <w:bCs/>
                      <w:color w:val="auto"/>
                      <w:sz w:val="18"/>
                      <w:szCs w:val="18"/>
                      <w:highlight w:val="none"/>
                      <w:lang w:val="en-US" w:eastAsia="zh-CN"/>
                    </w:rPr>
                    <w:t>接管</w:t>
                  </w:r>
                  <w:r>
                    <w:rPr>
                      <w:rFonts w:hint="eastAsia"/>
                      <w:bCs/>
                      <w:color w:val="auto"/>
                      <w:sz w:val="18"/>
                      <w:szCs w:val="18"/>
                      <w:highlight w:val="none"/>
                    </w:rPr>
                    <w:t>量</w:t>
                  </w:r>
                  <w:r>
                    <w:rPr>
                      <w:bCs/>
                      <w:color w:val="auto"/>
                      <w:sz w:val="18"/>
                      <w:szCs w:val="18"/>
                      <w:highlight w:val="none"/>
                    </w:rPr>
                    <w:t>(t/a)</w:t>
                  </w:r>
                </w:p>
              </w:tc>
              <w:tc>
                <w:tcPr>
                  <w:tcW w:w="1050" w:type="dxa"/>
                  <w:vMerge w:val="continue"/>
                  <w:tcBorders>
                    <w:tl2br w:val="nil"/>
                    <w:tr2bl w:val="nil"/>
                  </w:tcBorders>
                  <w:vAlign w:val="center"/>
                </w:tcPr>
                <w:p w14:paraId="74E03A35">
                  <w:pPr>
                    <w:pStyle w:val="75"/>
                    <w:adjustRightInd w:val="0"/>
                    <w:snapToGrid w:val="0"/>
                    <w:textAlignment w:val="center"/>
                    <w:rPr>
                      <w:bCs/>
                      <w:color w:val="auto"/>
                      <w:sz w:val="18"/>
                      <w:szCs w:val="18"/>
                      <w:highlight w:val="none"/>
                    </w:rPr>
                  </w:pPr>
                </w:p>
              </w:tc>
              <w:tc>
                <w:tcPr>
                  <w:tcW w:w="600" w:type="dxa"/>
                  <w:tcBorders>
                    <w:tl2br w:val="nil"/>
                    <w:tr2bl w:val="nil"/>
                  </w:tcBorders>
                  <w:vAlign w:val="center"/>
                </w:tcPr>
                <w:p w14:paraId="7F2BA2E1">
                  <w:pPr>
                    <w:pStyle w:val="75"/>
                    <w:adjustRightInd w:val="0"/>
                    <w:snapToGrid w:val="0"/>
                    <w:textAlignment w:val="center"/>
                    <w:rPr>
                      <w:bCs/>
                      <w:color w:val="auto"/>
                      <w:sz w:val="18"/>
                      <w:szCs w:val="18"/>
                      <w:highlight w:val="none"/>
                    </w:rPr>
                  </w:pPr>
                  <w:r>
                    <w:rPr>
                      <w:rFonts w:hint="eastAsia"/>
                      <w:bCs/>
                      <w:color w:val="auto"/>
                      <w:sz w:val="18"/>
                      <w:szCs w:val="18"/>
                      <w:highlight w:val="none"/>
                    </w:rPr>
                    <w:t>水量</w:t>
                  </w:r>
                </w:p>
                <w:p w14:paraId="60848448">
                  <w:pPr>
                    <w:pStyle w:val="75"/>
                    <w:adjustRightInd w:val="0"/>
                    <w:snapToGrid w:val="0"/>
                    <w:textAlignment w:val="center"/>
                    <w:rPr>
                      <w:bCs/>
                      <w:color w:val="auto"/>
                      <w:sz w:val="18"/>
                      <w:szCs w:val="18"/>
                      <w:highlight w:val="none"/>
                    </w:rPr>
                  </w:pPr>
                  <w:r>
                    <w:rPr>
                      <w:bCs/>
                      <w:color w:val="auto"/>
                      <w:sz w:val="18"/>
                      <w:szCs w:val="18"/>
                      <w:highlight w:val="none"/>
                    </w:rPr>
                    <w:t>(m</w:t>
                  </w:r>
                  <w:r>
                    <w:rPr>
                      <w:bCs/>
                      <w:color w:val="auto"/>
                      <w:sz w:val="18"/>
                      <w:szCs w:val="18"/>
                      <w:highlight w:val="none"/>
                      <w:vertAlign w:val="superscript"/>
                    </w:rPr>
                    <w:t>3</w:t>
                  </w:r>
                  <w:r>
                    <w:rPr>
                      <w:bCs/>
                      <w:color w:val="auto"/>
                      <w:sz w:val="18"/>
                      <w:szCs w:val="18"/>
                      <w:highlight w:val="none"/>
                    </w:rPr>
                    <w:t>/a)</w:t>
                  </w:r>
                </w:p>
              </w:tc>
              <w:tc>
                <w:tcPr>
                  <w:tcW w:w="600" w:type="dxa"/>
                  <w:tcBorders>
                    <w:tl2br w:val="nil"/>
                    <w:tr2bl w:val="nil"/>
                  </w:tcBorders>
                  <w:vAlign w:val="center"/>
                </w:tcPr>
                <w:p w14:paraId="0CE21247">
                  <w:pPr>
                    <w:pStyle w:val="75"/>
                    <w:adjustRightInd w:val="0"/>
                    <w:snapToGrid w:val="0"/>
                    <w:textAlignment w:val="center"/>
                    <w:rPr>
                      <w:bCs/>
                      <w:color w:val="auto"/>
                      <w:sz w:val="18"/>
                      <w:szCs w:val="18"/>
                      <w:highlight w:val="none"/>
                    </w:rPr>
                  </w:pPr>
                  <w:r>
                    <w:rPr>
                      <w:rFonts w:hint="eastAsia"/>
                      <w:bCs/>
                      <w:color w:val="auto"/>
                      <w:sz w:val="18"/>
                      <w:szCs w:val="18"/>
                      <w:highlight w:val="none"/>
                    </w:rPr>
                    <w:t>污染物</w:t>
                  </w:r>
                </w:p>
                <w:p w14:paraId="52AE5D3B">
                  <w:pPr>
                    <w:pStyle w:val="75"/>
                    <w:adjustRightInd w:val="0"/>
                    <w:snapToGrid w:val="0"/>
                    <w:textAlignment w:val="center"/>
                    <w:rPr>
                      <w:bCs/>
                      <w:color w:val="auto"/>
                      <w:sz w:val="18"/>
                      <w:szCs w:val="18"/>
                      <w:highlight w:val="none"/>
                    </w:rPr>
                  </w:pPr>
                  <w:r>
                    <w:rPr>
                      <w:rFonts w:hint="eastAsia"/>
                      <w:bCs/>
                      <w:color w:val="auto"/>
                      <w:sz w:val="18"/>
                      <w:szCs w:val="18"/>
                      <w:highlight w:val="none"/>
                    </w:rPr>
                    <w:t>名称</w:t>
                  </w:r>
                </w:p>
              </w:tc>
              <w:tc>
                <w:tcPr>
                  <w:tcW w:w="525" w:type="dxa"/>
                  <w:tcBorders>
                    <w:tl2br w:val="nil"/>
                    <w:tr2bl w:val="nil"/>
                  </w:tcBorders>
                  <w:vAlign w:val="center"/>
                </w:tcPr>
                <w:p w14:paraId="538A70A6">
                  <w:pPr>
                    <w:pStyle w:val="75"/>
                    <w:adjustRightInd w:val="0"/>
                    <w:snapToGrid w:val="0"/>
                    <w:textAlignment w:val="center"/>
                    <w:rPr>
                      <w:bCs/>
                      <w:color w:val="auto"/>
                      <w:sz w:val="18"/>
                      <w:szCs w:val="18"/>
                      <w:highlight w:val="none"/>
                    </w:rPr>
                  </w:pPr>
                  <w:r>
                    <w:rPr>
                      <w:rFonts w:hint="eastAsia"/>
                      <w:bCs/>
                      <w:color w:val="auto"/>
                      <w:sz w:val="18"/>
                      <w:szCs w:val="18"/>
                      <w:highlight w:val="none"/>
                    </w:rPr>
                    <w:t>浓度</w:t>
                  </w:r>
                </w:p>
                <w:p w14:paraId="71D2E351">
                  <w:pPr>
                    <w:pStyle w:val="75"/>
                    <w:adjustRightInd w:val="0"/>
                    <w:snapToGrid w:val="0"/>
                    <w:textAlignment w:val="center"/>
                    <w:rPr>
                      <w:bCs/>
                      <w:color w:val="auto"/>
                      <w:sz w:val="18"/>
                      <w:szCs w:val="18"/>
                      <w:highlight w:val="none"/>
                    </w:rPr>
                  </w:pPr>
                  <w:r>
                    <w:rPr>
                      <w:bCs/>
                      <w:color w:val="auto"/>
                      <w:sz w:val="18"/>
                      <w:szCs w:val="18"/>
                      <w:highlight w:val="none"/>
                    </w:rPr>
                    <w:t>(mg/L)</w:t>
                  </w:r>
                </w:p>
              </w:tc>
              <w:tc>
                <w:tcPr>
                  <w:tcW w:w="600" w:type="dxa"/>
                  <w:tcBorders>
                    <w:tl2br w:val="nil"/>
                    <w:tr2bl w:val="nil"/>
                  </w:tcBorders>
                  <w:vAlign w:val="center"/>
                </w:tcPr>
                <w:p w14:paraId="1FF70742">
                  <w:pPr>
                    <w:pStyle w:val="75"/>
                    <w:adjustRightInd w:val="0"/>
                    <w:snapToGrid w:val="0"/>
                    <w:textAlignment w:val="center"/>
                    <w:rPr>
                      <w:bCs/>
                      <w:color w:val="auto"/>
                      <w:sz w:val="18"/>
                      <w:szCs w:val="18"/>
                      <w:highlight w:val="none"/>
                    </w:rPr>
                  </w:pPr>
                  <w:r>
                    <w:rPr>
                      <w:rFonts w:hint="eastAsia"/>
                      <w:bCs/>
                      <w:color w:val="auto"/>
                      <w:sz w:val="18"/>
                      <w:szCs w:val="18"/>
                      <w:highlight w:val="none"/>
                    </w:rPr>
                    <w:t>排放量</w:t>
                  </w:r>
                </w:p>
                <w:p w14:paraId="6DAA81CD">
                  <w:pPr>
                    <w:pStyle w:val="75"/>
                    <w:adjustRightInd w:val="0"/>
                    <w:snapToGrid w:val="0"/>
                    <w:textAlignment w:val="center"/>
                    <w:rPr>
                      <w:bCs/>
                      <w:color w:val="auto"/>
                      <w:sz w:val="18"/>
                      <w:szCs w:val="18"/>
                      <w:highlight w:val="none"/>
                    </w:rPr>
                  </w:pPr>
                  <w:r>
                    <w:rPr>
                      <w:bCs/>
                      <w:color w:val="auto"/>
                      <w:sz w:val="18"/>
                      <w:szCs w:val="18"/>
                      <w:highlight w:val="none"/>
                    </w:rPr>
                    <w:t>(t/a)</w:t>
                  </w:r>
                </w:p>
              </w:tc>
              <w:tc>
                <w:tcPr>
                  <w:tcW w:w="690" w:type="dxa"/>
                  <w:vMerge w:val="continue"/>
                  <w:tcBorders>
                    <w:tl2br w:val="nil"/>
                    <w:tr2bl w:val="nil"/>
                  </w:tcBorders>
                  <w:vAlign w:val="center"/>
                </w:tcPr>
                <w:p w14:paraId="0D394FB2">
                  <w:pPr>
                    <w:pStyle w:val="75"/>
                    <w:adjustRightInd w:val="0"/>
                    <w:snapToGrid w:val="0"/>
                    <w:textAlignment w:val="center"/>
                    <w:rPr>
                      <w:bCs/>
                      <w:color w:val="auto"/>
                      <w:sz w:val="18"/>
                      <w:szCs w:val="18"/>
                      <w:highlight w:val="none"/>
                    </w:rPr>
                  </w:pPr>
                </w:p>
              </w:tc>
              <w:tc>
                <w:tcPr>
                  <w:tcW w:w="1297" w:type="dxa"/>
                  <w:vMerge w:val="continue"/>
                  <w:tcBorders>
                    <w:tl2br w:val="nil"/>
                    <w:tr2bl w:val="nil"/>
                  </w:tcBorders>
                  <w:vAlign w:val="center"/>
                </w:tcPr>
                <w:p w14:paraId="65C70982">
                  <w:pPr>
                    <w:pStyle w:val="75"/>
                    <w:adjustRightInd w:val="0"/>
                    <w:snapToGrid w:val="0"/>
                    <w:textAlignment w:val="center"/>
                    <w:rPr>
                      <w:bCs/>
                      <w:color w:val="auto"/>
                      <w:sz w:val="18"/>
                      <w:szCs w:val="18"/>
                      <w:highlight w:val="none"/>
                    </w:rPr>
                  </w:pPr>
                </w:p>
              </w:tc>
            </w:tr>
            <w:tr w14:paraId="3E931E9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90" w:hRule="atLeast"/>
                <w:jc w:val="center"/>
              </w:trPr>
              <w:tc>
                <w:tcPr>
                  <w:tcW w:w="377" w:type="dxa"/>
                  <w:vMerge w:val="restart"/>
                  <w:tcBorders>
                    <w:tl2br w:val="nil"/>
                    <w:tr2bl w:val="nil"/>
                  </w:tcBorders>
                  <w:vAlign w:val="center"/>
                </w:tcPr>
                <w:p w14:paraId="15401580">
                  <w:pPr>
                    <w:pStyle w:val="75"/>
                    <w:adjustRightInd w:val="0"/>
                    <w:snapToGrid w:val="0"/>
                    <w:textAlignment w:val="center"/>
                    <w:rPr>
                      <w:bCs/>
                      <w:color w:val="auto"/>
                      <w:sz w:val="18"/>
                      <w:szCs w:val="18"/>
                      <w:highlight w:val="none"/>
                    </w:rPr>
                  </w:pPr>
                  <w:r>
                    <w:rPr>
                      <w:rFonts w:hint="eastAsia"/>
                      <w:bCs/>
                      <w:color w:val="auto"/>
                      <w:sz w:val="18"/>
                      <w:szCs w:val="18"/>
                      <w:highlight w:val="none"/>
                    </w:rPr>
                    <w:t>生活</w:t>
                  </w:r>
                </w:p>
                <w:p w14:paraId="5A389D02">
                  <w:pPr>
                    <w:pStyle w:val="75"/>
                    <w:adjustRightInd w:val="0"/>
                    <w:snapToGrid w:val="0"/>
                    <w:textAlignment w:val="center"/>
                    <w:rPr>
                      <w:bCs/>
                      <w:color w:val="auto"/>
                      <w:sz w:val="18"/>
                      <w:szCs w:val="18"/>
                      <w:highlight w:val="none"/>
                    </w:rPr>
                  </w:pPr>
                  <w:r>
                    <w:rPr>
                      <w:rFonts w:hint="eastAsia"/>
                      <w:bCs/>
                      <w:color w:val="auto"/>
                      <w:sz w:val="18"/>
                      <w:szCs w:val="18"/>
                      <w:highlight w:val="none"/>
                    </w:rPr>
                    <w:t>污水</w:t>
                  </w:r>
                </w:p>
              </w:tc>
              <w:tc>
                <w:tcPr>
                  <w:tcW w:w="585" w:type="dxa"/>
                  <w:vMerge w:val="restart"/>
                  <w:tcBorders>
                    <w:tl2br w:val="nil"/>
                    <w:tr2bl w:val="nil"/>
                  </w:tcBorders>
                  <w:vAlign w:val="center"/>
                </w:tcPr>
                <w:p w14:paraId="0A72BC1D">
                  <w:pPr>
                    <w:widowControl w:val="0"/>
                    <w:adjustRightInd w:val="0"/>
                    <w:snapToGrid w:val="0"/>
                    <w:spacing w:beforeLines="0" w:afterLines="20"/>
                    <w:ind w:right="2" w:rightChars="1"/>
                    <w:jc w:val="center"/>
                    <w:rPr>
                      <w:rFonts w:hint="default" w:ascii="Times New Roman" w:hAnsi="Times New Roman" w:eastAsia="宋体" w:cs="Times New Roman"/>
                      <w:bCs/>
                      <w:color w:val="auto"/>
                      <w:kern w:val="0"/>
                      <w:sz w:val="18"/>
                      <w:szCs w:val="18"/>
                      <w:highlight w:val="none"/>
                      <w:lang w:val="en-US" w:eastAsia="zh-CN" w:bidi="ar-SA"/>
                    </w:rPr>
                  </w:pPr>
                  <w:r>
                    <w:rPr>
                      <w:rFonts w:hint="eastAsia" w:ascii="Times New Roman" w:hAnsi="Times New Roman" w:eastAsia="宋体" w:cs="Times New Roman"/>
                      <w:bCs/>
                      <w:color w:val="auto"/>
                      <w:kern w:val="0"/>
                      <w:sz w:val="18"/>
                      <w:szCs w:val="18"/>
                      <w:highlight w:val="none"/>
                      <w:lang w:val="en-US" w:eastAsia="zh-CN" w:bidi="ar-SA"/>
                    </w:rPr>
                    <w:t>775.6</w:t>
                  </w:r>
                </w:p>
              </w:tc>
              <w:tc>
                <w:tcPr>
                  <w:tcW w:w="615" w:type="dxa"/>
                  <w:tcBorders>
                    <w:tl2br w:val="nil"/>
                    <w:tr2bl w:val="nil"/>
                  </w:tcBorders>
                  <w:vAlign w:val="center"/>
                </w:tcPr>
                <w:p w14:paraId="4DAB4919">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r>
                    <w:rPr>
                      <w:rFonts w:ascii="Times New Roman" w:hAnsi="Times New Roman" w:eastAsia="宋体" w:cs="Times New Roman"/>
                      <w:bCs/>
                      <w:color w:val="auto"/>
                      <w:kern w:val="0"/>
                      <w:sz w:val="18"/>
                      <w:szCs w:val="18"/>
                      <w:highlight w:val="none"/>
                      <w:lang w:val="en-US" w:eastAsia="zh-CN" w:bidi="ar-SA"/>
                    </w:rPr>
                    <w:t>COD</w:t>
                  </w:r>
                </w:p>
              </w:tc>
              <w:tc>
                <w:tcPr>
                  <w:tcW w:w="600" w:type="dxa"/>
                  <w:tcBorders>
                    <w:tl2br w:val="nil"/>
                    <w:tr2bl w:val="nil"/>
                  </w:tcBorders>
                  <w:vAlign w:val="center"/>
                </w:tcPr>
                <w:p w14:paraId="3B403281">
                  <w:pPr>
                    <w:widowControl w:val="0"/>
                    <w:adjustRightInd w:val="0"/>
                    <w:snapToGrid w:val="0"/>
                    <w:spacing w:beforeLines="0" w:afterLines="20"/>
                    <w:ind w:right="2" w:rightChars="1"/>
                    <w:jc w:val="center"/>
                    <w:textAlignment w:val="center"/>
                    <w:rPr>
                      <w:rFonts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350</w:t>
                  </w:r>
                </w:p>
              </w:tc>
              <w:tc>
                <w:tcPr>
                  <w:tcW w:w="540" w:type="dxa"/>
                  <w:tcBorders>
                    <w:tl2br w:val="nil"/>
                    <w:tr2bl w:val="nil"/>
                  </w:tcBorders>
                  <w:vAlign w:val="center"/>
                </w:tcPr>
                <w:p w14:paraId="08C5DDA0">
                  <w:pPr>
                    <w:pStyle w:val="75"/>
                    <w:adjustRightInd w:val="0"/>
                    <w:snapToGrid w:val="0"/>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bCs/>
                      <w:color w:val="auto"/>
                      <w:sz w:val="18"/>
                      <w:szCs w:val="18"/>
                      <w:lang w:val="en-US" w:eastAsia="zh-CN"/>
                    </w:rPr>
                    <w:t>0.271</w:t>
                  </w:r>
                </w:p>
              </w:tc>
              <w:tc>
                <w:tcPr>
                  <w:tcW w:w="1050" w:type="dxa"/>
                  <w:vMerge w:val="restart"/>
                  <w:tcBorders>
                    <w:tl2br w:val="nil"/>
                    <w:tr2bl w:val="nil"/>
                  </w:tcBorders>
                  <w:vAlign w:val="center"/>
                </w:tcPr>
                <w:p w14:paraId="24DE691E">
                  <w:pPr>
                    <w:pStyle w:val="75"/>
                    <w:adjustRightInd w:val="0"/>
                    <w:snapToGrid w:val="0"/>
                    <w:textAlignment w:val="center"/>
                    <w:rPr>
                      <w:bCs/>
                      <w:color w:val="auto"/>
                      <w:sz w:val="18"/>
                      <w:szCs w:val="18"/>
                      <w:highlight w:val="none"/>
                    </w:rPr>
                  </w:pPr>
                  <w:r>
                    <w:rPr>
                      <w:rFonts w:hint="eastAsia"/>
                      <w:color w:val="auto"/>
                      <w:sz w:val="18"/>
                      <w:szCs w:val="18"/>
                      <w:highlight w:val="none"/>
                    </w:rPr>
                    <w:t>一沉</w:t>
                  </w:r>
                  <w:r>
                    <w:rPr>
                      <w:color w:val="auto"/>
                      <w:sz w:val="18"/>
                      <w:szCs w:val="18"/>
                      <w:highlight w:val="none"/>
                    </w:rPr>
                    <w:t>+AAO+</w:t>
                  </w:r>
                  <w:r>
                    <w:rPr>
                      <w:rFonts w:hint="eastAsia"/>
                      <w:color w:val="auto"/>
                      <w:sz w:val="18"/>
                      <w:szCs w:val="18"/>
                      <w:highlight w:val="none"/>
                    </w:rPr>
                    <w:t>二沉</w:t>
                  </w:r>
                  <w:r>
                    <w:rPr>
                      <w:color w:val="auto"/>
                      <w:sz w:val="18"/>
                      <w:szCs w:val="18"/>
                      <w:highlight w:val="none"/>
                    </w:rPr>
                    <w:t>+</w:t>
                  </w:r>
                  <w:r>
                    <w:rPr>
                      <w:rFonts w:hint="eastAsia"/>
                      <w:color w:val="auto"/>
                      <w:sz w:val="18"/>
                      <w:szCs w:val="18"/>
                      <w:highlight w:val="none"/>
                    </w:rPr>
                    <w:t>高速沉淀</w:t>
                  </w:r>
                  <w:r>
                    <w:rPr>
                      <w:color w:val="auto"/>
                      <w:sz w:val="18"/>
                      <w:szCs w:val="18"/>
                      <w:highlight w:val="none"/>
                    </w:rPr>
                    <w:t>+</w:t>
                  </w:r>
                  <w:r>
                    <w:rPr>
                      <w:rFonts w:hint="eastAsia"/>
                      <w:color w:val="auto"/>
                      <w:sz w:val="18"/>
                      <w:szCs w:val="18"/>
                      <w:highlight w:val="none"/>
                    </w:rPr>
                    <w:t>过滤</w:t>
                  </w:r>
                  <w:r>
                    <w:rPr>
                      <w:color w:val="auto"/>
                      <w:sz w:val="18"/>
                      <w:szCs w:val="18"/>
                      <w:highlight w:val="none"/>
                    </w:rPr>
                    <w:t>+</w:t>
                  </w:r>
                  <w:r>
                    <w:rPr>
                      <w:rFonts w:hint="eastAsia"/>
                      <w:color w:val="auto"/>
                      <w:sz w:val="18"/>
                      <w:szCs w:val="18"/>
                      <w:highlight w:val="none"/>
                    </w:rPr>
                    <w:t>消毒</w:t>
                  </w:r>
                </w:p>
              </w:tc>
              <w:tc>
                <w:tcPr>
                  <w:tcW w:w="600" w:type="dxa"/>
                  <w:vMerge w:val="restart"/>
                  <w:tcBorders>
                    <w:tl2br w:val="nil"/>
                    <w:tr2bl w:val="nil"/>
                  </w:tcBorders>
                  <w:vAlign w:val="center"/>
                </w:tcPr>
                <w:p w14:paraId="7FE53049">
                  <w:pPr>
                    <w:widowControl w:val="0"/>
                    <w:adjustRightInd w:val="0"/>
                    <w:snapToGrid w:val="0"/>
                    <w:spacing w:beforeLines="0" w:afterLines="20"/>
                    <w:ind w:right="2" w:rightChars="1"/>
                    <w:jc w:val="center"/>
                    <w:rPr>
                      <w:rFonts w:hint="default" w:ascii="Times New Roman" w:hAnsi="Times New Roman" w:eastAsia="宋体" w:cs="Times New Roman"/>
                      <w:bCs/>
                      <w:color w:val="auto"/>
                      <w:kern w:val="0"/>
                      <w:sz w:val="18"/>
                      <w:szCs w:val="18"/>
                      <w:highlight w:val="none"/>
                      <w:lang w:val="en-US" w:eastAsia="zh-CN" w:bidi="ar-SA"/>
                    </w:rPr>
                  </w:pPr>
                  <w:r>
                    <w:rPr>
                      <w:rFonts w:hint="eastAsia" w:ascii="Times New Roman" w:hAnsi="Times New Roman" w:eastAsia="宋体" w:cs="Times New Roman"/>
                      <w:bCs/>
                      <w:color w:val="auto"/>
                      <w:kern w:val="0"/>
                      <w:sz w:val="18"/>
                      <w:szCs w:val="18"/>
                      <w:highlight w:val="none"/>
                      <w:lang w:val="en-US" w:eastAsia="zh-CN" w:bidi="ar-SA"/>
                    </w:rPr>
                    <w:t>775.6</w:t>
                  </w:r>
                </w:p>
              </w:tc>
              <w:tc>
                <w:tcPr>
                  <w:tcW w:w="600" w:type="dxa"/>
                  <w:tcBorders>
                    <w:tl2br w:val="nil"/>
                    <w:tr2bl w:val="nil"/>
                  </w:tcBorders>
                  <w:vAlign w:val="center"/>
                </w:tcPr>
                <w:p w14:paraId="75F85BD0">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r>
                    <w:rPr>
                      <w:rFonts w:ascii="Times New Roman" w:hAnsi="Times New Roman" w:eastAsia="宋体" w:cs="Times New Roman"/>
                      <w:bCs/>
                      <w:color w:val="auto"/>
                      <w:kern w:val="0"/>
                      <w:sz w:val="18"/>
                      <w:szCs w:val="18"/>
                      <w:highlight w:val="none"/>
                      <w:lang w:val="en-US" w:eastAsia="zh-CN" w:bidi="ar-SA"/>
                    </w:rPr>
                    <w:t>COD</w:t>
                  </w:r>
                </w:p>
              </w:tc>
              <w:tc>
                <w:tcPr>
                  <w:tcW w:w="525" w:type="dxa"/>
                  <w:tcBorders>
                    <w:tl2br w:val="nil"/>
                    <w:tr2bl w:val="nil"/>
                  </w:tcBorders>
                  <w:vAlign w:val="center"/>
                </w:tcPr>
                <w:p w14:paraId="73C93C7A">
                  <w:pPr>
                    <w:widowControl w:val="0"/>
                    <w:adjustRightInd w:val="0"/>
                    <w:snapToGrid w:val="0"/>
                    <w:spacing w:beforeLines="0" w:afterLines="20"/>
                    <w:ind w:right="2" w:rightChars="1"/>
                    <w:jc w:val="center"/>
                    <w:textAlignment w:val="center"/>
                    <w:rPr>
                      <w:rFonts w:hint="default"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30</w:t>
                  </w:r>
                </w:p>
              </w:tc>
              <w:tc>
                <w:tcPr>
                  <w:tcW w:w="600" w:type="dxa"/>
                  <w:tcBorders>
                    <w:tl2br w:val="nil"/>
                    <w:tr2bl w:val="nil"/>
                  </w:tcBorders>
                  <w:vAlign w:val="center"/>
                </w:tcPr>
                <w:p w14:paraId="31279564">
                  <w:pPr>
                    <w:widowControl w:val="0"/>
                    <w:adjustRightInd w:val="0"/>
                    <w:snapToGrid w:val="0"/>
                    <w:spacing w:beforeLines="0" w:afterLines="20"/>
                    <w:ind w:right="2" w:rightChars="1"/>
                    <w:jc w:val="center"/>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0.023</w:t>
                  </w:r>
                </w:p>
              </w:tc>
              <w:tc>
                <w:tcPr>
                  <w:tcW w:w="690" w:type="dxa"/>
                  <w:tcBorders>
                    <w:tl2br w:val="nil"/>
                    <w:tr2bl w:val="nil"/>
                  </w:tcBorders>
                  <w:vAlign w:val="center"/>
                </w:tcPr>
                <w:p w14:paraId="5C4A89B5">
                  <w:pPr>
                    <w:widowControl w:val="0"/>
                    <w:adjustRightInd w:val="0"/>
                    <w:snapToGrid w:val="0"/>
                    <w:spacing w:beforeLines="0" w:afterLines="20"/>
                    <w:ind w:right="2" w:rightChars="1"/>
                    <w:jc w:val="center"/>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30</w:t>
                  </w:r>
                </w:p>
              </w:tc>
              <w:tc>
                <w:tcPr>
                  <w:tcW w:w="1297" w:type="dxa"/>
                  <w:vMerge w:val="restart"/>
                  <w:tcBorders>
                    <w:tl2br w:val="nil"/>
                    <w:tr2bl w:val="nil"/>
                  </w:tcBorders>
                  <w:vAlign w:val="center"/>
                </w:tcPr>
                <w:p w14:paraId="411EE42C">
                  <w:pPr>
                    <w:pStyle w:val="75"/>
                    <w:adjustRightInd w:val="0"/>
                    <w:snapToGrid w:val="0"/>
                    <w:textAlignment w:val="center"/>
                    <w:rPr>
                      <w:rFonts w:hint="default" w:eastAsia="宋体"/>
                      <w:bCs/>
                      <w:color w:val="auto"/>
                      <w:sz w:val="18"/>
                      <w:szCs w:val="18"/>
                      <w:highlight w:val="none"/>
                      <w:lang w:val="en-US" w:eastAsia="zh-CN"/>
                    </w:rPr>
                  </w:pPr>
                  <w:r>
                    <w:rPr>
                      <w:rFonts w:hint="eastAsia"/>
                      <w:bCs/>
                      <w:color w:val="auto"/>
                      <w:sz w:val="18"/>
                      <w:szCs w:val="18"/>
                      <w:highlight w:val="none"/>
                      <w:lang w:val="en-US" w:eastAsia="zh-CN"/>
                    </w:rPr>
                    <w:t>外排至文家港</w:t>
                  </w:r>
                </w:p>
              </w:tc>
            </w:tr>
            <w:tr w14:paraId="6518F82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90" w:hRule="atLeast"/>
                <w:jc w:val="center"/>
              </w:trPr>
              <w:tc>
                <w:tcPr>
                  <w:tcW w:w="377" w:type="dxa"/>
                  <w:vMerge w:val="continue"/>
                  <w:tcBorders>
                    <w:tl2br w:val="nil"/>
                    <w:tr2bl w:val="nil"/>
                  </w:tcBorders>
                  <w:vAlign w:val="center"/>
                </w:tcPr>
                <w:p w14:paraId="4C92D258">
                  <w:pPr>
                    <w:pStyle w:val="75"/>
                    <w:adjustRightInd w:val="0"/>
                    <w:snapToGrid w:val="0"/>
                    <w:textAlignment w:val="center"/>
                    <w:rPr>
                      <w:bCs/>
                      <w:color w:val="auto"/>
                      <w:sz w:val="18"/>
                      <w:szCs w:val="18"/>
                      <w:highlight w:val="none"/>
                    </w:rPr>
                  </w:pPr>
                </w:p>
              </w:tc>
              <w:tc>
                <w:tcPr>
                  <w:tcW w:w="585" w:type="dxa"/>
                  <w:vMerge w:val="continue"/>
                  <w:tcBorders>
                    <w:tl2br w:val="nil"/>
                    <w:tr2bl w:val="nil"/>
                  </w:tcBorders>
                  <w:vAlign w:val="center"/>
                </w:tcPr>
                <w:p w14:paraId="5E747D05">
                  <w:pPr>
                    <w:snapToGrid w:val="0"/>
                    <w:jc w:val="center"/>
                    <w:rPr>
                      <w:bCs/>
                      <w:color w:val="auto"/>
                      <w:sz w:val="18"/>
                      <w:szCs w:val="18"/>
                      <w:highlight w:val="none"/>
                    </w:rPr>
                  </w:pPr>
                </w:p>
              </w:tc>
              <w:tc>
                <w:tcPr>
                  <w:tcW w:w="615" w:type="dxa"/>
                  <w:tcBorders>
                    <w:tl2br w:val="nil"/>
                    <w:tr2bl w:val="nil"/>
                  </w:tcBorders>
                  <w:vAlign w:val="center"/>
                </w:tcPr>
                <w:p w14:paraId="0171ADE2">
                  <w:pPr>
                    <w:snapToGrid w:val="0"/>
                    <w:jc w:val="center"/>
                    <w:rPr>
                      <w:bCs/>
                      <w:color w:val="auto"/>
                      <w:sz w:val="18"/>
                      <w:szCs w:val="18"/>
                      <w:highlight w:val="none"/>
                    </w:rPr>
                  </w:pPr>
                  <w:r>
                    <w:rPr>
                      <w:bCs/>
                      <w:color w:val="auto"/>
                      <w:sz w:val="18"/>
                      <w:szCs w:val="18"/>
                      <w:highlight w:val="none"/>
                    </w:rPr>
                    <w:t>SS</w:t>
                  </w:r>
                </w:p>
              </w:tc>
              <w:tc>
                <w:tcPr>
                  <w:tcW w:w="600" w:type="dxa"/>
                  <w:tcBorders>
                    <w:tl2br w:val="nil"/>
                    <w:tr2bl w:val="nil"/>
                  </w:tcBorders>
                  <w:vAlign w:val="center"/>
                </w:tcPr>
                <w:p w14:paraId="4E10058E">
                  <w:pPr>
                    <w:widowControl w:val="0"/>
                    <w:adjustRightInd w:val="0"/>
                    <w:snapToGrid w:val="0"/>
                    <w:spacing w:beforeLines="0" w:afterLines="20"/>
                    <w:ind w:right="2" w:rightChars="1"/>
                    <w:jc w:val="center"/>
                    <w:textAlignment w:val="center"/>
                    <w:rPr>
                      <w:rFonts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220</w:t>
                  </w:r>
                </w:p>
              </w:tc>
              <w:tc>
                <w:tcPr>
                  <w:tcW w:w="540" w:type="dxa"/>
                  <w:tcBorders>
                    <w:tl2br w:val="nil"/>
                    <w:tr2bl w:val="nil"/>
                  </w:tcBorders>
                  <w:vAlign w:val="center"/>
                </w:tcPr>
                <w:p w14:paraId="02197408">
                  <w:pPr>
                    <w:pStyle w:val="75"/>
                    <w:adjustRightInd w:val="0"/>
                    <w:snapToGrid w:val="0"/>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bCs/>
                      <w:color w:val="auto"/>
                      <w:sz w:val="18"/>
                      <w:szCs w:val="18"/>
                      <w:lang w:val="en-US" w:eastAsia="zh-CN"/>
                    </w:rPr>
                    <w:t>0.171</w:t>
                  </w:r>
                </w:p>
              </w:tc>
              <w:tc>
                <w:tcPr>
                  <w:tcW w:w="1050" w:type="dxa"/>
                  <w:vMerge w:val="continue"/>
                  <w:tcBorders>
                    <w:tl2br w:val="nil"/>
                    <w:tr2bl w:val="nil"/>
                  </w:tcBorders>
                  <w:vAlign w:val="center"/>
                </w:tcPr>
                <w:p w14:paraId="4B937A62">
                  <w:pPr>
                    <w:pStyle w:val="75"/>
                    <w:adjustRightInd w:val="0"/>
                    <w:snapToGrid w:val="0"/>
                    <w:textAlignment w:val="center"/>
                    <w:rPr>
                      <w:bCs/>
                      <w:color w:val="auto"/>
                      <w:sz w:val="18"/>
                      <w:szCs w:val="18"/>
                      <w:highlight w:val="none"/>
                    </w:rPr>
                  </w:pPr>
                </w:p>
              </w:tc>
              <w:tc>
                <w:tcPr>
                  <w:tcW w:w="600" w:type="dxa"/>
                  <w:vMerge w:val="continue"/>
                  <w:tcBorders>
                    <w:tl2br w:val="nil"/>
                    <w:tr2bl w:val="nil"/>
                  </w:tcBorders>
                  <w:vAlign w:val="center"/>
                </w:tcPr>
                <w:p w14:paraId="6E6D6D2E">
                  <w:pPr>
                    <w:snapToGrid w:val="0"/>
                    <w:jc w:val="center"/>
                    <w:rPr>
                      <w:bCs/>
                      <w:color w:val="auto"/>
                      <w:sz w:val="18"/>
                      <w:szCs w:val="18"/>
                      <w:highlight w:val="none"/>
                    </w:rPr>
                  </w:pPr>
                </w:p>
              </w:tc>
              <w:tc>
                <w:tcPr>
                  <w:tcW w:w="600" w:type="dxa"/>
                  <w:tcBorders>
                    <w:tl2br w:val="nil"/>
                    <w:tr2bl w:val="nil"/>
                  </w:tcBorders>
                  <w:vAlign w:val="center"/>
                </w:tcPr>
                <w:p w14:paraId="27DEE949">
                  <w:pPr>
                    <w:snapToGrid w:val="0"/>
                    <w:jc w:val="center"/>
                    <w:rPr>
                      <w:bCs/>
                      <w:color w:val="auto"/>
                      <w:sz w:val="18"/>
                      <w:szCs w:val="18"/>
                      <w:highlight w:val="none"/>
                    </w:rPr>
                  </w:pPr>
                  <w:r>
                    <w:rPr>
                      <w:bCs/>
                      <w:color w:val="auto"/>
                      <w:sz w:val="18"/>
                      <w:szCs w:val="18"/>
                      <w:highlight w:val="none"/>
                    </w:rPr>
                    <w:t>SS</w:t>
                  </w:r>
                </w:p>
              </w:tc>
              <w:tc>
                <w:tcPr>
                  <w:tcW w:w="525" w:type="dxa"/>
                  <w:tcBorders>
                    <w:tl2br w:val="nil"/>
                    <w:tr2bl w:val="nil"/>
                  </w:tcBorders>
                  <w:vAlign w:val="center"/>
                </w:tcPr>
                <w:p w14:paraId="14291387">
                  <w:pPr>
                    <w:widowControl w:val="0"/>
                    <w:adjustRightInd w:val="0"/>
                    <w:snapToGrid w:val="0"/>
                    <w:spacing w:beforeLines="0" w:afterLines="20"/>
                    <w:ind w:right="2" w:rightChars="1"/>
                    <w:jc w:val="center"/>
                    <w:textAlignment w:val="center"/>
                    <w:rPr>
                      <w:rFonts w:hint="default"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10</w:t>
                  </w:r>
                </w:p>
              </w:tc>
              <w:tc>
                <w:tcPr>
                  <w:tcW w:w="600" w:type="dxa"/>
                  <w:tcBorders>
                    <w:tl2br w:val="nil"/>
                    <w:tr2bl w:val="nil"/>
                  </w:tcBorders>
                  <w:vAlign w:val="center"/>
                </w:tcPr>
                <w:p w14:paraId="2DDCDB8E">
                  <w:pPr>
                    <w:widowControl w:val="0"/>
                    <w:adjustRightInd w:val="0"/>
                    <w:snapToGrid w:val="0"/>
                    <w:spacing w:beforeLines="0" w:afterLines="20"/>
                    <w:ind w:right="2" w:rightChars="1"/>
                    <w:jc w:val="center"/>
                    <w:textAlignment w:val="center"/>
                    <w:rPr>
                      <w:rFonts w:hint="default"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0.008</w:t>
                  </w:r>
                </w:p>
              </w:tc>
              <w:tc>
                <w:tcPr>
                  <w:tcW w:w="690" w:type="dxa"/>
                  <w:tcBorders>
                    <w:tl2br w:val="nil"/>
                    <w:tr2bl w:val="nil"/>
                  </w:tcBorders>
                  <w:vAlign w:val="center"/>
                </w:tcPr>
                <w:p w14:paraId="4DE62B9F">
                  <w:pPr>
                    <w:widowControl w:val="0"/>
                    <w:adjustRightInd w:val="0"/>
                    <w:snapToGrid w:val="0"/>
                    <w:spacing w:beforeLines="0" w:afterLines="20"/>
                    <w:ind w:right="2" w:rightChars="1"/>
                    <w:jc w:val="center"/>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10</w:t>
                  </w:r>
                </w:p>
              </w:tc>
              <w:tc>
                <w:tcPr>
                  <w:tcW w:w="1297" w:type="dxa"/>
                  <w:vMerge w:val="continue"/>
                  <w:tcBorders>
                    <w:tl2br w:val="nil"/>
                    <w:tr2bl w:val="nil"/>
                  </w:tcBorders>
                  <w:vAlign w:val="center"/>
                </w:tcPr>
                <w:p w14:paraId="4941C641">
                  <w:pPr>
                    <w:pStyle w:val="75"/>
                    <w:adjustRightInd w:val="0"/>
                    <w:snapToGrid w:val="0"/>
                    <w:textAlignment w:val="center"/>
                    <w:rPr>
                      <w:bCs/>
                      <w:color w:val="auto"/>
                      <w:sz w:val="18"/>
                      <w:szCs w:val="18"/>
                      <w:highlight w:val="none"/>
                    </w:rPr>
                  </w:pPr>
                </w:p>
              </w:tc>
            </w:tr>
            <w:tr w14:paraId="2A72F4C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90" w:hRule="atLeast"/>
                <w:jc w:val="center"/>
              </w:trPr>
              <w:tc>
                <w:tcPr>
                  <w:tcW w:w="377" w:type="dxa"/>
                  <w:vMerge w:val="continue"/>
                  <w:tcBorders>
                    <w:tl2br w:val="nil"/>
                    <w:tr2bl w:val="nil"/>
                  </w:tcBorders>
                  <w:vAlign w:val="center"/>
                </w:tcPr>
                <w:p w14:paraId="331E9AA5">
                  <w:pPr>
                    <w:pStyle w:val="75"/>
                    <w:adjustRightInd w:val="0"/>
                    <w:snapToGrid w:val="0"/>
                    <w:textAlignment w:val="center"/>
                    <w:rPr>
                      <w:bCs/>
                      <w:color w:val="auto"/>
                      <w:sz w:val="18"/>
                      <w:szCs w:val="18"/>
                      <w:highlight w:val="none"/>
                    </w:rPr>
                  </w:pPr>
                </w:p>
              </w:tc>
              <w:tc>
                <w:tcPr>
                  <w:tcW w:w="585" w:type="dxa"/>
                  <w:vMerge w:val="continue"/>
                  <w:tcBorders>
                    <w:tl2br w:val="nil"/>
                    <w:tr2bl w:val="nil"/>
                  </w:tcBorders>
                  <w:vAlign w:val="center"/>
                </w:tcPr>
                <w:p w14:paraId="6EF39000">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p>
              </w:tc>
              <w:tc>
                <w:tcPr>
                  <w:tcW w:w="615" w:type="dxa"/>
                  <w:tcBorders>
                    <w:tl2br w:val="nil"/>
                    <w:tr2bl w:val="nil"/>
                  </w:tcBorders>
                  <w:vAlign w:val="center"/>
                </w:tcPr>
                <w:p w14:paraId="41455EC7">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r>
                    <w:rPr>
                      <w:rFonts w:ascii="Times New Roman" w:hAnsi="Times New Roman" w:eastAsia="宋体" w:cs="Times New Roman"/>
                      <w:bCs/>
                      <w:color w:val="auto"/>
                      <w:kern w:val="0"/>
                      <w:sz w:val="18"/>
                      <w:szCs w:val="18"/>
                      <w:highlight w:val="none"/>
                      <w:lang w:val="en-US" w:eastAsia="zh-CN" w:bidi="ar-SA"/>
                    </w:rPr>
                    <w:t>NH</w:t>
                  </w:r>
                  <w:r>
                    <w:rPr>
                      <w:rFonts w:ascii="Times New Roman" w:hAnsi="Times New Roman" w:eastAsia="宋体" w:cs="Times New Roman"/>
                      <w:bCs/>
                      <w:color w:val="auto"/>
                      <w:kern w:val="0"/>
                      <w:sz w:val="18"/>
                      <w:szCs w:val="18"/>
                      <w:highlight w:val="none"/>
                      <w:vertAlign w:val="subscript"/>
                      <w:lang w:val="en-US" w:eastAsia="zh-CN" w:bidi="ar-SA"/>
                    </w:rPr>
                    <w:t>3</w:t>
                  </w:r>
                  <w:r>
                    <w:rPr>
                      <w:rFonts w:ascii="Times New Roman" w:hAnsi="Times New Roman" w:eastAsia="宋体" w:cs="Times New Roman"/>
                      <w:bCs/>
                      <w:color w:val="auto"/>
                      <w:kern w:val="0"/>
                      <w:sz w:val="18"/>
                      <w:szCs w:val="18"/>
                      <w:highlight w:val="none"/>
                      <w:lang w:val="en-US" w:eastAsia="zh-CN" w:bidi="ar-SA"/>
                    </w:rPr>
                    <w:t>-N</w:t>
                  </w:r>
                </w:p>
              </w:tc>
              <w:tc>
                <w:tcPr>
                  <w:tcW w:w="600" w:type="dxa"/>
                  <w:tcBorders>
                    <w:tl2br w:val="nil"/>
                    <w:tr2bl w:val="nil"/>
                  </w:tcBorders>
                  <w:vAlign w:val="center"/>
                </w:tcPr>
                <w:p w14:paraId="643CF771">
                  <w:pPr>
                    <w:widowControl w:val="0"/>
                    <w:adjustRightInd w:val="0"/>
                    <w:snapToGrid w:val="0"/>
                    <w:spacing w:beforeLines="0" w:afterLines="20"/>
                    <w:ind w:right="2" w:rightChars="1"/>
                    <w:jc w:val="center"/>
                    <w:textAlignment w:val="center"/>
                    <w:rPr>
                      <w:rFonts w:ascii="Times New Roman" w:hAnsi="Times New Roman" w:eastAsia="宋体" w:cs="Times New Roman"/>
                      <w:bCs/>
                      <w:color w:val="auto"/>
                      <w:kern w:val="2"/>
                      <w:sz w:val="18"/>
                      <w:szCs w:val="18"/>
                      <w:highlight w:val="none"/>
                      <w:lang w:val="en-US" w:eastAsia="zh-CN" w:bidi="ar-SA"/>
                    </w:rPr>
                  </w:pPr>
                  <w:r>
                    <w:rPr>
                      <w:rFonts w:ascii="Times New Roman" w:hAnsi="Times New Roman" w:eastAsia="宋体" w:cs="Times New Roman"/>
                      <w:bCs/>
                      <w:color w:val="auto"/>
                      <w:kern w:val="2"/>
                      <w:sz w:val="18"/>
                      <w:szCs w:val="18"/>
                      <w:highlight w:val="none"/>
                      <w:lang w:val="en-US" w:eastAsia="zh-CN" w:bidi="ar-SA"/>
                    </w:rPr>
                    <w:t>3</w:t>
                  </w:r>
                  <w:r>
                    <w:rPr>
                      <w:rFonts w:hint="eastAsia" w:ascii="Times New Roman" w:hAnsi="Times New Roman" w:eastAsia="宋体" w:cs="Times New Roman"/>
                      <w:bCs/>
                      <w:color w:val="auto"/>
                      <w:kern w:val="2"/>
                      <w:sz w:val="18"/>
                      <w:szCs w:val="18"/>
                      <w:highlight w:val="none"/>
                      <w:lang w:val="en-US" w:eastAsia="zh-CN" w:bidi="ar-SA"/>
                    </w:rPr>
                    <w:t>0</w:t>
                  </w:r>
                </w:p>
              </w:tc>
              <w:tc>
                <w:tcPr>
                  <w:tcW w:w="540" w:type="dxa"/>
                  <w:tcBorders>
                    <w:tl2br w:val="nil"/>
                    <w:tr2bl w:val="nil"/>
                  </w:tcBorders>
                  <w:vAlign w:val="center"/>
                </w:tcPr>
                <w:p w14:paraId="49DE58BB">
                  <w:pPr>
                    <w:pStyle w:val="75"/>
                    <w:adjustRightInd w:val="0"/>
                    <w:snapToGrid w:val="0"/>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bCs/>
                      <w:color w:val="auto"/>
                      <w:sz w:val="18"/>
                      <w:szCs w:val="18"/>
                      <w:lang w:val="en-US" w:eastAsia="zh-CN"/>
                    </w:rPr>
                    <w:t>0.023</w:t>
                  </w:r>
                </w:p>
              </w:tc>
              <w:tc>
                <w:tcPr>
                  <w:tcW w:w="1050" w:type="dxa"/>
                  <w:vMerge w:val="continue"/>
                  <w:tcBorders>
                    <w:tl2br w:val="nil"/>
                    <w:tr2bl w:val="nil"/>
                  </w:tcBorders>
                  <w:vAlign w:val="center"/>
                </w:tcPr>
                <w:p w14:paraId="6007556E">
                  <w:pPr>
                    <w:pStyle w:val="75"/>
                    <w:adjustRightInd w:val="0"/>
                    <w:snapToGrid w:val="0"/>
                    <w:textAlignment w:val="center"/>
                    <w:rPr>
                      <w:bCs/>
                      <w:color w:val="auto"/>
                      <w:sz w:val="18"/>
                      <w:szCs w:val="18"/>
                      <w:highlight w:val="none"/>
                    </w:rPr>
                  </w:pPr>
                </w:p>
              </w:tc>
              <w:tc>
                <w:tcPr>
                  <w:tcW w:w="600" w:type="dxa"/>
                  <w:vMerge w:val="continue"/>
                  <w:tcBorders>
                    <w:tl2br w:val="nil"/>
                    <w:tr2bl w:val="nil"/>
                  </w:tcBorders>
                  <w:vAlign w:val="center"/>
                </w:tcPr>
                <w:p w14:paraId="6A2A9B1D">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p>
              </w:tc>
              <w:tc>
                <w:tcPr>
                  <w:tcW w:w="600" w:type="dxa"/>
                  <w:tcBorders>
                    <w:tl2br w:val="nil"/>
                    <w:tr2bl w:val="nil"/>
                  </w:tcBorders>
                  <w:vAlign w:val="center"/>
                </w:tcPr>
                <w:p w14:paraId="67CEB24E">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r>
                    <w:rPr>
                      <w:rFonts w:ascii="Times New Roman" w:hAnsi="Times New Roman" w:eastAsia="宋体" w:cs="Times New Roman"/>
                      <w:bCs/>
                      <w:color w:val="auto"/>
                      <w:kern w:val="0"/>
                      <w:sz w:val="18"/>
                      <w:szCs w:val="18"/>
                      <w:highlight w:val="none"/>
                      <w:lang w:val="en-US" w:eastAsia="zh-CN" w:bidi="ar-SA"/>
                    </w:rPr>
                    <w:t>NH</w:t>
                  </w:r>
                  <w:r>
                    <w:rPr>
                      <w:rFonts w:ascii="Times New Roman" w:hAnsi="Times New Roman" w:eastAsia="宋体" w:cs="Times New Roman"/>
                      <w:bCs/>
                      <w:color w:val="auto"/>
                      <w:kern w:val="0"/>
                      <w:sz w:val="18"/>
                      <w:szCs w:val="18"/>
                      <w:highlight w:val="none"/>
                      <w:vertAlign w:val="subscript"/>
                      <w:lang w:val="en-US" w:eastAsia="zh-CN" w:bidi="ar-SA"/>
                    </w:rPr>
                    <w:t>3</w:t>
                  </w:r>
                  <w:r>
                    <w:rPr>
                      <w:rFonts w:ascii="Times New Roman" w:hAnsi="Times New Roman" w:eastAsia="宋体" w:cs="Times New Roman"/>
                      <w:bCs/>
                      <w:color w:val="auto"/>
                      <w:kern w:val="0"/>
                      <w:sz w:val="18"/>
                      <w:szCs w:val="18"/>
                      <w:highlight w:val="none"/>
                      <w:lang w:val="en-US" w:eastAsia="zh-CN" w:bidi="ar-SA"/>
                    </w:rPr>
                    <w:t>-N</w:t>
                  </w:r>
                </w:p>
              </w:tc>
              <w:tc>
                <w:tcPr>
                  <w:tcW w:w="525" w:type="dxa"/>
                  <w:tcBorders>
                    <w:tl2br w:val="nil"/>
                    <w:tr2bl w:val="nil"/>
                  </w:tcBorders>
                  <w:vAlign w:val="center"/>
                </w:tcPr>
                <w:p w14:paraId="57EA6703">
                  <w:pPr>
                    <w:widowControl w:val="0"/>
                    <w:adjustRightInd w:val="0"/>
                    <w:snapToGrid w:val="0"/>
                    <w:spacing w:beforeLines="0" w:afterLines="20"/>
                    <w:ind w:right="2" w:rightChars="1"/>
                    <w:jc w:val="center"/>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3</w:t>
                  </w:r>
                </w:p>
              </w:tc>
              <w:tc>
                <w:tcPr>
                  <w:tcW w:w="600" w:type="dxa"/>
                  <w:tcBorders>
                    <w:tl2br w:val="nil"/>
                    <w:tr2bl w:val="nil"/>
                  </w:tcBorders>
                  <w:vAlign w:val="center"/>
                </w:tcPr>
                <w:p w14:paraId="63BF0D0A">
                  <w:pPr>
                    <w:widowControl w:val="0"/>
                    <w:adjustRightInd w:val="0"/>
                    <w:snapToGrid w:val="0"/>
                    <w:spacing w:beforeLines="0" w:afterLines="20"/>
                    <w:ind w:right="2" w:rightChars="1"/>
                    <w:jc w:val="center"/>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0.002</w:t>
                  </w:r>
                </w:p>
              </w:tc>
              <w:tc>
                <w:tcPr>
                  <w:tcW w:w="690" w:type="dxa"/>
                  <w:tcBorders>
                    <w:tl2br w:val="nil"/>
                    <w:tr2bl w:val="nil"/>
                  </w:tcBorders>
                  <w:vAlign w:val="center"/>
                </w:tcPr>
                <w:p w14:paraId="5F572A0E">
                  <w:pPr>
                    <w:widowControl w:val="0"/>
                    <w:adjustRightInd w:val="0"/>
                    <w:snapToGrid w:val="0"/>
                    <w:spacing w:beforeLines="0" w:afterLines="20"/>
                    <w:ind w:right="2" w:rightChars="1"/>
                    <w:jc w:val="center"/>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3</w:t>
                  </w:r>
                </w:p>
              </w:tc>
              <w:tc>
                <w:tcPr>
                  <w:tcW w:w="1297" w:type="dxa"/>
                  <w:vMerge w:val="continue"/>
                  <w:tcBorders>
                    <w:tl2br w:val="nil"/>
                    <w:tr2bl w:val="nil"/>
                  </w:tcBorders>
                  <w:vAlign w:val="center"/>
                </w:tcPr>
                <w:p w14:paraId="29814FC9">
                  <w:pPr>
                    <w:pStyle w:val="75"/>
                    <w:adjustRightInd w:val="0"/>
                    <w:snapToGrid w:val="0"/>
                    <w:textAlignment w:val="center"/>
                    <w:rPr>
                      <w:bCs/>
                      <w:color w:val="auto"/>
                      <w:sz w:val="18"/>
                      <w:szCs w:val="18"/>
                      <w:highlight w:val="none"/>
                    </w:rPr>
                  </w:pPr>
                </w:p>
              </w:tc>
            </w:tr>
            <w:tr w14:paraId="66E6A3E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230" w:hRule="atLeast"/>
                <w:jc w:val="center"/>
              </w:trPr>
              <w:tc>
                <w:tcPr>
                  <w:tcW w:w="377" w:type="dxa"/>
                  <w:vMerge w:val="continue"/>
                  <w:tcBorders>
                    <w:tl2br w:val="nil"/>
                    <w:tr2bl w:val="nil"/>
                  </w:tcBorders>
                  <w:vAlign w:val="center"/>
                </w:tcPr>
                <w:p w14:paraId="177F2373">
                  <w:pPr>
                    <w:pStyle w:val="75"/>
                    <w:adjustRightInd w:val="0"/>
                    <w:snapToGrid w:val="0"/>
                    <w:textAlignment w:val="center"/>
                    <w:rPr>
                      <w:bCs/>
                      <w:color w:val="auto"/>
                      <w:sz w:val="18"/>
                      <w:szCs w:val="18"/>
                      <w:highlight w:val="none"/>
                    </w:rPr>
                  </w:pPr>
                </w:p>
              </w:tc>
              <w:tc>
                <w:tcPr>
                  <w:tcW w:w="585" w:type="dxa"/>
                  <w:vMerge w:val="continue"/>
                  <w:tcBorders>
                    <w:tl2br w:val="nil"/>
                    <w:tr2bl w:val="nil"/>
                  </w:tcBorders>
                  <w:vAlign w:val="center"/>
                </w:tcPr>
                <w:p w14:paraId="31758E59">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p>
              </w:tc>
              <w:tc>
                <w:tcPr>
                  <w:tcW w:w="615" w:type="dxa"/>
                  <w:tcBorders>
                    <w:tl2br w:val="nil"/>
                    <w:tr2bl w:val="nil"/>
                  </w:tcBorders>
                  <w:vAlign w:val="center"/>
                </w:tcPr>
                <w:p w14:paraId="3E281423">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r>
                    <w:rPr>
                      <w:rFonts w:ascii="Times New Roman" w:hAnsi="Times New Roman" w:eastAsia="宋体" w:cs="Times New Roman"/>
                      <w:bCs/>
                      <w:color w:val="auto"/>
                      <w:kern w:val="0"/>
                      <w:sz w:val="18"/>
                      <w:szCs w:val="18"/>
                      <w:highlight w:val="none"/>
                      <w:lang w:val="en-US" w:eastAsia="zh-CN" w:bidi="ar-SA"/>
                    </w:rPr>
                    <w:t>TP</w:t>
                  </w:r>
                </w:p>
              </w:tc>
              <w:tc>
                <w:tcPr>
                  <w:tcW w:w="600" w:type="dxa"/>
                  <w:tcBorders>
                    <w:tl2br w:val="nil"/>
                    <w:tr2bl w:val="nil"/>
                  </w:tcBorders>
                  <w:vAlign w:val="center"/>
                </w:tcPr>
                <w:p w14:paraId="5D865F07">
                  <w:pPr>
                    <w:widowControl w:val="0"/>
                    <w:adjustRightInd w:val="0"/>
                    <w:snapToGrid w:val="0"/>
                    <w:spacing w:beforeLines="0" w:afterLines="20"/>
                    <w:ind w:right="2" w:rightChars="1"/>
                    <w:jc w:val="center"/>
                    <w:textAlignment w:val="center"/>
                    <w:rPr>
                      <w:rFonts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4</w:t>
                  </w:r>
                </w:p>
              </w:tc>
              <w:tc>
                <w:tcPr>
                  <w:tcW w:w="540" w:type="dxa"/>
                  <w:tcBorders>
                    <w:tl2br w:val="nil"/>
                    <w:tr2bl w:val="nil"/>
                  </w:tcBorders>
                  <w:vAlign w:val="center"/>
                </w:tcPr>
                <w:p w14:paraId="07E0BE72">
                  <w:pPr>
                    <w:pStyle w:val="75"/>
                    <w:adjustRightInd w:val="0"/>
                    <w:snapToGrid w:val="0"/>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bCs/>
                      <w:color w:val="auto"/>
                      <w:sz w:val="18"/>
                      <w:szCs w:val="18"/>
                      <w:lang w:val="en-US" w:eastAsia="zh-CN"/>
                    </w:rPr>
                    <w:t>0.003</w:t>
                  </w:r>
                </w:p>
              </w:tc>
              <w:tc>
                <w:tcPr>
                  <w:tcW w:w="1050" w:type="dxa"/>
                  <w:vMerge w:val="continue"/>
                  <w:tcBorders>
                    <w:tl2br w:val="nil"/>
                    <w:tr2bl w:val="nil"/>
                  </w:tcBorders>
                  <w:vAlign w:val="center"/>
                </w:tcPr>
                <w:p w14:paraId="5C24E4FE">
                  <w:pPr>
                    <w:pStyle w:val="75"/>
                    <w:adjustRightInd w:val="0"/>
                    <w:snapToGrid w:val="0"/>
                    <w:textAlignment w:val="center"/>
                    <w:rPr>
                      <w:bCs/>
                      <w:color w:val="auto"/>
                      <w:sz w:val="18"/>
                      <w:szCs w:val="18"/>
                      <w:highlight w:val="none"/>
                    </w:rPr>
                  </w:pPr>
                </w:p>
              </w:tc>
              <w:tc>
                <w:tcPr>
                  <w:tcW w:w="600" w:type="dxa"/>
                  <w:vMerge w:val="continue"/>
                  <w:tcBorders>
                    <w:tl2br w:val="nil"/>
                    <w:tr2bl w:val="nil"/>
                  </w:tcBorders>
                  <w:vAlign w:val="center"/>
                </w:tcPr>
                <w:p w14:paraId="7D1FAEF6">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p>
              </w:tc>
              <w:tc>
                <w:tcPr>
                  <w:tcW w:w="600" w:type="dxa"/>
                  <w:tcBorders>
                    <w:tl2br w:val="nil"/>
                    <w:tr2bl w:val="nil"/>
                  </w:tcBorders>
                  <w:vAlign w:val="center"/>
                </w:tcPr>
                <w:p w14:paraId="2B8A4947">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r>
                    <w:rPr>
                      <w:rFonts w:ascii="Times New Roman" w:hAnsi="Times New Roman" w:eastAsia="宋体" w:cs="Times New Roman"/>
                      <w:bCs/>
                      <w:color w:val="auto"/>
                      <w:kern w:val="0"/>
                      <w:sz w:val="18"/>
                      <w:szCs w:val="18"/>
                      <w:highlight w:val="none"/>
                      <w:lang w:val="en-US" w:eastAsia="zh-CN" w:bidi="ar-SA"/>
                    </w:rPr>
                    <w:t>TP</w:t>
                  </w:r>
                </w:p>
              </w:tc>
              <w:tc>
                <w:tcPr>
                  <w:tcW w:w="525" w:type="dxa"/>
                  <w:tcBorders>
                    <w:tl2br w:val="nil"/>
                    <w:tr2bl w:val="nil"/>
                  </w:tcBorders>
                  <w:vAlign w:val="center"/>
                </w:tcPr>
                <w:p w14:paraId="56661C8A">
                  <w:pPr>
                    <w:widowControl w:val="0"/>
                    <w:adjustRightInd w:val="0"/>
                    <w:snapToGrid w:val="0"/>
                    <w:spacing w:beforeLines="0" w:afterLines="20"/>
                    <w:ind w:right="2" w:rightChars="1"/>
                    <w:jc w:val="center"/>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0.3</w:t>
                  </w:r>
                </w:p>
              </w:tc>
              <w:tc>
                <w:tcPr>
                  <w:tcW w:w="600" w:type="dxa"/>
                  <w:tcBorders>
                    <w:tl2br w:val="nil"/>
                    <w:tr2bl w:val="nil"/>
                  </w:tcBorders>
                  <w:vAlign w:val="center"/>
                </w:tcPr>
                <w:p w14:paraId="5F81C472">
                  <w:pPr>
                    <w:widowControl w:val="0"/>
                    <w:adjustRightInd w:val="0"/>
                    <w:snapToGrid w:val="0"/>
                    <w:spacing w:beforeLines="0" w:afterLines="20"/>
                    <w:ind w:right="2" w:rightChars="1"/>
                    <w:jc w:val="center"/>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0.0002</w:t>
                  </w:r>
                </w:p>
              </w:tc>
              <w:tc>
                <w:tcPr>
                  <w:tcW w:w="690" w:type="dxa"/>
                  <w:tcBorders>
                    <w:tl2br w:val="nil"/>
                    <w:tr2bl w:val="nil"/>
                  </w:tcBorders>
                  <w:vAlign w:val="center"/>
                </w:tcPr>
                <w:p w14:paraId="16CDACFA">
                  <w:pPr>
                    <w:widowControl w:val="0"/>
                    <w:adjustRightInd w:val="0"/>
                    <w:snapToGrid w:val="0"/>
                    <w:spacing w:beforeLines="0" w:afterLines="20"/>
                    <w:ind w:right="2" w:rightChars="1"/>
                    <w:jc w:val="center"/>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0.3</w:t>
                  </w:r>
                </w:p>
              </w:tc>
              <w:tc>
                <w:tcPr>
                  <w:tcW w:w="1297" w:type="dxa"/>
                  <w:vMerge w:val="continue"/>
                  <w:tcBorders>
                    <w:tl2br w:val="nil"/>
                    <w:tr2bl w:val="nil"/>
                  </w:tcBorders>
                  <w:vAlign w:val="center"/>
                </w:tcPr>
                <w:p w14:paraId="291012BD">
                  <w:pPr>
                    <w:pStyle w:val="75"/>
                    <w:adjustRightInd w:val="0"/>
                    <w:snapToGrid w:val="0"/>
                    <w:textAlignment w:val="center"/>
                    <w:rPr>
                      <w:bCs/>
                      <w:color w:val="auto"/>
                      <w:sz w:val="18"/>
                      <w:szCs w:val="18"/>
                      <w:highlight w:val="none"/>
                    </w:rPr>
                  </w:pPr>
                </w:p>
              </w:tc>
            </w:tr>
            <w:tr w14:paraId="5AA5AFB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169" w:hRule="atLeast"/>
                <w:jc w:val="center"/>
              </w:trPr>
              <w:tc>
                <w:tcPr>
                  <w:tcW w:w="377" w:type="dxa"/>
                  <w:vMerge w:val="continue"/>
                  <w:tcBorders>
                    <w:tl2br w:val="nil"/>
                    <w:tr2bl w:val="nil"/>
                  </w:tcBorders>
                  <w:vAlign w:val="center"/>
                </w:tcPr>
                <w:p w14:paraId="2D88153B">
                  <w:pPr>
                    <w:pStyle w:val="75"/>
                    <w:adjustRightInd w:val="0"/>
                    <w:snapToGrid w:val="0"/>
                    <w:textAlignment w:val="center"/>
                    <w:rPr>
                      <w:bCs/>
                      <w:color w:val="auto"/>
                      <w:sz w:val="18"/>
                      <w:szCs w:val="18"/>
                      <w:highlight w:val="none"/>
                    </w:rPr>
                  </w:pPr>
                </w:p>
              </w:tc>
              <w:tc>
                <w:tcPr>
                  <w:tcW w:w="585" w:type="dxa"/>
                  <w:vMerge w:val="continue"/>
                  <w:tcBorders>
                    <w:tl2br w:val="nil"/>
                    <w:tr2bl w:val="nil"/>
                  </w:tcBorders>
                  <w:vAlign w:val="center"/>
                </w:tcPr>
                <w:p w14:paraId="2D54AB19">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p>
              </w:tc>
              <w:tc>
                <w:tcPr>
                  <w:tcW w:w="615" w:type="dxa"/>
                  <w:tcBorders>
                    <w:tl2br w:val="nil"/>
                    <w:tr2bl w:val="nil"/>
                  </w:tcBorders>
                  <w:vAlign w:val="center"/>
                </w:tcPr>
                <w:p w14:paraId="5328C85C">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r>
                    <w:rPr>
                      <w:rFonts w:ascii="Times New Roman" w:hAnsi="Times New Roman" w:eastAsia="宋体" w:cs="Times New Roman"/>
                      <w:bCs/>
                      <w:color w:val="auto"/>
                      <w:kern w:val="0"/>
                      <w:sz w:val="18"/>
                      <w:szCs w:val="18"/>
                      <w:highlight w:val="none"/>
                      <w:lang w:val="en-US" w:eastAsia="zh-CN" w:bidi="ar-SA"/>
                    </w:rPr>
                    <w:t>TN</w:t>
                  </w:r>
                </w:p>
              </w:tc>
              <w:tc>
                <w:tcPr>
                  <w:tcW w:w="600" w:type="dxa"/>
                  <w:tcBorders>
                    <w:tl2br w:val="nil"/>
                    <w:tr2bl w:val="nil"/>
                  </w:tcBorders>
                  <w:vAlign w:val="center"/>
                </w:tcPr>
                <w:p w14:paraId="760EDE26">
                  <w:pPr>
                    <w:widowControl w:val="0"/>
                    <w:adjustRightInd w:val="0"/>
                    <w:snapToGrid w:val="0"/>
                    <w:spacing w:beforeLines="0" w:afterLines="20"/>
                    <w:ind w:right="2" w:rightChars="1"/>
                    <w:jc w:val="center"/>
                    <w:textAlignment w:val="center"/>
                    <w:rPr>
                      <w:rFonts w:ascii="Times New Roman" w:hAnsi="Times New Roman" w:eastAsia="宋体" w:cs="Times New Roman"/>
                      <w:bCs/>
                      <w:color w:val="auto"/>
                      <w:kern w:val="2"/>
                      <w:sz w:val="18"/>
                      <w:szCs w:val="18"/>
                      <w:highlight w:val="none"/>
                      <w:lang w:val="en-US" w:eastAsia="zh-CN" w:bidi="ar-SA"/>
                    </w:rPr>
                  </w:pPr>
                  <w:r>
                    <w:rPr>
                      <w:rFonts w:ascii="Times New Roman" w:hAnsi="Times New Roman" w:eastAsia="宋体" w:cs="Times New Roman"/>
                      <w:bCs/>
                      <w:color w:val="auto"/>
                      <w:kern w:val="2"/>
                      <w:sz w:val="18"/>
                      <w:szCs w:val="18"/>
                      <w:highlight w:val="none"/>
                      <w:lang w:val="en-US" w:eastAsia="zh-CN" w:bidi="ar-SA"/>
                    </w:rPr>
                    <w:t>40</w:t>
                  </w:r>
                </w:p>
              </w:tc>
              <w:tc>
                <w:tcPr>
                  <w:tcW w:w="540" w:type="dxa"/>
                  <w:tcBorders>
                    <w:tl2br w:val="nil"/>
                    <w:tr2bl w:val="nil"/>
                  </w:tcBorders>
                  <w:vAlign w:val="center"/>
                </w:tcPr>
                <w:p w14:paraId="506F626D">
                  <w:pPr>
                    <w:pStyle w:val="75"/>
                    <w:adjustRightInd w:val="0"/>
                    <w:snapToGrid w:val="0"/>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bCs/>
                      <w:color w:val="auto"/>
                      <w:sz w:val="18"/>
                      <w:szCs w:val="18"/>
                      <w:lang w:val="en-US" w:eastAsia="zh-CN"/>
                    </w:rPr>
                    <w:t>0.031</w:t>
                  </w:r>
                </w:p>
              </w:tc>
              <w:tc>
                <w:tcPr>
                  <w:tcW w:w="1050" w:type="dxa"/>
                  <w:vMerge w:val="continue"/>
                  <w:tcBorders>
                    <w:tl2br w:val="nil"/>
                    <w:tr2bl w:val="nil"/>
                  </w:tcBorders>
                  <w:vAlign w:val="center"/>
                </w:tcPr>
                <w:p w14:paraId="277FF9CE">
                  <w:pPr>
                    <w:pStyle w:val="75"/>
                    <w:adjustRightInd w:val="0"/>
                    <w:snapToGrid w:val="0"/>
                    <w:textAlignment w:val="center"/>
                    <w:rPr>
                      <w:bCs/>
                      <w:color w:val="auto"/>
                      <w:sz w:val="18"/>
                      <w:szCs w:val="18"/>
                      <w:highlight w:val="none"/>
                    </w:rPr>
                  </w:pPr>
                </w:p>
              </w:tc>
              <w:tc>
                <w:tcPr>
                  <w:tcW w:w="600" w:type="dxa"/>
                  <w:vMerge w:val="continue"/>
                  <w:tcBorders>
                    <w:tl2br w:val="nil"/>
                    <w:tr2bl w:val="nil"/>
                  </w:tcBorders>
                  <w:vAlign w:val="center"/>
                </w:tcPr>
                <w:p w14:paraId="3863FDFB">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p>
              </w:tc>
              <w:tc>
                <w:tcPr>
                  <w:tcW w:w="600" w:type="dxa"/>
                  <w:tcBorders>
                    <w:tl2br w:val="nil"/>
                    <w:tr2bl w:val="nil"/>
                  </w:tcBorders>
                  <w:vAlign w:val="center"/>
                </w:tcPr>
                <w:p w14:paraId="7BB92FF4">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r>
                    <w:rPr>
                      <w:rFonts w:ascii="Times New Roman" w:hAnsi="Times New Roman" w:eastAsia="宋体" w:cs="Times New Roman"/>
                      <w:bCs/>
                      <w:color w:val="auto"/>
                      <w:kern w:val="0"/>
                      <w:sz w:val="18"/>
                      <w:szCs w:val="18"/>
                      <w:highlight w:val="none"/>
                      <w:lang w:val="en-US" w:eastAsia="zh-CN" w:bidi="ar-SA"/>
                    </w:rPr>
                    <w:t>TN</w:t>
                  </w:r>
                </w:p>
              </w:tc>
              <w:tc>
                <w:tcPr>
                  <w:tcW w:w="525" w:type="dxa"/>
                  <w:tcBorders>
                    <w:tl2br w:val="nil"/>
                    <w:tr2bl w:val="nil"/>
                  </w:tcBorders>
                  <w:vAlign w:val="center"/>
                </w:tcPr>
                <w:p w14:paraId="1D58A12B">
                  <w:pPr>
                    <w:widowControl w:val="0"/>
                    <w:adjustRightInd w:val="0"/>
                    <w:snapToGrid w:val="0"/>
                    <w:spacing w:beforeLines="0" w:afterLines="20"/>
                    <w:ind w:right="2" w:rightChars="1"/>
                    <w:jc w:val="center"/>
                    <w:textAlignment w:val="center"/>
                    <w:rPr>
                      <w:rFonts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10</w:t>
                  </w:r>
                </w:p>
              </w:tc>
              <w:tc>
                <w:tcPr>
                  <w:tcW w:w="600" w:type="dxa"/>
                  <w:tcBorders>
                    <w:tl2br w:val="nil"/>
                    <w:tr2bl w:val="nil"/>
                  </w:tcBorders>
                  <w:vAlign w:val="center"/>
                </w:tcPr>
                <w:p w14:paraId="61FDAB24">
                  <w:pPr>
                    <w:widowControl w:val="0"/>
                    <w:adjustRightInd w:val="0"/>
                    <w:snapToGrid w:val="0"/>
                    <w:spacing w:beforeLines="0" w:afterLines="20"/>
                    <w:ind w:right="2" w:rightChars="1"/>
                    <w:jc w:val="center"/>
                    <w:textAlignment w:val="center"/>
                    <w:rPr>
                      <w:rFonts w:hint="default"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0.008</w:t>
                  </w:r>
                </w:p>
              </w:tc>
              <w:tc>
                <w:tcPr>
                  <w:tcW w:w="690" w:type="dxa"/>
                  <w:tcBorders>
                    <w:tl2br w:val="nil"/>
                    <w:tr2bl w:val="nil"/>
                  </w:tcBorders>
                  <w:vAlign w:val="center"/>
                </w:tcPr>
                <w:p w14:paraId="3D8AED3B">
                  <w:pPr>
                    <w:widowControl w:val="0"/>
                    <w:adjustRightInd w:val="0"/>
                    <w:snapToGrid w:val="0"/>
                    <w:spacing w:beforeLines="0" w:afterLines="20"/>
                    <w:ind w:right="2" w:rightChars="1"/>
                    <w:jc w:val="center"/>
                    <w:textAlignment w:val="center"/>
                    <w:rPr>
                      <w:rFonts w:hint="eastAsia"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10</w:t>
                  </w:r>
                </w:p>
              </w:tc>
              <w:tc>
                <w:tcPr>
                  <w:tcW w:w="1297" w:type="dxa"/>
                  <w:vMerge w:val="continue"/>
                  <w:tcBorders>
                    <w:tl2br w:val="nil"/>
                    <w:tr2bl w:val="nil"/>
                  </w:tcBorders>
                  <w:vAlign w:val="center"/>
                </w:tcPr>
                <w:p w14:paraId="1A069B61">
                  <w:pPr>
                    <w:pStyle w:val="75"/>
                    <w:adjustRightInd w:val="0"/>
                    <w:snapToGrid w:val="0"/>
                    <w:textAlignment w:val="center"/>
                    <w:rPr>
                      <w:bCs/>
                      <w:color w:val="auto"/>
                      <w:sz w:val="18"/>
                      <w:szCs w:val="18"/>
                      <w:highlight w:val="none"/>
                    </w:rPr>
                  </w:pPr>
                </w:p>
              </w:tc>
            </w:tr>
            <w:tr w14:paraId="749C0D6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PrEx>
              <w:trPr>
                <w:cantSplit/>
                <w:trHeight w:val="90" w:hRule="atLeast"/>
                <w:jc w:val="center"/>
              </w:trPr>
              <w:tc>
                <w:tcPr>
                  <w:tcW w:w="377" w:type="dxa"/>
                  <w:vMerge w:val="restart"/>
                  <w:tcBorders>
                    <w:tl2br w:val="nil"/>
                    <w:tr2bl w:val="nil"/>
                  </w:tcBorders>
                  <w:vAlign w:val="center"/>
                </w:tcPr>
                <w:p w14:paraId="5CCE611E">
                  <w:pPr>
                    <w:pStyle w:val="75"/>
                    <w:adjustRightInd w:val="0"/>
                    <w:snapToGrid w:val="0"/>
                    <w:textAlignment w:val="center"/>
                    <w:rPr>
                      <w:rFonts w:hint="eastAsia" w:eastAsia="宋体"/>
                      <w:bCs/>
                      <w:color w:val="auto"/>
                      <w:sz w:val="18"/>
                      <w:szCs w:val="18"/>
                      <w:highlight w:val="none"/>
                      <w:lang w:eastAsia="zh-CN"/>
                    </w:rPr>
                  </w:pPr>
                  <w:r>
                    <w:rPr>
                      <w:rFonts w:hint="eastAsia"/>
                      <w:bCs/>
                      <w:color w:val="auto"/>
                      <w:sz w:val="18"/>
                      <w:szCs w:val="18"/>
                      <w:highlight w:val="none"/>
                      <w:lang w:eastAsia="zh-CN"/>
                    </w:rPr>
                    <w:t>生产废水</w:t>
                  </w:r>
                </w:p>
              </w:tc>
              <w:tc>
                <w:tcPr>
                  <w:tcW w:w="585" w:type="dxa"/>
                  <w:vMerge w:val="restart"/>
                  <w:tcBorders>
                    <w:tl2br w:val="nil"/>
                    <w:tr2bl w:val="nil"/>
                  </w:tcBorders>
                  <w:vAlign w:val="center"/>
                </w:tcPr>
                <w:p w14:paraId="021E2707">
                  <w:pPr>
                    <w:widowControl w:val="0"/>
                    <w:adjustRightInd w:val="0"/>
                    <w:snapToGrid w:val="0"/>
                    <w:spacing w:beforeLines="0" w:afterLines="20"/>
                    <w:ind w:right="2" w:rightChars="1"/>
                    <w:jc w:val="center"/>
                    <w:rPr>
                      <w:rFonts w:hint="default" w:ascii="Times New Roman" w:hAnsi="Times New Roman" w:eastAsia="宋体" w:cs="Times New Roman"/>
                      <w:bCs/>
                      <w:color w:val="auto"/>
                      <w:kern w:val="0"/>
                      <w:sz w:val="18"/>
                      <w:szCs w:val="18"/>
                      <w:highlight w:val="none"/>
                      <w:lang w:val="en-US" w:eastAsia="zh-CN" w:bidi="ar-SA"/>
                    </w:rPr>
                  </w:pPr>
                  <w:r>
                    <w:rPr>
                      <w:rFonts w:hint="eastAsia" w:ascii="Times New Roman" w:hAnsi="Times New Roman" w:eastAsia="宋体" w:cs="Times New Roman"/>
                      <w:bCs/>
                      <w:color w:val="auto"/>
                      <w:kern w:val="0"/>
                      <w:sz w:val="18"/>
                      <w:szCs w:val="18"/>
                      <w:highlight w:val="none"/>
                      <w:lang w:val="en-US" w:eastAsia="zh-CN" w:bidi="ar-SA"/>
                    </w:rPr>
                    <w:t>173740</w:t>
                  </w:r>
                </w:p>
              </w:tc>
              <w:tc>
                <w:tcPr>
                  <w:tcW w:w="615" w:type="dxa"/>
                  <w:tcBorders>
                    <w:tl2br w:val="nil"/>
                    <w:tr2bl w:val="nil"/>
                  </w:tcBorders>
                  <w:vAlign w:val="center"/>
                </w:tcPr>
                <w:p w14:paraId="40E37433">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r>
                    <w:rPr>
                      <w:rFonts w:ascii="Times New Roman" w:hAnsi="Times New Roman" w:eastAsia="宋体" w:cs="Times New Roman"/>
                      <w:bCs/>
                      <w:color w:val="auto"/>
                      <w:kern w:val="0"/>
                      <w:sz w:val="18"/>
                      <w:szCs w:val="18"/>
                      <w:highlight w:val="none"/>
                      <w:lang w:val="en-US" w:eastAsia="zh-CN" w:bidi="ar-SA"/>
                    </w:rPr>
                    <w:t>COD</w:t>
                  </w:r>
                </w:p>
              </w:tc>
              <w:tc>
                <w:tcPr>
                  <w:tcW w:w="600" w:type="dxa"/>
                  <w:tcBorders>
                    <w:tl2br w:val="nil"/>
                    <w:tr2bl w:val="nil"/>
                  </w:tcBorders>
                  <w:vAlign w:val="center"/>
                </w:tcPr>
                <w:p w14:paraId="1D80E96D">
                  <w:pPr>
                    <w:pStyle w:val="80"/>
                    <w:spacing w:before="48" w:after="48"/>
                    <w:rPr>
                      <w:rFonts w:hint="default" w:ascii="Times New Roman" w:hAnsi="Times New Roman" w:eastAsia="宋体" w:cs="Times New Roman"/>
                      <w:bCs/>
                      <w:color w:val="auto"/>
                      <w:kern w:val="2"/>
                      <w:sz w:val="18"/>
                      <w:szCs w:val="18"/>
                      <w:highlight w:val="none"/>
                      <w:lang w:val="en-US" w:eastAsia="zh-CN" w:bidi="ar-SA"/>
                    </w:rPr>
                  </w:pPr>
                  <w:r>
                    <w:rPr>
                      <w:rFonts w:hint="eastAsia" w:cs="Times New Roman"/>
                      <w:bCs/>
                      <w:color w:val="auto"/>
                      <w:kern w:val="2"/>
                      <w:sz w:val="18"/>
                      <w:szCs w:val="18"/>
                      <w:highlight w:val="none"/>
                      <w:lang w:val="en-US" w:eastAsia="zh-CN" w:bidi="ar-SA"/>
                    </w:rPr>
                    <w:t>500</w:t>
                  </w:r>
                </w:p>
              </w:tc>
              <w:tc>
                <w:tcPr>
                  <w:tcW w:w="540" w:type="dxa"/>
                  <w:tcBorders>
                    <w:tl2br w:val="nil"/>
                    <w:tr2bl w:val="nil"/>
                  </w:tcBorders>
                  <w:vAlign w:val="center"/>
                </w:tcPr>
                <w:p w14:paraId="31DE5B54">
                  <w:pPr>
                    <w:pStyle w:val="75"/>
                    <w:adjustRightInd w:val="0"/>
                    <w:snapToGrid w:val="0"/>
                    <w:textAlignment w:val="center"/>
                    <w:rPr>
                      <w:rFonts w:hint="default" w:ascii="Times New Roman" w:hAnsi="Times New Roman" w:eastAsia="宋体" w:cs="Times New Roman"/>
                      <w:bCs/>
                      <w:color w:val="auto"/>
                      <w:kern w:val="2"/>
                      <w:sz w:val="18"/>
                      <w:szCs w:val="18"/>
                      <w:highlight w:val="none"/>
                      <w:lang w:val="en-US" w:eastAsia="zh-CN" w:bidi="ar-SA"/>
                    </w:rPr>
                  </w:pPr>
                  <w:r>
                    <w:rPr>
                      <w:rFonts w:hint="eastAsia"/>
                      <w:bCs/>
                      <w:color w:val="auto"/>
                      <w:sz w:val="18"/>
                      <w:szCs w:val="18"/>
                      <w:lang w:val="en-US" w:eastAsia="zh-CN"/>
                    </w:rPr>
                    <w:t>86.87</w:t>
                  </w:r>
                </w:p>
              </w:tc>
              <w:tc>
                <w:tcPr>
                  <w:tcW w:w="1050" w:type="dxa"/>
                  <w:vMerge w:val="restart"/>
                  <w:tcBorders>
                    <w:tl2br w:val="nil"/>
                    <w:tr2bl w:val="nil"/>
                  </w:tcBorders>
                  <w:vAlign w:val="center"/>
                </w:tcPr>
                <w:p w14:paraId="43BBBA21">
                  <w:pPr>
                    <w:pStyle w:val="75"/>
                    <w:adjustRightInd w:val="0"/>
                    <w:snapToGrid w:val="0"/>
                    <w:textAlignment w:val="center"/>
                    <w:rPr>
                      <w:rFonts w:hint="default" w:eastAsia="宋体"/>
                      <w:bCs/>
                      <w:color w:val="auto"/>
                      <w:sz w:val="18"/>
                      <w:szCs w:val="18"/>
                      <w:highlight w:val="none"/>
                      <w:lang w:val="en-US" w:eastAsia="zh-CN"/>
                    </w:rPr>
                  </w:pPr>
                  <w:r>
                    <w:rPr>
                      <w:rFonts w:hint="eastAsia"/>
                      <w:color w:val="auto"/>
                      <w:sz w:val="18"/>
                      <w:szCs w:val="18"/>
                      <w:highlight w:val="none"/>
                      <w:lang w:val="en-US" w:eastAsia="zh-CN"/>
                    </w:rPr>
                    <w:t>细格栅+隔油</w:t>
                  </w:r>
                  <w:r>
                    <w:rPr>
                      <w:rFonts w:hint="eastAsia"/>
                      <w:color w:val="auto"/>
                      <w:sz w:val="18"/>
                      <w:szCs w:val="18"/>
                      <w:highlight w:val="none"/>
                    </w:rPr>
                    <w:t>调节</w:t>
                  </w:r>
                  <w:r>
                    <w:rPr>
                      <w:color w:val="auto"/>
                      <w:sz w:val="18"/>
                      <w:szCs w:val="18"/>
                      <w:highlight w:val="none"/>
                    </w:rPr>
                    <w:t>+</w:t>
                  </w:r>
                  <w:r>
                    <w:rPr>
                      <w:rFonts w:hint="eastAsia"/>
                      <w:color w:val="auto"/>
                      <w:sz w:val="18"/>
                      <w:szCs w:val="18"/>
                      <w:highlight w:val="none"/>
                      <w:lang w:val="en-US" w:eastAsia="zh-CN"/>
                    </w:rPr>
                    <w:t>一级</w:t>
                  </w:r>
                  <w:r>
                    <w:rPr>
                      <w:rFonts w:hint="eastAsia"/>
                      <w:color w:val="auto"/>
                      <w:sz w:val="18"/>
                      <w:szCs w:val="18"/>
                      <w:highlight w:val="none"/>
                    </w:rPr>
                    <w:t>气浮</w:t>
                  </w:r>
                  <w:r>
                    <w:rPr>
                      <w:color w:val="auto"/>
                      <w:sz w:val="18"/>
                      <w:szCs w:val="18"/>
                      <w:highlight w:val="none"/>
                    </w:rPr>
                    <w:t>+</w:t>
                  </w:r>
                  <w:r>
                    <w:rPr>
                      <w:rFonts w:hint="eastAsia"/>
                      <w:color w:val="auto"/>
                      <w:sz w:val="18"/>
                      <w:szCs w:val="18"/>
                      <w:highlight w:val="none"/>
                      <w:lang w:val="en-US" w:eastAsia="zh-CN"/>
                    </w:rPr>
                    <w:t>生化+二沉+二级气浮+</w:t>
                  </w:r>
                  <w:r>
                    <w:rPr>
                      <w:rFonts w:hint="eastAsia"/>
                      <w:color w:val="auto"/>
                      <w:sz w:val="18"/>
                      <w:szCs w:val="18"/>
                      <w:highlight w:val="none"/>
                    </w:rPr>
                    <w:t>过滤</w:t>
                  </w:r>
                </w:p>
              </w:tc>
              <w:tc>
                <w:tcPr>
                  <w:tcW w:w="600" w:type="dxa"/>
                  <w:vMerge w:val="restart"/>
                  <w:tcBorders>
                    <w:tl2br w:val="nil"/>
                    <w:tr2bl w:val="nil"/>
                  </w:tcBorders>
                  <w:vAlign w:val="center"/>
                </w:tcPr>
                <w:p w14:paraId="19369EA3">
                  <w:pPr>
                    <w:widowControl w:val="0"/>
                    <w:adjustRightInd w:val="0"/>
                    <w:snapToGrid w:val="0"/>
                    <w:spacing w:beforeLines="0" w:afterLines="20"/>
                    <w:ind w:right="2" w:rightChars="1"/>
                    <w:jc w:val="center"/>
                    <w:rPr>
                      <w:rFonts w:hint="default" w:ascii="Times New Roman" w:hAnsi="Times New Roman" w:eastAsia="宋体" w:cs="Times New Roman"/>
                      <w:bCs/>
                      <w:color w:val="auto"/>
                      <w:kern w:val="0"/>
                      <w:sz w:val="18"/>
                      <w:szCs w:val="18"/>
                      <w:highlight w:val="none"/>
                      <w:lang w:val="en-US" w:eastAsia="zh-CN" w:bidi="ar-SA"/>
                    </w:rPr>
                  </w:pPr>
                  <w:r>
                    <w:rPr>
                      <w:rFonts w:hint="eastAsia" w:ascii="Times New Roman" w:hAnsi="Times New Roman" w:eastAsia="宋体" w:cs="Times New Roman"/>
                      <w:bCs/>
                      <w:color w:val="auto"/>
                      <w:kern w:val="0"/>
                      <w:sz w:val="18"/>
                      <w:szCs w:val="18"/>
                      <w:highlight w:val="none"/>
                      <w:lang w:val="en-US" w:eastAsia="zh-CN" w:bidi="ar-SA"/>
                    </w:rPr>
                    <w:t>41697.6</w:t>
                  </w:r>
                </w:p>
              </w:tc>
              <w:tc>
                <w:tcPr>
                  <w:tcW w:w="600" w:type="dxa"/>
                  <w:tcBorders>
                    <w:tl2br w:val="nil"/>
                    <w:tr2bl w:val="nil"/>
                  </w:tcBorders>
                  <w:vAlign w:val="center"/>
                </w:tcPr>
                <w:p w14:paraId="3E2C4B0A">
                  <w:pPr>
                    <w:widowControl w:val="0"/>
                    <w:adjustRightInd w:val="0"/>
                    <w:snapToGrid w:val="0"/>
                    <w:spacing w:beforeLines="0" w:afterLines="20"/>
                    <w:ind w:right="2" w:rightChars="1"/>
                    <w:jc w:val="center"/>
                    <w:rPr>
                      <w:rFonts w:ascii="Times New Roman" w:hAnsi="Times New Roman" w:eastAsia="宋体" w:cs="Times New Roman"/>
                      <w:bCs/>
                      <w:color w:val="auto"/>
                      <w:kern w:val="0"/>
                      <w:sz w:val="18"/>
                      <w:szCs w:val="18"/>
                      <w:highlight w:val="none"/>
                      <w:lang w:val="en-US" w:eastAsia="zh-CN" w:bidi="ar-SA"/>
                    </w:rPr>
                  </w:pPr>
                  <w:r>
                    <w:rPr>
                      <w:rFonts w:ascii="Times New Roman" w:hAnsi="Times New Roman" w:eastAsia="宋体" w:cs="Times New Roman"/>
                      <w:bCs/>
                      <w:color w:val="auto"/>
                      <w:kern w:val="0"/>
                      <w:sz w:val="18"/>
                      <w:szCs w:val="18"/>
                      <w:highlight w:val="none"/>
                      <w:lang w:val="en-US" w:eastAsia="zh-CN" w:bidi="ar-SA"/>
                    </w:rPr>
                    <w:t>COD</w:t>
                  </w:r>
                </w:p>
              </w:tc>
              <w:tc>
                <w:tcPr>
                  <w:tcW w:w="525" w:type="dxa"/>
                  <w:tcBorders>
                    <w:tl2br w:val="nil"/>
                    <w:tr2bl w:val="nil"/>
                  </w:tcBorders>
                  <w:vAlign w:val="center"/>
                </w:tcPr>
                <w:p w14:paraId="1A8498AF">
                  <w:pPr>
                    <w:pStyle w:val="80"/>
                    <w:spacing w:before="48" w:after="48"/>
                    <w:rPr>
                      <w:rFonts w:hint="default" w:cs="Times New Roman"/>
                      <w:bCs/>
                      <w:color w:val="auto"/>
                      <w:kern w:val="2"/>
                      <w:sz w:val="18"/>
                      <w:szCs w:val="18"/>
                      <w:highlight w:val="none"/>
                      <w:lang w:val="en-US" w:eastAsia="zh-CN" w:bidi="ar-SA"/>
                    </w:rPr>
                  </w:pPr>
                  <w:r>
                    <w:rPr>
                      <w:rFonts w:hint="eastAsia" w:cs="Times New Roman"/>
                      <w:bCs/>
                      <w:color w:val="auto"/>
                      <w:kern w:val="2"/>
                      <w:sz w:val="18"/>
                      <w:szCs w:val="18"/>
                      <w:highlight w:val="none"/>
                      <w:lang w:val="en-US" w:eastAsia="zh-CN" w:bidi="ar-SA"/>
                    </w:rPr>
                    <w:t>50</w:t>
                  </w:r>
                </w:p>
              </w:tc>
              <w:tc>
                <w:tcPr>
                  <w:tcW w:w="600" w:type="dxa"/>
                  <w:tcBorders>
                    <w:tl2br w:val="nil"/>
                    <w:tr2bl w:val="nil"/>
                  </w:tcBorders>
                  <w:vAlign w:val="center"/>
                </w:tcPr>
                <w:p w14:paraId="1BB183BE">
                  <w:pPr>
                    <w:pStyle w:val="80"/>
                    <w:spacing w:before="48" w:after="48"/>
                    <w:rPr>
                      <w:rFonts w:hint="default" w:ascii="Times New Roman" w:hAnsi="Times New Roman" w:eastAsia="宋体" w:cs="Times New Roman"/>
                      <w:bCs/>
                      <w:color w:val="auto"/>
                      <w:kern w:val="2"/>
                      <w:sz w:val="18"/>
                      <w:szCs w:val="18"/>
                      <w:highlight w:val="none"/>
                      <w:lang w:val="en-US" w:eastAsia="zh-CN" w:bidi="ar-SA"/>
                    </w:rPr>
                  </w:pPr>
                  <w:r>
                    <w:rPr>
                      <w:rFonts w:hint="eastAsia" w:cs="Times New Roman"/>
                      <w:bCs/>
                      <w:color w:val="auto"/>
                      <w:kern w:val="2"/>
                      <w:sz w:val="18"/>
                      <w:szCs w:val="18"/>
                      <w:highlight w:val="none"/>
                      <w:lang w:val="en-US" w:eastAsia="zh-CN" w:bidi="ar-SA"/>
                    </w:rPr>
                    <w:t>2.085</w:t>
                  </w:r>
                </w:p>
              </w:tc>
              <w:tc>
                <w:tcPr>
                  <w:tcW w:w="690" w:type="dxa"/>
                  <w:tcBorders>
                    <w:tl2br w:val="nil"/>
                    <w:tr2bl w:val="nil"/>
                  </w:tcBorders>
                  <w:vAlign w:val="center"/>
                </w:tcPr>
                <w:p w14:paraId="2DF35444">
                  <w:pPr>
                    <w:pStyle w:val="80"/>
                    <w:spacing w:before="48" w:after="48"/>
                    <w:rPr>
                      <w:bCs/>
                      <w:color w:val="auto"/>
                      <w:sz w:val="18"/>
                      <w:szCs w:val="18"/>
                      <w:highlight w:val="none"/>
                    </w:rPr>
                  </w:pPr>
                  <w:r>
                    <w:rPr>
                      <w:rFonts w:hint="eastAsia" w:cs="Times New Roman"/>
                      <w:bCs/>
                      <w:color w:val="auto"/>
                      <w:kern w:val="2"/>
                      <w:sz w:val="18"/>
                      <w:szCs w:val="18"/>
                      <w:highlight w:val="none"/>
                      <w:lang w:val="en-US" w:eastAsia="zh-CN" w:bidi="ar-SA"/>
                    </w:rPr>
                    <w:t>50</w:t>
                  </w:r>
                </w:p>
              </w:tc>
              <w:tc>
                <w:tcPr>
                  <w:tcW w:w="1297" w:type="dxa"/>
                  <w:vMerge w:val="restart"/>
                  <w:tcBorders>
                    <w:tl2br w:val="nil"/>
                    <w:tr2bl w:val="nil"/>
                  </w:tcBorders>
                  <w:vAlign w:val="center"/>
                </w:tcPr>
                <w:p w14:paraId="53F402A2">
                  <w:pPr>
                    <w:pStyle w:val="75"/>
                    <w:adjustRightInd w:val="0"/>
                    <w:snapToGrid w:val="0"/>
                    <w:textAlignment w:val="center"/>
                    <w:rPr>
                      <w:bCs/>
                      <w:color w:val="auto"/>
                      <w:sz w:val="18"/>
                      <w:szCs w:val="18"/>
                      <w:highlight w:val="none"/>
                    </w:rPr>
                  </w:pPr>
                  <w:r>
                    <w:rPr>
                      <w:rFonts w:hint="eastAsia"/>
                      <w:bCs/>
                      <w:color w:val="auto"/>
                      <w:sz w:val="18"/>
                      <w:szCs w:val="18"/>
                      <w:highlight w:val="none"/>
                      <w:lang w:val="en-US" w:eastAsia="zh-CN"/>
                    </w:rPr>
                    <w:t>接管废水</w:t>
                  </w:r>
                  <w:r>
                    <w:rPr>
                      <w:rFonts w:hint="eastAsia"/>
                      <w:bCs/>
                      <w:color w:val="auto"/>
                      <w:sz w:val="18"/>
                      <w:szCs w:val="18"/>
                      <w:highlight w:val="none"/>
                    </w:rPr>
                    <w:t>处理后</w:t>
                  </w:r>
                  <w:r>
                    <w:rPr>
                      <w:rFonts w:hint="eastAsia"/>
                      <w:bCs/>
                      <w:color w:val="auto"/>
                      <w:sz w:val="18"/>
                      <w:szCs w:val="18"/>
                      <w:highlight w:val="none"/>
                      <w:lang w:eastAsia="zh-CN"/>
                    </w:rPr>
                    <w:t>76%</w:t>
                  </w:r>
                  <w:r>
                    <w:rPr>
                      <w:rFonts w:hint="eastAsia"/>
                      <w:bCs/>
                      <w:color w:val="auto"/>
                      <w:sz w:val="18"/>
                      <w:szCs w:val="18"/>
                      <w:highlight w:val="none"/>
                    </w:rPr>
                    <w:t>回用，</w:t>
                  </w:r>
                  <w:r>
                    <w:rPr>
                      <w:rFonts w:hint="eastAsia"/>
                      <w:bCs/>
                      <w:color w:val="auto"/>
                      <w:sz w:val="18"/>
                      <w:szCs w:val="18"/>
                      <w:highlight w:val="none"/>
                      <w:lang w:val="en-US" w:eastAsia="zh-CN"/>
                    </w:rPr>
                    <w:t>24%</w:t>
                  </w:r>
                  <w:r>
                    <w:rPr>
                      <w:rFonts w:hint="eastAsia"/>
                      <w:bCs/>
                      <w:color w:val="auto"/>
                      <w:sz w:val="18"/>
                      <w:szCs w:val="18"/>
                      <w:highlight w:val="none"/>
                    </w:rPr>
                    <w:t>达标排入鳑鲏港</w:t>
                  </w:r>
                </w:p>
              </w:tc>
            </w:tr>
            <w:tr w14:paraId="6B63478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491" w:hRule="atLeast"/>
                <w:jc w:val="center"/>
              </w:trPr>
              <w:tc>
                <w:tcPr>
                  <w:tcW w:w="377" w:type="dxa"/>
                  <w:vMerge w:val="continue"/>
                  <w:tcBorders>
                    <w:tl2br w:val="nil"/>
                    <w:tr2bl w:val="nil"/>
                  </w:tcBorders>
                  <w:vAlign w:val="center"/>
                </w:tcPr>
                <w:p w14:paraId="2E7909B8">
                  <w:pPr>
                    <w:pStyle w:val="75"/>
                    <w:adjustRightInd w:val="0"/>
                    <w:snapToGrid w:val="0"/>
                    <w:textAlignment w:val="center"/>
                    <w:rPr>
                      <w:bCs/>
                      <w:color w:val="auto"/>
                      <w:sz w:val="18"/>
                      <w:szCs w:val="18"/>
                      <w:highlight w:val="none"/>
                    </w:rPr>
                  </w:pPr>
                </w:p>
              </w:tc>
              <w:tc>
                <w:tcPr>
                  <w:tcW w:w="585" w:type="dxa"/>
                  <w:vMerge w:val="continue"/>
                  <w:tcBorders>
                    <w:tl2br w:val="nil"/>
                    <w:tr2bl w:val="nil"/>
                  </w:tcBorders>
                  <w:vAlign w:val="center"/>
                </w:tcPr>
                <w:p w14:paraId="15B8CB3D">
                  <w:pPr>
                    <w:snapToGrid w:val="0"/>
                    <w:jc w:val="center"/>
                    <w:rPr>
                      <w:bCs/>
                      <w:color w:val="auto"/>
                      <w:sz w:val="18"/>
                      <w:szCs w:val="18"/>
                      <w:highlight w:val="none"/>
                    </w:rPr>
                  </w:pPr>
                </w:p>
              </w:tc>
              <w:tc>
                <w:tcPr>
                  <w:tcW w:w="615" w:type="dxa"/>
                  <w:tcBorders>
                    <w:tl2br w:val="nil"/>
                    <w:tr2bl w:val="nil"/>
                  </w:tcBorders>
                  <w:vAlign w:val="center"/>
                </w:tcPr>
                <w:p w14:paraId="78879AD3">
                  <w:pPr>
                    <w:snapToGrid w:val="0"/>
                    <w:jc w:val="center"/>
                    <w:rPr>
                      <w:bCs/>
                      <w:color w:val="auto"/>
                      <w:sz w:val="18"/>
                      <w:szCs w:val="18"/>
                      <w:highlight w:val="none"/>
                    </w:rPr>
                  </w:pPr>
                  <w:r>
                    <w:rPr>
                      <w:bCs/>
                      <w:color w:val="auto"/>
                      <w:sz w:val="18"/>
                      <w:szCs w:val="18"/>
                      <w:highlight w:val="none"/>
                    </w:rPr>
                    <w:t>SS</w:t>
                  </w:r>
                </w:p>
              </w:tc>
              <w:tc>
                <w:tcPr>
                  <w:tcW w:w="600" w:type="dxa"/>
                  <w:tcBorders>
                    <w:tl2br w:val="nil"/>
                    <w:tr2bl w:val="nil"/>
                  </w:tcBorders>
                  <w:vAlign w:val="center"/>
                </w:tcPr>
                <w:p w14:paraId="52DA1652">
                  <w:pPr>
                    <w:pStyle w:val="80"/>
                    <w:spacing w:before="48" w:after="48"/>
                    <w:rPr>
                      <w:rFonts w:hint="default" w:ascii="Times New Roman" w:hAnsi="Times New Roman" w:eastAsia="宋体" w:cs="Times New Roman"/>
                      <w:bCs/>
                      <w:color w:val="auto"/>
                      <w:kern w:val="2"/>
                      <w:sz w:val="18"/>
                      <w:szCs w:val="18"/>
                      <w:highlight w:val="none"/>
                      <w:lang w:val="en-US" w:eastAsia="zh-CN" w:bidi="ar-SA"/>
                    </w:rPr>
                  </w:pPr>
                  <w:r>
                    <w:rPr>
                      <w:rFonts w:hint="eastAsia" w:cs="Times New Roman"/>
                      <w:bCs/>
                      <w:color w:val="auto"/>
                      <w:kern w:val="2"/>
                      <w:sz w:val="18"/>
                      <w:szCs w:val="18"/>
                      <w:highlight w:val="none"/>
                      <w:lang w:val="en-US" w:eastAsia="zh-CN" w:bidi="ar-SA"/>
                    </w:rPr>
                    <w:t>250</w:t>
                  </w:r>
                </w:p>
              </w:tc>
              <w:tc>
                <w:tcPr>
                  <w:tcW w:w="540" w:type="dxa"/>
                  <w:tcBorders>
                    <w:tl2br w:val="nil"/>
                    <w:tr2bl w:val="nil"/>
                  </w:tcBorders>
                  <w:vAlign w:val="center"/>
                </w:tcPr>
                <w:p w14:paraId="61399A42">
                  <w:pPr>
                    <w:pStyle w:val="75"/>
                    <w:adjustRightInd w:val="0"/>
                    <w:snapToGrid w:val="0"/>
                    <w:textAlignment w:val="center"/>
                    <w:rPr>
                      <w:rFonts w:hint="default" w:ascii="Times New Roman" w:hAnsi="Times New Roman" w:eastAsia="宋体" w:cs="Times New Roman"/>
                      <w:bCs/>
                      <w:color w:val="auto"/>
                      <w:kern w:val="2"/>
                      <w:sz w:val="18"/>
                      <w:szCs w:val="18"/>
                      <w:highlight w:val="none"/>
                      <w:lang w:val="en-US" w:eastAsia="zh-CN" w:bidi="ar-SA"/>
                    </w:rPr>
                  </w:pPr>
                  <w:r>
                    <w:rPr>
                      <w:rFonts w:hint="eastAsia"/>
                      <w:bCs/>
                      <w:color w:val="auto"/>
                      <w:sz w:val="18"/>
                      <w:szCs w:val="18"/>
                      <w:lang w:val="en-US" w:eastAsia="zh-CN"/>
                    </w:rPr>
                    <w:t>43.435</w:t>
                  </w:r>
                </w:p>
              </w:tc>
              <w:tc>
                <w:tcPr>
                  <w:tcW w:w="1050" w:type="dxa"/>
                  <w:vMerge w:val="continue"/>
                  <w:tcBorders>
                    <w:tl2br w:val="nil"/>
                    <w:tr2bl w:val="nil"/>
                  </w:tcBorders>
                  <w:vAlign w:val="center"/>
                </w:tcPr>
                <w:p w14:paraId="040DDDB3">
                  <w:pPr>
                    <w:pStyle w:val="75"/>
                    <w:adjustRightInd w:val="0"/>
                    <w:snapToGrid w:val="0"/>
                    <w:textAlignment w:val="center"/>
                    <w:rPr>
                      <w:bCs/>
                      <w:color w:val="auto"/>
                      <w:sz w:val="18"/>
                      <w:szCs w:val="18"/>
                      <w:highlight w:val="none"/>
                    </w:rPr>
                  </w:pPr>
                </w:p>
              </w:tc>
              <w:tc>
                <w:tcPr>
                  <w:tcW w:w="600" w:type="dxa"/>
                  <w:vMerge w:val="continue"/>
                  <w:tcBorders>
                    <w:tl2br w:val="nil"/>
                    <w:tr2bl w:val="nil"/>
                  </w:tcBorders>
                  <w:vAlign w:val="center"/>
                </w:tcPr>
                <w:p w14:paraId="6F2B60B7">
                  <w:pPr>
                    <w:snapToGrid w:val="0"/>
                    <w:jc w:val="center"/>
                    <w:rPr>
                      <w:bCs/>
                      <w:color w:val="auto"/>
                      <w:sz w:val="18"/>
                      <w:szCs w:val="18"/>
                      <w:highlight w:val="none"/>
                    </w:rPr>
                  </w:pPr>
                </w:p>
              </w:tc>
              <w:tc>
                <w:tcPr>
                  <w:tcW w:w="600" w:type="dxa"/>
                  <w:tcBorders>
                    <w:tl2br w:val="nil"/>
                    <w:tr2bl w:val="nil"/>
                  </w:tcBorders>
                  <w:vAlign w:val="center"/>
                </w:tcPr>
                <w:p w14:paraId="4E9659E0">
                  <w:pPr>
                    <w:snapToGrid w:val="0"/>
                    <w:jc w:val="center"/>
                    <w:rPr>
                      <w:bCs/>
                      <w:color w:val="auto"/>
                      <w:sz w:val="18"/>
                      <w:szCs w:val="18"/>
                      <w:highlight w:val="none"/>
                    </w:rPr>
                  </w:pPr>
                  <w:r>
                    <w:rPr>
                      <w:bCs/>
                      <w:color w:val="auto"/>
                      <w:sz w:val="18"/>
                      <w:szCs w:val="18"/>
                      <w:highlight w:val="none"/>
                    </w:rPr>
                    <w:t>SS</w:t>
                  </w:r>
                </w:p>
              </w:tc>
              <w:tc>
                <w:tcPr>
                  <w:tcW w:w="525" w:type="dxa"/>
                  <w:tcBorders>
                    <w:tl2br w:val="nil"/>
                    <w:tr2bl w:val="nil"/>
                  </w:tcBorders>
                  <w:vAlign w:val="center"/>
                </w:tcPr>
                <w:p w14:paraId="12440240">
                  <w:pPr>
                    <w:pStyle w:val="80"/>
                    <w:spacing w:before="48" w:after="48"/>
                    <w:rPr>
                      <w:rFonts w:hint="default" w:cs="Times New Roman"/>
                      <w:bCs/>
                      <w:color w:val="auto"/>
                      <w:kern w:val="2"/>
                      <w:sz w:val="18"/>
                      <w:szCs w:val="18"/>
                      <w:highlight w:val="none"/>
                      <w:lang w:val="en-US" w:eastAsia="zh-CN" w:bidi="ar-SA"/>
                    </w:rPr>
                  </w:pPr>
                  <w:r>
                    <w:rPr>
                      <w:rFonts w:hint="eastAsia" w:cs="Times New Roman"/>
                      <w:bCs/>
                      <w:color w:val="auto"/>
                      <w:kern w:val="2"/>
                      <w:sz w:val="18"/>
                      <w:szCs w:val="18"/>
                      <w:highlight w:val="none"/>
                      <w:lang w:val="en-US" w:eastAsia="zh-CN" w:bidi="ar-SA"/>
                    </w:rPr>
                    <w:t>10</w:t>
                  </w:r>
                </w:p>
              </w:tc>
              <w:tc>
                <w:tcPr>
                  <w:tcW w:w="600" w:type="dxa"/>
                  <w:tcBorders>
                    <w:tl2br w:val="nil"/>
                    <w:tr2bl w:val="nil"/>
                  </w:tcBorders>
                  <w:vAlign w:val="center"/>
                </w:tcPr>
                <w:p w14:paraId="7ADB594C">
                  <w:pPr>
                    <w:pStyle w:val="80"/>
                    <w:spacing w:before="48" w:after="48"/>
                    <w:rPr>
                      <w:rFonts w:hint="default" w:ascii="Times New Roman" w:hAnsi="Times New Roman" w:eastAsia="宋体" w:cs="Times New Roman"/>
                      <w:bCs/>
                      <w:color w:val="auto"/>
                      <w:kern w:val="2"/>
                      <w:sz w:val="18"/>
                      <w:szCs w:val="18"/>
                      <w:highlight w:val="none"/>
                      <w:lang w:val="en-US" w:eastAsia="zh-CN" w:bidi="ar-SA"/>
                    </w:rPr>
                  </w:pPr>
                  <w:r>
                    <w:rPr>
                      <w:rFonts w:hint="eastAsia" w:cs="Times New Roman"/>
                      <w:bCs/>
                      <w:color w:val="auto"/>
                      <w:kern w:val="2"/>
                      <w:sz w:val="18"/>
                      <w:szCs w:val="18"/>
                      <w:highlight w:val="none"/>
                      <w:lang w:val="en-US" w:eastAsia="zh-CN" w:bidi="ar-SA"/>
                    </w:rPr>
                    <w:t>0.417</w:t>
                  </w:r>
                </w:p>
              </w:tc>
              <w:tc>
                <w:tcPr>
                  <w:tcW w:w="690" w:type="dxa"/>
                  <w:tcBorders>
                    <w:tl2br w:val="nil"/>
                    <w:tr2bl w:val="nil"/>
                  </w:tcBorders>
                  <w:vAlign w:val="center"/>
                </w:tcPr>
                <w:p w14:paraId="3F1C48A6">
                  <w:pPr>
                    <w:pStyle w:val="80"/>
                    <w:spacing w:before="48" w:after="48"/>
                    <w:rPr>
                      <w:bCs/>
                      <w:color w:val="auto"/>
                      <w:sz w:val="18"/>
                      <w:szCs w:val="18"/>
                      <w:highlight w:val="none"/>
                    </w:rPr>
                  </w:pPr>
                  <w:r>
                    <w:rPr>
                      <w:rFonts w:hint="eastAsia" w:cs="Times New Roman"/>
                      <w:bCs/>
                      <w:color w:val="auto"/>
                      <w:kern w:val="2"/>
                      <w:sz w:val="18"/>
                      <w:szCs w:val="18"/>
                      <w:highlight w:val="none"/>
                      <w:lang w:val="en-US" w:eastAsia="zh-CN" w:bidi="ar-SA"/>
                    </w:rPr>
                    <w:t>10</w:t>
                  </w:r>
                </w:p>
              </w:tc>
              <w:tc>
                <w:tcPr>
                  <w:tcW w:w="1297" w:type="dxa"/>
                  <w:vMerge w:val="continue"/>
                  <w:tcBorders>
                    <w:tl2br w:val="nil"/>
                    <w:tr2bl w:val="nil"/>
                  </w:tcBorders>
                  <w:vAlign w:val="center"/>
                </w:tcPr>
                <w:p w14:paraId="0AB0CD85">
                  <w:pPr>
                    <w:pStyle w:val="75"/>
                    <w:adjustRightInd w:val="0"/>
                    <w:snapToGrid w:val="0"/>
                    <w:textAlignment w:val="center"/>
                    <w:rPr>
                      <w:bCs/>
                      <w:color w:val="auto"/>
                      <w:sz w:val="18"/>
                      <w:szCs w:val="18"/>
                      <w:highlight w:val="none"/>
                    </w:rPr>
                  </w:pPr>
                </w:p>
              </w:tc>
            </w:tr>
            <w:tr w14:paraId="5B893E8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cantSplit/>
                <w:trHeight w:val="491" w:hRule="atLeast"/>
                <w:jc w:val="center"/>
              </w:trPr>
              <w:tc>
                <w:tcPr>
                  <w:tcW w:w="377" w:type="dxa"/>
                  <w:vMerge w:val="continue"/>
                  <w:tcBorders>
                    <w:tl2br w:val="nil"/>
                    <w:tr2bl w:val="nil"/>
                  </w:tcBorders>
                  <w:vAlign w:val="center"/>
                </w:tcPr>
                <w:p w14:paraId="22BFC1C9">
                  <w:pPr>
                    <w:pStyle w:val="75"/>
                    <w:adjustRightInd w:val="0"/>
                    <w:snapToGrid w:val="0"/>
                    <w:textAlignment w:val="center"/>
                    <w:rPr>
                      <w:bCs/>
                      <w:color w:val="auto"/>
                      <w:sz w:val="18"/>
                      <w:szCs w:val="18"/>
                      <w:highlight w:val="none"/>
                    </w:rPr>
                  </w:pPr>
                </w:p>
              </w:tc>
              <w:tc>
                <w:tcPr>
                  <w:tcW w:w="585" w:type="dxa"/>
                  <w:vMerge w:val="continue"/>
                  <w:tcBorders>
                    <w:tl2br w:val="nil"/>
                    <w:tr2bl w:val="nil"/>
                  </w:tcBorders>
                  <w:vAlign w:val="center"/>
                </w:tcPr>
                <w:p w14:paraId="7DA87822">
                  <w:pPr>
                    <w:snapToGrid w:val="0"/>
                    <w:jc w:val="center"/>
                    <w:rPr>
                      <w:bCs/>
                      <w:color w:val="auto"/>
                      <w:sz w:val="18"/>
                      <w:szCs w:val="18"/>
                      <w:highlight w:val="none"/>
                    </w:rPr>
                  </w:pPr>
                </w:p>
              </w:tc>
              <w:tc>
                <w:tcPr>
                  <w:tcW w:w="615" w:type="dxa"/>
                  <w:tcBorders>
                    <w:tl2br w:val="nil"/>
                    <w:tr2bl w:val="nil"/>
                  </w:tcBorders>
                  <w:vAlign w:val="center"/>
                </w:tcPr>
                <w:p w14:paraId="0BED754F">
                  <w:pPr>
                    <w:snapToGrid w:val="0"/>
                    <w:jc w:val="center"/>
                    <w:rPr>
                      <w:rFonts w:hint="eastAsia" w:eastAsia="宋体"/>
                      <w:bCs/>
                      <w:color w:val="auto"/>
                      <w:sz w:val="18"/>
                      <w:szCs w:val="18"/>
                      <w:highlight w:val="none"/>
                      <w:lang w:eastAsia="zh-CN"/>
                    </w:rPr>
                  </w:pPr>
                  <w:r>
                    <w:rPr>
                      <w:rFonts w:hint="eastAsia" w:ascii="Times New Roman" w:eastAsia="宋体"/>
                      <w:color w:val="auto"/>
                      <w:sz w:val="18"/>
                      <w:szCs w:val="18"/>
                      <w:highlight w:val="none"/>
                      <w:lang w:val="en-US" w:eastAsia="zh-CN"/>
                    </w:rPr>
                    <w:t>石油类</w:t>
                  </w:r>
                </w:p>
              </w:tc>
              <w:tc>
                <w:tcPr>
                  <w:tcW w:w="600" w:type="dxa"/>
                  <w:tcBorders>
                    <w:tl2br w:val="nil"/>
                    <w:tr2bl w:val="nil"/>
                  </w:tcBorders>
                  <w:vAlign w:val="center"/>
                </w:tcPr>
                <w:p w14:paraId="78809B2E">
                  <w:pPr>
                    <w:pStyle w:val="80"/>
                    <w:spacing w:before="48" w:after="48"/>
                    <w:rPr>
                      <w:rFonts w:hint="default" w:ascii="Times New Roman" w:hAnsi="Times New Roman" w:eastAsia="宋体" w:cs="Times New Roman"/>
                      <w:bCs/>
                      <w:color w:val="auto"/>
                      <w:kern w:val="2"/>
                      <w:sz w:val="18"/>
                      <w:szCs w:val="18"/>
                      <w:highlight w:val="none"/>
                      <w:lang w:val="en-US" w:eastAsia="zh-CN" w:bidi="ar-SA"/>
                    </w:rPr>
                  </w:pPr>
                  <w:r>
                    <w:rPr>
                      <w:rFonts w:hint="eastAsia" w:cs="Times New Roman"/>
                      <w:bCs/>
                      <w:color w:val="auto"/>
                      <w:kern w:val="2"/>
                      <w:sz w:val="18"/>
                      <w:szCs w:val="18"/>
                      <w:highlight w:val="none"/>
                      <w:lang w:val="en-US" w:eastAsia="zh-CN" w:bidi="ar-SA"/>
                    </w:rPr>
                    <w:t>15</w:t>
                  </w:r>
                </w:p>
              </w:tc>
              <w:tc>
                <w:tcPr>
                  <w:tcW w:w="540" w:type="dxa"/>
                  <w:tcBorders>
                    <w:tl2br w:val="nil"/>
                    <w:tr2bl w:val="nil"/>
                  </w:tcBorders>
                  <w:vAlign w:val="center"/>
                </w:tcPr>
                <w:p w14:paraId="32AAB765">
                  <w:pPr>
                    <w:pStyle w:val="75"/>
                    <w:adjustRightInd w:val="0"/>
                    <w:snapToGrid w:val="0"/>
                    <w:textAlignment w:val="center"/>
                    <w:rPr>
                      <w:rFonts w:hint="default" w:ascii="Times New Roman" w:hAnsi="Times New Roman" w:eastAsia="宋体" w:cs="Times New Roman"/>
                      <w:bCs/>
                      <w:color w:val="auto"/>
                      <w:kern w:val="2"/>
                      <w:sz w:val="18"/>
                      <w:szCs w:val="18"/>
                      <w:highlight w:val="none"/>
                      <w:lang w:val="en-US" w:eastAsia="zh-CN" w:bidi="ar-SA"/>
                    </w:rPr>
                  </w:pPr>
                  <w:r>
                    <w:rPr>
                      <w:rFonts w:hint="eastAsia"/>
                      <w:bCs/>
                      <w:color w:val="auto"/>
                      <w:sz w:val="18"/>
                      <w:szCs w:val="18"/>
                      <w:lang w:val="en-US" w:eastAsia="zh-CN"/>
                    </w:rPr>
                    <w:t>2.606</w:t>
                  </w:r>
                </w:p>
              </w:tc>
              <w:tc>
                <w:tcPr>
                  <w:tcW w:w="1050" w:type="dxa"/>
                  <w:vMerge w:val="continue"/>
                  <w:tcBorders>
                    <w:tl2br w:val="nil"/>
                    <w:tr2bl w:val="nil"/>
                  </w:tcBorders>
                  <w:vAlign w:val="center"/>
                </w:tcPr>
                <w:p w14:paraId="119FD0D2">
                  <w:pPr>
                    <w:pStyle w:val="75"/>
                    <w:adjustRightInd w:val="0"/>
                    <w:snapToGrid w:val="0"/>
                    <w:textAlignment w:val="center"/>
                    <w:rPr>
                      <w:bCs/>
                      <w:color w:val="auto"/>
                      <w:sz w:val="18"/>
                      <w:szCs w:val="18"/>
                      <w:highlight w:val="none"/>
                    </w:rPr>
                  </w:pPr>
                </w:p>
              </w:tc>
              <w:tc>
                <w:tcPr>
                  <w:tcW w:w="600" w:type="dxa"/>
                  <w:vMerge w:val="continue"/>
                  <w:tcBorders>
                    <w:tl2br w:val="nil"/>
                    <w:tr2bl w:val="nil"/>
                  </w:tcBorders>
                  <w:vAlign w:val="center"/>
                </w:tcPr>
                <w:p w14:paraId="30C2499C">
                  <w:pPr>
                    <w:snapToGrid w:val="0"/>
                    <w:jc w:val="center"/>
                    <w:rPr>
                      <w:bCs/>
                      <w:color w:val="auto"/>
                      <w:sz w:val="18"/>
                      <w:szCs w:val="18"/>
                      <w:highlight w:val="none"/>
                    </w:rPr>
                  </w:pPr>
                </w:p>
              </w:tc>
              <w:tc>
                <w:tcPr>
                  <w:tcW w:w="600" w:type="dxa"/>
                  <w:tcBorders>
                    <w:tl2br w:val="nil"/>
                    <w:tr2bl w:val="nil"/>
                  </w:tcBorders>
                  <w:vAlign w:val="center"/>
                </w:tcPr>
                <w:p w14:paraId="5F21A659">
                  <w:pPr>
                    <w:snapToGrid w:val="0"/>
                    <w:jc w:val="center"/>
                    <w:rPr>
                      <w:bCs/>
                      <w:color w:val="auto"/>
                      <w:sz w:val="18"/>
                      <w:szCs w:val="18"/>
                      <w:highlight w:val="none"/>
                    </w:rPr>
                  </w:pPr>
                  <w:r>
                    <w:rPr>
                      <w:rFonts w:hint="eastAsia" w:ascii="Times New Roman" w:eastAsia="宋体"/>
                      <w:color w:val="auto"/>
                      <w:sz w:val="18"/>
                      <w:szCs w:val="18"/>
                      <w:highlight w:val="none"/>
                      <w:lang w:val="en-US" w:eastAsia="zh-CN"/>
                    </w:rPr>
                    <w:t>石油类</w:t>
                  </w:r>
                </w:p>
              </w:tc>
              <w:tc>
                <w:tcPr>
                  <w:tcW w:w="525" w:type="dxa"/>
                  <w:tcBorders>
                    <w:tl2br w:val="nil"/>
                    <w:tr2bl w:val="nil"/>
                  </w:tcBorders>
                  <w:vAlign w:val="center"/>
                </w:tcPr>
                <w:p w14:paraId="77926F79">
                  <w:pPr>
                    <w:pStyle w:val="80"/>
                    <w:spacing w:before="48" w:after="48"/>
                    <w:rPr>
                      <w:rFonts w:hint="default" w:cs="Times New Roman"/>
                      <w:bCs/>
                      <w:color w:val="auto"/>
                      <w:kern w:val="2"/>
                      <w:sz w:val="18"/>
                      <w:szCs w:val="18"/>
                      <w:highlight w:val="none"/>
                      <w:lang w:val="en-US" w:eastAsia="zh-CN" w:bidi="ar-SA"/>
                    </w:rPr>
                  </w:pPr>
                  <w:r>
                    <w:rPr>
                      <w:rFonts w:hint="eastAsia" w:cs="Times New Roman"/>
                      <w:bCs/>
                      <w:color w:val="auto"/>
                      <w:kern w:val="2"/>
                      <w:sz w:val="18"/>
                      <w:szCs w:val="18"/>
                      <w:highlight w:val="none"/>
                      <w:lang w:val="en-US" w:eastAsia="zh-CN" w:bidi="ar-SA"/>
                    </w:rPr>
                    <w:t>1</w:t>
                  </w:r>
                </w:p>
              </w:tc>
              <w:tc>
                <w:tcPr>
                  <w:tcW w:w="600" w:type="dxa"/>
                  <w:tcBorders>
                    <w:tl2br w:val="nil"/>
                    <w:tr2bl w:val="nil"/>
                  </w:tcBorders>
                  <w:vAlign w:val="center"/>
                </w:tcPr>
                <w:p w14:paraId="1AAD1D70">
                  <w:pPr>
                    <w:pStyle w:val="80"/>
                    <w:spacing w:before="48" w:after="48"/>
                    <w:rPr>
                      <w:rFonts w:hint="default" w:ascii="Times New Roman" w:hAnsi="Times New Roman" w:eastAsia="宋体" w:cs="Times New Roman"/>
                      <w:bCs/>
                      <w:color w:val="auto"/>
                      <w:kern w:val="2"/>
                      <w:sz w:val="18"/>
                      <w:szCs w:val="18"/>
                      <w:highlight w:val="none"/>
                      <w:lang w:val="en-US" w:eastAsia="zh-CN" w:bidi="ar-SA"/>
                    </w:rPr>
                  </w:pPr>
                  <w:r>
                    <w:rPr>
                      <w:rFonts w:hint="eastAsia" w:cs="Times New Roman"/>
                      <w:bCs/>
                      <w:color w:val="auto"/>
                      <w:kern w:val="2"/>
                      <w:sz w:val="18"/>
                      <w:szCs w:val="18"/>
                      <w:highlight w:val="none"/>
                      <w:lang w:val="en-US" w:eastAsia="zh-CN" w:bidi="ar-SA"/>
                    </w:rPr>
                    <w:t>0.042</w:t>
                  </w:r>
                </w:p>
              </w:tc>
              <w:tc>
                <w:tcPr>
                  <w:tcW w:w="690" w:type="dxa"/>
                  <w:tcBorders>
                    <w:tl2br w:val="nil"/>
                    <w:tr2bl w:val="nil"/>
                  </w:tcBorders>
                  <w:vAlign w:val="center"/>
                </w:tcPr>
                <w:p w14:paraId="73E15163">
                  <w:pPr>
                    <w:pStyle w:val="80"/>
                    <w:spacing w:before="48" w:after="48"/>
                    <w:rPr>
                      <w:rFonts w:hint="default" w:eastAsia="宋体"/>
                      <w:bCs/>
                      <w:color w:val="auto"/>
                      <w:sz w:val="18"/>
                      <w:szCs w:val="18"/>
                      <w:highlight w:val="none"/>
                      <w:lang w:val="en-US" w:eastAsia="zh-CN"/>
                    </w:rPr>
                  </w:pPr>
                  <w:r>
                    <w:rPr>
                      <w:rFonts w:hint="eastAsia" w:cs="Times New Roman"/>
                      <w:bCs/>
                      <w:color w:val="auto"/>
                      <w:kern w:val="2"/>
                      <w:sz w:val="18"/>
                      <w:szCs w:val="18"/>
                      <w:highlight w:val="none"/>
                      <w:lang w:val="en-US" w:eastAsia="zh-CN" w:bidi="ar-SA"/>
                    </w:rPr>
                    <w:t>1</w:t>
                  </w:r>
                </w:p>
              </w:tc>
              <w:tc>
                <w:tcPr>
                  <w:tcW w:w="1297" w:type="dxa"/>
                  <w:vMerge w:val="continue"/>
                  <w:tcBorders>
                    <w:tl2br w:val="nil"/>
                    <w:tr2bl w:val="nil"/>
                  </w:tcBorders>
                  <w:vAlign w:val="center"/>
                </w:tcPr>
                <w:p w14:paraId="5E4684B1">
                  <w:pPr>
                    <w:pStyle w:val="75"/>
                    <w:adjustRightInd w:val="0"/>
                    <w:snapToGrid w:val="0"/>
                    <w:textAlignment w:val="center"/>
                    <w:rPr>
                      <w:bCs/>
                      <w:color w:val="auto"/>
                      <w:sz w:val="18"/>
                      <w:szCs w:val="18"/>
                      <w:highlight w:val="none"/>
                    </w:rPr>
                  </w:pPr>
                </w:p>
              </w:tc>
            </w:tr>
          </w:tbl>
          <w:p w14:paraId="5DAF567B">
            <w:pPr>
              <w:autoSpaceDE w:val="0"/>
              <w:autoSpaceDN w:val="0"/>
              <w:adjustRightInd w:val="0"/>
              <w:snapToGrid w:val="0"/>
              <w:spacing w:line="360" w:lineRule="auto"/>
              <w:ind w:firstLine="420" w:firstLineChars="200"/>
              <w:rPr>
                <w:bCs/>
                <w:color w:val="auto"/>
                <w:kern w:val="0"/>
                <w:szCs w:val="21"/>
              </w:rPr>
            </w:pPr>
            <w:r>
              <w:rPr>
                <w:rFonts w:hint="eastAsia"/>
                <w:bCs/>
                <w:color w:val="auto"/>
                <w:kern w:val="0"/>
                <w:szCs w:val="21"/>
              </w:rPr>
              <w:t>（</w:t>
            </w:r>
            <w:r>
              <w:rPr>
                <w:bCs/>
                <w:color w:val="auto"/>
                <w:kern w:val="0"/>
                <w:szCs w:val="21"/>
              </w:rPr>
              <w:t>2</w:t>
            </w:r>
            <w:r>
              <w:rPr>
                <w:rFonts w:hint="eastAsia"/>
                <w:bCs/>
                <w:color w:val="auto"/>
                <w:kern w:val="0"/>
                <w:szCs w:val="21"/>
              </w:rPr>
              <w:t>）废水排放情况</w:t>
            </w:r>
          </w:p>
          <w:p w14:paraId="2EA3FA69">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4-</w:t>
            </w:r>
            <w:r>
              <w:rPr>
                <w:rFonts w:hint="eastAsia"/>
                <w:b/>
                <w:snapToGrid w:val="0"/>
                <w:color w:val="auto"/>
                <w:szCs w:val="21"/>
                <w:lang w:val="en-US" w:eastAsia="zh-CN"/>
              </w:rPr>
              <w:t>10</w:t>
            </w:r>
            <w:r>
              <w:rPr>
                <w:b/>
                <w:snapToGrid w:val="0"/>
                <w:color w:val="auto"/>
                <w:szCs w:val="21"/>
              </w:rPr>
              <w:t xml:space="preserve">  </w:t>
            </w:r>
            <w:r>
              <w:rPr>
                <w:rFonts w:hint="eastAsia"/>
                <w:b/>
                <w:snapToGrid w:val="0"/>
                <w:color w:val="auto"/>
                <w:szCs w:val="21"/>
              </w:rPr>
              <w:t>废水类别、污染物及污染治理设施信息表</w:t>
            </w:r>
          </w:p>
          <w:tbl>
            <w:tblPr>
              <w:tblStyle w:val="26"/>
              <w:tblW w:w="8058"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491"/>
              <w:gridCol w:w="964"/>
              <w:gridCol w:w="837"/>
              <w:gridCol w:w="929"/>
              <w:gridCol w:w="737"/>
              <w:gridCol w:w="788"/>
              <w:gridCol w:w="780"/>
              <w:gridCol w:w="611"/>
              <w:gridCol w:w="588"/>
              <w:gridCol w:w="1333"/>
            </w:tblGrid>
            <w:tr w14:paraId="7EAA22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491" w:type="dxa"/>
                  <w:vMerge w:val="restart"/>
                  <w:tcBorders>
                    <w:tl2br w:val="nil"/>
                    <w:tr2bl w:val="nil"/>
                  </w:tcBorders>
                  <w:vAlign w:val="center"/>
                </w:tcPr>
                <w:p w14:paraId="07A591F7">
                  <w:pPr>
                    <w:widowControl/>
                    <w:jc w:val="center"/>
                    <w:rPr>
                      <w:color w:val="auto"/>
                      <w:kern w:val="0"/>
                      <w:sz w:val="18"/>
                      <w:szCs w:val="18"/>
                    </w:rPr>
                  </w:pPr>
                  <w:r>
                    <w:rPr>
                      <w:rFonts w:hint="eastAsia"/>
                      <w:color w:val="auto"/>
                      <w:kern w:val="0"/>
                      <w:sz w:val="18"/>
                      <w:szCs w:val="18"/>
                    </w:rPr>
                    <w:t>类别</w:t>
                  </w:r>
                </w:p>
              </w:tc>
              <w:tc>
                <w:tcPr>
                  <w:tcW w:w="964" w:type="dxa"/>
                  <w:vMerge w:val="restart"/>
                  <w:tcBorders>
                    <w:tl2br w:val="nil"/>
                    <w:tr2bl w:val="nil"/>
                  </w:tcBorders>
                  <w:vAlign w:val="center"/>
                </w:tcPr>
                <w:p w14:paraId="03A28085">
                  <w:pPr>
                    <w:widowControl/>
                    <w:jc w:val="center"/>
                    <w:rPr>
                      <w:color w:val="auto"/>
                      <w:kern w:val="0"/>
                      <w:sz w:val="18"/>
                      <w:szCs w:val="18"/>
                    </w:rPr>
                  </w:pPr>
                  <w:r>
                    <w:rPr>
                      <w:rFonts w:hint="eastAsia"/>
                      <w:color w:val="auto"/>
                      <w:kern w:val="0"/>
                      <w:sz w:val="18"/>
                      <w:szCs w:val="18"/>
                    </w:rPr>
                    <w:t>污染物种类</w:t>
                  </w:r>
                </w:p>
              </w:tc>
              <w:tc>
                <w:tcPr>
                  <w:tcW w:w="837" w:type="dxa"/>
                  <w:vMerge w:val="restart"/>
                  <w:tcBorders>
                    <w:tl2br w:val="nil"/>
                    <w:tr2bl w:val="nil"/>
                  </w:tcBorders>
                  <w:vAlign w:val="center"/>
                </w:tcPr>
                <w:p w14:paraId="4CC029DB">
                  <w:pPr>
                    <w:widowControl/>
                    <w:jc w:val="center"/>
                    <w:rPr>
                      <w:color w:val="auto"/>
                      <w:kern w:val="0"/>
                      <w:sz w:val="18"/>
                      <w:szCs w:val="18"/>
                    </w:rPr>
                  </w:pPr>
                  <w:r>
                    <w:rPr>
                      <w:rFonts w:hint="eastAsia"/>
                      <w:color w:val="auto"/>
                      <w:kern w:val="0"/>
                      <w:sz w:val="18"/>
                      <w:szCs w:val="18"/>
                    </w:rPr>
                    <w:t>排放去向</w:t>
                  </w:r>
                </w:p>
              </w:tc>
              <w:tc>
                <w:tcPr>
                  <w:tcW w:w="929" w:type="dxa"/>
                  <w:vMerge w:val="restart"/>
                  <w:tcBorders>
                    <w:tl2br w:val="nil"/>
                    <w:tr2bl w:val="nil"/>
                  </w:tcBorders>
                  <w:vAlign w:val="center"/>
                </w:tcPr>
                <w:p w14:paraId="476797C4">
                  <w:pPr>
                    <w:widowControl/>
                    <w:jc w:val="center"/>
                    <w:rPr>
                      <w:color w:val="auto"/>
                      <w:kern w:val="0"/>
                      <w:sz w:val="18"/>
                      <w:szCs w:val="18"/>
                    </w:rPr>
                  </w:pPr>
                  <w:r>
                    <w:rPr>
                      <w:rFonts w:hint="eastAsia"/>
                      <w:color w:val="auto"/>
                      <w:kern w:val="0"/>
                      <w:sz w:val="18"/>
                      <w:szCs w:val="18"/>
                    </w:rPr>
                    <w:t>排放规律</w:t>
                  </w:r>
                </w:p>
              </w:tc>
              <w:tc>
                <w:tcPr>
                  <w:tcW w:w="2305" w:type="dxa"/>
                  <w:gridSpan w:val="3"/>
                  <w:tcBorders>
                    <w:tl2br w:val="nil"/>
                    <w:tr2bl w:val="nil"/>
                  </w:tcBorders>
                  <w:vAlign w:val="center"/>
                </w:tcPr>
                <w:p w14:paraId="6BB4407C">
                  <w:pPr>
                    <w:widowControl/>
                    <w:jc w:val="center"/>
                    <w:rPr>
                      <w:color w:val="auto"/>
                      <w:kern w:val="0"/>
                      <w:sz w:val="18"/>
                      <w:szCs w:val="18"/>
                    </w:rPr>
                  </w:pPr>
                  <w:r>
                    <w:rPr>
                      <w:rFonts w:hint="eastAsia"/>
                      <w:color w:val="auto"/>
                      <w:kern w:val="0"/>
                      <w:sz w:val="18"/>
                      <w:szCs w:val="18"/>
                    </w:rPr>
                    <w:t>污染治理设施</w:t>
                  </w:r>
                </w:p>
              </w:tc>
              <w:tc>
                <w:tcPr>
                  <w:tcW w:w="611" w:type="dxa"/>
                  <w:vMerge w:val="restart"/>
                  <w:tcBorders>
                    <w:tl2br w:val="nil"/>
                    <w:tr2bl w:val="nil"/>
                  </w:tcBorders>
                  <w:vAlign w:val="center"/>
                </w:tcPr>
                <w:p w14:paraId="1D039C3F">
                  <w:pPr>
                    <w:widowControl/>
                    <w:jc w:val="center"/>
                    <w:rPr>
                      <w:color w:val="auto"/>
                      <w:kern w:val="0"/>
                      <w:sz w:val="18"/>
                      <w:szCs w:val="18"/>
                    </w:rPr>
                  </w:pPr>
                  <w:r>
                    <w:rPr>
                      <w:rFonts w:hint="eastAsia"/>
                      <w:color w:val="auto"/>
                      <w:kern w:val="0"/>
                      <w:sz w:val="18"/>
                      <w:szCs w:val="18"/>
                    </w:rPr>
                    <w:t>排放口编号</w:t>
                  </w:r>
                </w:p>
              </w:tc>
              <w:tc>
                <w:tcPr>
                  <w:tcW w:w="588" w:type="dxa"/>
                  <w:vMerge w:val="restart"/>
                  <w:tcBorders>
                    <w:tl2br w:val="nil"/>
                    <w:tr2bl w:val="nil"/>
                  </w:tcBorders>
                  <w:vAlign w:val="center"/>
                </w:tcPr>
                <w:p w14:paraId="4CD172CE">
                  <w:pPr>
                    <w:widowControl/>
                    <w:jc w:val="center"/>
                    <w:rPr>
                      <w:color w:val="auto"/>
                      <w:kern w:val="0"/>
                      <w:sz w:val="18"/>
                      <w:szCs w:val="18"/>
                    </w:rPr>
                  </w:pPr>
                  <w:r>
                    <w:rPr>
                      <w:rFonts w:hint="eastAsia"/>
                      <w:color w:val="auto"/>
                      <w:kern w:val="0"/>
                      <w:sz w:val="18"/>
                      <w:szCs w:val="18"/>
                    </w:rPr>
                    <w:t>是否符合要求</w:t>
                  </w:r>
                </w:p>
              </w:tc>
              <w:tc>
                <w:tcPr>
                  <w:tcW w:w="1333" w:type="dxa"/>
                  <w:vMerge w:val="restart"/>
                  <w:tcBorders>
                    <w:tl2br w:val="nil"/>
                    <w:tr2bl w:val="nil"/>
                  </w:tcBorders>
                  <w:vAlign w:val="center"/>
                </w:tcPr>
                <w:p w14:paraId="352CF6F3">
                  <w:pPr>
                    <w:widowControl/>
                    <w:jc w:val="center"/>
                    <w:rPr>
                      <w:color w:val="auto"/>
                      <w:kern w:val="0"/>
                      <w:sz w:val="18"/>
                      <w:szCs w:val="18"/>
                    </w:rPr>
                  </w:pPr>
                  <w:r>
                    <w:rPr>
                      <w:rFonts w:hint="eastAsia"/>
                      <w:color w:val="auto"/>
                      <w:kern w:val="0"/>
                      <w:sz w:val="18"/>
                      <w:szCs w:val="18"/>
                    </w:rPr>
                    <w:t>排放口类型</w:t>
                  </w:r>
                </w:p>
              </w:tc>
            </w:tr>
            <w:tr w14:paraId="292848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491" w:type="dxa"/>
                  <w:vMerge w:val="continue"/>
                  <w:tcBorders>
                    <w:tl2br w:val="nil"/>
                    <w:tr2bl w:val="nil"/>
                  </w:tcBorders>
                  <w:vAlign w:val="center"/>
                </w:tcPr>
                <w:p w14:paraId="2A12BD74">
                  <w:pPr>
                    <w:widowControl/>
                    <w:jc w:val="center"/>
                    <w:rPr>
                      <w:color w:val="auto"/>
                      <w:kern w:val="0"/>
                      <w:sz w:val="18"/>
                      <w:szCs w:val="18"/>
                    </w:rPr>
                  </w:pPr>
                </w:p>
              </w:tc>
              <w:tc>
                <w:tcPr>
                  <w:tcW w:w="964" w:type="dxa"/>
                  <w:vMerge w:val="continue"/>
                  <w:tcBorders>
                    <w:tl2br w:val="nil"/>
                    <w:tr2bl w:val="nil"/>
                  </w:tcBorders>
                  <w:vAlign w:val="center"/>
                </w:tcPr>
                <w:p w14:paraId="20AA539C">
                  <w:pPr>
                    <w:widowControl/>
                    <w:jc w:val="center"/>
                    <w:rPr>
                      <w:color w:val="auto"/>
                      <w:kern w:val="0"/>
                      <w:sz w:val="18"/>
                      <w:szCs w:val="18"/>
                    </w:rPr>
                  </w:pPr>
                </w:p>
              </w:tc>
              <w:tc>
                <w:tcPr>
                  <w:tcW w:w="837" w:type="dxa"/>
                  <w:vMerge w:val="continue"/>
                  <w:tcBorders>
                    <w:tl2br w:val="nil"/>
                    <w:tr2bl w:val="nil"/>
                  </w:tcBorders>
                  <w:vAlign w:val="center"/>
                </w:tcPr>
                <w:p w14:paraId="1F823275">
                  <w:pPr>
                    <w:widowControl/>
                    <w:jc w:val="center"/>
                    <w:rPr>
                      <w:color w:val="auto"/>
                      <w:kern w:val="0"/>
                      <w:sz w:val="18"/>
                      <w:szCs w:val="18"/>
                    </w:rPr>
                  </w:pPr>
                </w:p>
              </w:tc>
              <w:tc>
                <w:tcPr>
                  <w:tcW w:w="929" w:type="dxa"/>
                  <w:vMerge w:val="continue"/>
                  <w:tcBorders>
                    <w:tl2br w:val="nil"/>
                    <w:tr2bl w:val="nil"/>
                  </w:tcBorders>
                  <w:vAlign w:val="center"/>
                </w:tcPr>
                <w:p w14:paraId="300E31BE">
                  <w:pPr>
                    <w:widowControl/>
                    <w:jc w:val="center"/>
                    <w:rPr>
                      <w:color w:val="auto"/>
                      <w:kern w:val="0"/>
                      <w:sz w:val="18"/>
                      <w:szCs w:val="18"/>
                    </w:rPr>
                  </w:pPr>
                </w:p>
              </w:tc>
              <w:tc>
                <w:tcPr>
                  <w:tcW w:w="737" w:type="dxa"/>
                  <w:tcBorders>
                    <w:tl2br w:val="nil"/>
                    <w:tr2bl w:val="nil"/>
                  </w:tcBorders>
                  <w:vAlign w:val="center"/>
                </w:tcPr>
                <w:p w14:paraId="068FCB72">
                  <w:pPr>
                    <w:widowControl/>
                    <w:jc w:val="center"/>
                    <w:rPr>
                      <w:color w:val="auto"/>
                      <w:kern w:val="0"/>
                      <w:sz w:val="18"/>
                      <w:szCs w:val="18"/>
                    </w:rPr>
                  </w:pPr>
                  <w:r>
                    <w:rPr>
                      <w:rFonts w:hint="eastAsia"/>
                      <w:color w:val="auto"/>
                      <w:kern w:val="0"/>
                      <w:sz w:val="18"/>
                      <w:szCs w:val="18"/>
                    </w:rPr>
                    <w:t>污染治理设施编号</w:t>
                  </w:r>
                </w:p>
              </w:tc>
              <w:tc>
                <w:tcPr>
                  <w:tcW w:w="788" w:type="dxa"/>
                  <w:tcBorders>
                    <w:tl2br w:val="nil"/>
                    <w:tr2bl w:val="nil"/>
                  </w:tcBorders>
                  <w:vAlign w:val="center"/>
                </w:tcPr>
                <w:p w14:paraId="3D43EBE5">
                  <w:pPr>
                    <w:widowControl/>
                    <w:jc w:val="center"/>
                    <w:rPr>
                      <w:color w:val="auto"/>
                      <w:kern w:val="0"/>
                      <w:sz w:val="18"/>
                      <w:szCs w:val="18"/>
                    </w:rPr>
                  </w:pPr>
                  <w:r>
                    <w:rPr>
                      <w:rFonts w:hint="eastAsia"/>
                      <w:color w:val="auto"/>
                      <w:kern w:val="0"/>
                      <w:sz w:val="18"/>
                      <w:szCs w:val="18"/>
                    </w:rPr>
                    <w:t>名称</w:t>
                  </w:r>
                </w:p>
              </w:tc>
              <w:tc>
                <w:tcPr>
                  <w:tcW w:w="780" w:type="dxa"/>
                  <w:tcBorders>
                    <w:tl2br w:val="nil"/>
                    <w:tr2bl w:val="nil"/>
                  </w:tcBorders>
                  <w:vAlign w:val="center"/>
                </w:tcPr>
                <w:p w14:paraId="0CB7CCC8">
                  <w:pPr>
                    <w:widowControl/>
                    <w:jc w:val="center"/>
                    <w:rPr>
                      <w:color w:val="auto"/>
                      <w:kern w:val="0"/>
                      <w:sz w:val="18"/>
                      <w:szCs w:val="18"/>
                    </w:rPr>
                  </w:pPr>
                  <w:r>
                    <w:rPr>
                      <w:rFonts w:hint="eastAsia"/>
                      <w:color w:val="auto"/>
                      <w:kern w:val="0"/>
                      <w:sz w:val="18"/>
                      <w:szCs w:val="18"/>
                    </w:rPr>
                    <w:t>污染治理设施工艺</w:t>
                  </w:r>
                </w:p>
              </w:tc>
              <w:tc>
                <w:tcPr>
                  <w:tcW w:w="611" w:type="dxa"/>
                  <w:vMerge w:val="continue"/>
                  <w:tcBorders>
                    <w:tl2br w:val="nil"/>
                    <w:tr2bl w:val="nil"/>
                  </w:tcBorders>
                  <w:vAlign w:val="center"/>
                </w:tcPr>
                <w:p w14:paraId="3F9D41EE">
                  <w:pPr>
                    <w:widowControl/>
                    <w:jc w:val="center"/>
                    <w:rPr>
                      <w:color w:val="auto"/>
                      <w:kern w:val="0"/>
                      <w:sz w:val="18"/>
                      <w:szCs w:val="18"/>
                    </w:rPr>
                  </w:pPr>
                </w:p>
              </w:tc>
              <w:tc>
                <w:tcPr>
                  <w:tcW w:w="588" w:type="dxa"/>
                  <w:vMerge w:val="continue"/>
                  <w:tcBorders>
                    <w:tl2br w:val="nil"/>
                    <w:tr2bl w:val="nil"/>
                  </w:tcBorders>
                  <w:vAlign w:val="center"/>
                </w:tcPr>
                <w:p w14:paraId="5FC0DC99">
                  <w:pPr>
                    <w:widowControl/>
                    <w:jc w:val="center"/>
                    <w:rPr>
                      <w:color w:val="auto"/>
                      <w:kern w:val="0"/>
                      <w:sz w:val="18"/>
                      <w:szCs w:val="18"/>
                    </w:rPr>
                  </w:pPr>
                </w:p>
              </w:tc>
              <w:tc>
                <w:tcPr>
                  <w:tcW w:w="1333" w:type="dxa"/>
                  <w:vMerge w:val="continue"/>
                  <w:tcBorders>
                    <w:tl2br w:val="nil"/>
                    <w:tr2bl w:val="nil"/>
                  </w:tcBorders>
                  <w:vAlign w:val="center"/>
                </w:tcPr>
                <w:p w14:paraId="71DAB708">
                  <w:pPr>
                    <w:widowControl/>
                    <w:jc w:val="center"/>
                    <w:rPr>
                      <w:color w:val="auto"/>
                      <w:kern w:val="0"/>
                      <w:sz w:val="18"/>
                      <w:szCs w:val="18"/>
                    </w:rPr>
                  </w:pPr>
                </w:p>
              </w:tc>
            </w:tr>
            <w:tr w14:paraId="4CB99E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491" w:type="dxa"/>
                  <w:tcBorders>
                    <w:tl2br w:val="nil"/>
                    <w:tr2bl w:val="nil"/>
                  </w:tcBorders>
                  <w:vAlign w:val="center"/>
                </w:tcPr>
                <w:p w14:paraId="36C4F624">
                  <w:pPr>
                    <w:widowControl/>
                    <w:jc w:val="center"/>
                    <w:rPr>
                      <w:color w:val="auto"/>
                      <w:kern w:val="0"/>
                      <w:sz w:val="18"/>
                      <w:szCs w:val="18"/>
                    </w:rPr>
                  </w:pPr>
                  <w:r>
                    <w:rPr>
                      <w:rFonts w:hint="eastAsia"/>
                      <w:color w:val="auto"/>
                      <w:kern w:val="0"/>
                      <w:sz w:val="18"/>
                      <w:szCs w:val="18"/>
                    </w:rPr>
                    <w:t>生活污水</w:t>
                  </w:r>
                </w:p>
              </w:tc>
              <w:tc>
                <w:tcPr>
                  <w:tcW w:w="964" w:type="dxa"/>
                  <w:tcBorders>
                    <w:tl2br w:val="nil"/>
                    <w:tr2bl w:val="nil"/>
                  </w:tcBorders>
                  <w:vAlign w:val="center"/>
                </w:tcPr>
                <w:p w14:paraId="4D62D2E8">
                  <w:pPr>
                    <w:snapToGrid w:val="0"/>
                    <w:ind w:left="-78" w:leftChars="-37" w:right="-80" w:rightChars="-38"/>
                    <w:jc w:val="center"/>
                    <w:rPr>
                      <w:bCs/>
                      <w:color w:val="auto"/>
                      <w:sz w:val="18"/>
                      <w:szCs w:val="18"/>
                    </w:rPr>
                  </w:pPr>
                  <w:r>
                    <w:rPr>
                      <w:bCs/>
                      <w:color w:val="auto"/>
                      <w:sz w:val="18"/>
                      <w:szCs w:val="18"/>
                    </w:rPr>
                    <w:t>COD</w:t>
                  </w:r>
                  <w:r>
                    <w:rPr>
                      <w:rFonts w:hint="eastAsia"/>
                      <w:bCs/>
                      <w:color w:val="auto"/>
                      <w:sz w:val="18"/>
                      <w:szCs w:val="18"/>
                    </w:rPr>
                    <w:t>、</w:t>
                  </w:r>
                  <w:r>
                    <w:rPr>
                      <w:bCs/>
                      <w:color w:val="auto"/>
                      <w:sz w:val="18"/>
                      <w:szCs w:val="18"/>
                    </w:rPr>
                    <w:t>SS</w:t>
                  </w:r>
                  <w:r>
                    <w:rPr>
                      <w:rFonts w:hint="eastAsia"/>
                      <w:bCs/>
                      <w:color w:val="auto"/>
                      <w:sz w:val="18"/>
                      <w:szCs w:val="18"/>
                    </w:rPr>
                    <w:t>、</w:t>
                  </w:r>
                </w:p>
                <w:p w14:paraId="06EBC859">
                  <w:pPr>
                    <w:snapToGrid w:val="0"/>
                    <w:ind w:left="-78" w:leftChars="-37" w:right="-80" w:rightChars="-38"/>
                    <w:jc w:val="center"/>
                    <w:rPr>
                      <w:bCs/>
                      <w:color w:val="auto"/>
                      <w:sz w:val="18"/>
                      <w:szCs w:val="18"/>
                    </w:rPr>
                  </w:pPr>
                  <w:r>
                    <w:rPr>
                      <w:bCs/>
                      <w:color w:val="auto"/>
                      <w:sz w:val="18"/>
                      <w:szCs w:val="18"/>
                    </w:rPr>
                    <w:t>NH</w:t>
                  </w:r>
                  <w:r>
                    <w:rPr>
                      <w:bCs/>
                      <w:color w:val="auto"/>
                      <w:sz w:val="18"/>
                      <w:szCs w:val="18"/>
                      <w:vertAlign w:val="subscript"/>
                    </w:rPr>
                    <w:t>3</w:t>
                  </w:r>
                  <w:r>
                    <w:rPr>
                      <w:bCs/>
                      <w:color w:val="auto"/>
                      <w:sz w:val="18"/>
                      <w:szCs w:val="18"/>
                    </w:rPr>
                    <w:t>-N</w:t>
                  </w:r>
                  <w:r>
                    <w:rPr>
                      <w:rFonts w:hint="eastAsia"/>
                      <w:bCs/>
                      <w:color w:val="auto"/>
                      <w:sz w:val="18"/>
                      <w:szCs w:val="18"/>
                    </w:rPr>
                    <w:t>、</w:t>
                  </w:r>
                </w:p>
                <w:p w14:paraId="5E4693F6">
                  <w:pPr>
                    <w:snapToGrid w:val="0"/>
                    <w:ind w:left="-78" w:leftChars="-37" w:right="-80" w:rightChars="-38"/>
                    <w:jc w:val="center"/>
                    <w:rPr>
                      <w:color w:val="auto"/>
                      <w:kern w:val="0"/>
                      <w:sz w:val="18"/>
                      <w:szCs w:val="18"/>
                    </w:rPr>
                  </w:pPr>
                  <w:r>
                    <w:rPr>
                      <w:bCs/>
                      <w:color w:val="auto"/>
                      <w:sz w:val="18"/>
                      <w:szCs w:val="18"/>
                    </w:rPr>
                    <w:t>TP</w:t>
                  </w:r>
                  <w:r>
                    <w:rPr>
                      <w:rFonts w:hint="eastAsia"/>
                      <w:bCs/>
                      <w:color w:val="auto"/>
                      <w:sz w:val="18"/>
                      <w:szCs w:val="18"/>
                    </w:rPr>
                    <w:t>、</w:t>
                  </w:r>
                  <w:r>
                    <w:rPr>
                      <w:bCs/>
                      <w:color w:val="auto"/>
                      <w:sz w:val="18"/>
                      <w:szCs w:val="18"/>
                    </w:rPr>
                    <w:t>TN</w:t>
                  </w:r>
                </w:p>
              </w:tc>
              <w:tc>
                <w:tcPr>
                  <w:tcW w:w="837" w:type="dxa"/>
                  <w:tcBorders>
                    <w:tl2br w:val="nil"/>
                    <w:tr2bl w:val="nil"/>
                  </w:tcBorders>
                  <w:vAlign w:val="center"/>
                </w:tcPr>
                <w:p w14:paraId="13E2DC0E">
                  <w:pPr>
                    <w:widowControl/>
                    <w:jc w:val="center"/>
                    <w:rPr>
                      <w:color w:val="auto"/>
                      <w:kern w:val="0"/>
                      <w:sz w:val="18"/>
                      <w:szCs w:val="18"/>
                    </w:rPr>
                  </w:pPr>
                  <w:r>
                    <w:rPr>
                      <w:rFonts w:hint="eastAsia"/>
                      <w:color w:val="auto"/>
                      <w:kern w:val="0"/>
                      <w:sz w:val="18"/>
                      <w:szCs w:val="18"/>
                    </w:rPr>
                    <w:t>进入城市污水处理厂</w:t>
                  </w:r>
                </w:p>
              </w:tc>
              <w:tc>
                <w:tcPr>
                  <w:tcW w:w="929" w:type="dxa"/>
                  <w:tcBorders>
                    <w:tl2br w:val="nil"/>
                    <w:tr2bl w:val="nil"/>
                  </w:tcBorders>
                  <w:vAlign w:val="center"/>
                </w:tcPr>
                <w:p w14:paraId="5B925304">
                  <w:pPr>
                    <w:jc w:val="center"/>
                    <w:rPr>
                      <w:color w:val="auto"/>
                      <w:sz w:val="18"/>
                      <w:szCs w:val="18"/>
                    </w:rPr>
                  </w:pPr>
                  <w:r>
                    <w:rPr>
                      <w:rFonts w:hint="eastAsia"/>
                      <w:color w:val="auto"/>
                      <w:sz w:val="18"/>
                      <w:szCs w:val="18"/>
                    </w:rPr>
                    <w:t>间歇排放、排放期间流量不稳定</w:t>
                  </w:r>
                </w:p>
              </w:tc>
              <w:tc>
                <w:tcPr>
                  <w:tcW w:w="737" w:type="dxa"/>
                  <w:tcBorders>
                    <w:tl2br w:val="nil"/>
                    <w:tr2bl w:val="nil"/>
                  </w:tcBorders>
                  <w:vAlign w:val="center"/>
                </w:tcPr>
                <w:p w14:paraId="3D6FE217">
                  <w:pPr>
                    <w:jc w:val="center"/>
                    <w:rPr>
                      <w:color w:val="auto"/>
                      <w:sz w:val="18"/>
                      <w:szCs w:val="18"/>
                    </w:rPr>
                  </w:pPr>
                  <w:r>
                    <w:rPr>
                      <w:color w:val="auto"/>
                      <w:sz w:val="18"/>
                      <w:szCs w:val="18"/>
                    </w:rPr>
                    <w:t>/</w:t>
                  </w:r>
                </w:p>
              </w:tc>
              <w:tc>
                <w:tcPr>
                  <w:tcW w:w="788" w:type="dxa"/>
                  <w:tcBorders>
                    <w:tl2br w:val="nil"/>
                    <w:tr2bl w:val="nil"/>
                  </w:tcBorders>
                  <w:vAlign w:val="center"/>
                </w:tcPr>
                <w:p w14:paraId="6DF5FE55">
                  <w:pPr>
                    <w:jc w:val="center"/>
                    <w:rPr>
                      <w:color w:val="auto"/>
                      <w:sz w:val="18"/>
                      <w:szCs w:val="18"/>
                    </w:rPr>
                  </w:pPr>
                  <w:r>
                    <w:rPr>
                      <w:color w:val="auto"/>
                      <w:sz w:val="18"/>
                      <w:szCs w:val="18"/>
                    </w:rPr>
                    <w:t>/</w:t>
                  </w:r>
                </w:p>
              </w:tc>
              <w:tc>
                <w:tcPr>
                  <w:tcW w:w="780" w:type="dxa"/>
                  <w:tcBorders>
                    <w:tl2br w:val="nil"/>
                    <w:tr2bl w:val="nil"/>
                  </w:tcBorders>
                  <w:vAlign w:val="center"/>
                </w:tcPr>
                <w:p w14:paraId="6A11B457">
                  <w:pPr>
                    <w:jc w:val="center"/>
                    <w:rPr>
                      <w:color w:val="auto"/>
                      <w:sz w:val="18"/>
                      <w:szCs w:val="18"/>
                    </w:rPr>
                  </w:pPr>
                  <w:r>
                    <w:rPr>
                      <w:color w:val="auto"/>
                      <w:sz w:val="18"/>
                      <w:szCs w:val="18"/>
                    </w:rPr>
                    <w:t>/</w:t>
                  </w:r>
                </w:p>
              </w:tc>
              <w:tc>
                <w:tcPr>
                  <w:tcW w:w="611" w:type="dxa"/>
                  <w:tcBorders>
                    <w:tl2br w:val="nil"/>
                    <w:tr2bl w:val="nil"/>
                  </w:tcBorders>
                  <w:vAlign w:val="center"/>
                </w:tcPr>
                <w:p w14:paraId="20F6A7D1">
                  <w:pPr>
                    <w:jc w:val="center"/>
                    <w:rPr>
                      <w:color w:val="auto"/>
                      <w:sz w:val="18"/>
                      <w:szCs w:val="18"/>
                    </w:rPr>
                  </w:pPr>
                  <w:r>
                    <w:rPr>
                      <w:color w:val="auto"/>
                      <w:sz w:val="18"/>
                      <w:szCs w:val="18"/>
                    </w:rPr>
                    <w:t>DW001</w:t>
                  </w:r>
                </w:p>
              </w:tc>
              <w:tc>
                <w:tcPr>
                  <w:tcW w:w="588" w:type="dxa"/>
                  <w:tcBorders>
                    <w:tl2br w:val="nil"/>
                    <w:tr2bl w:val="nil"/>
                  </w:tcBorders>
                  <w:vAlign w:val="center"/>
                </w:tcPr>
                <w:p w14:paraId="472D7B75">
                  <w:pPr>
                    <w:widowControl/>
                    <w:jc w:val="center"/>
                    <w:rPr>
                      <w:color w:val="auto"/>
                      <w:kern w:val="0"/>
                      <w:sz w:val="18"/>
                      <w:szCs w:val="18"/>
                    </w:rPr>
                  </w:pPr>
                  <w:r>
                    <w:rPr>
                      <w:color w:val="auto"/>
                      <w:kern w:val="0"/>
                      <w:sz w:val="18"/>
                      <w:szCs w:val="18"/>
                    </w:rPr>
                    <w:fldChar w:fldCharType="begin"/>
                  </w:r>
                  <w:r>
                    <w:rPr>
                      <w:color w:val="auto"/>
                      <w:kern w:val="0"/>
                      <w:sz w:val="18"/>
                      <w:szCs w:val="18"/>
                    </w:rPr>
                    <w:instrText xml:space="preserve">eq \o\ac(</w:instrText>
                  </w:r>
                  <w:r>
                    <w:rPr>
                      <w:color w:val="auto"/>
                      <w:kern w:val="0"/>
                      <w:position w:val="-3"/>
                      <w:sz w:val="27"/>
                      <w:szCs w:val="18"/>
                    </w:rPr>
                    <w:instrText xml:space="preserve">□</w:instrText>
                  </w:r>
                  <w:r>
                    <w:rPr>
                      <w:color w:val="auto"/>
                      <w:kern w:val="0"/>
                      <w:sz w:val="18"/>
                      <w:szCs w:val="18"/>
                    </w:rPr>
                    <w:instrText xml:space="preserve">,√)</w:instrText>
                  </w:r>
                  <w:r>
                    <w:rPr>
                      <w:color w:val="auto"/>
                      <w:kern w:val="0"/>
                      <w:sz w:val="18"/>
                      <w:szCs w:val="18"/>
                    </w:rPr>
                    <w:fldChar w:fldCharType="end"/>
                  </w:r>
                  <w:r>
                    <w:rPr>
                      <w:rFonts w:hint="eastAsia"/>
                      <w:color w:val="auto"/>
                      <w:kern w:val="0"/>
                      <w:sz w:val="18"/>
                      <w:szCs w:val="18"/>
                    </w:rPr>
                    <w:t>是</w:t>
                  </w:r>
                </w:p>
                <w:p w14:paraId="6F5D539C">
                  <w:pPr>
                    <w:widowControl/>
                    <w:jc w:val="center"/>
                    <w:rPr>
                      <w:color w:val="auto"/>
                      <w:kern w:val="0"/>
                      <w:sz w:val="18"/>
                      <w:szCs w:val="18"/>
                    </w:rPr>
                  </w:pPr>
                  <w:r>
                    <w:rPr>
                      <w:color w:val="auto"/>
                      <w:kern w:val="0"/>
                      <w:sz w:val="18"/>
                      <w:szCs w:val="18"/>
                    </w:rPr>
                    <w:t>□</w:t>
                  </w:r>
                  <w:r>
                    <w:rPr>
                      <w:rFonts w:hint="eastAsia"/>
                      <w:color w:val="auto"/>
                      <w:kern w:val="0"/>
                      <w:sz w:val="18"/>
                      <w:szCs w:val="18"/>
                    </w:rPr>
                    <w:t>否</w:t>
                  </w:r>
                </w:p>
              </w:tc>
              <w:tc>
                <w:tcPr>
                  <w:tcW w:w="1333" w:type="dxa"/>
                  <w:tcBorders>
                    <w:tl2br w:val="nil"/>
                    <w:tr2bl w:val="nil"/>
                  </w:tcBorders>
                  <w:vAlign w:val="center"/>
                </w:tcPr>
                <w:p w14:paraId="43985C33">
                  <w:pPr>
                    <w:widowControl/>
                    <w:rPr>
                      <w:color w:val="auto"/>
                      <w:kern w:val="0"/>
                      <w:sz w:val="18"/>
                      <w:szCs w:val="18"/>
                    </w:rPr>
                  </w:pPr>
                  <w:r>
                    <w:rPr>
                      <w:color w:val="auto"/>
                      <w:kern w:val="0"/>
                      <w:sz w:val="18"/>
                      <w:szCs w:val="18"/>
                    </w:rPr>
                    <w:fldChar w:fldCharType="begin"/>
                  </w:r>
                  <w:r>
                    <w:rPr>
                      <w:color w:val="auto"/>
                      <w:kern w:val="0"/>
                      <w:sz w:val="18"/>
                      <w:szCs w:val="18"/>
                    </w:rPr>
                    <w:instrText xml:space="preserve">eq \o\ac(</w:instrText>
                  </w:r>
                  <w:r>
                    <w:rPr>
                      <w:color w:val="auto"/>
                      <w:kern w:val="0"/>
                      <w:position w:val="-3"/>
                      <w:sz w:val="27"/>
                      <w:szCs w:val="18"/>
                    </w:rPr>
                    <w:instrText xml:space="preserve">□</w:instrText>
                  </w:r>
                  <w:r>
                    <w:rPr>
                      <w:color w:val="auto"/>
                      <w:kern w:val="0"/>
                      <w:sz w:val="18"/>
                      <w:szCs w:val="18"/>
                    </w:rPr>
                    <w:instrText xml:space="preserve">,√)</w:instrText>
                  </w:r>
                  <w:r>
                    <w:rPr>
                      <w:color w:val="auto"/>
                      <w:kern w:val="0"/>
                      <w:sz w:val="18"/>
                      <w:szCs w:val="18"/>
                    </w:rPr>
                    <w:fldChar w:fldCharType="end"/>
                  </w:r>
                  <w:r>
                    <w:rPr>
                      <w:rFonts w:hint="eastAsia"/>
                      <w:color w:val="auto"/>
                      <w:kern w:val="0"/>
                      <w:sz w:val="18"/>
                      <w:szCs w:val="18"/>
                    </w:rPr>
                    <w:t>企业总排放口</w:t>
                  </w:r>
                </w:p>
                <w:p w14:paraId="2DA06ABF">
                  <w:pPr>
                    <w:widowControl/>
                    <w:rPr>
                      <w:color w:val="auto"/>
                      <w:kern w:val="0"/>
                      <w:sz w:val="18"/>
                      <w:szCs w:val="18"/>
                    </w:rPr>
                  </w:pPr>
                  <w:r>
                    <w:rPr>
                      <w:color w:val="auto"/>
                      <w:kern w:val="0"/>
                      <w:sz w:val="18"/>
                      <w:szCs w:val="18"/>
                    </w:rPr>
                    <w:t>□</w:t>
                  </w:r>
                  <w:r>
                    <w:rPr>
                      <w:rFonts w:hint="eastAsia"/>
                      <w:color w:val="auto"/>
                      <w:kern w:val="0"/>
                      <w:sz w:val="18"/>
                      <w:szCs w:val="18"/>
                    </w:rPr>
                    <w:t>雨水排放口</w:t>
                  </w:r>
                </w:p>
                <w:p w14:paraId="79093EF5">
                  <w:pPr>
                    <w:widowControl/>
                    <w:rPr>
                      <w:color w:val="auto"/>
                      <w:kern w:val="0"/>
                      <w:sz w:val="18"/>
                      <w:szCs w:val="18"/>
                    </w:rPr>
                  </w:pPr>
                  <w:r>
                    <w:rPr>
                      <w:color w:val="auto"/>
                      <w:kern w:val="0"/>
                      <w:sz w:val="18"/>
                      <w:szCs w:val="18"/>
                    </w:rPr>
                    <w:t>□</w:t>
                  </w:r>
                  <w:r>
                    <w:rPr>
                      <w:rFonts w:hint="eastAsia"/>
                      <w:color w:val="auto"/>
                      <w:kern w:val="0"/>
                      <w:sz w:val="18"/>
                      <w:szCs w:val="18"/>
                    </w:rPr>
                    <w:t>清净下水口</w:t>
                  </w:r>
                </w:p>
                <w:p w14:paraId="2537445A">
                  <w:pPr>
                    <w:widowControl/>
                    <w:rPr>
                      <w:color w:val="auto"/>
                      <w:kern w:val="0"/>
                      <w:sz w:val="18"/>
                      <w:szCs w:val="18"/>
                    </w:rPr>
                  </w:pPr>
                  <w:r>
                    <w:rPr>
                      <w:color w:val="auto"/>
                      <w:kern w:val="0"/>
                      <w:sz w:val="18"/>
                      <w:szCs w:val="18"/>
                    </w:rPr>
                    <w:t>□</w:t>
                  </w:r>
                  <w:r>
                    <w:rPr>
                      <w:rFonts w:hint="eastAsia"/>
                      <w:color w:val="auto"/>
                      <w:kern w:val="0"/>
                      <w:sz w:val="18"/>
                      <w:szCs w:val="18"/>
                    </w:rPr>
                    <w:t>温排水排放口</w:t>
                  </w:r>
                </w:p>
                <w:p w14:paraId="6D1B6BEE">
                  <w:pPr>
                    <w:widowControl/>
                    <w:rPr>
                      <w:color w:val="auto"/>
                      <w:kern w:val="0"/>
                      <w:sz w:val="18"/>
                      <w:szCs w:val="18"/>
                    </w:rPr>
                  </w:pPr>
                  <w:r>
                    <w:rPr>
                      <w:color w:val="auto"/>
                      <w:kern w:val="0"/>
                      <w:sz w:val="18"/>
                      <w:szCs w:val="18"/>
                    </w:rPr>
                    <w:t>□</w:t>
                  </w:r>
                  <w:r>
                    <w:rPr>
                      <w:rFonts w:hint="eastAsia"/>
                      <w:color w:val="auto"/>
                      <w:kern w:val="0"/>
                      <w:sz w:val="18"/>
                      <w:szCs w:val="18"/>
                    </w:rPr>
                    <w:t>车间或车间处理设施排放口</w:t>
                  </w:r>
                </w:p>
              </w:tc>
            </w:tr>
            <w:tr w14:paraId="1914C3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491" w:type="dxa"/>
                  <w:tcBorders>
                    <w:tl2br w:val="nil"/>
                    <w:tr2bl w:val="nil"/>
                  </w:tcBorders>
                  <w:vAlign w:val="center"/>
                </w:tcPr>
                <w:p w14:paraId="1E2C36E3">
                  <w:pPr>
                    <w:widowControl/>
                    <w:jc w:val="center"/>
                    <w:rPr>
                      <w:rFonts w:hint="eastAsia" w:eastAsia="宋体"/>
                      <w:color w:val="auto"/>
                      <w:kern w:val="0"/>
                      <w:sz w:val="18"/>
                      <w:szCs w:val="18"/>
                      <w:lang w:eastAsia="zh-CN"/>
                    </w:rPr>
                  </w:pPr>
                  <w:r>
                    <w:rPr>
                      <w:rFonts w:hint="eastAsia"/>
                      <w:color w:val="auto"/>
                      <w:kern w:val="0"/>
                      <w:sz w:val="18"/>
                      <w:szCs w:val="18"/>
                      <w:lang w:eastAsia="zh-CN"/>
                    </w:rPr>
                    <w:t>生产废水</w:t>
                  </w:r>
                </w:p>
              </w:tc>
              <w:tc>
                <w:tcPr>
                  <w:tcW w:w="964" w:type="dxa"/>
                  <w:tcBorders>
                    <w:tl2br w:val="nil"/>
                    <w:tr2bl w:val="nil"/>
                  </w:tcBorders>
                  <w:vAlign w:val="center"/>
                </w:tcPr>
                <w:p w14:paraId="48294D49">
                  <w:pPr>
                    <w:snapToGrid w:val="0"/>
                    <w:ind w:left="-78" w:leftChars="-37" w:right="-80" w:rightChars="-38"/>
                    <w:jc w:val="center"/>
                    <w:rPr>
                      <w:rFonts w:hint="eastAsia"/>
                      <w:bCs/>
                      <w:color w:val="auto"/>
                      <w:sz w:val="18"/>
                      <w:szCs w:val="18"/>
                      <w:lang w:eastAsia="zh-CN"/>
                    </w:rPr>
                  </w:pPr>
                  <w:r>
                    <w:rPr>
                      <w:bCs/>
                      <w:color w:val="auto"/>
                      <w:sz w:val="18"/>
                      <w:szCs w:val="18"/>
                    </w:rPr>
                    <w:t>COD</w:t>
                  </w:r>
                  <w:r>
                    <w:rPr>
                      <w:rFonts w:hint="eastAsia"/>
                      <w:bCs/>
                      <w:color w:val="auto"/>
                      <w:sz w:val="18"/>
                      <w:szCs w:val="18"/>
                    </w:rPr>
                    <w:t>、</w:t>
                  </w:r>
                  <w:r>
                    <w:rPr>
                      <w:bCs/>
                      <w:color w:val="auto"/>
                      <w:sz w:val="18"/>
                      <w:szCs w:val="18"/>
                    </w:rPr>
                    <w:t>SS</w:t>
                  </w:r>
                  <w:r>
                    <w:rPr>
                      <w:rFonts w:hint="eastAsia"/>
                      <w:bCs/>
                      <w:color w:val="auto"/>
                      <w:sz w:val="18"/>
                      <w:szCs w:val="18"/>
                      <w:lang w:eastAsia="zh-CN"/>
                    </w:rPr>
                    <w:t>、</w:t>
                  </w:r>
                </w:p>
                <w:p w14:paraId="0C54682C">
                  <w:pPr>
                    <w:snapToGrid w:val="0"/>
                    <w:ind w:left="-78" w:leftChars="-37" w:right="-80" w:rightChars="-38"/>
                    <w:jc w:val="center"/>
                    <w:rPr>
                      <w:rFonts w:hint="eastAsia" w:eastAsia="宋体"/>
                      <w:bCs/>
                      <w:color w:val="auto"/>
                      <w:sz w:val="18"/>
                      <w:szCs w:val="18"/>
                      <w:lang w:eastAsia="zh-CN"/>
                    </w:rPr>
                  </w:pPr>
                  <w:r>
                    <w:rPr>
                      <w:rFonts w:hint="eastAsia"/>
                      <w:color w:val="auto"/>
                      <w:sz w:val="18"/>
                      <w:szCs w:val="18"/>
                      <w:lang w:val="en-US" w:eastAsia="zh-CN"/>
                    </w:rPr>
                    <w:t>石油类</w:t>
                  </w:r>
                </w:p>
              </w:tc>
              <w:tc>
                <w:tcPr>
                  <w:tcW w:w="837" w:type="dxa"/>
                  <w:tcBorders>
                    <w:tl2br w:val="nil"/>
                    <w:tr2bl w:val="nil"/>
                  </w:tcBorders>
                  <w:vAlign w:val="center"/>
                </w:tcPr>
                <w:p w14:paraId="7FABF484">
                  <w:pPr>
                    <w:widowControl/>
                    <w:jc w:val="center"/>
                    <w:rPr>
                      <w:color w:val="auto"/>
                      <w:kern w:val="0"/>
                      <w:sz w:val="18"/>
                      <w:szCs w:val="18"/>
                    </w:rPr>
                  </w:pPr>
                  <w:r>
                    <w:rPr>
                      <w:rFonts w:hint="eastAsia"/>
                      <w:color w:val="auto"/>
                      <w:kern w:val="0"/>
                      <w:sz w:val="18"/>
                      <w:szCs w:val="18"/>
                    </w:rPr>
                    <w:t>进入城市污水处理厂</w:t>
                  </w:r>
                </w:p>
              </w:tc>
              <w:tc>
                <w:tcPr>
                  <w:tcW w:w="929" w:type="dxa"/>
                  <w:tcBorders>
                    <w:tl2br w:val="nil"/>
                    <w:tr2bl w:val="nil"/>
                  </w:tcBorders>
                  <w:vAlign w:val="center"/>
                </w:tcPr>
                <w:p w14:paraId="1955BE11">
                  <w:pPr>
                    <w:jc w:val="center"/>
                    <w:rPr>
                      <w:color w:val="auto"/>
                      <w:sz w:val="18"/>
                      <w:szCs w:val="18"/>
                    </w:rPr>
                  </w:pPr>
                  <w:r>
                    <w:rPr>
                      <w:rFonts w:hint="eastAsia"/>
                      <w:color w:val="auto"/>
                      <w:sz w:val="18"/>
                      <w:szCs w:val="18"/>
                    </w:rPr>
                    <w:t>间歇排放、排放期间流量不稳定</w:t>
                  </w:r>
                </w:p>
              </w:tc>
              <w:tc>
                <w:tcPr>
                  <w:tcW w:w="737" w:type="dxa"/>
                  <w:tcBorders>
                    <w:tl2br w:val="nil"/>
                    <w:tr2bl w:val="nil"/>
                  </w:tcBorders>
                  <w:vAlign w:val="center"/>
                </w:tcPr>
                <w:p w14:paraId="76AD565F">
                  <w:pPr>
                    <w:jc w:val="center"/>
                    <w:rPr>
                      <w:color w:val="auto"/>
                      <w:sz w:val="18"/>
                      <w:szCs w:val="18"/>
                    </w:rPr>
                  </w:pPr>
                  <w:r>
                    <w:rPr>
                      <w:color w:val="auto"/>
                      <w:sz w:val="18"/>
                      <w:szCs w:val="18"/>
                    </w:rPr>
                    <w:t>/</w:t>
                  </w:r>
                </w:p>
              </w:tc>
              <w:tc>
                <w:tcPr>
                  <w:tcW w:w="788" w:type="dxa"/>
                  <w:tcBorders>
                    <w:tl2br w:val="nil"/>
                    <w:tr2bl w:val="nil"/>
                  </w:tcBorders>
                  <w:vAlign w:val="center"/>
                </w:tcPr>
                <w:p w14:paraId="41C224E3">
                  <w:pPr>
                    <w:jc w:val="center"/>
                    <w:rPr>
                      <w:rFonts w:hint="eastAsia" w:eastAsia="宋体"/>
                      <w:color w:val="auto"/>
                      <w:sz w:val="18"/>
                      <w:szCs w:val="18"/>
                      <w:lang w:eastAsia="zh-CN"/>
                    </w:rPr>
                  </w:pPr>
                  <w:r>
                    <w:rPr>
                      <w:color w:val="auto"/>
                      <w:sz w:val="18"/>
                      <w:szCs w:val="18"/>
                    </w:rPr>
                    <w:t>/</w:t>
                  </w:r>
                </w:p>
              </w:tc>
              <w:tc>
                <w:tcPr>
                  <w:tcW w:w="780" w:type="dxa"/>
                  <w:tcBorders>
                    <w:tl2br w:val="nil"/>
                    <w:tr2bl w:val="nil"/>
                  </w:tcBorders>
                  <w:vAlign w:val="center"/>
                </w:tcPr>
                <w:p w14:paraId="0B48DEDB">
                  <w:pPr>
                    <w:jc w:val="center"/>
                    <w:rPr>
                      <w:rFonts w:hint="default" w:eastAsia="宋体"/>
                      <w:color w:val="auto"/>
                      <w:sz w:val="18"/>
                      <w:szCs w:val="18"/>
                      <w:lang w:val="en-US" w:eastAsia="zh-CN"/>
                    </w:rPr>
                  </w:pPr>
                  <w:r>
                    <w:rPr>
                      <w:color w:val="auto"/>
                      <w:sz w:val="18"/>
                      <w:szCs w:val="18"/>
                    </w:rPr>
                    <w:t>/</w:t>
                  </w:r>
                </w:p>
              </w:tc>
              <w:tc>
                <w:tcPr>
                  <w:tcW w:w="611" w:type="dxa"/>
                  <w:tcBorders>
                    <w:tl2br w:val="nil"/>
                    <w:tr2bl w:val="nil"/>
                  </w:tcBorders>
                  <w:vAlign w:val="center"/>
                </w:tcPr>
                <w:p w14:paraId="76B5AFB8">
                  <w:pPr>
                    <w:jc w:val="center"/>
                    <w:rPr>
                      <w:color w:val="auto"/>
                      <w:sz w:val="18"/>
                      <w:szCs w:val="18"/>
                    </w:rPr>
                  </w:pPr>
                  <w:r>
                    <w:rPr>
                      <w:color w:val="auto"/>
                      <w:sz w:val="18"/>
                      <w:szCs w:val="18"/>
                    </w:rPr>
                    <w:t>DW002</w:t>
                  </w:r>
                </w:p>
              </w:tc>
              <w:tc>
                <w:tcPr>
                  <w:tcW w:w="588" w:type="dxa"/>
                  <w:tcBorders>
                    <w:tl2br w:val="nil"/>
                    <w:tr2bl w:val="nil"/>
                  </w:tcBorders>
                  <w:vAlign w:val="center"/>
                </w:tcPr>
                <w:p w14:paraId="58F30812">
                  <w:pPr>
                    <w:widowControl/>
                    <w:jc w:val="center"/>
                    <w:rPr>
                      <w:color w:val="auto"/>
                      <w:kern w:val="0"/>
                      <w:sz w:val="18"/>
                      <w:szCs w:val="18"/>
                    </w:rPr>
                  </w:pPr>
                  <w:r>
                    <w:rPr>
                      <w:color w:val="auto"/>
                      <w:kern w:val="0"/>
                      <w:sz w:val="18"/>
                      <w:szCs w:val="18"/>
                    </w:rPr>
                    <w:fldChar w:fldCharType="begin"/>
                  </w:r>
                  <w:r>
                    <w:rPr>
                      <w:color w:val="auto"/>
                      <w:kern w:val="0"/>
                      <w:sz w:val="18"/>
                      <w:szCs w:val="18"/>
                    </w:rPr>
                    <w:instrText xml:space="preserve">eq \o\ac(</w:instrText>
                  </w:r>
                  <w:r>
                    <w:rPr>
                      <w:color w:val="auto"/>
                      <w:kern w:val="0"/>
                      <w:position w:val="-3"/>
                      <w:sz w:val="27"/>
                      <w:szCs w:val="18"/>
                    </w:rPr>
                    <w:instrText xml:space="preserve">□</w:instrText>
                  </w:r>
                  <w:r>
                    <w:rPr>
                      <w:color w:val="auto"/>
                      <w:kern w:val="0"/>
                      <w:sz w:val="18"/>
                      <w:szCs w:val="18"/>
                    </w:rPr>
                    <w:instrText xml:space="preserve">,√)</w:instrText>
                  </w:r>
                  <w:r>
                    <w:rPr>
                      <w:color w:val="auto"/>
                      <w:kern w:val="0"/>
                      <w:sz w:val="18"/>
                      <w:szCs w:val="18"/>
                    </w:rPr>
                    <w:fldChar w:fldCharType="end"/>
                  </w:r>
                  <w:r>
                    <w:rPr>
                      <w:rFonts w:hint="eastAsia"/>
                      <w:color w:val="auto"/>
                      <w:kern w:val="0"/>
                      <w:sz w:val="18"/>
                      <w:szCs w:val="18"/>
                    </w:rPr>
                    <w:t>是</w:t>
                  </w:r>
                </w:p>
                <w:p w14:paraId="30B7629E">
                  <w:pPr>
                    <w:widowControl/>
                    <w:jc w:val="center"/>
                    <w:rPr>
                      <w:color w:val="auto"/>
                      <w:kern w:val="0"/>
                      <w:sz w:val="18"/>
                      <w:szCs w:val="18"/>
                    </w:rPr>
                  </w:pPr>
                  <w:r>
                    <w:rPr>
                      <w:color w:val="auto"/>
                      <w:kern w:val="0"/>
                      <w:sz w:val="18"/>
                      <w:szCs w:val="18"/>
                    </w:rPr>
                    <w:t>□</w:t>
                  </w:r>
                  <w:r>
                    <w:rPr>
                      <w:rFonts w:hint="eastAsia"/>
                      <w:color w:val="auto"/>
                      <w:kern w:val="0"/>
                      <w:sz w:val="18"/>
                      <w:szCs w:val="18"/>
                    </w:rPr>
                    <w:t>否</w:t>
                  </w:r>
                </w:p>
              </w:tc>
              <w:tc>
                <w:tcPr>
                  <w:tcW w:w="1333" w:type="dxa"/>
                  <w:tcBorders>
                    <w:tl2br w:val="nil"/>
                    <w:tr2bl w:val="nil"/>
                  </w:tcBorders>
                  <w:vAlign w:val="center"/>
                </w:tcPr>
                <w:p w14:paraId="2AEEC5D7">
                  <w:pPr>
                    <w:widowControl/>
                    <w:rPr>
                      <w:color w:val="auto"/>
                      <w:kern w:val="0"/>
                      <w:sz w:val="18"/>
                      <w:szCs w:val="18"/>
                    </w:rPr>
                  </w:pPr>
                  <w:r>
                    <w:rPr>
                      <w:color w:val="auto"/>
                      <w:kern w:val="0"/>
                      <w:sz w:val="18"/>
                      <w:szCs w:val="18"/>
                    </w:rPr>
                    <w:fldChar w:fldCharType="begin"/>
                  </w:r>
                  <w:r>
                    <w:rPr>
                      <w:color w:val="auto"/>
                      <w:kern w:val="0"/>
                      <w:sz w:val="18"/>
                      <w:szCs w:val="18"/>
                    </w:rPr>
                    <w:instrText xml:space="preserve">eq \o\ac(</w:instrText>
                  </w:r>
                  <w:r>
                    <w:rPr>
                      <w:color w:val="auto"/>
                      <w:kern w:val="0"/>
                      <w:position w:val="-3"/>
                      <w:sz w:val="27"/>
                      <w:szCs w:val="18"/>
                    </w:rPr>
                    <w:instrText xml:space="preserve">□</w:instrText>
                  </w:r>
                  <w:r>
                    <w:rPr>
                      <w:color w:val="auto"/>
                      <w:kern w:val="0"/>
                      <w:sz w:val="18"/>
                      <w:szCs w:val="18"/>
                    </w:rPr>
                    <w:instrText xml:space="preserve">,√)</w:instrText>
                  </w:r>
                  <w:r>
                    <w:rPr>
                      <w:color w:val="auto"/>
                      <w:kern w:val="0"/>
                      <w:sz w:val="18"/>
                      <w:szCs w:val="18"/>
                    </w:rPr>
                    <w:fldChar w:fldCharType="end"/>
                  </w:r>
                  <w:r>
                    <w:rPr>
                      <w:rFonts w:hint="eastAsia"/>
                      <w:color w:val="auto"/>
                      <w:kern w:val="0"/>
                      <w:sz w:val="18"/>
                      <w:szCs w:val="18"/>
                    </w:rPr>
                    <w:t>企业总排放口</w:t>
                  </w:r>
                </w:p>
                <w:p w14:paraId="432F763C">
                  <w:pPr>
                    <w:widowControl/>
                    <w:rPr>
                      <w:color w:val="auto"/>
                      <w:kern w:val="0"/>
                      <w:sz w:val="18"/>
                      <w:szCs w:val="18"/>
                    </w:rPr>
                  </w:pPr>
                  <w:r>
                    <w:rPr>
                      <w:color w:val="auto"/>
                      <w:kern w:val="0"/>
                      <w:sz w:val="18"/>
                      <w:szCs w:val="18"/>
                    </w:rPr>
                    <w:t>□</w:t>
                  </w:r>
                  <w:r>
                    <w:rPr>
                      <w:rFonts w:hint="eastAsia"/>
                      <w:color w:val="auto"/>
                      <w:kern w:val="0"/>
                      <w:sz w:val="18"/>
                      <w:szCs w:val="18"/>
                    </w:rPr>
                    <w:t>雨水排放口</w:t>
                  </w:r>
                </w:p>
                <w:p w14:paraId="2A521C31">
                  <w:pPr>
                    <w:widowControl/>
                    <w:rPr>
                      <w:color w:val="auto"/>
                      <w:kern w:val="0"/>
                      <w:sz w:val="18"/>
                      <w:szCs w:val="18"/>
                    </w:rPr>
                  </w:pPr>
                  <w:r>
                    <w:rPr>
                      <w:color w:val="auto"/>
                      <w:kern w:val="0"/>
                      <w:sz w:val="18"/>
                      <w:szCs w:val="18"/>
                    </w:rPr>
                    <w:t>□</w:t>
                  </w:r>
                  <w:r>
                    <w:rPr>
                      <w:rFonts w:hint="eastAsia"/>
                      <w:color w:val="auto"/>
                      <w:kern w:val="0"/>
                      <w:sz w:val="18"/>
                      <w:szCs w:val="18"/>
                    </w:rPr>
                    <w:t>清净下水口</w:t>
                  </w:r>
                </w:p>
                <w:p w14:paraId="54F9C335">
                  <w:pPr>
                    <w:widowControl/>
                    <w:rPr>
                      <w:color w:val="auto"/>
                      <w:kern w:val="0"/>
                      <w:sz w:val="18"/>
                      <w:szCs w:val="18"/>
                    </w:rPr>
                  </w:pPr>
                  <w:r>
                    <w:rPr>
                      <w:color w:val="auto"/>
                      <w:kern w:val="0"/>
                      <w:sz w:val="18"/>
                      <w:szCs w:val="18"/>
                    </w:rPr>
                    <w:t>□</w:t>
                  </w:r>
                  <w:r>
                    <w:rPr>
                      <w:rFonts w:hint="eastAsia"/>
                      <w:color w:val="auto"/>
                      <w:kern w:val="0"/>
                      <w:sz w:val="18"/>
                      <w:szCs w:val="18"/>
                    </w:rPr>
                    <w:t>温排水排放口</w:t>
                  </w:r>
                </w:p>
                <w:p w14:paraId="2218EA63">
                  <w:pPr>
                    <w:widowControl/>
                    <w:rPr>
                      <w:color w:val="auto"/>
                      <w:kern w:val="0"/>
                      <w:sz w:val="18"/>
                      <w:szCs w:val="18"/>
                    </w:rPr>
                  </w:pPr>
                  <w:r>
                    <w:rPr>
                      <w:color w:val="auto"/>
                      <w:kern w:val="0"/>
                      <w:sz w:val="18"/>
                      <w:szCs w:val="18"/>
                    </w:rPr>
                    <w:t>□</w:t>
                  </w:r>
                  <w:r>
                    <w:rPr>
                      <w:rFonts w:hint="eastAsia"/>
                      <w:color w:val="auto"/>
                      <w:kern w:val="0"/>
                      <w:sz w:val="18"/>
                      <w:szCs w:val="18"/>
                    </w:rPr>
                    <w:t>车间或车间处理设施排放口</w:t>
                  </w:r>
                </w:p>
              </w:tc>
            </w:tr>
          </w:tbl>
          <w:p w14:paraId="12D5007C">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4-</w:t>
            </w:r>
            <w:r>
              <w:rPr>
                <w:rFonts w:hint="eastAsia"/>
                <w:b/>
                <w:snapToGrid w:val="0"/>
                <w:color w:val="auto"/>
                <w:szCs w:val="21"/>
                <w:lang w:val="en-US" w:eastAsia="zh-CN"/>
              </w:rPr>
              <w:t>11</w:t>
            </w:r>
            <w:r>
              <w:rPr>
                <w:b/>
                <w:snapToGrid w:val="0"/>
                <w:color w:val="auto"/>
                <w:szCs w:val="21"/>
              </w:rPr>
              <w:t xml:space="preserve">  </w:t>
            </w:r>
            <w:r>
              <w:rPr>
                <w:rFonts w:hint="eastAsia"/>
                <w:b/>
                <w:snapToGrid w:val="0"/>
                <w:color w:val="auto"/>
                <w:szCs w:val="21"/>
              </w:rPr>
              <w:t>废水排放口基本情况表</w:t>
            </w:r>
          </w:p>
          <w:tbl>
            <w:tblPr>
              <w:tblStyle w:val="26"/>
              <w:tblW w:w="8038"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671"/>
              <w:gridCol w:w="1060"/>
              <w:gridCol w:w="1030"/>
              <w:gridCol w:w="873"/>
              <w:gridCol w:w="835"/>
              <w:gridCol w:w="793"/>
              <w:gridCol w:w="772"/>
              <w:gridCol w:w="1050"/>
              <w:gridCol w:w="954"/>
            </w:tblGrid>
            <w:tr w14:paraId="6A17E8F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671" w:type="dxa"/>
                  <w:vMerge w:val="restart"/>
                  <w:tcBorders>
                    <w:tl2br w:val="nil"/>
                    <w:tr2bl w:val="nil"/>
                  </w:tcBorders>
                  <w:tcMar>
                    <w:top w:w="0" w:type="dxa"/>
                    <w:left w:w="113" w:type="dxa"/>
                    <w:bottom w:w="0" w:type="dxa"/>
                    <w:right w:w="113" w:type="dxa"/>
                  </w:tcMar>
                  <w:vAlign w:val="center"/>
                </w:tcPr>
                <w:p w14:paraId="6BD08E8C">
                  <w:pPr>
                    <w:widowControl/>
                    <w:jc w:val="center"/>
                    <w:rPr>
                      <w:color w:val="auto"/>
                      <w:kern w:val="0"/>
                      <w:sz w:val="18"/>
                      <w:szCs w:val="18"/>
                    </w:rPr>
                  </w:pPr>
                  <w:r>
                    <w:rPr>
                      <w:rFonts w:hint="eastAsia"/>
                      <w:color w:val="auto"/>
                      <w:kern w:val="0"/>
                      <w:sz w:val="18"/>
                      <w:szCs w:val="18"/>
                    </w:rPr>
                    <w:t>排放口编号</w:t>
                  </w:r>
                </w:p>
              </w:tc>
              <w:tc>
                <w:tcPr>
                  <w:tcW w:w="2090" w:type="dxa"/>
                  <w:gridSpan w:val="2"/>
                  <w:tcBorders>
                    <w:tl2br w:val="nil"/>
                    <w:tr2bl w:val="nil"/>
                  </w:tcBorders>
                  <w:tcMar>
                    <w:top w:w="0" w:type="dxa"/>
                    <w:left w:w="113" w:type="dxa"/>
                    <w:bottom w:w="0" w:type="dxa"/>
                    <w:right w:w="113" w:type="dxa"/>
                  </w:tcMar>
                  <w:vAlign w:val="center"/>
                </w:tcPr>
                <w:p w14:paraId="7FD5EA0F">
                  <w:pPr>
                    <w:widowControl/>
                    <w:jc w:val="center"/>
                    <w:rPr>
                      <w:color w:val="auto"/>
                      <w:kern w:val="0"/>
                      <w:sz w:val="18"/>
                      <w:szCs w:val="18"/>
                    </w:rPr>
                  </w:pPr>
                  <w:r>
                    <w:rPr>
                      <w:rFonts w:hint="eastAsia"/>
                      <w:color w:val="auto"/>
                      <w:kern w:val="0"/>
                      <w:sz w:val="18"/>
                      <w:szCs w:val="18"/>
                    </w:rPr>
                    <w:t>排放口地理坐标</w:t>
                  </w:r>
                </w:p>
              </w:tc>
              <w:tc>
                <w:tcPr>
                  <w:tcW w:w="873" w:type="dxa"/>
                  <w:vMerge w:val="restart"/>
                  <w:tcBorders>
                    <w:tl2br w:val="nil"/>
                    <w:tr2bl w:val="nil"/>
                  </w:tcBorders>
                  <w:tcMar>
                    <w:top w:w="0" w:type="dxa"/>
                    <w:left w:w="113" w:type="dxa"/>
                    <w:bottom w:w="0" w:type="dxa"/>
                    <w:right w:w="113" w:type="dxa"/>
                  </w:tcMar>
                  <w:vAlign w:val="center"/>
                </w:tcPr>
                <w:p w14:paraId="512C5969">
                  <w:pPr>
                    <w:widowControl/>
                    <w:jc w:val="center"/>
                    <w:rPr>
                      <w:color w:val="auto"/>
                      <w:kern w:val="0"/>
                      <w:sz w:val="18"/>
                      <w:szCs w:val="18"/>
                    </w:rPr>
                  </w:pPr>
                  <w:r>
                    <w:rPr>
                      <w:rFonts w:hint="eastAsia"/>
                      <w:color w:val="auto"/>
                      <w:kern w:val="0"/>
                      <w:sz w:val="18"/>
                      <w:szCs w:val="18"/>
                    </w:rPr>
                    <w:t>废水排放量（</w:t>
                  </w:r>
                  <w:r>
                    <w:rPr>
                      <w:color w:val="auto"/>
                      <w:kern w:val="0"/>
                      <w:sz w:val="18"/>
                      <w:szCs w:val="18"/>
                    </w:rPr>
                    <w:t>t/a</w:t>
                  </w:r>
                  <w:r>
                    <w:rPr>
                      <w:rFonts w:hint="eastAsia"/>
                      <w:color w:val="auto"/>
                      <w:kern w:val="0"/>
                      <w:sz w:val="18"/>
                      <w:szCs w:val="18"/>
                    </w:rPr>
                    <w:t>）</w:t>
                  </w:r>
                </w:p>
              </w:tc>
              <w:tc>
                <w:tcPr>
                  <w:tcW w:w="835" w:type="dxa"/>
                  <w:vMerge w:val="restart"/>
                  <w:tcBorders>
                    <w:tl2br w:val="nil"/>
                    <w:tr2bl w:val="nil"/>
                  </w:tcBorders>
                  <w:tcMar>
                    <w:top w:w="0" w:type="dxa"/>
                    <w:left w:w="113" w:type="dxa"/>
                    <w:bottom w:w="0" w:type="dxa"/>
                    <w:right w:w="113" w:type="dxa"/>
                  </w:tcMar>
                  <w:vAlign w:val="center"/>
                </w:tcPr>
                <w:p w14:paraId="3E68EB45">
                  <w:pPr>
                    <w:jc w:val="center"/>
                    <w:rPr>
                      <w:color w:val="auto"/>
                      <w:kern w:val="0"/>
                      <w:sz w:val="18"/>
                      <w:szCs w:val="18"/>
                    </w:rPr>
                  </w:pPr>
                  <w:r>
                    <w:rPr>
                      <w:rFonts w:hint="eastAsia"/>
                      <w:color w:val="auto"/>
                      <w:kern w:val="0"/>
                      <w:sz w:val="18"/>
                      <w:szCs w:val="18"/>
                    </w:rPr>
                    <w:t>排放去向</w:t>
                  </w:r>
                </w:p>
              </w:tc>
              <w:tc>
                <w:tcPr>
                  <w:tcW w:w="793" w:type="dxa"/>
                  <w:vMerge w:val="restart"/>
                  <w:tcBorders>
                    <w:tl2br w:val="nil"/>
                    <w:tr2bl w:val="nil"/>
                  </w:tcBorders>
                  <w:tcMar>
                    <w:top w:w="0" w:type="dxa"/>
                    <w:left w:w="113" w:type="dxa"/>
                    <w:bottom w:w="0" w:type="dxa"/>
                    <w:right w:w="113" w:type="dxa"/>
                  </w:tcMar>
                  <w:vAlign w:val="center"/>
                </w:tcPr>
                <w:p w14:paraId="53D097B3">
                  <w:pPr>
                    <w:jc w:val="center"/>
                    <w:rPr>
                      <w:color w:val="auto"/>
                      <w:kern w:val="0"/>
                      <w:sz w:val="18"/>
                      <w:szCs w:val="18"/>
                    </w:rPr>
                  </w:pPr>
                  <w:r>
                    <w:rPr>
                      <w:rFonts w:hint="eastAsia"/>
                      <w:color w:val="auto"/>
                      <w:kern w:val="0"/>
                      <w:sz w:val="18"/>
                      <w:szCs w:val="18"/>
                    </w:rPr>
                    <w:t>排放规律</w:t>
                  </w:r>
                </w:p>
              </w:tc>
              <w:tc>
                <w:tcPr>
                  <w:tcW w:w="2776" w:type="dxa"/>
                  <w:gridSpan w:val="3"/>
                  <w:tcBorders>
                    <w:tl2br w:val="nil"/>
                    <w:tr2bl w:val="nil"/>
                  </w:tcBorders>
                  <w:tcMar>
                    <w:top w:w="0" w:type="dxa"/>
                    <w:left w:w="113" w:type="dxa"/>
                    <w:bottom w:w="0" w:type="dxa"/>
                    <w:right w:w="113" w:type="dxa"/>
                  </w:tcMar>
                  <w:vAlign w:val="center"/>
                </w:tcPr>
                <w:p w14:paraId="7F227C6F">
                  <w:pPr>
                    <w:widowControl/>
                    <w:jc w:val="center"/>
                    <w:rPr>
                      <w:color w:val="auto"/>
                      <w:kern w:val="0"/>
                      <w:sz w:val="18"/>
                      <w:szCs w:val="18"/>
                    </w:rPr>
                  </w:pPr>
                  <w:r>
                    <w:rPr>
                      <w:rFonts w:hint="eastAsia"/>
                      <w:color w:val="auto"/>
                      <w:kern w:val="0"/>
                      <w:sz w:val="18"/>
                      <w:szCs w:val="18"/>
                    </w:rPr>
                    <w:t>受纳污水处理厂信息</w:t>
                  </w:r>
                </w:p>
              </w:tc>
            </w:tr>
            <w:tr w14:paraId="66BA55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671" w:type="dxa"/>
                  <w:vMerge w:val="continue"/>
                  <w:tcBorders>
                    <w:tl2br w:val="nil"/>
                    <w:tr2bl w:val="nil"/>
                  </w:tcBorders>
                  <w:tcMar>
                    <w:top w:w="0" w:type="dxa"/>
                    <w:left w:w="113" w:type="dxa"/>
                    <w:bottom w:w="0" w:type="dxa"/>
                    <w:right w:w="113" w:type="dxa"/>
                  </w:tcMar>
                  <w:vAlign w:val="center"/>
                </w:tcPr>
                <w:p w14:paraId="396A3E8F">
                  <w:pPr>
                    <w:widowControl/>
                    <w:jc w:val="center"/>
                    <w:rPr>
                      <w:color w:val="auto"/>
                      <w:kern w:val="0"/>
                      <w:sz w:val="18"/>
                      <w:szCs w:val="18"/>
                    </w:rPr>
                  </w:pPr>
                </w:p>
              </w:tc>
              <w:tc>
                <w:tcPr>
                  <w:tcW w:w="1060" w:type="dxa"/>
                  <w:tcBorders>
                    <w:tl2br w:val="nil"/>
                    <w:tr2bl w:val="nil"/>
                  </w:tcBorders>
                  <w:tcMar>
                    <w:top w:w="0" w:type="dxa"/>
                    <w:left w:w="113" w:type="dxa"/>
                    <w:bottom w:w="0" w:type="dxa"/>
                    <w:right w:w="113" w:type="dxa"/>
                  </w:tcMar>
                  <w:vAlign w:val="center"/>
                </w:tcPr>
                <w:p w14:paraId="554B4F41">
                  <w:pPr>
                    <w:widowControl/>
                    <w:jc w:val="center"/>
                    <w:rPr>
                      <w:rFonts w:hint="eastAsia" w:eastAsia="宋体"/>
                      <w:color w:val="auto"/>
                      <w:kern w:val="0"/>
                      <w:sz w:val="18"/>
                      <w:szCs w:val="18"/>
                      <w:lang w:eastAsia="zh-CN"/>
                    </w:rPr>
                  </w:pPr>
                  <w:r>
                    <w:rPr>
                      <w:rFonts w:hint="eastAsia"/>
                      <w:color w:val="auto"/>
                      <w:kern w:val="0"/>
                      <w:sz w:val="18"/>
                      <w:szCs w:val="18"/>
                      <w:lang w:val="en-US" w:eastAsia="zh-CN"/>
                    </w:rPr>
                    <w:t>经度</w:t>
                  </w:r>
                </w:p>
              </w:tc>
              <w:tc>
                <w:tcPr>
                  <w:tcW w:w="1030" w:type="dxa"/>
                  <w:tcBorders>
                    <w:tl2br w:val="nil"/>
                    <w:tr2bl w:val="nil"/>
                  </w:tcBorders>
                  <w:tcMar>
                    <w:top w:w="0" w:type="dxa"/>
                    <w:left w:w="113" w:type="dxa"/>
                    <w:bottom w:w="0" w:type="dxa"/>
                    <w:right w:w="113" w:type="dxa"/>
                  </w:tcMar>
                  <w:vAlign w:val="center"/>
                </w:tcPr>
                <w:p w14:paraId="26F5B6B5">
                  <w:pPr>
                    <w:widowControl/>
                    <w:jc w:val="center"/>
                    <w:rPr>
                      <w:rFonts w:hint="eastAsia" w:eastAsia="宋体"/>
                      <w:color w:val="auto"/>
                      <w:kern w:val="0"/>
                      <w:sz w:val="18"/>
                      <w:szCs w:val="18"/>
                      <w:lang w:eastAsia="zh-CN"/>
                    </w:rPr>
                  </w:pPr>
                  <w:r>
                    <w:rPr>
                      <w:rFonts w:hint="eastAsia"/>
                      <w:color w:val="auto"/>
                      <w:kern w:val="0"/>
                      <w:sz w:val="18"/>
                      <w:szCs w:val="18"/>
                      <w:lang w:val="en-US" w:eastAsia="zh-CN"/>
                    </w:rPr>
                    <w:t>纬度</w:t>
                  </w:r>
                </w:p>
              </w:tc>
              <w:tc>
                <w:tcPr>
                  <w:tcW w:w="873" w:type="dxa"/>
                  <w:vMerge w:val="continue"/>
                  <w:tcBorders>
                    <w:tl2br w:val="nil"/>
                    <w:tr2bl w:val="nil"/>
                  </w:tcBorders>
                  <w:tcMar>
                    <w:top w:w="0" w:type="dxa"/>
                    <w:left w:w="113" w:type="dxa"/>
                    <w:bottom w:w="0" w:type="dxa"/>
                    <w:right w:w="113" w:type="dxa"/>
                  </w:tcMar>
                  <w:vAlign w:val="center"/>
                </w:tcPr>
                <w:p w14:paraId="3DED5916">
                  <w:pPr>
                    <w:widowControl/>
                    <w:jc w:val="center"/>
                    <w:rPr>
                      <w:color w:val="auto"/>
                      <w:kern w:val="0"/>
                      <w:sz w:val="18"/>
                      <w:szCs w:val="18"/>
                    </w:rPr>
                  </w:pPr>
                </w:p>
              </w:tc>
              <w:tc>
                <w:tcPr>
                  <w:tcW w:w="835" w:type="dxa"/>
                  <w:vMerge w:val="continue"/>
                  <w:tcBorders>
                    <w:tl2br w:val="nil"/>
                    <w:tr2bl w:val="nil"/>
                  </w:tcBorders>
                  <w:tcMar>
                    <w:top w:w="0" w:type="dxa"/>
                    <w:left w:w="113" w:type="dxa"/>
                    <w:bottom w:w="0" w:type="dxa"/>
                    <w:right w:w="113" w:type="dxa"/>
                  </w:tcMar>
                  <w:vAlign w:val="center"/>
                </w:tcPr>
                <w:p w14:paraId="09EB2A5C">
                  <w:pPr>
                    <w:widowControl/>
                    <w:jc w:val="center"/>
                    <w:rPr>
                      <w:color w:val="auto"/>
                      <w:kern w:val="0"/>
                      <w:sz w:val="18"/>
                      <w:szCs w:val="18"/>
                    </w:rPr>
                  </w:pPr>
                </w:p>
              </w:tc>
              <w:tc>
                <w:tcPr>
                  <w:tcW w:w="793" w:type="dxa"/>
                  <w:vMerge w:val="continue"/>
                  <w:tcBorders>
                    <w:tl2br w:val="nil"/>
                    <w:tr2bl w:val="nil"/>
                  </w:tcBorders>
                  <w:tcMar>
                    <w:top w:w="0" w:type="dxa"/>
                    <w:left w:w="113" w:type="dxa"/>
                    <w:bottom w:w="0" w:type="dxa"/>
                    <w:right w:w="113" w:type="dxa"/>
                  </w:tcMar>
                  <w:vAlign w:val="center"/>
                </w:tcPr>
                <w:p w14:paraId="202E3AAB">
                  <w:pPr>
                    <w:widowControl/>
                    <w:jc w:val="center"/>
                    <w:rPr>
                      <w:color w:val="auto"/>
                      <w:kern w:val="0"/>
                      <w:sz w:val="18"/>
                      <w:szCs w:val="18"/>
                    </w:rPr>
                  </w:pPr>
                </w:p>
              </w:tc>
              <w:tc>
                <w:tcPr>
                  <w:tcW w:w="772" w:type="dxa"/>
                  <w:tcBorders>
                    <w:tl2br w:val="nil"/>
                    <w:tr2bl w:val="nil"/>
                  </w:tcBorders>
                  <w:tcMar>
                    <w:top w:w="0" w:type="dxa"/>
                    <w:left w:w="113" w:type="dxa"/>
                    <w:bottom w:w="0" w:type="dxa"/>
                    <w:right w:w="113" w:type="dxa"/>
                  </w:tcMar>
                  <w:vAlign w:val="center"/>
                </w:tcPr>
                <w:p w14:paraId="1414A595">
                  <w:pPr>
                    <w:widowControl/>
                    <w:jc w:val="center"/>
                    <w:rPr>
                      <w:color w:val="auto"/>
                      <w:kern w:val="0"/>
                      <w:sz w:val="18"/>
                      <w:szCs w:val="18"/>
                    </w:rPr>
                  </w:pPr>
                  <w:r>
                    <w:rPr>
                      <w:rFonts w:hint="eastAsia"/>
                      <w:color w:val="auto"/>
                      <w:kern w:val="0"/>
                      <w:sz w:val="18"/>
                      <w:szCs w:val="18"/>
                    </w:rPr>
                    <w:t>名称</w:t>
                  </w:r>
                </w:p>
              </w:tc>
              <w:tc>
                <w:tcPr>
                  <w:tcW w:w="1050" w:type="dxa"/>
                  <w:tcBorders>
                    <w:tl2br w:val="nil"/>
                    <w:tr2bl w:val="nil"/>
                  </w:tcBorders>
                  <w:tcMar>
                    <w:top w:w="0" w:type="dxa"/>
                    <w:left w:w="113" w:type="dxa"/>
                    <w:bottom w:w="0" w:type="dxa"/>
                    <w:right w:w="113" w:type="dxa"/>
                  </w:tcMar>
                  <w:vAlign w:val="center"/>
                </w:tcPr>
                <w:p w14:paraId="06B989DA">
                  <w:pPr>
                    <w:widowControl/>
                    <w:jc w:val="center"/>
                    <w:rPr>
                      <w:color w:val="auto"/>
                      <w:kern w:val="0"/>
                      <w:sz w:val="18"/>
                      <w:szCs w:val="18"/>
                    </w:rPr>
                  </w:pPr>
                  <w:r>
                    <w:rPr>
                      <w:rFonts w:hint="eastAsia"/>
                      <w:color w:val="auto"/>
                      <w:kern w:val="0"/>
                      <w:sz w:val="18"/>
                      <w:szCs w:val="18"/>
                    </w:rPr>
                    <w:t>污染物种类</w:t>
                  </w:r>
                </w:p>
              </w:tc>
              <w:tc>
                <w:tcPr>
                  <w:tcW w:w="954" w:type="dxa"/>
                  <w:tcBorders>
                    <w:tl2br w:val="nil"/>
                    <w:tr2bl w:val="nil"/>
                  </w:tcBorders>
                  <w:tcMar>
                    <w:top w:w="0" w:type="dxa"/>
                    <w:left w:w="113" w:type="dxa"/>
                    <w:bottom w:w="0" w:type="dxa"/>
                    <w:right w:w="113" w:type="dxa"/>
                  </w:tcMar>
                  <w:vAlign w:val="center"/>
                </w:tcPr>
                <w:p w14:paraId="74AB2B6E">
                  <w:pPr>
                    <w:widowControl/>
                    <w:jc w:val="center"/>
                    <w:rPr>
                      <w:color w:val="auto"/>
                      <w:kern w:val="0"/>
                      <w:sz w:val="18"/>
                      <w:szCs w:val="18"/>
                    </w:rPr>
                  </w:pPr>
                  <w:r>
                    <w:rPr>
                      <w:rFonts w:hint="eastAsia"/>
                      <w:color w:val="auto"/>
                      <w:kern w:val="0"/>
                      <w:sz w:val="18"/>
                      <w:szCs w:val="18"/>
                    </w:rPr>
                    <w:t>国家或地方污染物排放标准限值（</w:t>
                  </w:r>
                  <w:r>
                    <w:rPr>
                      <w:color w:val="auto"/>
                      <w:kern w:val="0"/>
                      <w:sz w:val="18"/>
                      <w:szCs w:val="18"/>
                    </w:rPr>
                    <w:t>mg/L</w:t>
                  </w:r>
                  <w:r>
                    <w:rPr>
                      <w:rFonts w:hint="eastAsia"/>
                      <w:color w:val="auto"/>
                      <w:kern w:val="0"/>
                      <w:sz w:val="18"/>
                      <w:szCs w:val="18"/>
                    </w:rPr>
                    <w:t>）</w:t>
                  </w:r>
                </w:p>
              </w:tc>
            </w:tr>
            <w:tr w14:paraId="36F2810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90" w:hRule="atLeast"/>
                <w:jc w:val="center"/>
              </w:trPr>
              <w:tc>
                <w:tcPr>
                  <w:tcW w:w="671" w:type="dxa"/>
                  <w:vMerge w:val="restart"/>
                  <w:tcBorders>
                    <w:tl2br w:val="nil"/>
                    <w:tr2bl w:val="nil"/>
                  </w:tcBorders>
                  <w:tcMar>
                    <w:top w:w="0" w:type="dxa"/>
                    <w:left w:w="113" w:type="dxa"/>
                    <w:bottom w:w="0" w:type="dxa"/>
                    <w:right w:w="113" w:type="dxa"/>
                  </w:tcMar>
                  <w:vAlign w:val="center"/>
                </w:tcPr>
                <w:p w14:paraId="00FDC8EF">
                  <w:pPr>
                    <w:widowControl/>
                    <w:jc w:val="center"/>
                    <w:rPr>
                      <w:color w:val="auto"/>
                      <w:kern w:val="0"/>
                      <w:sz w:val="18"/>
                      <w:szCs w:val="18"/>
                    </w:rPr>
                  </w:pPr>
                  <w:r>
                    <w:rPr>
                      <w:color w:val="auto"/>
                      <w:kern w:val="0"/>
                      <w:sz w:val="18"/>
                      <w:szCs w:val="18"/>
                    </w:rPr>
                    <w:t>DW001</w:t>
                  </w:r>
                </w:p>
              </w:tc>
              <w:tc>
                <w:tcPr>
                  <w:tcW w:w="1060" w:type="dxa"/>
                  <w:vMerge w:val="restart"/>
                  <w:tcBorders>
                    <w:tl2br w:val="nil"/>
                    <w:tr2bl w:val="nil"/>
                  </w:tcBorders>
                  <w:tcMar>
                    <w:top w:w="0" w:type="dxa"/>
                    <w:left w:w="113" w:type="dxa"/>
                    <w:bottom w:w="0" w:type="dxa"/>
                    <w:right w:w="113" w:type="dxa"/>
                  </w:tcMar>
                  <w:vAlign w:val="center"/>
                </w:tcPr>
                <w:p w14:paraId="25CFEB47">
                  <w:pPr>
                    <w:snapToGrid w:val="0"/>
                    <w:ind w:left="-78" w:leftChars="-37" w:right="-80" w:rightChars="-38"/>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120.55933</w:t>
                  </w:r>
                </w:p>
              </w:tc>
              <w:tc>
                <w:tcPr>
                  <w:tcW w:w="1030" w:type="dxa"/>
                  <w:vMerge w:val="restart"/>
                  <w:tcBorders>
                    <w:tl2br w:val="nil"/>
                    <w:tr2bl w:val="nil"/>
                  </w:tcBorders>
                  <w:tcMar>
                    <w:top w:w="0" w:type="dxa"/>
                    <w:left w:w="113" w:type="dxa"/>
                    <w:bottom w:w="0" w:type="dxa"/>
                    <w:right w:w="113" w:type="dxa"/>
                  </w:tcMar>
                  <w:vAlign w:val="center"/>
                </w:tcPr>
                <w:p w14:paraId="7119F415">
                  <w:pPr>
                    <w:snapToGrid w:val="0"/>
                    <w:ind w:left="-78" w:leftChars="-37" w:right="-80" w:rightChars="-38"/>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30.84011</w:t>
                  </w:r>
                </w:p>
              </w:tc>
              <w:tc>
                <w:tcPr>
                  <w:tcW w:w="873" w:type="dxa"/>
                  <w:vMerge w:val="restart"/>
                  <w:tcBorders>
                    <w:tl2br w:val="nil"/>
                    <w:tr2bl w:val="nil"/>
                  </w:tcBorders>
                  <w:tcMar>
                    <w:top w:w="0" w:type="dxa"/>
                    <w:left w:w="113" w:type="dxa"/>
                    <w:bottom w:w="0" w:type="dxa"/>
                    <w:right w:w="113" w:type="dxa"/>
                  </w:tcMar>
                  <w:vAlign w:val="center"/>
                </w:tcPr>
                <w:p w14:paraId="7E1FA8AE">
                  <w:pPr>
                    <w:widowControl w:val="0"/>
                    <w:adjustRightInd w:val="0"/>
                    <w:snapToGrid w:val="0"/>
                    <w:spacing w:beforeLines="0" w:afterLines="20"/>
                    <w:ind w:right="2" w:rightChars="1"/>
                    <w:jc w:val="center"/>
                    <w:rPr>
                      <w:rFonts w:hint="default"/>
                      <w:bCs/>
                      <w:color w:val="auto"/>
                      <w:sz w:val="18"/>
                      <w:szCs w:val="18"/>
                      <w:lang w:val="en-US"/>
                    </w:rPr>
                  </w:pPr>
                  <w:r>
                    <w:rPr>
                      <w:rFonts w:hint="eastAsia" w:ascii="Times New Roman" w:hAnsi="Times New Roman" w:eastAsia="宋体" w:cs="Times New Roman"/>
                      <w:bCs/>
                      <w:color w:val="auto"/>
                      <w:kern w:val="0"/>
                      <w:sz w:val="18"/>
                      <w:szCs w:val="18"/>
                      <w:highlight w:val="none"/>
                      <w:lang w:val="en-US" w:eastAsia="zh-CN" w:bidi="ar-SA"/>
                    </w:rPr>
                    <w:t>775.6</w:t>
                  </w:r>
                </w:p>
              </w:tc>
              <w:tc>
                <w:tcPr>
                  <w:tcW w:w="835" w:type="dxa"/>
                  <w:vMerge w:val="restart"/>
                  <w:tcBorders>
                    <w:tl2br w:val="nil"/>
                    <w:tr2bl w:val="nil"/>
                  </w:tcBorders>
                  <w:tcMar>
                    <w:top w:w="0" w:type="dxa"/>
                    <w:left w:w="113" w:type="dxa"/>
                    <w:bottom w:w="0" w:type="dxa"/>
                    <w:right w:w="113" w:type="dxa"/>
                  </w:tcMar>
                  <w:vAlign w:val="center"/>
                </w:tcPr>
                <w:p w14:paraId="259CCB05">
                  <w:pPr>
                    <w:widowControl/>
                    <w:jc w:val="center"/>
                    <w:rPr>
                      <w:color w:val="auto"/>
                      <w:kern w:val="0"/>
                      <w:sz w:val="18"/>
                      <w:szCs w:val="18"/>
                    </w:rPr>
                  </w:pPr>
                  <w:r>
                    <w:rPr>
                      <w:rFonts w:hint="eastAsia"/>
                      <w:color w:val="auto"/>
                      <w:kern w:val="0"/>
                      <w:sz w:val="18"/>
                      <w:szCs w:val="18"/>
                    </w:rPr>
                    <w:t>进入城市污水处理厂</w:t>
                  </w:r>
                </w:p>
              </w:tc>
              <w:tc>
                <w:tcPr>
                  <w:tcW w:w="793" w:type="dxa"/>
                  <w:vMerge w:val="restart"/>
                  <w:tcBorders>
                    <w:tl2br w:val="nil"/>
                    <w:tr2bl w:val="nil"/>
                  </w:tcBorders>
                  <w:tcMar>
                    <w:top w:w="0" w:type="dxa"/>
                    <w:left w:w="113" w:type="dxa"/>
                    <w:bottom w:w="0" w:type="dxa"/>
                    <w:right w:w="113" w:type="dxa"/>
                  </w:tcMar>
                  <w:vAlign w:val="center"/>
                </w:tcPr>
                <w:p w14:paraId="4792AB88">
                  <w:pPr>
                    <w:widowControl/>
                    <w:jc w:val="center"/>
                    <w:rPr>
                      <w:color w:val="auto"/>
                      <w:kern w:val="0"/>
                      <w:sz w:val="18"/>
                      <w:szCs w:val="18"/>
                    </w:rPr>
                  </w:pPr>
                  <w:r>
                    <w:rPr>
                      <w:rFonts w:hint="eastAsia"/>
                      <w:color w:val="auto"/>
                      <w:kern w:val="0"/>
                      <w:sz w:val="18"/>
                      <w:szCs w:val="18"/>
                    </w:rPr>
                    <w:t>间歇排放、排放期间流量不稳定</w:t>
                  </w:r>
                </w:p>
              </w:tc>
              <w:tc>
                <w:tcPr>
                  <w:tcW w:w="772" w:type="dxa"/>
                  <w:vMerge w:val="restart"/>
                  <w:tcBorders>
                    <w:tl2br w:val="nil"/>
                    <w:tr2bl w:val="nil"/>
                  </w:tcBorders>
                  <w:tcMar>
                    <w:top w:w="0" w:type="dxa"/>
                    <w:left w:w="113" w:type="dxa"/>
                    <w:bottom w:w="0" w:type="dxa"/>
                    <w:right w:w="113" w:type="dxa"/>
                  </w:tcMar>
                  <w:vAlign w:val="center"/>
                </w:tcPr>
                <w:p w14:paraId="70D8BDA8">
                  <w:pPr>
                    <w:widowControl/>
                    <w:jc w:val="center"/>
                    <w:rPr>
                      <w:rFonts w:hint="eastAsia" w:eastAsia="宋体"/>
                      <w:color w:val="auto"/>
                      <w:kern w:val="0"/>
                      <w:sz w:val="18"/>
                      <w:szCs w:val="18"/>
                      <w:lang w:eastAsia="zh-CN"/>
                    </w:rPr>
                  </w:pPr>
                  <w:r>
                    <w:rPr>
                      <w:rFonts w:hint="eastAsia"/>
                      <w:color w:val="auto"/>
                      <w:sz w:val="18"/>
                      <w:szCs w:val="18"/>
                      <w:lang w:eastAsia="zh-CN"/>
                    </w:rPr>
                    <w:t>苏州市吴江桃源生活污水处理有限公司</w:t>
                  </w:r>
                </w:p>
              </w:tc>
              <w:tc>
                <w:tcPr>
                  <w:tcW w:w="1050" w:type="dxa"/>
                  <w:tcBorders>
                    <w:tl2br w:val="nil"/>
                    <w:tr2bl w:val="nil"/>
                  </w:tcBorders>
                  <w:tcMar>
                    <w:top w:w="0" w:type="dxa"/>
                    <w:left w:w="113" w:type="dxa"/>
                    <w:bottom w:w="0" w:type="dxa"/>
                    <w:right w:w="113" w:type="dxa"/>
                  </w:tcMar>
                  <w:vAlign w:val="center"/>
                </w:tcPr>
                <w:p w14:paraId="0B17B5CD">
                  <w:pPr>
                    <w:pStyle w:val="9"/>
                    <w:spacing w:before="0" w:after="0"/>
                    <w:ind w:right="0"/>
                    <w:jc w:val="center"/>
                    <w:rPr>
                      <w:bCs/>
                      <w:color w:val="auto"/>
                      <w:szCs w:val="18"/>
                    </w:rPr>
                  </w:pPr>
                  <w:r>
                    <w:rPr>
                      <w:bCs/>
                      <w:color w:val="auto"/>
                      <w:szCs w:val="18"/>
                    </w:rPr>
                    <w:t>COD</w:t>
                  </w:r>
                </w:p>
              </w:tc>
              <w:tc>
                <w:tcPr>
                  <w:tcW w:w="954" w:type="dxa"/>
                  <w:tcBorders>
                    <w:tl2br w:val="nil"/>
                    <w:tr2bl w:val="nil"/>
                  </w:tcBorders>
                  <w:tcMar>
                    <w:top w:w="0" w:type="dxa"/>
                    <w:left w:w="113" w:type="dxa"/>
                    <w:bottom w:w="0" w:type="dxa"/>
                    <w:right w:w="113" w:type="dxa"/>
                  </w:tcMar>
                  <w:vAlign w:val="center"/>
                </w:tcPr>
                <w:p w14:paraId="7AC51F5C">
                  <w:pPr>
                    <w:adjustRightInd w:val="0"/>
                    <w:snapToGrid w:val="0"/>
                    <w:jc w:val="center"/>
                    <w:rPr>
                      <w:color w:val="auto"/>
                      <w:sz w:val="18"/>
                      <w:szCs w:val="18"/>
                    </w:rPr>
                  </w:pPr>
                  <w:r>
                    <w:rPr>
                      <w:color w:val="auto"/>
                      <w:sz w:val="18"/>
                      <w:szCs w:val="18"/>
                    </w:rPr>
                    <w:t>30</w:t>
                  </w:r>
                </w:p>
              </w:tc>
            </w:tr>
            <w:tr w14:paraId="1B1CDC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90" w:hRule="atLeast"/>
                <w:jc w:val="center"/>
              </w:trPr>
              <w:tc>
                <w:tcPr>
                  <w:tcW w:w="671" w:type="dxa"/>
                  <w:vMerge w:val="continue"/>
                  <w:tcBorders>
                    <w:tl2br w:val="nil"/>
                    <w:tr2bl w:val="nil"/>
                  </w:tcBorders>
                  <w:tcMar>
                    <w:top w:w="0" w:type="dxa"/>
                    <w:left w:w="113" w:type="dxa"/>
                    <w:bottom w:w="0" w:type="dxa"/>
                    <w:right w:w="113" w:type="dxa"/>
                  </w:tcMar>
                  <w:vAlign w:val="center"/>
                </w:tcPr>
                <w:p w14:paraId="7596EA46">
                  <w:pPr>
                    <w:widowControl/>
                    <w:spacing w:line="400" w:lineRule="atLeast"/>
                    <w:jc w:val="center"/>
                    <w:rPr>
                      <w:color w:val="auto"/>
                      <w:kern w:val="0"/>
                      <w:sz w:val="18"/>
                      <w:szCs w:val="18"/>
                    </w:rPr>
                  </w:pPr>
                </w:p>
              </w:tc>
              <w:tc>
                <w:tcPr>
                  <w:tcW w:w="1060" w:type="dxa"/>
                  <w:vMerge w:val="continue"/>
                  <w:tcBorders>
                    <w:tl2br w:val="nil"/>
                    <w:tr2bl w:val="nil"/>
                  </w:tcBorders>
                  <w:tcMar>
                    <w:top w:w="0" w:type="dxa"/>
                    <w:left w:w="113" w:type="dxa"/>
                    <w:bottom w:w="0" w:type="dxa"/>
                    <w:right w:w="113" w:type="dxa"/>
                  </w:tcMar>
                  <w:vAlign w:val="center"/>
                </w:tcPr>
                <w:p w14:paraId="0C83A93E">
                  <w:pPr>
                    <w:snapToGrid w:val="0"/>
                    <w:ind w:left="-78" w:leftChars="-37" w:right="-80" w:rightChars="-38"/>
                    <w:jc w:val="center"/>
                    <w:rPr>
                      <w:rFonts w:hint="eastAsia" w:ascii="Times New Roman" w:hAnsi="Times New Roman" w:eastAsia="宋体" w:cs="Times New Roman"/>
                      <w:bCs/>
                      <w:color w:val="auto"/>
                      <w:sz w:val="18"/>
                      <w:szCs w:val="18"/>
                      <w:lang w:val="en-US" w:eastAsia="zh-CN"/>
                    </w:rPr>
                  </w:pPr>
                </w:p>
              </w:tc>
              <w:tc>
                <w:tcPr>
                  <w:tcW w:w="1030" w:type="dxa"/>
                  <w:vMerge w:val="continue"/>
                  <w:tcBorders>
                    <w:tl2br w:val="nil"/>
                    <w:tr2bl w:val="nil"/>
                  </w:tcBorders>
                  <w:tcMar>
                    <w:top w:w="0" w:type="dxa"/>
                    <w:left w:w="113" w:type="dxa"/>
                    <w:bottom w:w="0" w:type="dxa"/>
                    <w:right w:w="113" w:type="dxa"/>
                  </w:tcMar>
                  <w:vAlign w:val="center"/>
                </w:tcPr>
                <w:p w14:paraId="0E7963E4">
                  <w:pPr>
                    <w:snapToGrid w:val="0"/>
                    <w:ind w:left="-78" w:leftChars="-37" w:right="-80" w:rightChars="-38"/>
                    <w:jc w:val="center"/>
                    <w:rPr>
                      <w:rFonts w:hint="eastAsia" w:ascii="Times New Roman" w:hAnsi="Times New Roman" w:eastAsia="宋体" w:cs="Times New Roman"/>
                      <w:bCs/>
                      <w:color w:val="auto"/>
                      <w:sz w:val="18"/>
                      <w:szCs w:val="18"/>
                      <w:lang w:val="en-US" w:eastAsia="zh-CN"/>
                    </w:rPr>
                  </w:pPr>
                </w:p>
              </w:tc>
              <w:tc>
                <w:tcPr>
                  <w:tcW w:w="873" w:type="dxa"/>
                  <w:vMerge w:val="continue"/>
                  <w:tcBorders>
                    <w:tl2br w:val="nil"/>
                    <w:tr2bl w:val="nil"/>
                  </w:tcBorders>
                  <w:tcMar>
                    <w:top w:w="0" w:type="dxa"/>
                    <w:left w:w="113" w:type="dxa"/>
                    <w:bottom w:w="0" w:type="dxa"/>
                    <w:right w:w="113" w:type="dxa"/>
                  </w:tcMar>
                  <w:vAlign w:val="center"/>
                </w:tcPr>
                <w:p w14:paraId="59285D5D">
                  <w:pPr>
                    <w:snapToGrid w:val="0"/>
                    <w:ind w:left="-78" w:leftChars="-37" w:right="-80" w:rightChars="-38"/>
                    <w:jc w:val="center"/>
                    <w:rPr>
                      <w:bCs/>
                      <w:color w:val="auto"/>
                      <w:sz w:val="18"/>
                      <w:szCs w:val="18"/>
                    </w:rPr>
                  </w:pPr>
                </w:p>
              </w:tc>
              <w:tc>
                <w:tcPr>
                  <w:tcW w:w="835" w:type="dxa"/>
                  <w:vMerge w:val="continue"/>
                  <w:tcBorders>
                    <w:tl2br w:val="nil"/>
                    <w:tr2bl w:val="nil"/>
                  </w:tcBorders>
                  <w:tcMar>
                    <w:top w:w="0" w:type="dxa"/>
                    <w:left w:w="113" w:type="dxa"/>
                    <w:bottom w:w="0" w:type="dxa"/>
                    <w:right w:w="113" w:type="dxa"/>
                  </w:tcMar>
                  <w:vAlign w:val="center"/>
                </w:tcPr>
                <w:p w14:paraId="14FCF96A">
                  <w:pPr>
                    <w:widowControl/>
                    <w:spacing w:line="400" w:lineRule="atLeast"/>
                    <w:jc w:val="center"/>
                    <w:rPr>
                      <w:color w:val="auto"/>
                      <w:kern w:val="0"/>
                      <w:sz w:val="18"/>
                      <w:szCs w:val="18"/>
                    </w:rPr>
                  </w:pPr>
                </w:p>
              </w:tc>
              <w:tc>
                <w:tcPr>
                  <w:tcW w:w="793" w:type="dxa"/>
                  <w:vMerge w:val="continue"/>
                  <w:tcBorders>
                    <w:tl2br w:val="nil"/>
                    <w:tr2bl w:val="nil"/>
                  </w:tcBorders>
                  <w:tcMar>
                    <w:top w:w="0" w:type="dxa"/>
                    <w:left w:w="113" w:type="dxa"/>
                    <w:bottom w:w="0" w:type="dxa"/>
                    <w:right w:w="113" w:type="dxa"/>
                  </w:tcMar>
                  <w:vAlign w:val="center"/>
                </w:tcPr>
                <w:p w14:paraId="5F0A27E6">
                  <w:pPr>
                    <w:widowControl/>
                    <w:spacing w:line="400" w:lineRule="atLeast"/>
                    <w:jc w:val="center"/>
                    <w:rPr>
                      <w:color w:val="auto"/>
                      <w:kern w:val="0"/>
                      <w:sz w:val="18"/>
                      <w:szCs w:val="18"/>
                    </w:rPr>
                  </w:pPr>
                </w:p>
              </w:tc>
              <w:tc>
                <w:tcPr>
                  <w:tcW w:w="772" w:type="dxa"/>
                  <w:vMerge w:val="continue"/>
                  <w:tcBorders>
                    <w:tl2br w:val="nil"/>
                    <w:tr2bl w:val="nil"/>
                  </w:tcBorders>
                  <w:tcMar>
                    <w:top w:w="0" w:type="dxa"/>
                    <w:left w:w="113" w:type="dxa"/>
                    <w:bottom w:w="0" w:type="dxa"/>
                    <w:right w:w="113" w:type="dxa"/>
                  </w:tcMar>
                  <w:vAlign w:val="center"/>
                </w:tcPr>
                <w:p w14:paraId="49B8E4CE">
                  <w:pPr>
                    <w:widowControl/>
                    <w:spacing w:line="400" w:lineRule="atLeast"/>
                    <w:jc w:val="center"/>
                    <w:rPr>
                      <w:color w:val="auto"/>
                      <w:kern w:val="0"/>
                      <w:sz w:val="18"/>
                      <w:szCs w:val="18"/>
                    </w:rPr>
                  </w:pPr>
                </w:p>
              </w:tc>
              <w:tc>
                <w:tcPr>
                  <w:tcW w:w="1050" w:type="dxa"/>
                  <w:tcBorders>
                    <w:tl2br w:val="nil"/>
                    <w:tr2bl w:val="nil"/>
                  </w:tcBorders>
                  <w:tcMar>
                    <w:top w:w="0" w:type="dxa"/>
                    <w:left w:w="113" w:type="dxa"/>
                    <w:bottom w:w="0" w:type="dxa"/>
                    <w:right w:w="113" w:type="dxa"/>
                  </w:tcMar>
                  <w:vAlign w:val="center"/>
                </w:tcPr>
                <w:p w14:paraId="0A24DD21">
                  <w:pPr>
                    <w:pStyle w:val="9"/>
                    <w:spacing w:before="0" w:after="0" w:line="240" w:lineRule="auto"/>
                    <w:ind w:right="0"/>
                    <w:jc w:val="center"/>
                    <w:rPr>
                      <w:bCs/>
                      <w:color w:val="auto"/>
                      <w:szCs w:val="18"/>
                    </w:rPr>
                  </w:pPr>
                  <w:r>
                    <w:rPr>
                      <w:bCs/>
                      <w:color w:val="auto"/>
                      <w:szCs w:val="18"/>
                    </w:rPr>
                    <w:t>NH</w:t>
                  </w:r>
                  <w:r>
                    <w:rPr>
                      <w:bCs/>
                      <w:color w:val="auto"/>
                      <w:szCs w:val="18"/>
                      <w:vertAlign w:val="subscript"/>
                    </w:rPr>
                    <w:t>3</w:t>
                  </w:r>
                  <w:r>
                    <w:rPr>
                      <w:bCs/>
                      <w:color w:val="auto"/>
                      <w:szCs w:val="18"/>
                    </w:rPr>
                    <w:t>-N</w:t>
                  </w:r>
                </w:p>
              </w:tc>
              <w:tc>
                <w:tcPr>
                  <w:tcW w:w="954" w:type="dxa"/>
                  <w:tcBorders>
                    <w:tl2br w:val="nil"/>
                    <w:tr2bl w:val="nil"/>
                  </w:tcBorders>
                  <w:tcMar>
                    <w:top w:w="0" w:type="dxa"/>
                    <w:left w:w="113" w:type="dxa"/>
                    <w:bottom w:w="0" w:type="dxa"/>
                    <w:right w:w="113" w:type="dxa"/>
                  </w:tcMar>
                  <w:vAlign w:val="center"/>
                </w:tcPr>
                <w:p w14:paraId="054872F6">
                  <w:pPr>
                    <w:adjustRightInd w:val="0"/>
                    <w:snapToGrid w:val="0"/>
                    <w:jc w:val="center"/>
                    <w:rPr>
                      <w:color w:val="auto"/>
                      <w:sz w:val="18"/>
                      <w:szCs w:val="18"/>
                    </w:rPr>
                  </w:pPr>
                  <w:r>
                    <w:rPr>
                      <w:color w:val="auto"/>
                      <w:sz w:val="18"/>
                      <w:szCs w:val="18"/>
                    </w:rPr>
                    <w:t>1.5</w:t>
                  </w:r>
                  <w:r>
                    <w:rPr>
                      <w:rFonts w:hint="eastAsia"/>
                      <w:color w:val="auto"/>
                      <w:sz w:val="18"/>
                      <w:szCs w:val="18"/>
                    </w:rPr>
                    <w:t>（</w:t>
                  </w:r>
                  <w:r>
                    <w:rPr>
                      <w:color w:val="auto"/>
                      <w:sz w:val="18"/>
                      <w:szCs w:val="18"/>
                    </w:rPr>
                    <w:t>3</w:t>
                  </w:r>
                  <w:r>
                    <w:rPr>
                      <w:rFonts w:hint="eastAsia"/>
                      <w:color w:val="auto"/>
                      <w:sz w:val="18"/>
                      <w:szCs w:val="18"/>
                    </w:rPr>
                    <w:t>）</w:t>
                  </w:r>
                </w:p>
              </w:tc>
            </w:tr>
            <w:tr w14:paraId="0835C1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90" w:hRule="atLeast"/>
                <w:jc w:val="center"/>
              </w:trPr>
              <w:tc>
                <w:tcPr>
                  <w:tcW w:w="671" w:type="dxa"/>
                  <w:vMerge w:val="continue"/>
                  <w:tcBorders>
                    <w:tl2br w:val="nil"/>
                    <w:tr2bl w:val="nil"/>
                  </w:tcBorders>
                  <w:tcMar>
                    <w:top w:w="0" w:type="dxa"/>
                    <w:left w:w="113" w:type="dxa"/>
                    <w:bottom w:w="0" w:type="dxa"/>
                    <w:right w:w="113" w:type="dxa"/>
                  </w:tcMar>
                  <w:vAlign w:val="center"/>
                </w:tcPr>
                <w:p w14:paraId="293E06F2">
                  <w:pPr>
                    <w:widowControl/>
                    <w:spacing w:line="400" w:lineRule="atLeast"/>
                    <w:jc w:val="center"/>
                    <w:rPr>
                      <w:color w:val="auto"/>
                      <w:kern w:val="0"/>
                      <w:sz w:val="18"/>
                      <w:szCs w:val="18"/>
                    </w:rPr>
                  </w:pPr>
                </w:p>
              </w:tc>
              <w:tc>
                <w:tcPr>
                  <w:tcW w:w="1060" w:type="dxa"/>
                  <w:vMerge w:val="continue"/>
                  <w:tcBorders>
                    <w:tl2br w:val="nil"/>
                    <w:tr2bl w:val="nil"/>
                  </w:tcBorders>
                  <w:tcMar>
                    <w:top w:w="0" w:type="dxa"/>
                    <w:left w:w="113" w:type="dxa"/>
                    <w:bottom w:w="0" w:type="dxa"/>
                    <w:right w:w="113" w:type="dxa"/>
                  </w:tcMar>
                  <w:vAlign w:val="center"/>
                </w:tcPr>
                <w:p w14:paraId="0E84ADAD">
                  <w:pPr>
                    <w:snapToGrid w:val="0"/>
                    <w:ind w:left="-78" w:leftChars="-37" w:right="-80" w:rightChars="-38"/>
                    <w:jc w:val="center"/>
                    <w:rPr>
                      <w:rFonts w:hint="eastAsia" w:ascii="Times New Roman" w:hAnsi="Times New Roman" w:eastAsia="宋体" w:cs="Times New Roman"/>
                      <w:bCs/>
                      <w:color w:val="auto"/>
                      <w:sz w:val="18"/>
                      <w:szCs w:val="18"/>
                      <w:lang w:val="en-US" w:eastAsia="zh-CN"/>
                    </w:rPr>
                  </w:pPr>
                </w:p>
              </w:tc>
              <w:tc>
                <w:tcPr>
                  <w:tcW w:w="1030" w:type="dxa"/>
                  <w:vMerge w:val="continue"/>
                  <w:tcBorders>
                    <w:tl2br w:val="nil"/>
                    <w:tr2bl w:val="nil"/>
                  </w:tcBorders>
                  <w:tcMar>
                    <w:top w:w="0" w:type="dxa"/>
                    <w:left w:w="113" w:type="dxa"/>
                    <w:bottom w:w="0" w:type="dxa"/>
                    <w:right w:w="113" w:type="dxa"/>
                  </w:tcMar>
                  <w:vAlign w:val="center"/>
                </w:tcPr>
                <w:p w14:paraId="7E96D60E">
                  <w:pPr>
                    <w:snapToGrid w:val="0"/>
                    <w:ind w:left="-78" w:leftChars="-37" w:right="-80" w:rightChars="-38"/>
                    <w:jc w:val="center"/>
                    <w:rPr>
                      <w:rFonts w:hint="eastAsia" w:ascii="Times New Roman" w:hAnsi="Times New Roman" w:eastAsia="宋体" w:cs="Times New Roman"/>
                      <w:bCs/>
                      <w:color w:val="auto"/>
                      <w:sz w:val="18"/>
                      <w:szCs w:val="18"/>
                      <w:lang w:val="en-US" w:eastAsia="zh-CN"/>
                    </w:rPr>
                  </w:pPr>
                </w:p>
              </w:tc>
              <w:tc>
                <w:tcPr>
                  <w:tcW w:w="873" w:type="dxa"/>
                  <w:vMerge w:val="continue"/>
                  <w:tcBorders>
                    <w:tl2br w:val="nil"/>
                    <w:tr2bl w:val="nil"/>
                  </w:tcBorders>
                  <w:tcMar>
                    <w:top w:w="0" w:type="dxa"/>
                    <w:left w:w="113" w:type="dxa"/>
                    <w:bottom w:w="0" w:type="dxa"/>
                    <w:right w:w="113" w:type="dxa"/>
                  </w:tcMar>
                  <w:vAlign w:val="center"/>
                </w:tcPr>
                <w:p w14:paraId="0334C402">
                  <w:pPr>
                    <w:snapToGrid w:val="0"/>
                    <w:ind w:left="-78" w:leftChars="-37" w:right="-80" w:rightChars="-38"/>
                    <w:jc w:val="center"/>
                    <w:rPr>
                      <w:bCs/>
                      <w:color w:val="auto"/>
                      <w:sz w:val="18"/>
                      <w:szCs w:val="18"/>
                    </w:rPr>
                  </w:pPr>
                </w:p>
              </w:tc>
              <w:tc>
                <w:tcPr>
                  <w:tcW w:w="835" w:type="dxa"/>
                  <w:vMerge w:val="continue"/>
                  <w:tcBorders>
                    <w:tl2br w:val="nil"/>
                    <w:tr2bl w:val="nil"/>
                  </w:tcBorders>
                  <w:tcMar>
                    <w:top w:w="0" w:type="dxa"/>
                    <w:left w:w="113" w:type="dxa"/>
                    <w:bottom w:w="0" w:type="dxa"/>
                    <w:right w:w="113" w:type="dxa"/>
                  </w:tcMar>
                  <w:vAlign w:val="center"/>
                </w:tcPr>
                <w:p w14:paraId="2CDE3DFE">
                  <w:pPr>
                    <w:widowControl/>
                    <w:spacing w:line="400" w:lineRule="atLeast"/>
                    <w:jc w:val="center"/>
                    <w:rPr>
                      <w:color w:val="auto"/>
                      <w:kern w:val="0"/>
                      <w:sz w:val="18"/>
                      <w:szCs w:val="18"/>
                    </w:rPr>
                  </w:pPr>
                </w:p>
              </w:tc>
              <w:tc>
                <w:tcPr>
                  <w:tcW w:w="793" w:type="dxa"/>
                  <w:vMerge w:val="continue"/>
                  <w:tcBorders>
                    <w:tl2br w:val="nil"/>
                    <w:tr2bl w:val="nil"/>
                  </w:tcBorders>
                  <w:tcMar>
                    <w:top w:w="0" w:type="dxa"/>
                    <w:left w:w="113" w:type="dxa"/>
                    <w:bottom w:w="0" w:type="dxa"/>
                    <w:right w:w="113" w:type="dxa"/>
                  </w:tcMar>
                  <w:vAlign w:val="center"/>
                </w:tcPr>
                <w:p w14:paraId="11F73646">
                  <w:pPr>
                    <w:widowControl/>
                    <w:spacing w:line="400" w:lineRule="atLeast"/>
                    <w:jc w:val="center"/>
                    <w:rPr>
                      <w:color w:val="auto"/>
                      <w:kern w:val="0"/>
                      <w:sz w:val="18"/>
                      <w:szCs w:val="18"/>
                    </w:rPr>
                  </w:pPr>
                </w:p>
              </w:tc>
              <w:tc>
                <w:tcPr>
                  <w:tcW w:w="772" w:type="dxa"/>
                  <w:vMerge w:val="continue"/>
                  <w:tcBorders>
                    <w:tl2br w:val="nil"/>
                    <w:tr2bl w:val="nil"/>
                  </w:tcBorders>
                  <w:tcMar>
                    <w:top w:w="0" w:type="dxa"/>
                    <w:left w:w="113" w:type="dxa"/>
                    <w:bottom w:w="0" w:type="dxa"/>
                    <w:right w:w="113" w:type="dxa"/>
                  </w:tcMar>
                  <w:vAlign w:val="center"/>
                </w:tcPr>
                <w:p w14:paraId="6A69C454">
                  <w:pPr>
                    <w:widowControl/>
                    <w:spacing w:line="400" w:lineRule="atLeast"/>
                    <w:jc w:val="center"/>
                    <w:rPr>
                      <w:color w:val="auto"/>
                      <w:kern w:val="0"/>
                      <w:sz w:val="18"/>
                      <w:szCs w:val="18"/>
                    </w:rPr>
                  </w:pPr>
                </w:p>
              </w:tc>
              <w:tc>
                <w:tcPr>
                  <w:tcW w:w="1050" w:type="dxa"/>
                  <w:tcBorders>
                    <w:tl2br w:val="nil"/>
                    <w:tr2bl w:val="nil"/>
                  </w:tcBorders>
                  <w:tcMar>
                    <w:top w:w="0" w:type="dxa"/>
                    <w:left w:w="113" w:type="dxa"/>
                    <w:bottom w:w="0" w:type="dxa"/>
                    <w:right w:w="113" w:type="dxa"/>
                  </w:tcMar>
                  <w:vAlign w:val="center"/>
                </w:tcPr>
                <w:p w14:paraId="3C3CA5B4">
                  <w:pPr>
                    <w:pStyle w:val="6"/>
                    <w:ind w:firstLine="0" w:firstLineChars="0"/>
                    <w:jc w:val="center"/>
                    <w:rPr>
                      <w:bCs/>
                      <w:color w:val="auto"/>
                      <w:sz w:val="18"/>
                      <w:szCs w:val="18"/>
                    </w:rPr>
                  </w:pPr>
                  <w:r>
                    <w:rPr>
                      <w:color w:val="auto"/>
                      <w:sz w:val="18"/>
                      <w:szCs w:val="18"/>
                    </w:rPr>
                    <w:t>TN</w:t>
                  </w:r>
                </w:p>
              </w:tc>
              <w:tc>
                <w:tcPr>
                  <w:tcW w:w="954" w:type="dxa"/>
                  <w:tcBorders>
                    <w:tl2br w:val="nil"/>
                    <w:tr2bl w:val="nil"/>
                  </w:tcBorders>
                  <w:tcMar>
                    <w:top w:w="0" w:type="dxa"/>
                    <w:left w:w="113" w:type="dxa"/>
                    <w:bottom w:w="0" w:type="dxa"/>
                    <w:right w:w="113" w:type="dxa"/>
                  </w:tcMar>
                  <w:vAlign w:val="center"/>
                </w:tcPr>
                <w:p w14:paraId="2E4015FB">
                  <w:pPr>
                    <w:adjustRightInd w:val="0"/>
                    <w:snapToGrid w:val="0"/>
                    <w:jc w:val="center"/>
                    <w:rPr>
                      <w:bCs/>
                      <w:color w:val="auto"/>
                      <w:sz w:val="18"/>
                      <w:szCs w:val="18"/>
                    </w:rPr>
                  </w:pPr>
                  <w:r>
                    <w:rPr>
                      <w:color w:val="auto"/>
                      <w:sz w:val="18"/>
                      <w:szCs w:val="18"/>
                    </w:rPr>
                    <w:t>10</w:t>
                  </w:r>
                </w:p>
              </w:tc>
            </w:tr>
            <w:tr w14:paraId="48578D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90" w:hRule="atLeast"/>
                <w:jc w:val="center"/>
              </w:trPr>
              <w:tc>
                <w:tcPr>
                  <w:tcW w:w="671" w:type="dxa"/>
                  <w:vMerge w:val="continue"/>
                  <w:tcBorders>
                    <w:tl2br w:val="nil"/>
                    <w:tr2bl w:val="nil"/>
                  </w:tcBorders>
                  <w:tcMar>
                    <w:top w:w="0" w:type="dxa"/>
                    <w:left w:w="113" w:type="dxa"/>
                    <w:bottom w:w="0" w:type="dxa"/>
                    <w:right w:w="113" w:type="dxa"/>
                  </w:tcMar>
                  <w:vAlign w:val="center"/>
                </w:tcPr>
                <w:p w14:paraId="00AEEB3B">
                  <w:pPr>
                    <w:widowControl/>
                    <w:spacing w:line="400" w:lineRule="atLeast"/>
                    <w:jc w:val="center"/>
                    <w:rPr>
                      <w:color w:val="auto"/>
                      <w:kern w:val="0"/>
                      <w:sz w:val="18"/>
                      <w:szCs w:val="18"/>
                    </w:rPr>
                  </w:pPr>
                </w:p>
              </w:tc>
              <w:tc>
                <w:tcPr>
                  <w:tcW w:w="1060" w:type="dxa"/>
                  <w:vMerge w:val="continue"/>
                  <w:tcBorders>
                    <w:tl2br w:val="nil"/>
                    <w:tr2bl w:val="nil"/>
                  </w:tcBorders>
                  <w:tcMar>
                    <w:top w:w="0" w:type="dxa"/>
                    <w:left w:w="113" w:type="dxa"/>
                    <w:bottom w:w="0" w:type="dxa"/>
                    <w:right w:w="113" w:type="dxa"/>
                  </w:tcMar>
                  <w:vAlign w:val="center"/>
                </w:tcPr>
                <w:p w14:paraId="5F7644CF">
                  <w:pPr>
                    <w:snapToGrid w:val="0"/>
                    <w:ind w:left="-78" w:leftChars="-37" w:right="-80" w:rightChars="-38"/>
                    <w:jc w:val="center"/>
                    <w:rPr>
                      <w:rFonts w:hint="eastAsia" w:ascii="Times New Roman" w:hAnsi="Times New Roman" w:eastAsia="宋体" w:cs="Times New Roman"/>
                      <w:bCs/>
                      <w:color w:val="auto"/>
                      <w:sz w:val="18"/>
                      <w:szCs w:val="18"/>
                      <w:lang w:val="en-US" w:eastAsia="zh-CN"/>
                    </w:rPr>
                  </w:pPr>
                </w:p>
              </w:tc>
              <w:tc>
                <w:tcPr>
                  <w:tcW w:w="1030" w:type="dxa"/>
                  <w:vMerge w:val="continue"/>
                  <w:tcBorders>
                    <w:tl2br w:val="nil"/>
                    <w:tr2bl w:val="nil"/>
                  </w:tcBorders>
                  <w:tcMar>
                    <w:top w:w="0" w:type="dxa"/>
                    <w:left w:w="113" w:type="dxa"/>
                    <w:bottom w:w="0" w:type="dxa"/>
                    <w:right w:w="113" w:type="dxa"/>
                  </w:tcMar>
                  <w:vAlign w:val="center"/>
                </w:tcPr>
                <w:p w14:paraId="1312E57E">
                  <w:pPr>
                    <w:snapToGrid w:val="0"/>
                    <w:ind w:left="-78" w:leftChars="-37" w:right="-80" w:rightChars="-38"/>
                    <w:jc w:val="center"/>
                    <w:rPr>
                      <w:rFonts w:hint="eastAsia" w:ascii="Times New Roman" w:hAnsi="Times New Roman" w:eastAsia="宋体" w:cs="Times New Roman"/>
                      <w:bCs/>
                      <w:color w:val="auto"/>
                      <w:sz w:val="18"/>
                      <w:szCs w:val="18"/>
                      <w:lang w:val="en-US" w:eastAsia="zh-CN"/>
                    </w:rPr>
                  </w:pPr>
                </w:p>
              </w:tc>
              <w:tc>
                <w:tcPr>
                  <w:tcW w:w="873" w:type="dxa"/>
                  <w:vMerge w:val="continue"/>
                  <w:tcBorders>
                    <w:tl2br w:val="nil"/>
                    <w:tr2bl w:val="nil"/>
                  </w:tcBorders>
                  <w:tcMar>
                    <w:top w:w="0" w:type="dxa"/>
                    <w:left w:w="113" w:type="dxa"/>
                    <w:bottom w:w="0" w:type="dxa"/>
                    <w:right w:w="113" w:type="dxa"/>
                  </w:tcMar>
                  <w:vAlign w:val="center"/>
                </w:tcPr>
                <w:p w14:paraId="6D62901A">
                  <w:pPr>
                    <w:snapToGrid w:val="0"/>
                    <w:ind w:left="-78" w:leftChars="-37" w:right="-80" w:rightChars="-38"/>
                    <w:jc w:val="center"/>
                    <w:rPr>
                      <w:bCs/>
                      <w:color w:val="auto"/>
                      <w:sz w:val="18"/>
                      <w:szCs w:val="18"/>
                    </w:rPr>
                  </w:pPr>
                </w:p>
              </w:tc>
              <w:tc>
                <w:tcPr>
                  <w:tcW w:w="835" w:type="dxa"/>
                  <w:vMerge w:val="continue"/>
                  <w:tcBorders>
                    <w:tl2br w:val="nil"/>
                    <w:tr2bl w:val="nil"/>
                  </w:tcBorders>
                  <w:tcMar>
                    <w:top w:w="0" w:type="dxa"/>
                    <w:left w:w="113" w:type="dxa"/>
                    <w:bottom w:w="0" w:type="dxa"/>
                    <w:right w:w="113" w:type="dxa"/>
                  </w:tcMar>
                  <w:vAlign w:val="center"/>
                </w:tcPr>
                <w:p w14:paraId="0155A63D">
                  <w:pPr>
                    <w:widowControl/>
                    <w:spacing w:line="400" w:lineRule="atLeast"/>
                    <w:jc w:val="center"/>
                    <w:rPr>
                      <w:color w:val="auto"/>
                      <w:kern w:val="0"/>
                      <w:sz w:val="18"/>
                      <w:szCs w:val="18"/>
                    </w:rPr>
                  </w:pPr>
                </w:p>
              </w:tc>
              <w:tc>
                <w:tcPr>
                  <w:tcW w:w="793" w:type="dxa"/>
                  <w:vMerge w:val="continue"/>
                  <w:tcBorders>
                    <w:tl2br w:val="nil"/>
                    <w:tr2bl w:val="nil"/>
                  </w:tcBorders>
                  <w:tcMar>
                    <w:top w:w="0" w:type="dxa"/>
                    <w:left w:w="113" w:type="dxa"/>
                    <w:bottom w:w="0" w:type="dxa"/>
                    <w:right w:w="113" w:type="dxa"/>
                  </w:tcMar>
                  <w:vAlign w:val="center"/>
                </w:tcPr>
                <w:p w14:paraId="657C5E41">
                  <w:pPr>
                    <w:widowControl/>
                    <w:spacing w:line="400" w:lineRule="atLeast"/>
                    <w:jc w:val="center"/>
                    <w:rPr>
                      <w:color w:val="auto"/>
                      <w:kern w:val="0"/>
                      <w:sz w:val="18"/>
                      <w:szCs w:val="18"/>
                    </w:rPr>
                  </w:pPr>
                </w:p>
              </w:tc>
              <w:tc>
                <w:tcPr>
                  <w:tcW w:w="772" w:type="dxa"/>
                  <w:vMerge w:val="continue"/>
                  <w:tcBorders>
                    <w:tl2br w:val="nil"/>
                    <w:tr2bl w:val="nil"/>
                  </w:tcBorders>
                  <w:tcMar>
                    <w:top w:w="0" w:type="dxa"/>
                    <w:left w:w="113" w:type="dxa"/>
                    <w:bottom w:w="0" w:type="dxa"/>
                    <w:right w:w="113" w:type="dxa"/>
                  </w:tcMar>
                  <w:vAlign w:val="center"/>
                </w:tcPr>
                <w:p w14:paraId="4DEB77F8">
                  <w:pPr>
                    <w:widowControl/>
                    <w:spacing w:line="400" w:lineRule="atLeast"/>
                    <w:jc w:val="center"/>
                    <w:rPr>
                      <w:color w:val="auto"/>
                      <w:kern w:val="0"/>
                      <w:sz w:val="18"/>
                      <w:szCs w:val="18"/>
                    </w:rPr>
                  </w:pPr>
                </w:p>
              </w:tc>
              <w:tc>
                <w:tcPr>
                  <w:tcW w:w="1050" w:type="dxa"/>
                  <w:tcBorders>
                    <w:tl2br w:val="nil"/>
                    <w:tr2bl w:val="nil"/>
                  </w:tcBorders>
                  <w:tcMar>
                    <w:top w:w="0" w:type="dxa"/>
                    <w:left w:w="113" w:type="dxa"/>
                    <w:bottom w:w="0" w:type="dxa"/>
                    <w:right w:w="113" w:type="dxa"/>
                  </w:tcMar>
                  <w:vAlign w:val="center"/>
                </w:tcPr>
                <w:p w14:paraId="24863F1F">
                  <w:pPr>
                    <w:pStyle w:val="6"/>
                    <w:ind w:firstLine="0" w:firstLineChars="0"/>
                    <w:jc w:val="center"/>
                    <w:rPr>
                      <w:bCs/>
                      <w:color w:val="auto"/>
                      <w:sz w:val="18"/>
                      <w:szCs w:val="18"/>
                    </w:rPr>
                  </w:pPr>
                  <w:r>
                    <w:rPr>
                      <w:color w:val="auto"/>
                      <w:sz w:val="18"/>
                      <w:szCs w:val="18"/>
                    </w:rPr>
                    <w:t>TP</w:t>
                  </w:r>
                </w:p>
              </w:tc>
              <w:tc>
                <w:tcPr>
                  <w:tcW w:w="954" w:type="dxa"/>
                  <w:tcBorders>
                    <w:tl2br w:val="nil"/>
                    <w:tr2bl w:val="nil"/>
                  </w:tcBorders>
                  <w:tcMar>
                    <w:top w:w="0" w:type="dxa"/>
                    <w:left w:w="113" w:type="dxa"/>
                    <w:bottom w:w="0" w:type="dxa"/>
                    <w:right w:w="113" w:type="dxa"/>
                  </w:tcMar>
                  <w:vAlign w:val="center"/>
                </w:tcPr>
                <w:p w14:paraId="0BEDC238">
                  <w:pPr>
                    <w:adjustRightInd w:val="0"/>
                    <w:snapToGrid w:val="0"/>
                    <w:jc w:val="center"/>
                    <w:rPr>
                      <w:bCs/>
                      <w:color w:val="auto"/>
                      <w:sz w:val="18"/>
                      <w:szCs w:val="18"/>
                    </w:rPr>
                  </w:pPr>
                  <w:r>
                    <w:rPr>
                      <w:color w:val="auto"/>
                      <w:sz w:val="18"/>
                      <w:szCs w:val="18"/>
                    </w:rPr>
                    <w:t>0.3</w:t>
                  </w:r>
                </w:p>
              </w:tc>
            </w:tr>
            <w:tr w14:paraId="7DECF9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90" w:hRule="atLeast"/>
                <w:jc w:val="center"/>
              </w:trPr>
              <w:tc>
                <w:tcPr>
                  <w:tcW w:w="671" w:type="dxa"/>
                  <w:vMerge w:val="continue"/>
                  <w:tcBorders>
                    <w:tl2br w:val="nil"/>
                    <w:tr2bl w:val="nil"/>
                  </w:tcBorders>
                  <w:tcMar>
                    <w:top w:w="0" w:type="dxa"/>
                    <w:left w:w="113" w:type="dxa"/>
                    <w:bottom w:w="0" w:type="dxa"/>
                    <w:right w:w="113" w:type="dxa"/>
                  </w:tcMar>
                  <w:vAlign w:val="center"/>
                </w:tcPr>
                <w:p w14:paraId="3A0398AB">
                  <w:pPr>
                    <w:widowControl/>
                    <w:spacing w:line="400" w:lineRule="atLeast"/>
                    <w:jc w:val="center"/>
                    <w:rPr>
                      <w:color w:val="auto"/>
                      <w:kern w:val="0"/>
                      <w:sz w:val="18"/>
                      <w:szCs w:val="18"/>
                    </w:rPr>
                  </w:pPr>
                </w:p>
              </w:tc>
              <w:tc>
                <w:tcPr>
                  <w:tcW w:w="1060" w:type="dxa"/>
                  <w:vMerge w:val="continue"/>
                  <w:tcBorders>
                    <w:tl2br w:val="nil"/>
                    <w:tr2bl w:val="nil"/>
                  </w:tcBorders>
                  <w:tcMar>
                    <w:top w:w="0" w:type="dxa"/>
                    <w:left w:w="113" w:type="dxa"/>
                    <w:bottom w:w="0" w:type="dxa"/>
                    <w:right w:w="113" w:type="dxa"/>
                  </w:tcMar>
                  <w:vAlign w:val="center"/>
                </w:tcPr>
                <w:p w14:paraId="2AAF791E">
                  <w:pPr>
                    <w:snapToGrid w:val="0"/>
                    <w:ind w:left="-78" w:leftChars="-37" w:right="-80" w:rightChars="-38"/>
                    <w:jc w:val="center"/>
                    <w:rPr>
                      <w:rFonts w:hint="eastAsia" w:ascii="Times New Roman" w:hAnsi="Times New Roman" w:eastAsia="宋体" w:cs="Times New Roman"/>
                      <w:bCs/>
                      <w:color w:val="auto"/>
                      <w:sz w:val="18"/>
                      <w:szCs w:val="18"/>
                      <w:lang w:val="en-US" w:eastAsia="zh-CN"/>
                    </w:rPr>
                  </w:pPr>
                </w:p>
              </w:tc>
              <w:tc>
                <w:tcPr>
                  <w:tcW w:w="1030" w:type="dxa"/>
                  <w:vMerge w:val="continue"/>
                  <w:tcBorders>
                    <w:tl2br w:val="nil"/>
                    <w:tr2bl w:val="nil"/>
                  </w:tcBorders>
                  <w:tcMar>
                    <w:top w:w="0" w:type="dxa"/>
                    <w:left w:w="113" w:type="dxa"/>
                    <w:bottom w:w="0" w:type="dxa"/>
                    <w:right w:w="113" w:type="dxa"/>
                  </w:tcMar>
                  <w:vAlign w:val="center"/>
                </w:tcPr>
                <w:p w14:paraId="57AD6495">
                  <w:pPr>
                    <w:snapToGrid w:val="0"/>
                    <w:ind w:left="-78" w:leftChars="-37" w:right="-80" w:rightChars="-38"/>
                    <w:jc w:val="center"/>
                    <w:rPr>
                      <w:rFonts w:hint="eastAsia" w:ascii="Times New Roman" w:hAnsi="Times New Roman" w:eastAsia="宋体" w:cs="Times New Roman"/>
                      <w:bCs/>
                      <w:color w:val="auto"/>
                      <w:sz w:val="18"/>
                      <w:szCs w:val="18"/>
                      <w:lang w:val="en-US" w:eastAsia="zh-CN"/>
                    </w:rPr>
                  </w:pPr>
                </w:p>
              </w:tc>
              <w:tc>
                <w:tcPr>
                  <w:tcW w:w="873" w:type="dxa"/>
                  <w:vMerge w:val="continue"/>
                  <w:tcBorders>
                    <w:tl2br w:val="nil"/>
                    <w:tr2bl w:val="nil"/>
                  </w:tcBorders>
                  <w:tcMar>
                    <w:top w:w="0" w:type="dxa"/>
                    <w:left w:w="113" w:type="dxa"/>
                    <w:bottom w:w="0" w:type="dxa"/>
                    <w:right w:w="113" w:type="dxa"/>
                  </w:tcMar>
                  <w:vAlign w:val="center"/>
                </w:tcPr>
                <w:p w14:paraId="5E4C0CFE">
                  <w:pPr>
                    <w:snapToGrid w:val="0"/>
                    <w:ind w:left="-78" w:leftChars="-37" w:right="-80" w:rightChars="-38"/>
                    <w:jc w:val="center"/>
                    <w:rPr>
                      <w:bCs/>
                      <w:color w:val="auto"/>
                      <w:sz w:val="18"/>
                      <w:szCs w:val="18"/>
                    </w:rPr>
                  </w:pPr>
                </w:p>
              </w:tc>
              <w:tc>
                <w:tcPr>
                  <w:tcW w:w="835" w:type="dxa"/>
                  <w:vMerge w:val="continue"/>
                  <w:tcBorders>
                    <w:tl2br w:val="nil"/>
                    <w:tr2bl w:val="nil"/>
                  </w:tcBorders>
                  <w:tcMar>
                    <w:top w:w="0" w:type="dxa"/>
                    <w:left w:w="113" w:type="dxa"/>
                    <w:bottom w:w="0" w:type="dxa"/>
                    <w:right w:w="113" w:type="dxa"/>
                  </w:tcMar>
                  <w:vAlign w:val="center"/>
                </w:tcPr>
                <w:p w14:paraId="325F328C">
                  <w:pPr>
                    <w:widowControl/>
                    <w:spacing w:line="400" w:lineRule="atLeast"/>
                    <w:jc w:val="center"/>
                    <w:rPr>
                      <w:color w:val="auto"/>
                      <w:kern w:val="0"/>
                      <w:sz w:val="18"/>
                      <w:szCs w:val="18"/>
                    </w:rPr>
                  </w:pPr>
                </w:p>
              </w:tc>
              <w:tc>
                <w:tcPr>
                  <w:tcW w:w="793" w:type="dxa"/>
                  <w:vMerge w:val="continue"/>
                  <w:tcBorders>
                    <w:tl2br w:val="nil"/>
                    <w:tr2bl w:val="nil"/>
                  </w:tcBorders>
                  <w:tcMar>
                    <w:top w:w="0" w:type="dxa"/>
                    <w:left w:w="113" w:type="dxa"/>
                    <w:bottom w:w="0" w:type="dxa"/>
                    <w:right w:w="113" w:type="dxa"/>
                  </w:tcMar>
                  <w:vAlign w:val="center"/>
                </w:tcPr>
                <w:p w14:paraId="04589ABC">
                  <w:pPr>
                    <w:widowControl/>
                    <w:spacing w:line="400" w:lineRule="atLeast"/>
                    <w:jc w:val="center"/>
                    <w:rPr>
                      <w:color w:val="auto"/>
                      <w:kern w:val="0"/>
                      <w:sz w:val="18"/>
                      <w:szCs w:val="18"/>
                    </w:rPr>
                  </w:pPr>
                </w:p>
              </w:tc>
              <w:tc>
                <w:tcPr>
                  <w:tcW w:w="772" w:type="dxa"/>
                  <w:vMerge w:val="continue"/>
                  <w:tcBorders>
                    <w:tl2br w:val="nil"/>
                    <w:tr2bl w:val="nil"/>
                  </w:tcBorders>
                  <w:tcMar>
                    <w:top w:w="0" w:type="dxa"/>
                    <w:left w:w="113" w:type="dxa"/>
                    <w:bottom w:w="0" w:type="dxa"/>
                    <w:right w:w="113" w:type="dxa"/>
                  </w:tcMar>
                  <w:vAlign w:val="center"/>
                </w:tcPr>
                <w:p w14:paraId="3DAA6CFD">
                  <w:pPr>
                    <w:widowControl/>
                    <w:spacing w:line="400" w:lineRule="atLeast"/>
                    <w:jc w:val="center"/>
                    <w:rPr>
                      <w:color w:val="auto"/>
                      <w:kern w:val="0"/>
                      <w:sz w:val="18"/>
                      <w:szCs w:val="18"/>
                    </w:rPr>
                  </w:pPr>
                </w:p>
              </w:tc>
              <w:tc>
                <w:tcPr>
                  <w:tcW w:w="1050" w:type="dxa"/>
                  <w:tcBorders>
                    <w:tl2br w:val="nil"/>
                    <w:tr2bl w:val="nil"/>
                  </w:tcBorders>
                  <w:tcMar>
                    <w:top w:w="0" w:type="dxa"/>
                    <w:left w:w="113" w:type="dxa"/>
                    <w:bottom w:w="0" w:type="dxa"/>
                    <w:right w:w="113" w:type="dxa"/>
                  </w:tcMar>
                  <w:vAlign w:val="center"/>
                </w:tcPr>
                <w:p w14:paraId="45823E85">
                  <w:pPr>
                    <w:pStyle w:val="6"/>
                    <w:ind w:firstLine="0" w:firstLineChars="0"/>
                    <w:jc w:val="center"/>
                    <w:rPr>
                      <w:bCs/>
                      <w:color w:val="auto"/>
                      <w:sz w:val="18"/>
                      <w:szCs w:val="18"/>
                    </w:rPr>
                  </w:pPr>
                  <w:r>
                    <w:rPr>
                      <w:color w:val="auto"/>
                      <w:sz w:val="18"/>
                      <w:szCs w:val="18"/>
                    </w:rPr>
                    <w:t>SS</w:t>
                  </w:r>
                </w:p>
              </w:tc>
              <w:tc>
                <w:tcPr>
                  <w:tcW w:w="954" w:type="dxa"/>
                  <w:tcBorders>
                    <w:tl2br w:val="nil"/>
                    <w:tr2bl w:val="nil"/>
                  </w:tcBorders>
                  <w:tcMar>
                    <w:top w:w="0" w:type="dxa"/>
                    <w:left w:w="113" w:type="dxa"/>
                    <w:bottom w:w="0" w:type="dxa"/>
                    <w:right w:w="113" w:type="dxa"/>
                  </w:tcMar>
                  <w:vAlign w:val="center"/>
                </w:tcPr>
                <w:p w14:paraId="357BC104">
                  <w:pPr>
                    <w:pStyle w:val="6"/>
                    <w:ind w:firstLine="0" w:firstLineChars="0"/>
                    <w:jc w:val="center"/>
                    <w:rPr>
                      <w:bCs/>
                      <w:color w:val="auto"/>
                      <w:sz w:val="18"/>
                      <w:szCs w:val="18"/>
                    </w:rPr>
                  </w:pPr>
                  <w:r>
                    <w:rPr>
                      <w:bCs/>
                      <w:color w:val="auto"/>
                      <w:sz w:val="18"/>
                      <w:szCs w:val="18"/>
                    </w:rPr>
                    <w:t>10</w:t>
                  </w:r>
                </w:p>
              </w:tc>
            </w:tr>
            <w:tr w14:paraId="75538EB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178" w:hRule="atLeast"/>
                <w:jc w:val="center"/>
              </w:trPr>
              <w:tc>
                <w:tcPr>
                  <w:tcW w:w="671" w:type="dxa"/>
                  <w:vMerge w:val="restart"/>
                  <w:tcBorders>
                    <w:tl2br w:val="nil"/>
                    <w:tr2bl w:val="nil"/>
                  </w:tcBorders>
                  <w:tcMar>
                    <w:top w:w="0" w:type="dxa"/>
                    <w:left w:w="113" w:type="dxa"/>
                    <w:bottom w:w="0" w:type="dxa"/>
                    <w:right w:w="113" w:type="dxa"/>
                  </w:tcMar>
                  <w:vAlign w:val="center"/>
                </w:tcPr>
                <w:p w14:paraId="3BBDA362">
                  <w:pPr>
                    <w:widowControl/>
                    <w:jc w:val="center"/>
                    <w:rPr>
                      <w:color w:val="auto"/>
                      <w:kern w:val="0"/>
                      <w:sz w:val="18"/>
                      <w:szCs w:val="18"/>
                    </w:rPr>
                  </w:pPr>
                  <w:r>
                    <w:rPr>
                      <w:color w:val="auto"/>
                      <w:kern w:val="0"/>
                      <w:sz w:val="18"/>
                      <w:szCs w:val="18"/>
                    </w:rPr>
                    <w:t>DW002</w:t>
                  </w:r>
                </w:p>
              </w:tc>
              <w:tc>
                <w:tcPr>
                  <w:tcW w:w="1060" w:type="dxa"/>
                  <w:vMerge w:val="restart"/>
                  <w:tcBorders>
                    <w:tl2br w:val="nil"/>
                    <w:tr2bl w:val="nil"/>
                  </w:tcBorders>
                  <w:tcMar>
                    <w:top w:w="0" w:type="dxa"/>
                    <w:left w:w="113" w:type="dxa"/>
                    <w:bottom w:w="0" w:type="dxa"/>
                    <w:right w:w="113" w:type="dxa"/>
                  </w:tcMar>
                  <w:vAlign w:val="center"/>
                </w:tcPr>
                <w:p w14:paraId="2E9D445E">
                  <w:pPr>
                    <w:snapToGrid w:val="0"/>
                    <w:ind w:left="-78" w:leftChars="-37" w:right="-80" w:rightChars="-38"/>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120.55937</w:t>
                  </w:r>
                </w:p>
              </w:tc>
              <w:tc>
                <w:tcPr>
                  <w:tcW w:w="1030" w:type="dxa"/>
                  <w:vMerge w:val="restart"/>
                  <w:tcBorders>
                    <w:tl2br w:val="nil"/>
                    <w:tr2bl w:val="nil"/>
                  </w:tcBorders>
                  <w:tcMar>
                    <w:top w:w="0" w:type="dxa"/>
                    <w:left w:w="113" w:type="dxa"/>
                    <w:bottom w:w="0" w:type="dxa"/>
                    <w:right w:w="113" w:type="dxa"/>
                  </w:tcMar>
                  <w:vAlign w:val="center"/>
                </w:tcPr>
                <w:p w14:paraId="5922AC1F">
                  <w:pPr>
                    <w:snapToGrid w:val="0"/>
                    <w:ind w:left="-78" w:leftChars="-37" w:right="-80" w:rightChars="-38"/>
                    <w:jc w:val="center"/>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30.84013</w:t>
                  </w:r>
                </w:p>
              </w:tc>
              <w:tc>
                <w:tcPr>
                  <w:tcW w:w="873" w:type="dxa"/>
                  <w:vMerge w:val="restart"/>
                  <w:tcBorders>
                    <w:tl2br w:val="nil"/>
                    <w:tr2bl w:val="nil"/>
                  </w:tcBorders>
                  <w:tcMar>
                    <w:top w:w="0" w:type="dxa"/>
                    <w:left w:w="113" w:type="dxa"/>
                    <w:bottom w:w="0" w:type="dxa"/>
                    <w:right w:w="113" w:type="dxa"/>
                  </w:tcMar>
                  <w:vAlign w:val="center"/>
                </w:tcPr>
                <w:p w14:paraId="649BA44B">
                  <w:pPr>
                    <w:widowControl w:val="0"/>
                    <w:adjustRightInd w:val="0"/>
                    <w:snapToGrid w:val="0"/>
                    <w:spacing w:beforeLines="0" w:afterLines="20"/>
                    <w:ind w:right="2" w:rightChars="1"/>
                    <w:jc w:val="center"/>
                    <w:rPr>
                      <w:rFonts w:hint="default"/>
                      <w:bCs/>
                      <w:color w:val="auto"/>
                      <w:sz w:val="18"/>
                      <w:szCs w:val="18"/>
                      <w:lang w:val="en-US" w:eastAsia="zh-CN"/>
                    </w:rPr>
                  </w:pPr>
                  <w:r>
                    <w:rPr>
                      <w:rFonts w:hint="eastAsia" w:ascii="Times New Roman" w:hAnsi="Times New Roman" w:eastAsia="宋体" w:cs="Times New Roman"/>
                      <w:bCs/>
                      <w:color w:val="auto"/>
                      <w:kern w:val="0"/>
                      <w:sz w:val="18"/>
                      <w:szCs w:val="18"/>
                      <w:highlight w:val="none"/>
                      <w:lang w:val="en-US" w:eastAsia="zh-CN" w:bidi="ar-SA"/>
                    </w:rPr>
                    <w:t>173740</w:t>
                  </w:r>
                </w:p>
              </w:tc>
              <w:tc>
                <w:tcPr>
                  <w:tcW w:w="835" w:type="dxa"/>
                  <w:vMerge w:val="restart"/>
                  <w:tcBorders>
                    <w:tl2br w:val="nil"/>
                    <w:tr2bl w:val="nil"/>
                  </w:tcBorders>
                  <w:tcMar>
                    <w:top w:w="0" w:type="dxa"/>
                    <w:left w:w="113" w:type="dxa"/>
                    <w:bottom w:w="0" w:type="dxa"/>
                    <w:right w:w="113" w:type="dxa"/>
                  </w:tcMar>
                  <w:vAlign w:val="center"/>
                </w:tcPr>
                <w:p w14:paraId="26AD141B">
                  <w:pPr>
                    <w:widowControl/>
                    <w:jc w:val="center"/>
                    <w:rPr>
                      <w:color w:val="auto"/>
                      <w:kern w:val="0"/>
                      <w:sz w:val="18"/>
                      <w:szCs w:val="18"/>
                    </w:rPr>
                  </w:pPr>
                  <w:r>
                    <w:rPr>
                      <w:rFonts w:hint="eastAsia"/>
                      <w:color w:val="auto"/>
                      <w:kern w:val="0"/>
                      <w:sz w:val="18"/>
                      <w:szCs w:val="18"/>
                    </w:rPr>
                    <w:t>进入城市污水处理厂</w:t>
                  </w:r>
                </w:p>
              </w:tc>
              <w:tc>
                <w:tcPr>
                  <w:tcW w:w="793" w:type="dxa"/>
                  <w:vMerge w:val="restart"/>
                  <w:tcBorders>
                    <w:tl2br w:val="nil"/>
                    <w:tr2bl w:val="nil"/>
                  </w:tcBorders>
                  <w:tcMar>
                    <w:top w:w="0" w:type="dxa"/>
                    <w:left w:w="113" w:type="dxa"/>
                    <w:bottom w:w="0" w:type="dxa"/>
                    <w:right w:w="113" w:type="dxa"/>
                  </w:tcMar>
                  <w:vAlign w:val="center"/>
                </w:tcPr>
                <w:p w14:paraId="3CDE7EAC">
                  <w:pPr>
                    <w:widowControl/>
                    <w:jc w:val="center"/>
                    <w:rPr>
                      <w:color w:val="auto"/>
                      <w:kern w:val="0"/>
                      <w:sz w:val="18"/>
                      <w:szCs w:val="18"/>
                    </w:rPr>
                  </w:pPr>
                  <w:r>
                    <w:rPr>
                      <w:rFonts w:hint="eastAsia"/>
                      <w:color w:val="auto"/>
                      <w:kern w:val="0"/>
                      <w:sz w:val="18"/>
                      <w:szCs w:val="18"/>
                    </w:rPr>
                    <w:t>间歇排放、排放期间流量不稳定</w:t>
                  </w:r>
                </w:p>
              </w:tc>
              <w:tc>
                <w:tcPr>
                  <w:tcW w:w="772" w:type="dxa"/>
                  <w:vMerge w:val="restart"/>
                  <w:tcBorders>
                    <w:tl2br w:val="nil"/>
                    <w:tr2bl w:val="nil"/>
                  </w:tcBorders>
                  <w:tcMar>
                    <w:top w:w="0" w:type="dxa"/>
                    <w:left w:w="113" w:type="dxa"/>
                    <w:bottom w:w="0" w:type="dxa"/>
                    <w:right w:w="113" w:type="dxa"/>
                  </w:tcMar>
                  <w:vAlign w:val="center"/>
                </w:tcPr>
                <w:p w14:paraId="0B0D1124">
                  <w:pPr>
                    <w:widowControl/>
                    <w:jc w:val="center"/>
                    <w:rPr>
                      <w:color w:val="auto"/>
                      <w:kern w:val="0"/>
                      <w:sz w:val="18"/>
                      <w:szCs w:val="18"/>
                    </w:rPr>
                  </w:pPr>
                  <w:r>
                    <w:rPr>
                      <w:rFonts w:hint="eastAsia"/>
                      <w:color w:val="auto"/>
                      <w:sz w:val="18"/>
                      <w:szCs w:val="18"/>
                    </w:rPr>
                    <w:t>苏州市桃源富乡污水处理有限公司</w:t>
                  </w:r>
                </w:p>
              </w:tc>
              <w:tc>
                <w:tcPr>
                  <w:tcW w:w="1050" w:type="dxa"/>
                  <w:tcBorders>
                    <w:tl2br w:val="nil"/>
                    <w:tr2bl w:val="nil"/>
                  </w:tcBorders>
                  <w:tcMar>
                    <w:top w:w="0" w:type="dxa"/>
                    <w:left w:w="113" w:type="dxa"/>
                    <w:bottom w:w="0" w:type="dxa"/>
                    <w:right w:w="113" w:type="dxa"/>
                  </w:tcMar>
                  <w:vAlign w:val="center"/>
                </w:tcPr>
                <w:p w14:paraId="3E283026">
                  <w:pPr>
                    <w:pStyle w:val="9"/>
                    <w:spacing w:before="0" w:after="0"/>
                    <w:ind w:right="0"/>
                    <w:jc w:val="center"/>
                    <w:rPr>
                      <w:bCs/>
                      <w:color w:val="auto"/>
                      <w:szCs w:val="18"/>
                    </w:rPr>
                  </w:pPr>
                  <w:r>
                    <w:rPr>
                      <w:bCs/>
                      <w:color w:val="auto"/>
                      <w:szCs w:val="18"/>
                    </w:rPr>
                    <w:t>COD</w:t>
                  </w:r>
                </w:p>
              </w:tc>
              <w:tc>
                <w:tcPr>
                  <w:tcW w:w="954" w:type="dxa"/>
                  <w:tcBorders>
                    <w:tl2br w:val="nil"/>
                    <w:tr2bl w:val="nil"/>
                  </w:tcBorders>
                  <w:tcMar>
                    <w:top w:w="0" w:type="dxa"/>
                    <w:left w:w="113" w:type="dxa"/>
                    <w:bottom w:w="0" w:type="dxa"/>
                    <w:right w:w="113" w:type="dxa"/>
                  </w:tcMar>
                  <w:vAlign w:val="center"/>
                </w:tcPr>
                <w:p w14:paraId="06BC75E3">
                  <w:pPr>
                    <w:adjustRightInd w:val="0"/>
                    <w:snapToGrid w:val="0"/>
                    <w:jc w:val="center"/>
                    <w:rPr>
                      <w:rFonts w:hint="default" w:eastAsia="宋体"/>
                      <w:color w:val="auto"/>
                      <w:sz w:val="18"/>
                      <w:szCs w:val="18"/>
                      <w:lang w:val="en-US" w:eastAsia="zh-CN"/>
                    </w:rPr>
                  </w:pPr>
                  <w:r>
                    <w:rPr>
                      <w:rFonts w:hint="eastAsia"/>
                      <w:color w:val="auto"/>
                      <w:sz w:val="18"/>
                      <w:szCs w:val="18"/>
                      <w:lang w:val="en-US" w:eastAsia="zh-CN"/>
                    </w:rPr>
                    <w:t>50</w:t>
                  </w:r>
                </w:p>
              </w:tc>
            </w:tr>
            <w:tr w14:paraId="4EFB62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173" w:hRule="atLeast"/>
                <w:jc w:val="center"/>
              </w:trPr>
              <w:tc>
                <w:tcPr>
                  <w:tcW w:w="671" w:type="dxa"/>
                  <w:vMerge w:val="continue"/>
                  <w:tcBorders>
                    <w:tl2br w:val="nil"/>
                    <w:tr2bl w:val="nil"/>
                  </w:tcBorders>
                  <w:tcMar>
                    <w:top w:w="0" w:type="dxa"/>
                    <w:left w:w="113" w:type="dxa"/>
                    <w:bottom w:w="0" w:type="dxa"/>
                    <w:right w:w="113" w:type="dxa"/>
                  </w:tcMar>
                  <w:vAlign w:val="center"/>
                </w:tcPr>
                <w:p w14:paraId="40B3FA33">
                  <w:pPr>
                    <w:pStyle w:val="6"/>
                    <w:ind w:firstLine="0" w:firstLineChars="0"/>
                    <w:jc w:val="center"/>
                    <w:rPr>
                      <w:color w:val="auto"/>
                    </w:rPr>
                  </w:pPr>
                </w:p>
              </w:tc>
              <w:tc>
                <w:tcPr>
                  <w:tcW w:w="1060" w:type="dxa"/>
                  <w:vMerge w:val="continue"/>
                  <w:tcBorders>
                    <w:tl2br w:val="nil"/>
                    <w:tr2bl w:val="nil"/>
                  </w:tcBorders>
                  <w:tcMar>
                    <w:top w:w="0" w:type="dxa"/>
                    <w:left w:w="113" w:type="dxa"/>
                    <w:bottom w:w="0" w:type="dxa"/>
                    <w:right w:w="113" w:type="dxa"/>
                  </w:tcMar>
                  <w:vAlign w:val="center"/>
                </w:tcPr>
                <w:p w14:paraId="67FF83D3">
                  <w:pPr>
                    <w:pStyle w:val="6"/>
                    <w:ind w:firstLine="0" w:firstLineChars="0"/>
                    <w:jc w:val="center"/>
                    <w:rPr>
                      <w:color w:val="auto"/>
                    </w:rPr>
                  </w:pPr>
                </w:p>
              </w:tc>
              <w:tc>
                <w:tcPr>
                  <w:tcW w:w="1030" w:type="dxa"/>
                  <w:vMerge w:val="continue"/>
                  <w:tcBorders>
                    <w:tl2br w:val="nil"/>
                    <w:tr2bl w:val="nil"/>
                  </w:tcBorders>
                  <w:tcMar>
                    <w:top w:w="0" w:type="dxa"/>
                    <w:left w:w="113" w:type="dxa"/>
                    <w:bottom w:w="0" w:type="dxa"/>
                    <w:right w:w="113" w:type="dxa"/>
                  </w:tcMar>
                  <w:vAlign w:val="center"/>
                </w:tcPr>
                <w:p w14:paraId="7F6EA9D1">
                  <w:pPr>
                    <w:pStyle w:val="6"/>
                    <w:ind w:firstLine="0" w:firstLineChars="0"/>
                    <w:jc w:val="center"/>
                    <w:rPr>
                      <w:color w:val="auto"/>
                    </w:rPr>
                  </w:pPr>
                </w:p>
              </w:tc>
              <w:tc>
                <w:tcPr>
                  <w:tcW w:w="873" w:type="dxa"/>
                  <w:vMerge w:val="continue"/>
                  <w:tcBorders>
                    <w:tl2br w:val="nil"/>
                    <w:tr2bl w:val="nil"/>
                  </w:tcBorders>
                  <w:tcMar>
                    <w:top w:w="0" w:type="dxa"/>
                    <w:left w:w="113" w:type="dxa"/>
                    <w:bottom w:w="0" w:type="dxa"/>
                    <w:right w:w="113" w:type="dxa"/>
                  </w:tcMar>
                  <w:vAlign w:val="center"/>
                </w:tcPr>
                <w:p w14:paraId="2A6C69D5">
                  <w:pPr>
                    <w:pStyle w:val="6"/>
                    <w:ind w:firstLine="0" w:firstLineChars="0"/>
                    <w:jc w:val="center"/>
                    <w:rPr>
                      <w:color w:val="auto"/>
                    </w:rPr>
                  </w:pPr>
                </w:p>
              </w:tc>
              <w:tc>
                <w:tcPr>
                  <w:tcW w:w="835" w:type="dxa"/>
                  <w:vMerge w:val="continue"/>
                  <w:tcBorders>
                    <w:tl2br w:val="nil"/>
                    <w:tr2bl w:val="nil"/>
                  </w:tcBorders>
                  <w:tcMar>
                    <w:top w:w="0" w:type="dxa"/>
                    <w:left w:w="113" w:type="dxa"/>
                    <w:bottom w:w="0" w:type="dxa"/>
                    <w:right w:w="113" w:type="dxa"/>
                  </w:tcMar>
                  <w:vAlign w:val="center"/>
                </w:tcPr>
                <w:p w14:paraId="4025AB58">
                  <w:pPr>
                    <w:pStyle w:val="6"/>
                    <w:ind w:firstLine="0" w:firstLineChars="0"/>
                    <w:jc w:val="center"/>
                    <w:rPr>
                      <w:color w:val="auto"/>
                    </w:rPr>
                  </w:pPr>
                </w:p>
              </w:tc>
              <w:tc>
                <w:tcPr>
                  <w:tcW w:w="793" w:type="dxa"/>
                  <w:vMerge w:val="continue"/>
                  <w:tcBorders>
                    <w:tl2br w:val="nil"/>
                    <w:tr2bl w:val="nil"/>
                  </w:tcBorders>
                  <w:tcMar>
                    <w:top w:w="0" w:type="dxa"/>
                    <w:left w:w="113" w:type="dxa"/>
                    <w:bottom w:w="0" w:type="dxa"/>
                    <w:right w:w="113" w:type="dxa"/>
                  </w:tcMar>
                  <w:vAlign w:val="center"/>
                </w:tcPr>
                <w:p w14:paraId="222F5FB0">
                  <w:pPr>
                    <w:pStyle w:val="6"/>
                    <w:ind w:firstLine="0" w:firstLineChars="0"/>
                    <w:jc w:val="center"/>
                    <w:rPr>
                      <w:color w:val="auto"/>
                    </w:rPr>
                  </w:pPr>
                </w:p>
              </w:tc>
              <w:tc>
                <w:tcPr>
                  <w:tcW w:w="772" w:type="dxa"/>
                  <w:vMerge w:val="continue"/>
                  <w:tcBorders>
                    <w:tl2br w:val="nil"/>
                    <w:tr2bl w:val="nil"/>
                  </w:tcBorders>
                  <w:tcMar>
                    <w:top w:w="0" w:type="dxa"/>
                    <w:left w:w="113" w:type="dxa"/>
                    <w:bottom w:w="0" w:type="dxa"/>
                    <w:right w:w="113" w:type="dxa"/>
                  </w:tcMar>
                  <w:vAlign w:val="center"/>
                </w:tcPr>
                <w:p w14:paraId="2F50042C">
                  <w:pPr>
                    <w:pStyle w:val="6"/>
                    <w:ind w:firstLine="0" w:firstLineChars="0"/>
                    <w:jc w:val="center"/>
                    <w:rPr>
                      <w:color w:val="auto"/>
                    </w:rPr>
                  </w:pPr>
                </w:p>
              </w:tc>
              <w:tc>
                <w:tcPr>
                  <w:tcW w:w="1050" w:type="dxa"/>
                  <w:tcBorders>
                    <w:tl2br w:val="nil"/>
                    <w:tr2bl w:val="nil"/>
                  </w:tcBorders>
                  <w:tcMar>
                    <w:top w:w="0" w:type="dxa"/>
                    <w:left w:w="113" w:type="dxa"/>
                    <w:bottom w:w="0" w:type="dxa"/>
                    <w:right w:w="113" w:type="dxa"/>
                  </w:tcMar>
                  <w:vAlign w:val="center"/>
                </w:tcPr>
                <w:p w14:paraId="73132B53">
                  <w:pPr>
                    <w:pStyle w:val="9"/>
                    <w:spacing w:before="0" w:after="0" w:line="240" w:lineRule="auto"/>
                    <w:ind w:right="0"/>
                    <w:jc w:val="center"/>
                    <w:rPr>
                      <w:rFonts w:hint="eastAsia" w:eastAsia="宋体"/>
                      <w:bCs/>
                      <w:color w:val="auto"/>
                      <w:szCs w:val="18"/>
                      <w:lang w:eastAsia="zh-CN"/>
                    </w:rPr>
                  </w:pPr>
                  <w:r>
                    <w:rPr>
                      <w:rFonts w:hint="eastAsia"/>
                      <w:bCs/>
                      <w:color w:val="auto"/>
                      <w:szCs w:val="18"/>
                      <w:lang w:val="en-US" w:eastAsia="zh-CN"/>
                    </w:rPr>
                    <w:t>石油类</w:t>
                  </w:r>
                </w:p>
              </w:tc>
              <w:tc>
                <w:tcPr>
                  <w:tcW w:w="954" w:type="dxa"/>
                  <w:tcBorders>
                    <w:tl2br w:val="nil"/>
                    <w:tr2bl w:val="nil"/>
                  </w:tcBorders>
                  <w:tcMar>
                    <w:top w:w="0" w:type="dxa"/>
                    <w:left w:w="113" w:type="dxa"/>
                    <w:bottom w:w="0" w:type="dxa"/>
                    <w:right w:w="113" w:type="dxa"/>
                  </w:tcMar>
                  <w:vAlign w:val="center"/>
                </w:tcPr>
                <w:p w14:paraId="5C434492">
                  <w:pPr>
                    <w:adjustRightInd w:val="0"/>
                    <w:snapToGrid w:val="0"/>
                    <w:jc w:val="center"/>
                    <w:rPr>
                      <w:rFonts w:hint="default" w:eastAsia="宋体"/>
                      <w:color w:val="auto"/>
                      <w:sz w:val="18"/>
                      <w:szCs w:val="18"/>
                      <w:lang w:val="en-US" w:eastAsia="zh-CN"/>
                    </w:rPr>
                  </w:pPr>
                  <w:r>
                    <w:rPr>
                      <w:rFonts w:hint="eastAsia"/>
                      <w:color w:val="auto"/>
                      <w:sz w:val="18"/>
                      <w:szCs w:val="18"/>
                      <w:lang w:val="en-US" w:eastAsia="zh-CN"/>
                    </w:rPr>
                    <w:t>1</w:t>
                  </w:r>
                </w:p>
              </w:tc>
            </w:tr>
            <w:tr w14:paraId="26BEFAE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90" w:hRule="atLeast"/>
                <w:jc w:val="center"/>
              </w:trPr>
              <w:tc>
                <w:tcPr>
                  <w:tcW w:w="671" w:type="dxa"/>
                  <w:vMerge w:val="continue"/>
                  <w:tcBorders>
                    <w:tl2br w:val="nil"/>
                    <w:tr2bl w:val="nil"/>
                  </w:tcBorders>
                  <w:tcMar>
                    <w:top w:w="0" w:type="dxa"/>
                    <w:left w:w="113" w:type="dxa"/>
                    <w:bottom w:w="0" w:type="dxa"/>
                    <w:right w:w="113" w:type="dxa"/>
                  </w:tcMar>
                  <w:vAlign w:val="center"/>
                </w:tcPr>
                <w:p w14:paraId="005D6944">
                  <w:pPr>
                    <w:pStyle w:val="6"/>
                    <w:ind w:firstLine="0" w:firstLineChars="0"/>
                    <w:jc w:val="center"/>
                    <w:rPr>
                      <w:color w:val="auto"/>
                      <w:sz w:val="18"/>
                      <w:szCs w:val="18"/>
                    </w:rPr>
                  </w:pPr>
                </w:p>
              </w:tc>
              <w:tc>
                <w:tcPr>
                  <w:tcW w:w="1060" w:type="dxa"/>
                  <w:vMerge w:val="continue"/>
                  <w:tcBorders>
                    <w:tl2br w:val="nil"/>
                    <w:tr2bl w:val="nil"/>
                  </w:tcBorders>
                  <w:tcMar>
                    <w:top w:w="0" w:type="dxa"/>
                    <w:left w:w="113" w:type="dxa"/>
                    <w:bottom w:w="0" w:type="dxa"/>
                    <w:right w:w="113" w:type="dxa"/>
                  </w:tcMar>
                  <w:vAlign w:val="center"/>
                </w:tcPr>
                <w:p w14:paraId="2CBE338B">
                  <w:pPr>
                    <w:pStyle w:val="6"/>
                    <w:ind w:firstLine="0" w:firstLineChars="0"/>
                    <w:jc w:val="center"/>
                    <w:rPr>
                      <w:color w:val="auto"/>
                      <w:sz w:val="18"/>
                      <w:szCs w:val="18"/>
                    </w:rPr>
                  </w:pPr>
                </w:p>
              </w:tc>
              <w:tc>
                <w:tcPr>
                  <w:tcW w:w="1030" w:type="dxa"/>
                  <w:vMerge w:val="continue"/>
                  <w:tcBorders>
                    <w:tl2br w:val="nil"/>
                    <w:tr2bl w:val="nil"/>
                  </w:tcBorders>
                  <w:tcMar>
                    <w:top w:w="0" w:type="dxa"/>
                    <w:left w:w="113" w:type="dxa"/>
                    <w:bottom w:w="0" w:type="dxa"/>
                    <w:right w:w="113" w:type="dxa"/>
                  </w:tcMar>
                  <w:vAlign w:val="center"/>
                </w:tcPr>
                <w:p w14:paraId="0B0F6067">
                  <w:pPr>
                    <w:pStyle w:val="6"/>
                    <w:ind w:firstLine="0" w:firstLineChars="0"/>
                    <w:jc w:val="center"/>
                    <w:rPr>
                      <w:color w:val="auto"/>
                      <w:sz w:val="18"/>
                      <w:szCs w:val="18"/>
                    </w:rPr>
                  </w:pPr>
                </w:p>
              </w:tc>
              <w:tc>
                <w:tcPr>
                  <w:tcW w:w="873" w:type="dxa"/>
                  <w:vMerge w:val="continue"/>
                  <w:tcBorders>
                    <w:tl2br w:val="nil"/>
                    <w:tr2bl w:val="nil"/>
                  </w:tcBorders>
                  <w:tcMar>
                    <w:top w:w="0" w:type="dxa"/>
                    <w:left w:w="113" w:type="dxa"/>
                    <w:bottom w:w="0" w:type="dxa"/>
                    <w:right w:w="113" w:type="dxa"/>
                  </w:tcMar>
                  <w:vAlign w:val="center"/>
                </w:tcPr>
                <w:p w14:paraId="56CF35AD">
                  <w:pPr>
                    <w:pStyle w:val="6"/>
                    <w:ind w:firstLine="0" w:firstLineChars="0"/>
                    <w:jc w:val="center"/>
                    <w:rPr>
                      <w:color w:val="auto"/>
                      <w:sz w:val="18"/>
                      <w:szCs w:val="18"/>
                    </w:rPr>
                  </w:pPr>
                </w:p>
              </w:tc>
              <w:tc>
                <w:tcPr>
                  <w:tcW w:w="835" w:type="dxa"/>
                  <w:vMerge w:val="continue"/>
                  <w:tcBorders>
                    <w:tl2br w:val="nil"/>
                    <w:tr2bl w:val="nil"/>
                  </w:tcBorders>
                  <w:tcMar>
                    <w:top w:w="0" w:type="dxa"/>
                    <w:left w:w="113" w:type="dxa"/>
                    <w:bottom w:w="0" w:type="dxa"/>
                    <w:right w:w="113" w:type="dxa"/>
                  </w:tcMar>
                  <w:vAlign w:val="center"/>
                </w:tcPr>
                <w:p w14:paraId="071F409B">
                  <w:pPr>
                    <w:pStyle w:val="6"/>
                    <w:ind w:firstLine="0" w:firstLineChars="0"/>
                    <w:jc w:val="center"/>
                    <w:rPr>
                      <w:color w:val="auto"/>
                      <w:sz w:val="18"/>
                      <w:szCs w:val="18"/>
                    </w:rPr>
                  </w:pPr>
                </w:p>
              </w:tc>
              <w:tc>
                <w:tcPr>
                  <w:tcW w:w="793" w:type="dxa"/>
                  <w:vMerge w:val="continue"/>
                  <w:tcBorders>
                    <w:tl2br w:val="nil"/>
                    <w:tr2bl w:val="nil"/>
                  </w:tcBorders>
                  <w:tcMar>
                    <w:top w:w="0" w:type="dxa"/>
                    <w:left w:w="113" w:type="dxa"/>
                    <w:bottom w:w="0" w:type="dxa"/>
                    <w:right w:w="113" w:type="dxa"/>
                  </w:tcMar>
                  <w:vAlign w:val="center"/>
                </w:tcPr>
                <w:p w14:paraId="60424309">
                  <w:pPr>
                    <w:pStyle w:val="6"/>
                    <w:ind w:firstLine="0" w:firstLineChars="0"/>
                    <w:jc w:val="center"/>
                    <w:rPr>
                      <w:color w:val="auto"/>
                      <w:sz w:val="18"/>
                      <w:szCs w:val="18"/>
                    </w:rPr>
                  </w:pPr>
                </w:p>
              </w:tc>
              <w:tc>
                <w:tcPr>
                  <w:tcW w:w="772" w:type="dxa"/>
                  <w:vMerge w:val="continue"/>
                  <w:tcBorders>
                    <w:tl2br w:val="nil"/>
                    <w:tr2bl w:val="nil"/>
                  </w:tcBorders>
                  <w:tcMar>
                    <w:top w:w="0" w:type="dxa"/>
                    <w:left w:w="113" w:type="dxa"/>
                    <w:bottom w:w="0" w:type="dxa"/>
                    <w:right w:w="113" w:type="dxa"/>
                  </w:tcMar>
                  <w:vAlign w:val="center"/>
                </w:tcPr>
                <w:p w14:paraId="3AEEB417">
                  <w:pPr>
                    <w:pStyle w:val="6"/>
                    <w:ind w:firstLine="0" w:firstLineChars="0"/>
                    <w:jc w:val="center"/>
                    <w:rPr>
                      <w:color w:val="auto"/>
                      <w:sz w:val="18"/>
                      <w:szCs w:val="18"/>
                    </w:rPr>
                  </w:pPr>
                </w:p>
              </w:tc>
              <w:tc>
                <w:tcPr>
                  <w:tcW w:w="1050" w:type="dxa"/>
                  <w:tcBorders>
                    <w:tl2br w:val="nil"/>
                    <w:tr2bl w:val="nil"/>
                  </w:tcBorders>
                  <w:tcMar>
                    <w:top w:w="0" w:type="dxa"/>
                    <w:left w:w="113" w:type="dxa"/>
                    <w:bottom w:w="0" w:type="dxa"/>
                    <w:right w:w="113" w:type="dxa"/>
                  </w:tcMar>
                  <w:vAlign w:val="center"/>
                </w:tcPr>
                <w:p w14:paraId="0D3FA94C">
                  <w:pPr>
                    <w:pStyle w:val="6"/>
                    <w:ind w:firstLine="0" w:firstLineChars="0"/>
                    <w:jc w:val="center"/>
                    <w:rPr>
                      <w:bCs/>
                      <w:color w:val="auto"/>
                      <w:sz w:val="18"/>
                      <w:szCs w:val="18"/>
                    </w:rPr>
                  </w:pPr>
                  <w:r>
                    <w:rPr>
                      <w:color w:val="auto"/>
                      <w:sz w:val="18"/>
                      <w:szCs w:val="18"/>
                    </w:rPr>
                    <w:t>SS</w:t>
                  </w:r>
                </w:p>
              </w:tc>
              <w:tc>
                <w:tcPr>
                  <w:tcW w:w="954" w:type="dxa"/>
                  <w:tcBorders>
                    <w:tl2br w:val="nil"/>
                    <w:tr2bl w:val="nil"/>
                  </w:tcBorders>
                  <w:tcMar>
                    <w:top w:w="0" w:type="dxa"/>
                    <w:left w:w="113" w:type="dxa"/>
                    <w:bottom w:w="0" w:type="dxa"/>
                    <w:right w:w="113" w:type="dxa"/>
                  </w:tcMar>
                  <w:vAlign w:val="center"/>
                </w:tcPr>
                <w:p w14:paraId="57CC1462">
                  <w:pPr>
                    <w:pStyle w:val="6"/>
                    <w:ind w:firstLine="0" w:firstLineChars="0"/>
                    <w:jc w:val="center"/>
                    <w:rPr>
                      <w:rFonts w:hint="default" w:eastAsia="宋体"/>
                      <w:bCs/>
                      <w:color w:val="auto"/>
                      <w:sz w:val="18"/>
                      <w:szCs w:val="18"/>
                      <w:lang w:val="en-US" w:eastAsia="zh-CN"/>
                    </w:rPr>
                  </w:pPr>
                  <w:r>
                    <w:rPr>
                      <w:rFonts w:hint="eastAsia"/>
                      <w:bCs/>
                      <w:color w:val="auto"/>
                      <w:sz w:val="18"/>
                      <w:szCs w:val="18"/>
                      <w:lang w:val="en-US" w:eastAsia="zh-CN"/>
                    </w:rPr>
                    <w:t>10</w:t>
                  </w:r>
                </w:p>
              </w:tc>
            </w:tr>
          </w:tbl>
          <w:p w14:paraId="4C77788E">
            <w:pPr>
              <w:autoSpaceDE w:val="0"/>
              <w:autoSpaceDN w:val="0"/>
              <w:adjustRightInd w:val="0"/>
              <w:snapToGrid w:val="0"/>
              <w:spacing w:line="360" w:lineRule="auto"/>
              <w:ind w:firstLine="420" w:firstLineChars="200"/>
              <w:rPr>
                <w:bCs/>
                <w:color w:val="auto"/>
                <w:kern w:val="0"/>
                <w:szCs w:val="21"/>
              </w:rPr>
            </w:pPr>
            <w:r>
              <w:rPr>
                <w:rFonts w:hint="eastAsia"/>
                <w:bCs/>
                <w:color w:val="auto"/>
                <w:kern w:val="0"/>
                <w:szCs w:val="21"/>
              </w:rPr>
              <w:t>（</w:t>
            </w:r>
            <w:r>
              <w:rPr>
                <w:bCs/>
                <w:color w:val="auto"/>
                <w:kern w:val="0"/>
                <w:szCs w:val="21"/>
              </w:rPr>
              <w:t>3</w:t>
            </w:r>
            <w:r>
              <w:rPr>
                <w:rFonts w:hint="eastAsia"/>
                <w:bCs/>
                <w:color w:val="auto"/>
                <w:kern w:val="0"/>
                <w:szCs w:val="21"/>
              </w:rPr>
              <w:t>）废水防治措施可行性分析</w:t>
            </w:r>
          </w:p>
          <w:p w14:paraId="619EEA77">
            <w:pPr>
              <w:overflowPunct w:val="0"/>
              <w:adjustRightInd w:val="0"/>
              <w:snapToGrid w:val="0"/>
              <w:spacing w:line="360" w:lineRule="auto"/>
              <w:ind w:firstLine="420" w:firstLineChars="200"/>
              <w:jc w:val="left"/>
              <w:rPr>
                <w:color w:val="auto"/>
              </w:rPr>
            </w:pPr>
            <w:r>
              <w:rPr>
                <w:rFonts w:hint="eastAsia"/>
                <w:color w:val="auto"/>
              </w:rPr>
              <w:t>本项目厂区内实行雨污分流制，产生的废水主要为生活污水</w:t>
            </w:r>
            <w:r>
              <w:rPr>
                <w:rFonts w:hint="eastAsia" w:ascii="Times New Roman" w:eastAsia="宋体"/>
                <w:color w:val="auto"/>
                <w:lang w:val="en-US" w:eastAsia="zh-CN"/>
              </w:rPr>
              <w:t>和生产废水</w:t>
            </w:r>
            <w:r>
              <w:rPr>
                <w:rFonts w:hint="eastAsia"/>
                <w:color w:val="auto"/>
              </w:rPr>
              <w:t>。本项目</w:t>
            </w:r>
            <w:r>
              <w:rPr>
                <w:rFonts w:hint="eastAsia"/>
                <w:color w:val="auto"/>
                <w:lang w:val="en-US" w:eastAsia="zh-CN"/>
              </w:rPr>
              <w:t>全厂生活污水排放量775.6t/a</w:t>
            </w:r>
            <w:r>
              <w:rPr>
                <w:rFonts w:hint="eastAsia"/>
                <w:color w:val="auto"/>
              </w:rPr>
              <w:t>，</w:t>
            </w:r>
            <w:r>
              <w:rPr>
                <w:rFonts w:hint="eastAsia"/>
                <w:color w:val="auto"/>
                <w:lang w:eastAsia="zh-CN"/>
              </w:rPr>
              <w:t>生活污水抽运</w:t>
            </w:r>
            <w:r>
              <w:rPr>
                <w:rFonts w:hint="eastAsia"/>
                <w:color w:val="auto"/>
              </w:rPr>
              <w:t>至</w:t>
            </w:r>
            <w:r>
              <w:rPr>
                <w:rFonts w:hint="eastAsia" w:eastAsia="宋体"/>
                <w:color w:val="auto"/>
                <w:lang w:eastAsia="zh-CN"/>
              </w:rPr>
              <w:t>苏州市吴江桃源生活污水处理有限公司</w:t>
            </w:r>
            <w:r>
              <w:rPr>
                <w:rFonts w:hint="eastAsia"/>
                <w:color w:val="auto"/>
              </w:rPr>
              <w:t>处理；</w:t>
            </w:r>
            <w:r>
              <w:rPr>
                <w:rFonts w:hint="eastAsia"/>
                <w:color w:val="auto"/>
                <w:lang w:val="en-US" w:eastAsia="zh-CN"/>
              </w:rPr>
              <w:t>本项目全厂</w:t>
            </w:r>
            <w:r>
              <w:rPr>
                <w:rFonts w:hint="eastAsia" w:eastAsia="宋体"/>
                <w:color w:val="auto"/>
                <w:lang w:eastAsia="zh-CN"/>
              </w:rPr>
              <w:t>生产废水</w:t>
            </w:r>
            <w:r>
              <w:rPr>
                <w:rFonts w:hint="eastAsia" w:ascii="Times New Roman" w:eastAsia="宋体"/>
                <w:color w:val="auto"/>
                <w:lang w:val="en-US" w:eastAsia="zh-CN"/>
              </w:rPr>
              <w:t>产生</w:t>
            </w:r>
            <w:r>
              <w:rPr>
                <w:rFonts w:hint="eastAsia"/>
                <w:color w:val="auto"/>
              </w:rPr>
              <w:t>量为</w:t>
            </w:r>
            <w:r>
              <w:rPr>
                <w:rFonts w:hint="eastAsia" w:ascii="Times New Roman" w:eastAsia="宋体"/>
                <w:color w:val="auto"/>
                <w:lang w:val="en-US" w:eastAsia="zh-CN"/>
              </w:rPr>
              <w:t>173740</w:t>
            </w:r>
            <w:r>
              <w:rPr>
                <w:color w:val="auto"/>
              </w:rPr>
              <w:t>t/a</w:t>
            </w:r>
            <w:r>
              <w:rPr>
                <w:rFonts w:hint="eastAsia"/>
                <w:color w:val="auto"/>
                <w:lang w:val="en-US" w:eastAsia="zh-CN"/>
              </w:rPr>
              <w:t>，</w:t>
            </w:r>
            <w:r>
              <w:rPr>
                <w:rFonts w:hint="eastAsia"/>
                <w:color w:val="auto"/>
              </w:rPr>
              <w:t>接管至苏州市桃源富乡污水处理有限公司处理后</w:t>
            </w:r>
            <w:r>
              <w:rPr>
                <w:rFonts w:hint="eastAsia" w:eastAsia="宋体"/>
                <w:color w:val="auto"/>
                <w:lang w:eastAsia="zh-CN"/>
              </w:rPr>
              <w:t>76%</w:t>
            </w:r>
            <w:r>
              <w:rPr>
                <w:rFonts w:hint="eastAsia"/>
                <w:color w:val="auto"/>
              </w:rPr>
              <w:t>回用，其余达标排入鳑鲏港。</w:t>
            </w:r>
          </w:p>
          <w:p w14:paraId="4497A8F9">
            <w:pPr>
              <w:adjustRightInd w:val="0"/>
              <w:snapToGrid w:val="0"/>
              <w:spacing w:line="360" w:lineRule="auto"/>
              <w:ind w:firstLine="420" w:firstLineChars="200"/>
              <w:rPr>
                <w:color w:val="auto"/>
              </w:rPr>
            </w:pPr>
            <w:r>
              <w:rPr>
                <w:rFonts w:hint="eastAsia"/>
                <w:color w:val="auto"/>
              </w:rPr>
              <w:t>①依托污水处理厂的可行性分析</w:t>
            </w:r>
          </w:p>
          <w:p w14:paraId="1C527445">
            <w:pPr>
              <w:adjustRightInd w:val="0"/>
              <w:snapToGrid w:val="0"/>
              <w:spacing w:line="360" w:lineRule="auto"/>
              <w:ind w:firstLine="420" w:firstLineChars="200"/>
              <w:rPr>
                <w:rFonts w:hint="eastAsia"/>
                <w:color w:val="auto"/>
              </w:rPr>
            </w:pPr>
            <w:r>
              <w:rPr>
                <w:rFonts w:hint="eastAsia"/>
                <w:color w:val="auto"/>
              </w:rPr>
              <w:t>本项目位于</w:t>
            </w:r>
            <w:r>
              <w:rPr>
                <w:rFonts w:hint="eastAsia"/>
                <w:color w:val="auto"/>
                <w:lang w:eastAsia="zh-CN"/>
              </w:rPr>
              <w:t>吴江区桃源镇澄源村</w:t>
            </w:r>
            <w:r>
              <w:rPr>
                <w:rFonts w:hint="eastAsia"/>
                <w:color w:val="auto"/>
              </w:rPr>
              <w:t>，处于</w:t>
            </w:r>
            <w:r>
              <w:rPr>
                <w:rFonts w:hint="eastAsia" w:eastAsia="宋体"/>
                <w:color w:val="auto"/>
                <w:lang w:eastAsia="zh-CN"/>
              </w:rPr>
              <w:t>苏州市吴江桃源生活污水处理有限公司</w:t>
            </w:r>
            <w:r>
              <w:rPr>
                <w:rFonts w:hint="eastAsia"/>
                <w:color w:val="auto"/>
              </w:rPr>
              <w:t>和苏州市桃源富乡污水处理有限公司的覆盖范围内。</w:t>
            </w:r>
          </w:p>
          <w:p w14:paraId="721F9C5E">
            <w:pPr>
              <w:adjustRightInd w:val="0"/>
              <w:snapToGrid w:val="0"/>
              <w:spacing w:line="360" w:lineRule="auto"/>
              <w:ind w:firstLine="420" w:firstLineChars="200"/>
              <w:rPr>
                <w:rFonts w:hint="default" w:eastAsia="宋体"/>
                <w:color w:val="auto"/>
                <w:lang w:val="en-US" w:eastAsia="zh-CN"/>
              </w:rPr>
            </w:pPr>
            <w:r>
              <w:rPr>
                <w:rFonts w:hint="eastAsia"/>
                <w:color w:val="auto"/>
              </w:rPr>
              <w:t>根据《吴江区喷水织造行业</w:t>
            </w:r>
            <w:r>
              <w:rPr>
                <w:rFonts w:hint="eastAsia" w:eastAsia="宋体"/>
                <w:color w:val="auto"/>
                <w:lang w:eastAsia="zh-CN"/>
              </w:rPr>
              <w:t>（</w:t>
            </w:r>
            <w:r>
              <w:rPr>
                <w:rFonts w:hint="eastAsia"/>
                <w:color w:val="auto"/>
              </w:rPr>
              <w:t>含污水处理厂、站</w:t>
            </w:r>
            <w:r>
              <w:rPr>
                <w:rFonts w:hint="eastAsia" w:eastAsia="宋体"/>
                <w:color w:val="auto"/>
                <w:lang w:eastAsia="zh-CN"/>
              </w:rPr>
              <w:t>）</w:t>
            </w:r>
            <w:r>
              <w:rPr>
                <w:rFonts w:hint="eastAsia"/>
                <w:color w:val="auto"/>
              </w:rPr>
              <w:t>整治提升行动工作指引》</w:t>
            </w:r>
            <w:r>
              <w:rPr>
                <w:rFonts w:hint="eastAsia" w:eastAsia="宋体"/>
                <w:color w:val="auto"/>
                <w:lang w:eastAsia="zh-CN"/>
              </w:rPr>
              <w:t>（</w:t>
            </w:r>
            <w:r>
              <w:rPr>
                <w:rFonts w:hint="eastAsia"/>
                <w:color w:val="auto"/>
              </w:rPr>
              <w:t>喷组(2023)2号</w:t>
            </w:r>
            <w:r>
              <w:rPr>
                <w:rFonts w:hint="eastAsia" w:eastAsia="宋体"/>
                <w:color w:val="auto"/>
                <w:lang w:eastAsia="zh-CN"/>
              </w:rPr>
              <w:t>）、</w:t>
            </w:r>
            <w:r>
              <w:rPr>
                <w:rFonts w:hint="eastAsia"/>
                <w:color w:val="auto"/>
              </w:rPr>
              <w:t>《吴江区工业废水治理基础设施建设规划》</w:t>
            </w:r>
            <w:r>
              <w:rPr>
                <w:rFonts w:hint="eastAsia" w:eastAsia="宋体"/>
                <w:color w:val="auto"/>
                <w:lang w:eastAsia="zh-CN"/>
              </w:rPr>
              <w:t>（</w:t>
            </w:r>
            <w:r>
              <w:rPr>
                <w:rFonts w:hint="eastAsia"/>
                <w:color w:val="auto"/>
              </w:rPr>
              <w:t>2022-2030</w:t>
            </w:r>
            <w:r>
              <w:rPr>
                <w:rFonts w:hint="eastAsia" w:eastAsia="宋体"/>
                <w:color w:val="auto"/>
                <w:lang w:eastAsia="zh-CN"/>
              </w:rPr>
              <w:t>）</w:t>
            </w:r>
            <w:r>
              <w:rPr>
                <w:rFonts w:hint="eastAsia"/>
                <w:color w:val="auto"/>
              </w:rPr>
              <w:t>，桃源镇保留的1.5万台喷水织机分别接入苏州市桃源富乡污水处理有限公司、联合水务污水厂和企业自行处理后回用。</w:t>
            </w:r>
            <w:r>
              <w:rPr>
                <w:rFonts w:hint="eastAsia" w:ascii="Times New Roman" w:eastAsia="宋体"/>
                <w:color w:val="auto"/>
                <w:lang w:val="en-US" w:eastAsia="zh-CN"/>
              </w:rPr>
              <w:t>企业已与</w:t>
            </w:r>
            <w:r>
              <w:rPr>
                <w:rFonts w:hint="eastAsia"/>
                <w:color w:val="auto"/>
              </w:rPr>
              <w:t>苏州市桃源富乡污水处理有限公司</w:t>
            </w:r>
            <w:r>
              <w:rPr>
                <w:rFonts w:hint="eastAsia" w:ascii="Times New Roman" w:eastAsia="宋体"/>
                <w:color w:val="auto"/>
                <w:lang w:val="en-US" w:eastAsia="zh-CN"/>
              </w:rPr>
              <w:t>签订生产污水处理、中水回用协议，详见附件。</w:t>
            </w:r>
          </w:p>
          <w:p w14:paraId="0E59E6FA">
            <w:pPr>
              <w:adjustRightInd w:val="0"/>
              <w:snapToGrid w:val="0"/>
              <w:spacing w:line="360" w:lineRule="auto"/>
              <w:ind w:firstLine="420" w:firstLineChars="200"/>
              <w:rPr>
                <w:color w:val="auto"/>
              </w:rPr>
            </w:pPr>
            <w:r>
              <w:rPr>
                <w:rFonts w:hint="default"/>
                <w:color w:val="auto"/>
              </w:rPr>
              <w:t>②</w:t>
            </w:r>
            <w:r>
              <w:rPr>
                <w:rFonts w:hint="eastAsia"/>
                <w:color w:val="auto"/>
              </w:rPr>
              <w:t>污水处理厂废水处理工艺可行性分析</w:t>
            </w:r>
          </w:p>
          <w:p w14:paraId="3F7BF502">
            <w:pPr>
              <w:adjustRightInd w:val="0"/>
              <w:snapToGrid w:val="0"/>
              <w:spacing w:line="360" w:lineRule="auto"/>
              <w:ind w:firstLine="420" w:firstLineChars="200"/>
              <w:rPr>
                <w:color w:val="auto"/>
              </w:rPr>
            </w:pPr>
            <w:r>
              <w:rPr>
                <w:rFonts w:hint="eastAsia"/>
                <w:color w:val="auto"/>
              </w:rPr>
              <w:t>苏州市桃源富乡污水处理有限公司的处理工艺为“</w:t>
            </w:r>
            <w:r>
              <w:rPr>
                <w:rFonts w:hint="eastAsia" w:ascii="Times New Roman" w:eastAsia="宋体"/>
                <w:color w:val="auto"/>
                <w:lang w:val="en-US" w:eastAsia="zh-CN"/>
              </w:rPr>
              <w:t>细格栅+隔油</w:t>
            </w:r>
            <w:r>
              <w:rPr>
                <w:rFonts w:hint="eastAsia"/>
                <w:color w:val="auto"/>
              </w:rPr>
              <w:t>调节</w:t>
            </w:r>
            <w:r>
              <w:rPr>
                <w:color w:val="auto"/>
              </w:rPr>
              <w:t>+</w:t>
            </w:r>
            <w:r>
              <w:rPr>
                <w:rFonts w:hint="eastAsia" w:ascii="Times New Roman" w:eastAsia="宋体"/>
                <w:color w:val="auto"/>
                <w:lang w:val="en-US" w:eastAsia="zh-CN"/>
              </w:rPr>
              <w:t>一级</w:t>
            </w:r>
            <w:r>
              <w:rPr>
                <w:rFonts w:hint="eastAsia"/>
                <w:color w:val="auto"/>
              </w:rPr>
              <w:t>气浮</w:t>
            </w:r>
            <w:r>
              <w:rPr>
                <w:color w:val="auto"/>
              </w:rPr>
              <w:t>+</w:t>
            </w:r>
            <w:r>
              <w:rPr>
                <w:rFonts w:hint="eastAsia" w:ascii="Times New Roman" w:eastAsia="宋体"/>
                <w:color w:val="auto"/>
                <w:lang w:val="en-US" w:eastAsia="zh-CN"/>
              </w:rPr>
              <w:t>生化+二沉+二级气浮+</w:t>
            </w:r>
            <w:r>
              <w:rPr>
                <w:rFonts w:hint="eastAsia"/>
                <w:color w:val="auto"/>
              </w:rPr>
              <w:t>过滤”</w:t>
            </w:r>
            <w:r>
              <w:rPr>
                <w:rFonts w:hint="eastAsia" w:ascii="Times New Roman" w:eastAsia="宋体"/>
                <w:color w:val="auto"/>
                <w:lang w:val="en-US" w:eastAsia="zh-CN"/>
              </w:rPr>
              <w:t>和“细格栅+隔油</w:t>
            </w:r>
            <w:r>
              <w:rPr>
                <w:rFonts w:hint="eastAsia"/>
                <w:color w:val="auto"/>
              </w:rPr>
              <w:t>调节</w:t>
            </w:r>
            <w:r>
              <w:rPr>
                <w:color w:val="auto"/>
              </w:rPr>
              <w:t>+</w:t>
            </w:r>
            <w:r>
              <w:rPr>
                <w:rFonts w:hint="eastAsia" w:ascii="Times New Roman" w:eastAsia="宋体"/>
                <w:color w:val="auto"/>
                <w:lang w:val="en-US" w:eastAsia="zh-CN"/>
              </w:rPr>
              <w:t>一级</w:t>
            </w:r>
            <w:r>
              <w:rPr>
                <w:rFonts w:hint="eastAsia"/>
                <w:color w:val="auto"/>
              </w:rPr>
              <w:t>气浮</w:t>
            </w:r>
            <w:r>
              <w:rPr>
                <w:rFonts w:hint="eastAsia" w:ascii="Times New Roman" w:eastAsia="宋体"/>
                <w:color w:val="auto"/>
                <w:lang w:val="en-US" w:eastAsia="zh-CN"/>
              </w:rPr>
              <w:t>+膜生物反应器+消毒+活性炭吸附过滤”</w:t>
            </w:r>
            <w:r>
              <w:rPr>
                <w:rFonts w:hint="eastAsia"/>
                <w:color w:val="auto"/>
              </w:rPr>
              <w:t>，</w:t>
            </w:r>
            <w:r>
              <w:rPr>
                <w:rFonts w:hint="eastAsia" w:ascii="Times New Roman" w:eastAsia="宋体"/>
                <w:color w:val="auto"/>
                <w:lang w:val="en-US" w:eastAsia="zh-CN"/>
              </w:rPr>
              <w:t>前者处理后尾水</w:t>
            </w:r>
            <w:r>
              <w:rPr>
                <w:rFonts w:hint="eastAsia"/>
                <w:color w:val="auto"/>
              </w:rPr>
              <w:t>回用喷水织造企业</w:t>
            </w:r>
            <w:r>
              <w:rPr>
                <w:rFonts w:hint="eastAsia" w:eastAsia="宋体"/>
                <w:color w:val="auto"/>
                <w:lang w:eastAsia="zh-CN"/>
              </w:rPr>
              <w:t>，</w:t>
            </w:r>
            <w:r>
              <w:rPr>
                <w:rFonts w:hint="eastAsia" w:ascii="Times New Roman" w:eastAsia="宋体"/>
                <w:color w:val="auto"/>
                <w:lang w:val="en-US" w:eastAsia="zh-CN"/>
              </w:rPr>
              <w:t>后者处理后进入人工湿地后达标排入</w:t>
            </w:r>
            <w:r>
              <w:rPr>
                <w:rFonts w:hint="eastAsia"/>
                <w:color w:val="auto"/>
              </w:rPr>
              <w:t>鳑鲏港。</w:t>
            </w:r>
          </w:p>
          <w:p w14:paraId="013F6CDC">
            <w:pPr>
              <w:adjustRightInd w:val="0"/>
              <w:snapToGrid w:val="0"/>
              <w:spacing w:line="360" w:lineRule="auto"/>
              <w:jc w:val="center"/>
              <w:rPr>
                <w:rFonts w:hint="eastAsia" w:eastAsia="宋体"/>
                <w:color w:val="auto"/>
                <w:lang w:eastAsia="zh-CN"/>
              </w:rPr>
            </w:pPr>
            <w:r>
              <w:rPr>
                <w:rFonts w:hint="eastAsia" w:ascii="Times New Roman" w:hAnsi="Times New Roman" w:eastAsia="宋体" w:cs="Times New Roman"/>
                <w:color w:val="auto"/>
                <w:kern w:val="2"/>
                <w:sz w:val="21"/>
                <w:szCs w:val="24"/>
                <w:lang w:val="en-US" w:eastAsia="zh-CN" w:bidi="ar-SA"/>
              </w:rPr>
              <w:drawing>
                <wp:inline distT="0" distB="0" distL="114300" distR="114300">
                  <wp:extent cx="4086225" cy="4619625"/>
                  <wp:effectExtent l="0" t="0" r="9525" b="952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7">
                            <a:lum/>
                          </a:blip>
                          <a:stretch>
                            <a:fillRect/>
                          </a:stretch>
                        </pic:blipFill>
                        <pic:spPr>
                          <a:xfrm>
                            <a:off x="0" y="0"/>
                            <a:ext cx="4086225" cy="4619625"/>
                          </a:xfrm>
                          <a:prstGeom prst="rect">
                            <a:avLst/>
                          </a:prstGeom>
                          <a:noFill/>
                          <a:ln>
                            <a:noFill/>
                          </a:ln>
                        </pic:spPr>
                      </pic:pic>
                    </a:graphicData>
                  </a:graphic>
                </wp:inline>
              </w:drawing>
            </w:r>
          </w:p>
          <w:p w14:paraId="3364A3AF">
            <w:pPr>
              <w:adjustRightInd w:val="0"/>
              <w:snapToGrid w:val="0"/>
              <w:spacing w:line="360" w:lineRule="auto"/>
              <w:jc w:val="center"/>
              <w:rPr>
                <w:color w:val="auto"/>
              </w:rPr>
            </w:pPr>
            <w:r>
              <w:rPr>
                <w:rFonts w:hint="eastAsia"/>
                <w:b/>
                <w:color w:val="auto"/>
                <w:szCs w:val="21"/>
              </w:rPr>
              <w:t>图</w:t>
            </w:r>
            <w:r>
              <w:rPr>
                <w:b/>
                <w:color w:val="auto"/>
                <w:szCs w:val="21"/>
              </w:rPr>
              <w:t>4-</w:t>
            </w:r>
            <w:r>
              <w:rPr>
                <w:rFonts w:hint="eastAsia"/>
                <w:b/>
                <w:color w:val="auto"/>
                <w:szCs w:val="21"/>
                <w:lang w:val="en-US" w:eastAsia="zh-CN"/>
              </w:rPr>
              <w:t>4</w:t>
            </w:r>
            <w:r>
              <w:rPr>
                <w:b/>
                <w:color w:val="auto"/>
                <w:szCs w:val="21"/>
              </w:rPr>
              <w:t xml:space="preserve">  </w:t>
            </w:r>
            <w:r>
              <w:rPr>
                <w:rFonts w:hint="eastAsia"/>
                <w:b/>
                <w:color w:val="auto"/>
                <w:szCs w:val="21"/>
              </w:rPr>
              <w:t>苏州市桃源富乡污水处理有限公司废水处理工艺流程图</w:t>
            </w:r>
          </w:p>
          <w:p w14:paraId="5299AB0B">
            <w:pPr>
              <w:adjustRightInd w:val="0"/>
              <w:snapToGrid w:val="0"/>
              <w:spacing w:line="360" w:lineRule="auto"/>
              <w:ind w:firstLine="420" w:firstLineChars="200"/>
              <w:rPr>
                <w:color w:val="auto"/>
              </w:rPr>
            </w:pPr>
            <w:r>
              <w:rPr>
                <w:rFonts w:hint="eastAsia" w:eastAsia="宋体"/>
                <w:color w:val="auto"/>
                <w:lang w:eastAsia="zh-CN"/>
              </w:rPr>
              <w:t>苏州市吴江桃源生活污水处理有限公司</w:t>
            </w:r>
            <w:r>
              <w:rPr>
                <w:rFonts w:hint="eastAsia"/>
                <w:color w:val="auto"/>
              </w:rPr>
              <w:t>的处理工艺为“一沉</w:t>
            </w:r>
            <w:r>
              <w:rPr>
                <w:color w:val="auto"/>
              </w:rPr>
              <w:t>+AAO+</w:t>
            </w:r>
            <w:r>
              <w:rPr>
                <w:rFonts w:hint="eastAsia"/>
                <w:color w:val="auto"/>
              </w:rPr>
              <w:t>二沉</w:t>
            </w:r>
            <w:r>
              <w:rPr>
                <w:color w:val="auto"/>
              </w:rPr>
              <w:t>+</w:t>
            </w:r>
            <w:r>
              <w:rPr>
                <w:rFonts w:hint="eastAsia"/>
                <w:color w:val="auto"/>
              </w:rPr>
              <w:t>高速沉淀</w:t>
            </w:r>
            <w:r>
              <w:rPr>
                <w:color w:val="auto"/>
              </w:rPr>
              <w:t>+</w:t>
            </w:r>
            <w:r>
              <w:rPr>
                <w:rFonts w:hint="eastAsia"/>
                <w:color w:val="auto"/>
              </w:rPr>
              <w:t>过滤</w:t>
            </w:r>
            <w:r>
              <w:rPr>
                <w:color w:val="auto"/>
              </w:rPr>
              <w:t>+</w:t>
            </w:r>
            <w:r>
              <w:rPr>
                <w:rFonts w:hint="eastAsia"/>
                <w:color w:val="auto"/>
              </w:rPr>
              <w:t>消毒”，目前运行状况良好，尾水处理后排入文家港。</w:t>
            </w:r>
          </w:p>
          <w:p w14:paraId="59FC3C7A">
            <w:pPr>
              <w:jc w:val="center"/>
              <w:rPr>
                <w:color w:val="auto"/>
              </w:rPr>
            </w:pPr>
            <w:r>
              <w:rPr>
                <w:rFonts w:ascii="Times New Roman" w:hAnsi="Times New Roman" w:eastAsia="宋体" w:cs="Times New Roman"/>
                <w:color w:val="auto"/>
                <w:kern w:val="2"/>
                <w:sz w:val="21"/>
                <w:szCs w:val="24"/>
                <w:lang w:val="en-US" w:eastAsia="zh-CN" w:bidi="ar-SA"/>
              </w:rPr>
              <w:drawing>
                <wp:inline distT="0" distB="0" distL="114300" distR="114300">
                  <wp:extent cx="3990975" cy="3419475"/>
                  <wp:effectExtent l="0" t="0" r="9525" b="9525"/>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18">
                            <a:lum/>
                          </a:blip>
                          <a:stretch>
                            <a:fillRect/>
                          </a:stretch>
                        </pic:blipFill>
                        <pic:spPr>
                          <a:xfrm>
                            <a:off x="0" y="0"/>
                            <a:ext cx="3990975" cy="3419475"/>
                          </a:xfrm>
                          <a:prstGeom prst="rect">
                            <a:avLst/>
                          </a:prstGeom>
                          <a:noFill/>
                          <a:ln>
                            <a:noFill/>
                          </a:ln>
                        </pic:spPr>
                      </pic:pic>
                    </a:graphicData>
                  </a:graphic>
                </wp:inline>
              </w:drawing>
            </w:r>
          </w:p>
          <w:p w14:paraId="5BA31B66">
            <w:pPr>
              <w:pStyle w:val="74"/>
              <w:spacing w:before="0" w:beforeAutospacing="0" w:after="0" w:afterAutospacing="0" w:line="360" w:lineRule="auto"/>
              <w:jc w:val="center"/>
              <w:rPr>
                <w:rFonts w:ascii="Times New Roman" w:hAnsi="Times New Roman" w:cs="Times New Roman"/>
                <w:b/>
                <w:color w:val="auto"/>
                <w:sz w:val="21"/>
                <w:szCs w:val="21"/>
              </w:rPr>
            </w:pPr>
            <w:r>
              <w:rPr>
                <w:rFonts w:hint="eastAsia" w:ascii="Times New Roman" w:hAnsi="Times New Roman" w:cs="Times New Roman"/>
                <w:b/>
                <w:color w:val="auto"/>
                <w:sz w:val="21"/>
                <w:szCs w:val="21"/>
              </w:rPr>
              <w:t>图</w:t>
            </w:r>
            <w:r>
              <w:rPr>
                <w:rFonts w:ascii="Times New Roman" w:hAnsi="Times New Roman" w:cs="Times New Roman"/>
                <w:b/>
                <w:color w:val="auto"/>
                <w:sz w:val="21"/>
                <w:szCs w:val="21"/>
              </w:rPr>
              <w:t>4-</w:t>
            </w:r>
            <w:r>
              <w:rPr>
                <w:rFonts w:hint="eastAsia" w:ascii="Times New Roman" w:hAnsi="Times New Roman" w:cs="Times New Roman"/>
                <w:b/>
                <w:color w:val="auto"/>
                <w:sz w:val="21"/>
                <w:szCs w:val="21"/>
                <w:lang w:val="en-US" w:eastAsia="zh-CN"/>
              </w:rPr>
              <w:t>5</w:t>
            </w:r>
            <w:r>
              <w:rPr>
                <w:rFonts w:ascii="Times New Roman" w:hAnsi="Times New Roman" w:cs="Times New Roman"/>
                <w:b/>
                <w:color w:val="auto"/>
                <w:sz w:val="21"/>
                <w:szCs w:val="21"/>
              </w:rPr>
              <w:t xml:space="preserve">  </w:t>
            </w:r>
            <w:r>
              <w:rPr>
                <w:rFonts w:hint="eastAsia" w:ascii="Times New Roman" w:hAnsi="Times New Roman" w:cs="Times New Roman"/>
                <w:b/>
                <w:color w:val="auto"/>
                <w:sz w:val="21"/>
                <w:szCs w:val="21"/>
                <w:lang w:eastAsia="zh-CN"/>
              </w:rPr>
              <w:t>苏州市吴江桃源生活污水处理有限公司</w:t>
            </w:r>
            <w:r>
              <w:rPr>
                <w:rFonts w:hint="eastAsia" w:ascii="Times New Roman" w:hAnsi="Times New Roman" w:cs="Times New Roman"/>
                <w:b/>
                <w:color w:val="auto"/>
                <w:sz w:val="21"/>
                <w:szCs w:val="21"/>
              </w:rPr>
              <w:t>废水处理工艺流程图</w:t>
            </w:r>
          </w:p>
          <w:p w14:paraId="6A3005F7">
            <w:pPr>
              <w:adjustRightInd w:val="0"/>
              <w:snapToGrid w:val="0"/>
              <w:spacing w:line="360" w:lineRule="auto"/>
              <w:ind w:firstLine="420" w:firstLineChars="200"/>
              <w:rPr>
                <w:color w:val="auto"/>
              </w:rPr>
            </w:pPr>
            <w:r>
              <w:rPr>
                <w:rFonts w:hint="default"/>
                <w:color w:val="auto"/>
              </w:rPr>
              <w:t>③</w:t>
            </w:r>
            <w:r>
              <w:rPr>
                <w:rFonts w:hint="eastAsia"/>
                <w:color w:val="auto"/>
              </w:rPr>
              <w:t>污水接管可行性分析</w:t>
            </w:r>
          </w:p>
          <w:p w14:paraId="59262F32">
            <w:pPr>
              <w:adjustRightInd w:val="0"/>
              <w:snapToGrid w:val="0"/>
              <w:spacing w:line="360" w:lineRule="auto"/>
              <w:ind w:firstLine="420" w:firstLineChars="200"/>
              <w:rPr>
                <w:color w:val="auto"/>
              </w:rPr>
            </w:pPr>
            <w:r>
              <w:rPr>
                <w:rFonts w:hint="eastAsia"/>
                <w:color w:val="auto"/>
              </w:rPr>
              <w:t>水质：本项目生活污水的水质简单，可生化性好，可达到</w:t>
            </w:r>
            <w:r>
              <w:rPr>
                <w:rFonts w:hint="eastAsia" w:eastAsia="宋体"/>
                <w:color w:val="auto"/>
                <w:lang w:eastAsia="zh-CN"/>
              </w:rPr>
              <w:t>苏州市吴江桃源生活污水处理有限公司</w:t>
            </w:r>
            <w:r>
              <w:rPr>
                <w:rFonts w:hint="eastAsia"/>
                <w:color w:val="auto"/>
              </w:rPr>
              <w:t>的接管标准，不会对污水处理厂的处理系统产生影响；本项目</w:t>
            </w:r>
            <w:r>
              <w:rPr>
                <w:rFonts w:hint="eastAsia" w:eastAsia="宋体"/>
                <w:color w:val="auto"/>
                <w:lang w:eastAsia="zh-CN"/>
              </w:rPr>
              <w:t>生产废水</w:t>
            </w:r>
            <w:r>
              <w:rPr>
                <w:rFonts w:hint="eastAsia"/>
                <w:color w:val="auto"/>
              </w:rPr>
              <w:t>可以达到苏州市桃源富乡污水处理有限公司的接管标准，不会对污水处理厂的处理系统产生影响。</w:t>
            </w:r>
          </w:p>
          <w:p w14:paraId="457067D0">
            <w:pPr>
              <w:adjustRightInd w:val="0"/>
              <w:snapToGrid w:val="0"/>
              <w:spacing w:line="360" w:lineRule="auto"/>
              <w:ind w:firstLine="420" w:firstLineChars="200"/>
              <w:rPr>
                <w:color w:val="auto"/>
              </w:rPr>
            </w:pPr>
            <w:r>
              <w:rPr>
                <w:rFonts w:hint="eastAsia"/>
                <w:color w:val="auto"/>
              </w:rPr>
              <w:t>处理能力：</w:t>
            </w:r>
            <w:r>
              <w:rPr>
                <w:rFonts w:hint="eastAsia" w:eastAsia="宋体"/>
                <w:color w:val="auto"/>
                <w:lang w:eastAsia="zh-CN"/>
              </w:rPr>
              <w:t>苏州市吴江桃源生活污水处理有限公司</w:t>
            </w:r>
            <w:r>
              <w:rPr>
                <w:rFonts w:hint="eastAsia"/>
                <w:color w:val="auto"/>
              </w:rPr>
              <w:t>设计处理能力为</w:t>
            </w:r>
            <w:r>
              <w:rPr>
                <w:color w:val="auto"/>
              </w:rPr>
              <w:t>1</w:t>
            </w:r>
            <w:r>
              <w:rPr>
                <w:rFonts w:hint="eastAsia" w:ascii="Times New Roman" w:eastAsia="宋体"/>
                <w:color w:val="auto"/>
                <w:lang w:val="en-US" w:eastAsia="zh-CN"/>
              </w:rPr>
              <w:t>5</w:t>
            </w:r>
            <w:r>
              <w:rPr>
                <w:color w:val="auto"/>
              </w:rPr>
              <w:t>000m</w:t>
            </w:r>
            <w:r>
              <w:rPr>
                <w:color w:val="auto"/>
                <w:vertAlign w:val="superscript"/>
              </w:rPr>
              <w:t>3</w:t>
            </w:r>
            <w:r>
              <w:rPr>
                <w:color w:val="auto"/>
              </w:rPr>
              <w:t>/d</w:t>
            </w:r>
            <w:r>
              <w:rPr>
                <w:rFonts w:hint="eastAsia"/>
                <w:color w:val="auto"/>
              </w:rPr>
              <w:t>，目前接管量为</w:t>
            </w:r>
            <w:r>
              <w:rPr>
                <w:color w:val="auto"/>
              </w:rPr>
              <w:t>9000m</w:t>
            </w:r>
            <w:r>
              <w:rPr>
                <w:color w:val="auto"/>
                <w:vertAlign w:val="superscript"/>
              </w:rPr>
              <w:t>3</w:t>
            </w:r>
            <w:r>
              <w:rPr>
                <w:color w:val="auto"/>
              </w:rPr>
              <w:t>/d</w:t>
            </w:r>
            <w:r>
              <w:rPr>
                <w:rFonts w:hint="eastAsia"/>
                <w:color w:val="auto"/>
              </w:rPr>
              <w:t>，剩余处理量为</w:t>
            </w:r>
            <w:r>
              <w:rPr>
                <w:color w:val="auto"/>
              </w:rPr>
              <w:t>1000m</w:t>
            </w:r>
            <w:r>
              <w:rPr>
                <w:color w:val="auto"/>
                <w:vertAlign w:val="superscript"/>
              </w:rPr>
              <w:t>3</w:t>
            </w:r>
            <w:r>
              <w:rPr>
                <w:color w:val="auto"/>
              </w:rPr>
              <w:t>/d</w:t>
            </w:r>
            <w:r>
              <w:rPr>
                <w:rFonts w:hint="eastAsia"/>
                <w:color w:val="auto"/>
              </w:rPr>
              <w:t>。本</w:t>
            </w:r>
            <w:r>
              <w:rPr>
                <w:rFonts w:hint="eastAsia" w:ascii="Times New Roman" w:eastAsia="宋体"/>
                <w:color w:val="auto"/>
                <w:lang w:val="en-US" w:eastAsia="zh-CN"/>
              </w:rPr>
              <w:t>企业</w:t>
            </w:r>
            <w:r>
              <w:rPr>
                <w:rFonts w:hint="eastAsia"/>
                <w:color w:val="auto"/>
              </w:rPr>
              <w:t>生活污水排放量为</w:t>
            </w:r>
            <w:r>
              <w:rPr>
                <w:rFonts w:hint="eastAsia"/>
                <w:color w:val="auto"/>
                <w:lang w:val="en-US" w:eastAsia="zh-CN"/>
              </w:rPr>
              <w:t>4.25</w:t>
            </w:r>
            <w:r>
              <w:rPr>
                <w:color w:val="auto"/>
              </w:rPr>
              <w:t>m</w:t>
            </w:r>
            <w:r>
              <w:rPr>
                <w:color w:val="auto"/>
                <w:vertAlign w:val="superscript"/>
              </w:rPr>
              <w:t>3</w:t>
            </w:r>
            <w:r>
              <w:rPr>
                <w:color w:val="auto"/>
              </w:rPr>
              <w:t>/d</w:t>
            </w:r>
            <w:r>
              <w:rPr>
                <w:rFonts w:hint="eastAsia"/>
                <w:color w:val="auto"/>
              </w:rPr>
              <w:t>，在</w:t>
            </w:r>
            <w:r>
              <w:rPr>
                <w:rFonts w:hint="eastAsia" w:eastAsia="宋体"/>
                <w:color w:val="auto"/>
                <w:lang w:eastAsia="zh-CN"/>
              </w:rPr>
              <w:t>苏州市吴江桃源生活污水处理有限公司</w:t>
            </w:r>
            <w:r>
              <w:rPr>
                <w:rFonts w:hint="eastAsia"/>
                <w:color w:val="auto"/>
              </w:rPr>
              <w:t>的处理余量范围内，因此</w:t>
            </w:r>
            <w:r>
              <w:rPr>
                <w:rFonts w:hint="eastAsia" w:eastAsia="宋体"/>
                <w:color w:val="auto"/>
                <w:lang w:eastAsia="zh-CN"/>
              </w:rPr>
              <w:t>苏州市吴江桃源生活污水处理有限公司</w:t>
            </w:r>
            <w:r>
              <w:rPr>
                <w:rFonts w:hint="eastAsia"/>
                <w:color w:val="auto"/>
              </w:rPr>
              <w:t>有能力接纳本项目生活污水。</w:t>
            </w:r>
          </w:p>
          <w:p w14:paraId="2501A5DF">
            <w:pPr>
              <w:adjustRightInd w:val="0"/>
              <w:snapToGrid w:val="0"/>
              <w:spacing w:line="360" w:lineRule="auto"/>
              <w:ind w:firstLine="420" w:firstLineChars="200"/>
              <w:rPr>
                <w:color w:val="auto"/>
              </w:rPr>
            </w:pPr>
            <w:r>
              <w:rPr>
                <w:rFonts w:hint="eastAsia"/>
                <w:color w:val="auto"/>
              </w:rPr>
              <w:t>苏州市桃源富乡污水处理有限公司现已建设日处理污水量4万吨项目，远期扩建至5万吨，扩建后回用水率为76%。本项目</w:t>
            </w:r>
            <w:r>
              <w:rPr>
                <w:rFonts w:hint="eastAsia" w:eastAsia="宋体"/>
                <w:color w:val="auto"/>
                <w:lang w:eastAsia="zh-CN"/>
              </w:rPr>
              <w:t>生产废水</w:t>
            </w:r>
            <w:r>
              <w:rPr>
                <w:rFonts w:hint="eastAsia"/>
                <w:color w:val="auto"/>
              </w:rPr>
              <w:t>接管量为</w:t>
            </w:r>
            <w:r>
              <w:rPr>
                <w:rFonts w:hint="eastAsia" w:ascii="Times New Roman" w:eastAsia="宋体"/>
                <w:color w:val="auto"/>
                <w:szCs w:val="21"/>
                <w:lang w:val="en-US" w:eastAsia="zh-CN"/>
              </w:rPr>
              <w:t>469</w:t>
            </w:r>
            <w:r>
              <w:rPr>
                <w:color w:val="auto"/>
              </w:rPr>
              <w:t>m</w:t>
            </w:r>
            <w:r>
              <w:rPr>
                <w:color w:val="auto"/>
                <w:vertAlign w:val="superscript"/>
              </w:rPr>
              <w:t>3</w:t>
            </w:r>
            <w:r>
              <w:rPr>
                <w:color w:val="auto"/>
              </w:rPr>
              <w:t>/d</w:t>
            </w:r>
            <w:r>
              <w:rPr>
                <w:rFonts w:hint="eastAsia"/>
                <w:color w:val="auto"/>
              </w:rPr>
              <w:t>，在苏州市桃源富乡污水处理有限公司处理余量范围内，因此苏州市桃源富乡污水处理有限公司有能力接纳本项目</w:t>
            </w:r>
            <w:r>
              <w:rPr>
                <w:rFonts w:hint="eastAsia" w:eastAsia="宋体"/>
                <w:color w:val="auto"/>
                <w:lang w:eastAsia="zh-CN"/>
              </w:rPr>
              <w:t>生产废水</w:t>
            </w:r>
            <w:r>
              <w:rPr>
                <w:rFonts w:hint="eastAsia"/>
                <w:color w:val="auto"/>
              </w:rPr>
              <w:t>。</w:t>
            </w:r>
          </w:p>
          <w:p w14:paraId="4FC1CB6E">
            <w:pPr>
              <w:adjustRightInd w:val="0"/>
              <w:snapToGrid w:val="0"/>
              <w:spacing w:line="360" w:lineRule="auto"/>
              <w:ind w:firstLine="420" w:firstLineChars="200"/>
              <w:rPr>
                <w:color w:val="auto"/>
              </w:rPr>
            </w:pPr>
            <w:r>
              <w:rPr>
                <w:rFonts w:hint="eastAsia"/>
                <w:color w:val="auto"/>
              </w:rPr>
              <w:t>管网建设：项目所在地生活污水管网</w:t>
            </w:r>
            <w:r>
              <w:rPr>
                <w:rFonts w:hint="eastAsia" w:ascii="Times New Roman" w:eastAsia="宋体"/>
                <w:color w:val="auto"/>
                <w:lang w:val="en-US" w:eastAsia="zh-CN"/>
              </w:rPr>
              <w:t>已经</w:t>
            </w:r>
            <w:r>
              <w:rPr>
                <w:rFonts w:hint="eastAsia"/>
                <w:color w:val="auto"/>
              </w:rPr>
              <w:t>铺设到位，本项目</w:t>
            </w:r>
            <w:r>
              <w:rPr>
                <w:rFonts w:hint="eastAsia"/>
                <w:color w:val="auto"/>
                <w:lang w:eastAsia="zh-CN"/>
              </w:rPr>
              <w:t>生活污水抽运</w:t>
            </w:r>
            <w:r>
              <w:rPr>
                <w:rFonts w:hint="eastAsia"/>
                <w:color w:val="auto"/>
              </w:rPr>
              <w:t>至</w:t>
            </w:r>
            <w:r>
              <w:rPr>
                <w:rFonts w:hint="eastAsia" w:eastAsia="宋体"/>
                <w:color w:val="auto"/>
                <w:lang w:eastAsia="zh-CN"/>
              </w:rPr>
              <w:t>苏州市吴江桃源生活污水处理有限公司</w:t>
            </w:r>
            <w:r>
              <w:rPr>
                <w:rFonts w:hint="eastAsia"/>
                <w:color w:val="auto"/>
              </w:rPr>
              <w:t>处理。</w:t>
            </w:r>
          </w:p>
          <w:p w14:paraId="48AA64E1">
            <w:pPr>
              <w:adjustRightInd w:val="0"/>
              <w:snapToGrid w:val="0"/>
              <w:spacing w:line="360" w:lineRule="auto"/>
              <w:ind w:firstLine="420" w:firstLineChars="200"/>
              <w:rPr>
                <w:color w:val="auto"/>
              </w:rPr>
            </w:pPr>
            <w:r>
              <w:rPr>
                <w:rFonts w:hint="eastAsia"/>
                <w:color w:val="auto"/>
              </w:rPr>
              <w:t>项目所在地</w:t>
            </w:r>
            <w:r>
              <w:rPr>
                <w:rFonts w:hint="eastAsia" w:eastAsia="宋体"/>
                <w:color w:val="auto"/>
                <w:lang w:eastAsia="zh-CN"/>
              </w:rPr>
              <w:t>生产废水</w:t>
            </w:r>
            <w:r>
              <w:rPr>
                <w:rFonts w:hint="eastAsia"/>
                <w:color w:val="auto"/>
              </w:rPr>
              <w:t>管网</w:t>
            </w:r>
            <w:r>
              <w:rPr>
                <w:rFonts w:hint="eastAsia" w:ascii="Times New Roman" w:eastAsia="宋体"/>
                <w:color w:val="auto"/>
                <w:lang w:val="en-US" w:eastAsia="zh-CN"/>
              </w:rPr>
              <w:t>和中水回用管网</w:t>
            </w:r>
            <w:r>
              <w:rPr>
                <w:rFonts w:hint="eastAsia"/>
                <w:color w:val="auto"/>
              </w:rPr>
              <w:t>已铺设到位，可接管至苏州市桃源富乡污水处理有限公司处理</w:t>
            </w:r>
            <w:r>
              <w:rPr>
                <w:rFonts w:hint="eastAsia" w:ascii="Times New Roman" w:eastAsia="宋体"/>
                <w:color w:val="auto"/>
                <w:lang w:val="en-US" w:eastAsia="zh-CN"/>
              </w:rPr>
              <w:t>并回用至企业</w:t>
            </w:r>
            <w:r>
              <w:rPr>
                <w:rFonts w:hint="eastAsia"/>
                <w:color w:val="auto"/>
              </w:rPr>
              <w:t>。</w:t>
            </w:r>
          </w:p>
          <w:p w14:paraId="1EC8A21B">
            <w:pPr>
              <w:adjustRightInd w:val="0"/>
              <w:snapToGrid w:val="0"/>
              <w:spacing w:line="360" w:lineRule="auto"/>
              <w:ind w:firstLine="420" w:firstLineChars="200"/>
              <w:rPr>
                <w:color w:val="auto"/>
              </w:rPr>
            </w:pPr>
            <w:r>
              <w:rPr>
                <w:rFonts w:hint="eastAsia"/>
                <w:color w:val="auto"/>
              </w:rPr>
              <w:t>因此，本项目建成后</w:t>
            </w:r>
            <w:r>
              <w:rPr>
                <w:rFonts w:hint="eastAsia"/>
                <w:color w:val="auto"/>
                <w:lang w:eastAsia="zh-CN"/>
              </w:rPr>
              <w:t>生活污水抽运</w:t>
            </w:r>
            <w:r>
              <w:rPr>
                <w:rFonts w:hint="eastAsia"/>
                <w:color w:val="auto"/>
              </w:rPr>
              <w:t>至</w:t>
            </w:r>
            <w:r>
              <w:rPr>
                <w:rFonts w:hint="eastAsia" w:eastAsia="宋体"/>
                <w:color w:val="auto"/>
                <w:lang w:eastAsia="zh-CN"/>
              </w:rPr>
              <w:t>苏州市吴江桃源生活污水处理有限公司</w:t>
            </w:r>
            <w:r>
              <w:rPr>
                <w:rFonts w:hint="eastAsia"/>
                <w:color w:val="auto"/>
              </w:rPr>
              <w:t>处理，</w:t>
            </w:r>
            <w:r>
              <w:rPr>
                <w:rFonts w:hint="eastAsia" w:eastAsia="宋体"/>
                <w:color w:val="auto"/>
                <w:lang w:eastAsia="zh-CN"/>
              </w:rPr>
              <w:t>生产废水</w:t>
            </w:r>
            <w:r>
              <w:rPr>
                <w:rFonts w:hint="eastAsia"/>
                <w:color w:val="auto"/>
              </w:rPr>
              <w:t>接管至苏州市桃源富乡污水处理有限公司处理是可行的，对地表水环境的影响可接受。</w:t>
            </w:r>
          </w:p>
          <w:p w14:paraId="6087CD9B">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2.2</w:t>
            </w:r>
            <w:r>
              <w:rPr>
                <w:rFonts w:hint="eastAsia"/>
                <w:b/>
                <w:bCs/>
                <w:snapToGrid w:val="0"/>
                <w:color w:val="auto"/>
                <w:spacing w:val="-2"/>
                <w:kern w:val="0"/>
                <w:szCs w:val="21"/>
              </w:rPr>
              <w:t>废水监测计划</w:t>
            </w:r>
          </w:p>
          <w:p w14:paraId="6FD58359">
            <w:pPr>
              <w:autoSpaceDE w:val="0"/>
              <w:autoSpaceDN w:val="0"/>
              <w:adjustRightInd w:val="0"/>
              <w:snapToGrid w:val="0"/>
              <w:spacing w:line="360" w:lineRule="auto"/>
              <w:ind w:firstLine="420" w:firstLineChars="200"/>
              <w:jc w:val="left"/>
              <w:rPr>
                <w:color w:val="auto"/>
                <w:szCs w:val="21"/>
              </w:rPr>
            </w:pPr>
            <w:r>
              <w:rPr>
                <w:rFonts w:hint="eastAsia"/>
                <w:color w:val="auto"/>
                <w:szCs w:val="21"/>
              </w:rPr>
              <w:t>参考《排污单位自行监测技术指南</w:t>
            </w:r>
            <w:r>
              <w:rPr>
                <w:color w:val="auto"/>
                <w:szCs w:val="21"/>
              </w:rPr>
              <w:t xml:space="preserve"> </w:t>
            </w:r>
            <w:r>
              <w:rPr>
                <w:rFonts w:hint="eastAsia"/>
                <w:color w:val="auto"/>
                <w:szCs w:val="21"/>
              </w:rPr>
              <w:t>纺织印染工业》（</w:t>
            </w:r>
            <w:r>
              <w:rPr>
                <w:color w:val="auto"/>
                <w:szCs w:val="21"/>
              </w:rPr>
              <w:t>HJ 879-2017</w:t>
            </w:r>
            <w:r>
              <w:rPr>
                <w:rFonts w:hint="eastAsia"/>
                <w:color w:val="auto"/>
                <w:szCs w:val="21"/>
              </w:rPr>
              <w:t>），结合企业实际情况，对本项目废水的监测要求见下表。</w:t>
            </w:r>
          </w:p>
          <w:p w14:paraId="61968846">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4-</w:t>
            </w:r>
            <w:r>
              <w:rPr>
                <w:rFonts w:hint="eastAsia"/>
                <w:b/>
                <w:snapToGrid w:val="0"/>
                <w:color w:val="auto"/>
                <w:szCs w:val="21"/>
                <w:lang w:val="en-US" w:eastAsia="zh-CN"/>
              </w:rPr>
              <w:t>12</w:t>
            </w:r>
            <w:r>
              <w:rPr>
                <w:b/>
                <w:snapToGrid w:val="0"/>
                <w:color w:val="auto"/>
                <w:szCs w:val="21"/>
              </w:rPr>
              <w:t xml:space="preserve">  </w:t>
            </w:r>
            <w:r>
              <w:rPr>
                <w:rFonts w:hint="eastAsia"/>
                <w:b/>
                <w:snapToGrid w:val="0"/>
                <w:color w:val="auto"/>
                <w:szCs w:val="21"/>
              </w:rPr>
              <w:t>企业废水自行监测计划表</w:t>
            </w:r>
          </w:p>
          <w:tbl>
            <w:tblPr>
              <w:tblStyle w:val="26"/>
              <w:tblW w:w="8058"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1131"/>
              <w:gridCol w:w="1391"/>
              <w:gridCol w:w="1384"/>
              <w:gridCol w:w="1395"/>
              <w:gridCol w:w="2757"/>
            </w:tblGrid>
            <w:tr w14:paraId="664117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63" w:hRule="atLeast"/>
                <w:tblHeader/>
              </w:trPr>
              <w:tc>
                <w:tcPr>
                  <w:tcW w:w="1131" w:type="dxa"/>
                  <w:tcBorders>
                    <w:top w:val="single" w:color="auto" w:sz="12" w:space="0"/>
                    <w:bottom w:val="single" w:color="auto" w:sz="6" w:space="0"/>
                    <w:right w:val="single" w:color="auto" w:sz="6" w:space="0"/>
                  </w:tcBorders>
                  <w:vAlign w:val="center"/>
                </w:tcPr>
                <w:p w14:paraId="1D6959B6">
                  <w:pPr>
                    <w:snapToGrid w:val="0"/>
                    <w:jc w:val="center"/>
                    <w:textAlignment w:val="baseline"/>
                    <w:rPr>
                      <w:color w:val="auto"/>
                      <w:sz w:val="18"/>
                      <w:szCs w:val="18"/>
                    </w:rPr>
                  </w:pPr>
                  <w:r>
                    <w:rPr>
                      <w:rFonts w:hint="eastAsia"/>
                      <w:color w:val="auto"/>
                      <w:sz w:val="18"/>
                      <w:szCs w:val="18"/>
                    </w:rPr>
                    <w:t>类型</w:t>
                  </w:r>
                </w:p>
              </w:tc>
              <w:tc>
                <w:tcPr>
                  <w:tcW w:w="1391" w:type="dxa"/>
                  <w:tcBorders>
                    <w:top w:val="single" w:color="auto" w:sz="12" w:space="0"/>
                    <w:left w:val="single" w:color="auto" w:sz="6" w:space="0"/>
                    <w:bottom w:val="single" w:color="auto" w:sz="6" w:space="0"/>
                    <w:right w:val="single" w:color="auto" w:sz="6" w:space="0"/>
                  </w:tcBorders>
                  <w:vAlign w:val="center"/>
                </w:tcPr>
                <w:p w14:paraId="4D5BD83A">
                  <w:pPr>
                    <w:snapToGrid w:val="0"/>
                    <w:jc w:val="center"/>
                    <w:textAlignment w:val="baseline"/>
                    <w:rPr>
                      <w:color w:val="auto"/>
                      <w:sz w:val="18"/>
                      <w:szCs w:val="18"/>
                    </w:rPr>
                  </w:pPr>
                  <w:r>
                    <w:rPr>
                      <w:rFonts w:hint="eastAsia"/>
                      <w:color w:val="auto"/>
                      <w:sz w:val="18"/>
                      <w:szCs w:val="18"/>
                    </w:rPr>
                    <w:t>监测点位</w:t>
                  </w:r>
                </w:p>
              </w:tc>
              <w:tc>
                <w:tcPr>
                  <w:tcW w:w="1384" w:type="dxa"/>
                  <w:tcBorders>
                    <w:top w:val="single" w:color="auto" w:sz="12" w:space="0"/>
                    <w:left w:val="single" w:color="auto" w:sz="6" w:space="0"/>
                    <w:bottom w:val="single" w:color="auto" w:sz="6" w:space="0"/>
                    <w:right w:val="single" w:color="auto" w:sz="6" w:space="0"/>
                  </w:tcBorders>
                  <w:vAlign w:val="center"/>
                </w:tcPr>
                <w:p w14:paraId="1923F730">
                  <w:pPr>
                    <w:snapToGrid w:val="0"/>
                    <w:jc w:val="center"/>
                    <w:textAlignment w:val="baseline"/>
                    <w:rPr>
                      <w:color w:val="auto"/>
                      <w:sz w:val="18"/>
                      <w:szCs w:val="18"/>
                    </w:rPr>
                  </w:pPr>
                  <w:r>
                    <w:rPr>
                      <w:rFonts w:hint="eastAsia"/>
                      <w:color w:val="auto"/>
                      <w:sz w:val="18"/>
                      <w:szCs w:val="18"/>
                    </w:rPr>
                    <w:t>监测指标</w:t>
                  </w:r>
                </w:p>
              </w:tc>
              <w:tc>
                <w:tcPr>
                  <w:tcW w:w="1395" w:type="dxa"/>
                  <w:tcBorders>
                    <w:top w:val="single" w:color="auto" w:sz="12" w:space="0"/>
                    <w:left w:val="single" w:color="auto" w:sz="6" w:space="0"/>
                    <w:bottom w:val="single" w:color="auto" w:sz="6" w:space="0"/>
                    <w:right w:val="single" w:color="auto" w:sz="6" w:space="0"/>
                  </w:tcBorders>
                  <w:vAlign w:val="center"/>
                </w:tcPr>
                <w:p w14:paraId="42E1B9BE">
                  <w:pPr>
                    <w:snapToGrid w:val="0"/>
                    <w:jc w:val="center"/>
                    <w:textAlignment w:val="baseline"/>
                    <w:rPr>
                      <w:color w:val="auto"/>
                      <w:sz w:val="18"/>
                      <w:szCs w:val="18"/>
                    </w:rPr>
                  </w:pPr>
                  <w:r>
                    <w:rPr>
                      <w:rFonts w:hint="eastAsia"/>
                      <w:color w:val="auto"/>
                      <w:sz w:val="18"/>
                      <w:szCs w:val="18"/>
                    </w:rPr>
                    <w:t>监测频次</w:t>
                  </w:r>
                </w:p>
              </w:tc>
              <w:tc>
                <w:tcPr>
                  <w:tcW w:w="2757" w:type="dxa"/>
                  <w:tcBorders>
                    <w:top w:val="single" w:color="auto" w:sz="12" w:space="0"/>
                    <w:left w:val="single" w:color="auto" w:sz="6" w:space="0"/>
                    <w:bottom w:val="single" w:color="auto" w:sz="6" w:space="0"/>
                  </w:tcBorders>
                  <w:vAlign w:val="center"/>
                </w:tcPr>
                <w:p w14:paraId="5093B6D5">
                  <w:pPr>
                    <w:snapToGrid w:val="0"/>
                    <w:jc w:val="center"/>
                    <w:textAlignment w:val="baseline"/>
                    <w:rPr>
                      <w:color w:val="auto"/>
                      <w:sz w:val="18"/>
                      <w:szCs w:val="18"/>
                    </w:rPr>
                  </w:pPr>
                  <w:r>
                    <w:rPr>
                      <w:rFonts w:hint="eastAsia"/>
                      <w:color w:val="auto"/>
                      <w:sz w:val="18"/>
                      <w:szCs w:val="18"/>
                    </w:rPr>
                    <w:t>执行标准</w:t>
                  </w:r>
                </w:p>
              </w:tc>
            </w:tr>
            <w:tr w14:paraId="74B229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1131" w:type="dxa"/>
                  <w:vMerge w:val="restart"/>
                  <w:tcBorders>
                    <w:top w:val="single" w:color="auto" w:sz="6" w:space="0"/>
                    <w:bottom w:val="single" w:color="auto" w:sz="6" w:space="0"/>
                    <w:right w:val="single" w:color="auto" w:sz="6" w:space="0"/>
                  </w:tcBorders>
                  <w:vAlign w:val="center"/>
                </w:tcPr>
                <w:p w14:paraId="1563C6DD">
                  <w:pPr>
                    <w:snapToGrid w:val="0"/>
                    <w:jc w:val="center"/>
                    <w:textAlignment w:val="baseline"/>
                    <w:rPr>
                      <w:color w:val="auto"/>
                      <w:sz w:val="18"/>
                      <w:szCs w:val="18"/>
                    </w:rPr>
                  </w:pPr>
                  <w:r>
                    <w:rPr>
                      <w:rFonts w:hint="eastAsia"/>
                      <w:color w:val="auto"/>
                      <w:sz w:val="18"/>
                      <w:szCs w:val="18"/>
                      <w:lang w:val="en-US" w:eastAsia="zh-CN"/>
                    </w:rPr>
                    <w:t>生产</w:t>
                  </w:r>
                  <w:r>
                    <w:rPr>
                      <w:rFonts w:hint="eastAsia"/>
                      <w:color w:val="auto"/>
                      <w:sz w:val="18"/>
                      <w:szCs w:val="18"/>
                    </w:rPr>
                    <w:t>废水</w:t>
                  </w:r>
                </w:p>
              </w:tc>
              <w:tc>
                <w:tcPr>
                  <w:tcW w:w="1391" w:type="dxa"/>
                  <w:vMerge w:val="restart"/>
                  <w:tcBorders>
                    <w:top w:val="single" w:color="auto" w:sz="6" w:space="0"/>
                    <w:left w:val="single" w:color="auto" w:sz="6" w:space="0"/>
                    <w:bottom w:val="single" w:color="auto" w:sz="6" w:space="0"/>
                    <w:right w:val="single" w:color="auto" w:sz="6" w:space="0"/>
                  </w:tcBorders>
                  <w:vAlign w:val="center"/>
                </w:tcPr>
                <w:p w14:paraId="4B7F7725">
                  <w:pPr>
                    <w:snapToGrid w:val="0"/>
                    <w:jc w:val="center"/>
                    <w:textAlignment w:val="baseline"/>
                    <w:rPr>
                      <w:color w:val="auto"/>
                      <w:sz w:val="18"/>
                      <w:szCs w:val="18"/>
                    </w:rPr>
                  </w:pPr>
                  <w:r>
                    <w:rPr>
                      <w:rFonts w:hint="eastAsia"/>
                      <w:color w:val="auto"/>
                      <w:sz w:val="18"/>
                      <w:szCs w:val="18"/>
                      <w:lang w:val="en-US" w:eastAsia="zh-CN"/>
                    </w:rPr>
                    <w:t>生产</w:t>
                  </w:r>
                  <w:r>
                    <w:rPr>
                      <w:rFonts w:hint="eastAsia"/>
                      <w:color w:val="auto"/>
                      <w:sz w:val="18"/>
                      <w:szCs w:val="18"/>
                    </w:rPr>
                    <w:t>废水接管口</w:t>
                  </w:r>
                </w:p>
              </w:tc>
              <w:tc>
                <w:tcPr>
                  <w:tcW w:w="1384" w:type="dxa"/>
                  <w:tcBorders>
                    <w:top w:val="single" w:color="auto" w:sz="6" w:space="0"/>
                    <w:left w:val="single" w:color="auto" w:sz="6" w:space="0"/>
                    <w:bottom w:val="single" w:color="auto" w:sz="6" w:space="0"/>
                    <w:right w:val="single" w:color="auto" w:sz="6" w:space="0"/>
                  </w:tcBorders>
                  <w:vAlign w:val="center"/>
                </w:tcPr>
                <w:p w14:paraId="78BF2DC8">
                  <w:pPr>
                    <w:snapToGrid w:val="0"/>
                    <w:jc w:val="center"/>
                    <w:textAlignment w:val="baseline"/>
                    <w:rPr>
                      <w:color w:val="auto"/>
                      <w:sz w:val="18"/>
                      <w:szCs w:val="18"/>
                    </w:rPr>
                  </w:pPr>
                  <w:r>
                    <w:rPr>
                      <w:rFonts w:hint="eastAsia"/>
                      <w:color w:val="auto"/>
                      <w:sz w:val="18"/>
                      <w:szCs w:val="18"/>
                    </w:rPr>
                    <w:t>流量</w:t>
                  </w:r>
                </w:p>
              </w:tc>
              <w:tc>
                <w:tcPr>
                  <w:tcW w:w="1395" w:type="dxa"/>
                  <w:vMerge w:val="restart"/>
                  <w:tcBorders>
                    <w:top w:val="single" w:color="auto" w:sz="6" w:space="0"/>
                    <w:left w:val="single" w:color="auto" w:sz="6" w:space="0"/>
                    <w:right w:val="single" w:color="auto" w:sz="6" w:space="0"/>
                  </w:tcBorders>
                  <w:vAlign w:val="center"/>
                </w:tcPr>
                <w:p w14:paraId="59C9F1A1">
                  <w:pPr>
                    <w:snapToGrid w:val="0"/>
                    <w:jc w:val="center"/>
                    <w:textAlignment w:val="baseline"/>
                    <w:rPr>
                      <w:color w:val="auto"/>
                      <w:sz w:val="18"/>
                      <w:szCs w:val="18"/>
                    </w:rPr>
                  </w:pPr>
                  <w:r>
                    <w:rPr>
                      <w:rFonts w:hint="eastAsia"/>
                      <w:color w:val="auto"/>
                      <w:sz w:val="18"/>
                      <w:szCs w:val="18"/>
                    </w:rPr>
                    <w:t>自动监测</w:t>
                  </w:r>
                </w:p>
              </w:tc>
              <w:tc>
                <w:tcPr>
                  <w:tcW w:w="2757" w:type="dxa"/>
                  <w:tcBorders>
                    <w:top w:val="single" w:color="auto" w:sz="6" w:space="0"/>
                    <w:left w:val="single" w:color="auto" w:sz="6" w:space="0"/>
                    <w:bottom w:val="single" w:color="auto" w:sz="6" w:space="0"/>
                  </w:tcBorders>
                  <w:vAlign w:val="center"/>
                </w:tcPr>
                <w:p w14:paraId="6DE6455D">
                  <w:pPr>
                    <w:snapToGrid w:val="0"/>
                    <w:jc w:val="center"/>
                    <w:textAlignment w:val="baseline"/>
                    <w:rPr>
                      <w:color w:val="auto"/>
                      <w:sz w:val="18"/>
                      <w:szCs w:val="18"/>
                    </w:rPr>
                  </w:pPr>
                  <w:r>
                    <w:rPr>
                      <w:color w:val="auto"/>
                      <w:sz w:val="18"/>
                      <w:szCs w:val="18"/>
                    </w:rPr>
                    <w:t>/</w:t>
                  </w:r>
                </w:p>
              </w:tc>
            </w:tr>
            <w:tr w14:paraId="46D3C27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1131" w:type="dxa"/>
                  <w:vMerge w:val="continue"/>
                  <w:tcBorders>
                    <w:top w:val="single" w:color="auto" w:sz="6" w:space="0"/>
                    <w:bottom w:val="single" w:color="auto" w:sz="6" w:space="0"/>
                    <w:right w:val="single" w:color="auto" w:sz="6" w:space="0"/>
                  </w:tcBorders>
                  <w:vAlign w:val="center"/>
                </w:tcPr>
                <w:p w14:paraId="0A88F9AB">
                  <w:pPr>
                    <w:snapToGrid w:val="0"/>
                    <w:jc w:val="center"/>
                    <w:textAlignment w:val="baseline"/>
                    <w:rPr>
                      <w:color w:val="auto"/>
                      <w:sz w:val="18"/>
                      <w:szCs w:val="18"/>
                    </w:rPr>
                  </w:pPr>
                </w:p>
              </w:tc>
              <w:tc>
                <w:tcPr>
                  <w:tcW w:w="1391" w:type="dxa"/>
                  <w:vMerge w:val="continue"/>
                  <w:tcBorders>
                    <w:top w:val="single" w:color="auto" w:sz="6" w:space="0"/>
                    <w:left w:val="single" w:color="auto" w:sz="6" w:space="0"/>
                    <w:bottom w:val="single" w:color="auto" w:sz="6" w:space="0"/>
                    <w:right w:val="single" w:color="auto" w:sz="6" w:space="0"/>
                  </w:tcBorders>
                  <w:vAlign w:val="center"/>
                </w:tcPr>
                <w:p w14:paraId="4DBEE3BA">
                  <w:pPr>
                    <w:snapToGrid w:val="0"/>
                    <w:jc w:val="center"/>
                    <w:textAlignment w:val="baseline"/>
                    <w:rPr>
                      <w:color w:val="auto"/>
                      <w:sz w:val="18"/>
                      <w:szCs w:val="18"/>
                    </w:rPr>
                  </w:pPr>
                </w:p>
              </w:tc>
              <w:tc>
                <w:tcPr>
                  <w:tcW w:w="1384" w:type="dxa"/>
                  <w:tcBorders>
                    <w:top w:val="single" w:color="auto" w:sz="6" w:space="0"/>
                    <w:left w:val="single" w:color="auto" w:sz="6" w:space="0"/>
                    <w:bottom w:val="single" w:color="auto" w:sz="6" w:space="0"/>
                    <w:right w:val="single" w:color="auto" w:sz="6" w:space="0"/>
                  </w:tcBorders>
                  <w:vAlign w:val="center"/>
                </w:tcPr>
                <w:p w14:paraId="5FBBEA8D">
                  <w:pPr>
                    <w:snapToGrid w:val="0"/>
                    <w:jc w:val="center"/>
                    <w:textAlignment w:val="baseline"/>
                    <w:rPr>
                      <w:color w:val="auto"/>
                      <w:sz w:val="18"/>
                      <w:szCs w:val="18"/>
                    </w:rPr>
                  </w:pPr>
                  <w:r>
                    <w:rPr>
                      <w:color w:val="auto"/>
                      <w:sz w:val="18"/>
                      <w:szCs w:val="18"/>
                    </w:rPr>
                    <w:t>pH</w:t>
                  </w:r>
                  <w:r>
                    <w:rPr>
                      <w:rFonts w:hint="eastAsia"/>
                      <w:color w:val="auto"/>
                      <w:sz w:val="18"/>
                      <w:szCs w:val="18"/>
                    </w:rPr>
                    <w:t>值</w:t>
                  </w:r>
                </w:p>
              </w:tc>
              <w:tc>
                <w:tcPr>
                  <w:tcW w:w="1395" w:type="dxa"/>
                  <w:vMerge w:val="continue"/>
                  <w:tcBorders>
                    <w:left w:val="single" w:color="auto" w:sz="6" w:space="0"/>
                    <w:right w:val="single" w:color="auto" w:sz="6" w:space="0"/>
                  </w:tcBorders>
                  <w:vAlign w:val="center"/>
                </w:tcPr>
                <w:p w14:paraId="18F8FE0A">
                  <w:pPr>
                    <w:snapToGrid w:val="0"/>
                    <w:jc w:val="center"/>
                    <w:textAlignment w:val="baseline"/>
                    <w:rPr>
                      <w:color w:val="auto"/>
                      <w:sz w:val="18"/>
                      <w:szCs w:val="18"/>
                    </w:rPr>
                  </w:pPr>
                </w:p>
              </w:tc>
              <w:tc>
                <w:tcPr>
                  <w:tcW w:w="2757" w:type="dxa"/>
                  <w:vMerge w:val="restart"/>
                  <w:tcBorders>
                    <w:top w:val="single" w:color="auto" w:sz="6" w:space="0"/>
                    <w:left w:val="single" w:color="auto" w:sz="6" w:space="0"/>
                    <w:bottom w:val="single" w:color="auto" w:sz="6" w:space="0"/>
                  </w:tcBorders>
                  <w:vAlign w:val="center"/>
                </w:tcPr>
                <w:p w14:paraId="36EF536F">
                  <w:pPr>
                    <w:snapToGrid w:val="0"/>
                    <w:jc w:val="center"/>
                    <w:textAlignment w:val="baseline"/>
                    <w:rPr>
                      <w:color w:val="auto"/>
                      <w:sz w:val="18"/>
                      <w:szCs w:val="18"/>
                    </w:rPr>
                  </w:pPr>
                  <w:r>
                    <w:rPr>
                      <w:rFonts w:hint="eastAsia"/>
                      <w:color w:val="auto"/>
                      <w:sz w:val="18"/>
                      <w:szCs w:val="18"/>
                    </w:rPr>
                    <w:t>《污水综合排放标准》（</w:t>
                  </w:r>
                  <w:r>
                    <w:rPr>
                      <w:color w:val="auto"/>
                      <w:sz w:val="18"/>
                      <w:szCs w:val="18"/>
                    </w:rPr>
                    <w:t>GB 8978-1996</w:t>
                  </w:r>
                  <w:r>
                    <w:rPr>
                      <w:rFonts w:hint="eastAsia"/>
                      <w:color w:val="auto"/>
                      <w:sz w:val="18"/>
                      <w:szCs w:val="18"/>
                    </w:rPr>
                    <w:t>）</w:t>
                  </w:r>
                </w:p>
              </w:tc>
            </w:tr>
            <w:tr w14:paraId="7D585A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1131" w:type="dxa"/>
                  <w:vMerge w:val="continue"/>
                  <w:tcBorders>
                    <w:top w:val="single" w:color="auto" w:sz="6" w:space="0"/>
                    <w:bottom w:val="single" w:color="auto" w:sz="6" w:space="0"/>
                    <w:right w:val="single" w:color="auto" w:sz="6" w:space="0"/>
                  </w:tcBorders>
                  <w:vAlign w:val="center"/>
                </w:tcPr>
                <w:p w14:paraId="5494145C">
                  <w:pPr>
                    <w:snapToGrid w:val="0"/>
                    <w:jc w:val="center"/>
                    <w:textAlignment w:val="baseline"/>
                    <w:rPr>
                      <w:color w:val="auto"/>
                      <w:sz w:val="18"/>
                      <w:szCs w:val="18"/>
                    </w:rPr>
                  </w:pPr>
                </w:p>
              </w:tc>
              <w:tc>
                <w:tcPr>
                  <w:tcW w:w="1391" w:type="dxa"/>
                  <w:vMerge w:val="continue"/>
                  <w:tcBorders>
                    <w:top w:val="single" w:color="auto" w:sz="6" w:space="0"/>
                    <w:left w:val="single" w:color="auto" w:sz="6" w:space="0"/>
                    <w:bottom w:val="single" w:color="auto" w:sz="6" w:space="0"/>
                    <w:right w:val="single" w:color="auto" w:sz="6" w:space="0"/>
                  </w:tcBorders>
                  <w:vAlign w:val="center"/>
                </w:tcPr>
                <w:p w14:paraId="24BBB073">
                  <w:pPr>
                    <w:snapToGrid w:val="0"/>
                    <w:jc w:val="center"/>
                    <w:textAlignment w:val="baseline"/>
                    <w:rPr>
                      <w:color w:val="auto"/>
                      <w:sz w:val="18"/>
                      <w:szCs w:val="18"/>
                    </w:rPr>
                  </w:pPr>
                </w:p>
              </w:tc>
              <w:tc>
                <w:tcPr>
                  <w:tcW w:w="1384" w:type="dxa"/>
                  <w:tcBorders>
                    <w:top w:val="single" w:color="auto" w:sz="6" w:space="0"/>
                    <w:left w:val="single" w:color="auto" w:sz="6" w:space="0"/>
                    <w:bottom w:val="single" w:color="auto" w:sz="6" w:space="0"/>
                    <w:right w:val="single" w:color="auto" w:sz="6" w:space="0"/>
                  </w:tcBorders>
                  <w:vAlign w:val="center"/>
                </w:tcPr>
                <w:p w14:paraId="78730088">
                  <w:pPr>
                    <w:snapToGrid w:val="0"/>
                    <w:jc w:val="center"/>
                    <w:textAlignment w:val="baseline"/>
                    <w:rPr>
                      <w:color w:val="auto"/>
                      <w:sz w:val="18"/>
                      <w:szCs w:val="18"/>
                    </w:rPr>
                  </w:pPr>
                  <w:r>
                    <w:rPr>
                      <w:color w:val="auto"/>
                      <w:sz w:val="18"/>
                      <w:szCs w:val="18"/>
                    </w:rPr>
                    <w:t>COD</w:t>
                  </w:r>
                </w:p>
              </w:tc>
              <w:tc>
                <w:tcPr>
                  <w:tcW w:w="1395" w:type="dxa"/>
                  <w:vMerge w:val="continue"/>
                  <w:tcBorders>
                    <w:left w:val="single" w:color="auto" w:sz="6" w:space="0"/>
                    <w:bottom w:val="single" w:color="auto" w:sz="6" w:space="0"/>
                    <w:right w:val="single" w:color="auto" w:sz="6" w:space="0"/>
                  </w:tcBorders>
                  <w:vAlign w:val="center"/>
                </w:tcPr>
                <w:p w14:paraId="16FA4E03">
                  <w:pPr>
                    <w:snapToGrid w:val="0"/>
                    <w:jc w:val="center"/>
                    <w:textAlignment w:val="baseline"/>
                    <w:rPr>
                      <w:color w:val="auto"/>
                      <w:sz w:val="18"/>
                      <w:szCs w:val="18"/>
                    </w:rPr>
                  </w:pPr>
                </w:p>
              </w:tc>
              <w:tc>
                <w:tcPr>
                  <w:tcW w:w="2757" w:type="dxa"/>
                  <w:vMerge w:val="continue"/>
                  <w:tcBorders>
                    <w:top w:val="single" w:color="auto" w:sz="6" w:space="0"/>
                    <w:left w:val="single" w:color="auto" w:sz="6" w:space="0"/>
                    <w:bottom w:val="single" w:color="auto" w:sz="6" w:space="0"/>
                  </w:tcBorders>
                  <w:vAlign w:val="center"/>
                </w:tcPr>
                <w:p w14:paraId="362023F0">
                  <w:pPr>
                    <w:snapToGrid w:val="0"/>
                    <w:jc w:val="center"/>
                    <w:textAlignment w:val="baseline"/>
                    <w:rPr>
                      <w:color w:val="auto"/>
                      <w:sz w:val="18"/>
                      <w:szCs w:val="18"/>
                    </w:rPr>
                  </w:pPr>
                </w:p>
              </w:tc>
            </w:tr>
            <w:tr w14:paraId="1DA2E1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1131" w:type="dxa"/>
                  <w:vMerge w:val="continue"/>
                  <w:tcBorders>
                    <w:top w:val="single" w:color="auto" w:sz="6" w:space="0"/>
                    <w:bottom w:val="single" w:color="auto" w:sz="6" w:space="0"/>
                    <w:right w:val="single" w:color="auto" w:sz="6" w:space="0"/>
                  </w:tcBorders>
                  <w:vAlign w:val="center"/>
                </w:tcPr>
                <w:p w14:paraId="1EC60838">
                  <w:pPr>
                    <w:snapToGrid w:val="0"/>
                    <w:jc w:val="center"/>
                    <w:textAlignment w:val="baseline"/>
                    <w:rPr>
                      <w:color w:val="auto"/>
                      <w:sz w:val="18"/>
                      <w:szCs w:val="18"/>
                    </w:rPr>
                  </w:pPr>
                </w:p>
              </w:tc>
              <w:tc>
                <w:tcPr>
                  <w:tcW w:w="1391" w:type="dxa"/>
                  <w:vMerge w:val="continue"/>
                  <w:tcBorders>
                    <w:top w:val="single" w:color="auto" w:sz="6" w:space="0"/>
                    <w:left w:val="single" w:color="auto" w:sz="6" w:space="0"/>
                    <w:bottom w:val="single" w:color="auto" w:sz="6" w:space="0"/>
                    <w:right w:val="single" w:color="auto" w:sz="6" w:space="0"/>
                  </w:tcBorders>
                  <w:vAlign w:val="center"/>
                </w:tcPr>
                <w:p w14:paraId="4EA3B97A">
                  <w:pPr>
                    <w:snapToGrid w:val="0"/>
                    <w:jc w:val="center"/>
                    <w:textAlignment w:val="baseline"/>
                    <w:rPr>
                      <w:color w:val="auto"/>
                      <w:sz w:val="18"/>
                      <w:szCs w:val="18"/>
                    </w:rPr>
                  </w:pPr>
                </w:p>
              </w:tc>
              <w:tc>
                <w:tcPr>
                  <w:tcW w:w="1384" w:type="dxa"/>
                  <w:tcBorders>
                    <w:top w:val="single" w:color="auto" w:sz="6" w:space="0"/>
                    <w:left w:val="single" w:color="auto" w:sz="6" w:space="0"/>
                    <w:bottom w:val="single" w:color="auto" w:sz="6" w:space="0"/>
                    <w:right w:val="single" w:color="auto" w:sz="6" w:space="0"/>
                  </w:tcBorders>
                  <w:vAlign w:val="center"/>
                </w:tcPr>
                <w:p w14:paraId="4A7B7B9F">
                  <w:pPr>
                    <w:snapToGrid w:val="0"/>
                    <w:jc w:val="center"/>
                    <w:textAlignment w:val="baseline"/>
                    <w:rPr>
                      <w:rFonts w:hint="eastAsia" w:eastAsia="宋体"/>
                      <w:color w:val="auto"/>
                      <w:sz w:val="18"/>
                      <w:szCs w:val="18"/>
                      <w:lang w:eastAsia="zh-CN"/>
                    </w:rPr>
                  </w:pPr>
                  <w:r>
                    <w:rPr>
                      <w:rFonts w:hint="eastAsia"/>
                      <w:color w:val="auto"/>
                      <w:sz w:val="18"/>
                      <w:szCs w:val="18"/>
                      <w:lang w:val="en-US" w:eastAsia="zh-CN"/>
                    </w:rPr>
                    <w:t>石油类</w:t>
                  </w:r>
                </w:p>
              </w:tc>
              <w:tc>
                <w:tcPr>
                  <w:tcW w:w="1395" w:type="dxa"/>
                  <w:tcBorders>
                    <w:top w:val="single" w:color="auto" w:sz="6" w:space="0"/>
                    <w:left w:val="single" w:color="auto" w:sz="6" w:space="0"/>
                    <w:bottom w:val="single" w:color="auto" w:sz="6" w:space="0"/>
                    <w:right w:val="single" w:color="auto" w:sz="6" w:space="0"/>
                  </w:tcBorders>
                  <w:vAlign w:val="center"/>
                </w:tcPr>
                <w:p w14:paraId="467BEDD6">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1次</w:t>
                  </w:r>
                  <w:r>
                    <w:rPr>
                      <w:color w:val="auto"/>
                      <w:sz w:val="18"/>
                      <w:szCs w:val="18"/>
                    </w:rPr>
                    <w:t>/</w:t>
                  </w:r>
                  <w:r>
                    <w:rPr>
                      <w:rFonts w:hint="eastAsia"/>
                      <w:color w:val="auto"/>
                      <w:sz w:val="18"/>
                      <w:szCs w:val="18"/>
                      <w:lang w:val="en-US" w:eastAsia="zh-CN"/>
                    </w:rPr>
                    <w:t>季</w:t>
                  </w:r>
                </w:p>
              </w:tc>
              <w:tc>
                <w:tcPr>
                  <w:tcW w:w="2757" w:type="dxa"/>
                  <w:tcBorders>
                    <w:top w:val="single" w:color="auto" w:sz="6" w:space="0"/>
                    <w:left w:val="single" w:color="auto" w:sz="6" w:space="0"/>
                    <w:bottom w:val="single" w:color="auto" w:sz="6" w:space="0"/>
                  </w:tcBorders>
                  <w:vAlign w:val="center"/>
                </w:tcPr>
                <w:p w14:paraId="2518F9D0">
                  <w:pPr>
                    <w:snapToGrid w:val="0"/>
                    <w:jc w:val="center"/>
                    <w:textAlignment w:val="baseline"/>
                    <w:rPr>
                      <w:color w:val="auto"/>
                      <w:sz w:val="18"/>
                      <w:szCs w:val="18"/>
                    </w:rPr>
                  </w:pPr>
                  <w:r>
                    <w:rPr>
                      <w:rFonts w:hint="eastAsia"/>
                      <w:color w:val="auto"/>
                      <w:sz w:val="18"/>
                      <w:szCs w:val="18"/>
                    </w:rPr>
                    <w:t>《污水排入城镇下水道水质标准》（</w:t>
                  </w:r>
                  <w:r>
                    <w:rPr>
                      <w:color w:val="auto"/>
                      <w:sz w:val="18"/>
                      <w:szCs w:val="18"/>
                    </w:rPr>
                    <w:t>GB/T 31962-2015</w:t>
                  </w:r>
                  <w:r>
                    <w:rPr>
                      <w:rFonts w:hint="eastAsia"/>
                      <w:color w:val="auto"/>
                      <w:sz w:val="18"/>
                      <w:szCs w:val="18"/>
                    </w:rPr>
                    <w:t>）</w:t>
                  </w:r>
                </w:p>
              </w:tc>
            </w:tr>
            <w:tr w14:paraId="455372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1131" w:type="dxa"/>
                  <w:vMerge w:val="continue"/>
                  <w:tcBorders>
                    <w:top w:val="single" w:color="auto" w:sz="6" w:space="0"/>
                    <w:bottom w:val="single" w:color="auto" w:sz="6" w:space="0"/>
                    <w:right w:val="single" w:color="auto" w:sz="6" w:space="0"/>
                  </w:tcBorders>
                  <w:vAlign w:val="center"/>
                </w:tcPr>
                <w:p w14:paraId="6EC02649">
                  <w:pPr>
                    <w:snapToGrid w:val="0"/>
                    <w:jc w:val="center"/>
                    <w:textAlignment w:val="baseline"/>
                    <w:rPr>
                      <w:color w:val="auto"/>
                      <w:sz w:val="18"/>
                      <w:szCs w:val="18"/>
                    </w:rPr>
                  </w:pPr>
                </w:p>
              </w:tc>
              <w:tc>
                <w:tcPr>
                  <w:tcW w:w="1391" w:type="dxa"/>
                  <w:vMerge w:val="continue"/>
                  <w:tcBorders>
                    <w:top w:val="single" w:color="auto" w:sz="6" w:space="0"/>
                    <w:left w:val="single" w:color="auto" w:sz="6" w:space="0"/>
                    <w:bottom w:val="single" w:color="auto" w:sz="6" w:space="0"/>
                    <w:right w:val="single" w:color="auto" w:sz="6" w:space="0"/>
                  </w:tcBorders>
                  <w:vAlign w:val="center"/>
                </w:tcPr>
                <w:p w14:paraId="54BEBA8C">
                  <w:pPr>
                    <w:snapToGrid w:val="0"/>
                    <w:jc w:val="center"/>
                    <w:textAlignment w:val="baseline"/>
                    <w:rPr>
                      <w:color w:val="auto"/>
                      <w:sz w:val="18"/>
                      <w:szCs w:val="18"/>
                    </w:rPr>
                  </w:pPr>
                </w:p>
              </w:tc>
              <w:tc>
                <w:tcPr>
                  <w:tcW w:w="1384" w:type="dxa"/>
                  <w:tcBorders>
                    <w:top w:val="single" w:color="auto" w:sz="6" w:space="0"/>
                    <w:left w:val="single" w:color="auto" w:sz="6" w:space="0"/>
                    <w:bottom w:val="single" w:color="auto" w:sz="6" w:space="0"/>
                    <w:right w:val="single" w:color="auto" w:sz="6" w:space="0"/>
                  </w:tcBorders>
                  <w:vAlign w:val="center"/>
                </w:tcPr>
                <w:p w14:paraId="0CEC490D">
                  <w:pPr>
                    <w:snapToGrid w:val="0"/>
                    <w:jc w:val="center"/>
                    <w:textAlignment w:val="baseline"/>
                    <w:rPr>
                      <w:color w:val="auto"/>
                      <w:sz w:val="18"/>
                      <w:szCs w:val="18"/>
                    </w:rPr>
                  </w:pPr>
                  <w:r>
                    <w:rPr>
                      <w:color w:val="auto"/>
                      <w:sz w:val="18"/>
                      <w:szCs w:val="18"/>
                    </w:rPr>
                    <w:t>SS</w:t>
                  </w:r>
                </w:p>
              </w:tc>
              <w:tc>
                <w:tcPr>
                  <w:tcW w:w="1395" w:type="dxa"/>
                  <w:tcBorders>
                    <w:top w:val="single" w:color="auto" w:sz="6" w:space="0"/>
                    <w:left w:val="single" w:color="auto" w:sz="6" w:space="0"/>
                    <w:bottom w:val="single" w:color="auto" w:sz="6" w:space="0"/>
                    <w:right w:val="single" w:color="auto" w:sz="6" w:space="0"/>
                  </w:tcBorders>
                  <w:vAlign w:val="center"/>
                </w:tcPr>
                <w:p w14:paraId="3972AA5B">
                  <w:pPr>
                    <w:snapToGrid w:val="0"/>
                    <w:jc w:val="center"/>
                    <w:textAlignment w:val="baseline"/>
                    <w:rPr>
                      <w:rFonts w:hint="eastAsia" w:eastAsia="宋体"/>
                      <w:color w:val="auto"/>
                      <w:sz w:val="18"/>
                      <w:szCs w:val="18"/>
                      <w:lang w:eastAsia="zh-CN"/>
                    </w:rPr>
                  </w:pPr>
                  <w:r>
                    <w:rPr>
                      <w:rFonts w:hint="eastAsia"/>
                      <w:color w:val="auto"/>
                      <w:sz w:val="18"/>
                      <w:szCs w:val="18"/>
                      <w:lang w:val="en-US" w:eastAsia="zh-CN"/>
                    </w:rPr>
                    <w:t>1次</w:t>
                  </w:r>
                  <w:r>
                    <w:rPr>
                      <w:color w:val="auto"/>
                      <w:sz w:val="18"/>
                      <w:szCs w:val="18"/>
                    </w:rPr>
                    <w:t>/</w:t>
                  </w:r>
                  <w:r>
                    <w:rPr>
                      <w:rFonts w:hint="eastAsia"/>
                      <w:color w:val="auto"/>
                      <w:sz w:val="18"/>
                      <w:szCs w:val="18"/>
                      <w:lang w:val="en-US" w:eastAsia="zh-CN"/>
                    </w:rPr>
                    <w:t>周</w:t>
                  </w:r>
                </w:p>
              </w:tc>
              <w:tc>
                <w:tcPr>
                  <w:tcW w:w="2757" w:type="dxa"/>
                  <w:tcBorders>
                    <w:top w:val="single" w:color="auto" w:sz="6" w:space="0"/>
                    <w:left w:val="single" w:color="auto" w:sz="6" w:space="0"/>
                    <w:bottom w:val="single" w:color="auto" w:sz="6" w:space="0"/>
                  </w:tcBorders>
                  <w:vAlign w:val="center"/>
                </w:tcPr>
                <w:p w14:paraId="46F6D889">
                  <w:pPr>
                    <w:snapToGrid w:val="0"/>
                    <w:jc w:val="center"/>
                    <w:textAlignment w:val="baseline"/>
                    <w:rPr>
                      <w:color w:val="auto"/>
                      <w:sz w:val="18"/>
                      <w:szCs w:val="18"/>
                    </w:rPr>
                  </w:pPr>
                  <w:r>
                    <w:rPr>
                      <w:rFonts w:hint="eastAsia"/>
                      <w:color w:val="auto"/>
                      <w:sz w:val="18"/>
                      <w:szCs w:val="18"/>
                    </w:rPr>
                    <w:t>《污水综合排放标准》（</w:t>
                  </w:r>
                  <w:r>
                    <w:rPr>
                      <w:color w:val="auto"/>
                      <w:sz w:val="18"/>
                      <w:szCs w:val="18"/>
                    </w:rPr>
                    <w:t>GB 8978-1996</w:t>
                  </w:r>
                  <w:r>
                    <w:rPr>
                      <w:rFonts w:hint="eastAsia"/>
                      <w:color w:val="auto"/>
                      <w:sz w:val="18"/>
                      <w:szCs w:val="18"/>
                    </w:rPr>
                    <w:t>）</w:t>
                  </w:r>
                </w:p>
              </w:tc>
            </w:tr>
            <w:tr w14:paraId="390465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1131" w:type="dxa"/>
                  <w:vMerge w:val="restart"/>
                  <w:tcBorders>
                    <w:top w:val="single" w:color="auto" w:sz="6" w:space="0"/>
                    <w:bottom w:val="single" w:color="auto" w:sz="6" w:space="0"/>
                    <w:right w:val="single" w:color="auto" w:sz="6" w:space="0"/>
                  </w:tcBorders>
                  <w:vAlign w:val="center"/>
                </w:tcPr>
                <w:p w14:paraId="0884E4F9">
                  <w:pPr>
                    <w:snapToGrid w:val="0"/>
                    <w:jc w:val="center"/>
                    <w:textAlignment w:val="baseline"/>
                    <w:rPr>
                      <w:color w:val="auto"/>
                      <w:sz w:val="18"/>
                      <w:szCs w:val="18"/>
                    </w:rPr>
                  </w:pPr>
                  <w:r>
                    <w:rPr>
                      <w:rFonts w:hint="eastAsia"/>
                      <w:color w:val="auto"/>
                      <w:sz w:val="18"/>
                      <w:szCs w:val="18"/>
                    </w:rPr>
                    <w:t>雨水</w:t>
                  </w:r>
                </w:p>
              </w:tc>
              <w:tc>
                <w:tcPr>
                  <w:tcW w:w="1391" w:type="dxa"/>
                  <w:vMerge w:val="restart"/>
                  <w:tcBorders>
                    <w:top w:val="single" w:color="auto" w:sz="6" w:space="0"/>
                    <w:left w:val="single" w:color="auto" w:sz="6" w:space="0"/>
                    <w:bottom w:val="single" w:color="auto" w:sz="6" w:space="0"/>
                    <w:right w:val="single" w:color="auto" w:sz="6" w:space="0"/>
                  </w:tcBorders>
                  <w:vAlign w:val="center"/>
                </w:tcPr>
                <w:p w14:paraId="7577B88C">
                  <w:pPr>
                    <w:snapToGrid w:val="0"/>
                    <w:jc w:val="center"/>
                    <w:textAlignment w:val="baseline"/>
                    <w:rPr>
                      <w:color w:val="auto"/>
                      <w:sz w:val="18"/>
                      <w:szCs w:val="18"/>
                    </w:rPr>
                  </w:pPr>
                  <w:r>
                    <w:rPr>
                      <w:rFonts w:hint="eastAsia"/>
                      <w:color w:val="auto"/>
                      <w:sz w:val="18"/>
                      <w:szCs w:val="18"/>
                    </w:rPr>
                    <w:t>雨水排口</w:t>
                  </w:r>
                </w:p>
              </w:tc>
              <w:tc>
                <w:tcPr>
                  <w:tcW w:w="1384" w:type="dxa"/>
                  <w:tcBorders>
                    <w:top w:val="single" w:color="auto" w:sz="6" w:space="0"/>
                    <w:left w:val="single" w:color="auto" w:sz="6" w:space="0"/>
                    <w:bottom w:val="single" w:color="auto" w:sz="6" w:space="0"/>
                    <w:right w:val="single" w:color="auto" w:sz="6" w:space="0"/>
                  </w:tcBorders>
                  <w:vAlign w:val="center"/>
                </w:tcPr>
                <w:p w14:paraId="2C31B5AC">
                  <w:pPr>
                    <w:snapToGrid w:val="0"/>
                    <w:jc w:val="center"/>
                    <w:textAlignment w:val="baseline"/>
                    <w:rPr>
                      <w:color w:val="auto"/>
                      <w:sz w:val="18"/>
                      <w:szCs w:val="18"/>
                    </w:rPr>
                  </w:pPr>
                  <w:r>
                    <w:rPr>
                      <w:color w:val="auto"/>
                      <w:sz w:val="18"/>
                      <w:szCs w:val="18"/>
                    </w:rPr>
                    <w:t>COD</w:t>
                  </w:r>
                </w:p>
              </w:tc>
              <w:tc>
                <w:tcPr>
                  <w:tcW w:w="1395" w:type="dxa"/>
                  <w:vMerge w:val="restart"/>
                  <w:tcBorders>
                    <w:top w:val="single" w:color="auto" w:sz="6" w:space="0"/>
                    <w:left w:val="single" w:color="auto" w:sz="6" w:space="0"/>
                    <w:bottom w:val="single" w:color="auto" w:sz="6" w:space="0"/>
                    <w:right w:val="single" w:color="auto" w:sz="6" w:space="0"/>
                  </w:tcBorders>
                  <w:vAlign w:val="center"/>
                </w:tcPr>
                <w:p w14:paraId="69C90291">
                  <w:pPr>
                    <w:snapToGrid w:val="0"/>
                    <w:jc w:val="center"/>
                    <w:textAlignment w:val="baseline"/>
                    <w:rPr>
                      <w:color w:val="auto"/>
                      <w:sz w:val="18"/>
                      <w:szCs w:val="18"/>
                    </w:rPr>
                  </w:pPr>
                  <w:r>
                    <w:rPr>
                      <w:rFonts w:hint="eastAsia"/>
                      <w:color w:val="auto"/>
                      <w:sz w:val="18"/>
                      <w:szCs w:val="18"/>
                    </w:rPr>
                    <w:t>排放期间按日监测</w:t>
                  </w:r>
                </w:p>
              </w:tc>
              <w:tc>
                <w:tcPr>
                  <w:tcW w:w="2757" w:type="dxa"/>
                  <w:vMerge w:val="restart"/>
                  <w:tcBorders>
                    <w:top w:val="single" w:color="auto" w:sz="6" w:space="0"/>
                    <w:left w:val="single" w:color="auto" w:sz="6" w:space="0"/>
                    <w:bottom w:val="single" w:color="auto" w:sz="6" w:space="0"/>
                  </w:tcBorders>
                  <w:vAlign w:val="center"/>
                </w:tcPr>
                <w:p w14:paraId="33F924EA">
                  <w:pPr>
                    <w:snapToGrid w:val="0"/>
                    <w:jc w:val="center"/>
                    <w:textAlignment w:val="baseline"/>
                    <w:rPr>
                      <w:color w:val="auto"/>
                      <w:sz w:val="18"/>
                      <w:szCs w:val="18"/>
                    </w:rPr>
                  </w:pPr>
                  <w:r>
                    <w:rPr>
                      <w:rFonts w:hint="eastAsia"/>
                      <w:color w:val="auto"/>
                      <w:sz w:val="18"/>
                      <w:szCs w:val="18"/>
                    </w:rPr>
                    <w:t>《污水综合排放标准》（</w:t>
                  </w:r>
                  <w:r>
                    <w:rPr>
                      <w:color w:val="auto"/>
                      <w:sz w:val="18"/>
                      <w:szCs w:val="18"/>
                    </w:rPr>
                    <w:t>GB 8978-1996</w:t>
                  </w:r>
                  <w:r>
                    <w:rPr>
                      <w:rFonts w:hint="eastAsia"/>
                      <w:color w:val="auto"/>
                      <w:sz w:val="18"/>
                      <w:szCs w:val="18"/>
                    </w:rPr>
                    <w:t>）</w:t>
                  </w:r>
                </w:p>
              </w:tc>
            </w:tr>
            <w:tr w14:paraId="3871E56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1131" w:type="dxa"/>
                  <w:vMerge w:val="continue"/>
                  <w:tcBorders>
                    <w:top w:val="single" w:color="auto" w:sz="6" w:space="0"/>
                    <w:bottom w:val="single" w:color="auto" w:sz="12" w:space="0"/>
                    <w:right w:val="single" w:color="auto" w:sz="6" w:space="0"/>
                  </w:tcBorders>
                  <w:vAlign w:val="center"/>
                </w:tcPr>
                <w:p w14:paraId="5F3F91D0">
                  <w:pPr>
                    <w:snapToGrid w:val="0"/>
                    <w:jc w:val="center"/>
                    <w:textAlignment w:val="baseline"/>
                    <w:rPr>
                      <w:color w:val="auto"/>
                      <w:sz w:val="18"/>
                      <w:szCs w:val="18"/>
                    </w:rPr>
                  </w:pPr>
                </w:p>
              </w:tc>
              <w:tc>
                <w:tcPr>
                  <w:tcW w:w="1391" w:type="dxa"/>
                  <w:vMerge w:val="continue"/>
                  <w:tcBorders>
                    <w:top w:val="single" w:color="auto" w:sz="6" w:space="0"/>
                    <w:left w:val="single" w:color="auto" w:sz="6" w:space="0"/>
                    <w:bottom w:val="single" w:color="auto" w:sz="12" w:space="0"/>
                    <w:right w:val="single" w:color="auto" w:sz="6" w:space="0"/>
                  </w:tcBorders>
                  <w:vAlign w:val="center"/>
                </w:tcPr>
                <w:p w14:paraId="7B45D88F">
                  <w:pPr>
                    <w:snapToGrid w:val="0"/>
                    <w:jc w:val="center"/>
                    <w:textAlignment w:val="baseline"/>
                    <w:rPr>
                      <w:color w:val="auto"/>
                      <w:sz w:val="18"/>
                      <w:szCs w:val="18"/>
                    </w:rPr>
                  </w:pPr>
                </w:p>
              </w:tc>
              <w:tc>
                <w:tcPr>
                  <w:tcW w:w="1384" w:type="dxa"/>
                  <w:tcBorders>
                    <w:top w:val="single" w:color="auto" w:sz="6" w:space="0"/>
                    <w:left w:val="single" w:color="auto" w:sz="6" w:space="0"/>
                    <w:bottom w:val="single" w:color="auto" w:sz="12" w:space="0"/>
                    <w:right w:val="single" w:color="auto" w:sz="6" w:space="0"/>
                  </w:tcBorders>
                  <w:vAlign w:val="center"/>
                </w:tcPr>
                <w:p w14:paraId="2D6FFC33">
                  <w:pPr>
                    <w:snapToGrid w:val="0"/>
                    <w:jc w:val="center"/>
                    <w:textAlignment w:val="baseline"/>
                    <w:rPr>
                      <w:color w:val="auto"/>
                      <w:sz w:val="18"/>
                      <w:szCs w:val="18"/>
                    </w:rPr>
                  </w:pPr>
                  <w:r>
                    <w:rPr>
                      <w:color w:val="auto"/>
                      <w:sz w:val="18"/>
                      <w:szCs w:val="18"/>
                    </w:rPr>
                    <w:t>SS</w:t>
                  </w:r>
                </w:p>
              </w:tc>
              <w:tc>
                <w:tcPr>
                  <w:tcW w:w="1395" w:type="dxa"/>
                  <w:vMerge w:val="continue"/>
                  <w:tcBorders>
                    <w:top w:val="single" w:color="auto" w:sz="6" w:space="0"/>
                    <w:left w:val="single" w:color="auto" w:sz="6" w:space="0"/>
                    <w:bottom w:val="single" w:color="auto" w:sz="12" w:space="0"/>
                    <w:right w:val="single" w:color="auto" w:sz="6" w:space="0"/>
                  </w:tcBorders>
                  <w:vAlign w:val="center"/>
                </w:tcPr>
                <w:p w14:paraId="0D721A23">
                  <w:pPr>
                    <w:snapToGrid w:val="0"/>
                    <w:jc w:val="center"/>
                    <w:textAlignment w:val="baseline"/>
                    <w:rPr>
                      <w:color w:val="auto"/>
                      <w:sz w:val="18"/>
                      <w:szCs w:val="18"/>
                    </w:rPr>
                  </w:pPr>
                </w:p>
              </w:tc>
              <w:tc>
                <w:tcPr>
                  <w:tcW w:w="2757" w:type="dxa"/>
                  <w:vMerge w:val="continue"/>
                  <w:tcBorders>
                    <w:top w:val="single" w:color="auto" w:sz="6" w:space="0"/>
                    <w:left w:val="single" w:color="auto" w:sz="6" w:space="0"/>
                    <w:bottom w:val="single" w:color="auto" w:sz="12" w:space="0"/>
                  </w:tcBorders>
                  <w:vAlign w:val="center"/>
                </w:tcPr>
                <w:p w14:paraId="74179231">
                  <w:pPr>
                    <w:snapToGrid w:val="0"/>
                    <w:jc w:val="center"/>
                    <w:textAlignment w:val="baseline"/>
                    <w:rPr>
                      <w:color w:val="auto"/>
                      <w:sz w:val="18"/>
                      <w:szCs w:val="18"/>
                    </w:rPr>
                  </w:pPr>
                </w:p>
              </w:tc>
            </w:tr>
          </w:tbl>
          <w:p w14:paraId="525DCD1B">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2.3</w:t>
            </w:r>
            <w:r>
              <w:rPr>
                <w:rFonts w:hint="eastAsia"/>
                <w:b/>
                <w:bCs/>
                <w:snapToGrid w:val="0"/>
                <w:color w:val="auto"/>
                <w:spacing w:val="-2"/>
                <w:kern w:val="0"/>
                <w:szCs w:val="21"/>
              </w:rPr>
              <w:t>废水环境影响评价结论</w:t>
            </w:r>
          </w:p>
          <w:p w14:paraId="686D47E5">
            <w:pPr>
              <w:adjustRightInd w:val="0"/>
              <w:snapToGrid w:val="0"/>
              <w:spacing w:line="360" w:lineRule="auto"/>
              <w:ind w:firstLine="420" w:firstLineChars="200"/>
              <w:rPr>
                <w:rFonts w:hint="eastAsia"/>
                <w:color w:val="auto"/>
              </w:rPr>
            </w:pPr>
            <w:r>
              <w:rPr>
                <w:rFonts w:hint="eastAsia"/>
                <w:color w:val="auto"/>
              </w:rPr>
              <w:t>本项目</w:t>
            </w:r>
            <w:r>
              <w:rPr>
                <w:rFonts w:hint="eastAsia"/>
                <w:color w:val="auto"/>
                <w:lang w:eastAsia="zh-CN"/>
              </w:rPr>
              <w:t>生活污水抽运</w:t>
            </w:r>
            <w:r>
              <w:rPr>
                <w:rFonts w:hint="eastAsia"/>
                <w:color w:val="auto"/>
              </w:rPr>
              <w:t>至</w:t>
            </w:r>
            <w:r>
              <w:rPr>
                <w:rFonts w:hint="eastAsia"/>
                <w:color w:val="auto"/>
                <w:lang w:eastAsia="zh-CN"/>
              </w:rPr>
              <w:t>苏州市吴江桃源生活污水处理有限公司</w:t>
            </w:r>
            <w:r>
              <w:rPr>
                <w:rFonts w:hint="eastAsia"/>
                <w:color w:val="auto"/>
              </w:rPr>
              <w:t>处理；</w:t>
            </w:r>
            <w:r>
              <w:rPr>
                <w:rFonts w:hint="eastAsia"/>
                <w:color w:val="auto"/>
                <w:lang w:val="en-US" w:eastAsia="zh-CN"/>
              </w:rPr>
              <w:t>生产</w:t>
            </w:r>
            <w:r>
              <w:rPr>
                <w:rFonts w:hint="eastAsia"/>
                <w:color w:val="auto"/>
              </w:rPr>
              <w:t>废水接管至苏州市桃源富乡污水处理有限公司处理后</w:t>
            </w:r>
            <w:r>
              <w:rPr>
                <w:rFonts w:hint="eastAsia"/>
                <w:color w:val="auto"/>
                <w:lang w:val="en-US" w:eastAsia="zh-CN"/>
              </w:rPr>
              <w:t>76%</w:t>
            </w:r>
            <w:r>
              <w:rPr>
                <w:rFonts w:hint="eastAsia"/>
                <w:color w:val="auto"/>
              </w:rPr>
              <w:t>回用</w:t>
            </w:r>
            <w:r>
              <w:rPr>
                <w:rFonts w:hint="eastAsia"/>
                <w:color w:val="auto"/>
                <w:lang w:eastAsia="zh-CN"/>
              </w:rPr>
              <w:t>，其余达标排入鳑鲏港</w:t>
            </w:r>
            <w:r>
              <w:rPr>
                <w:rFonts w:hint="eastAsia"/>
                <w:color w:val="auto"/>
              </w:rPr>
              <w:t>。因此，本项目排放的废水经妥善处理后对地表水环境的影响可接受。</w:t>
            </w:r>
          </w:p>
          <w:p w14:paraId="57C02A92">
            <w:pPr>
              <w:spacing w:line="360" w:lineRule="auto"/>
              <w:jc w:val="left"/>
              <w:rPr>
                <w:b/>
                <w:bCs/>
                <w:snapToGrid w:val="0"/>
                <w:color w:val="auto"/>
                <w:spacing w:val="-2"/>
                <w:kern w:val="0"/>
                <w:szCs w:val="21"/>
              </w:rPr>
            </w:pPr>
            <w:r>
              <w:rPr>
                <w:rFonts w:hint="eastAsia"/>
                <w:b/>
                <w:bCs/>
                <w:snapToGrid w:val="0"/>
                <w:color w:val="auto"/>
                <w:spacing w:val="-2"/>
                <w:kern w:val="0"/>
                <w:szCs w:val="21"/>
                <w:lang w:val="en-US" w:eastAsia="zh-CN"/>
              </w:rPr>
              <w:t>3</w:t>
            </w:r>
            <w:r>
              <w:rPr>
                <w:rFonts w:hint="eastAsia"/>
                <w:b/>
                <w:bCs/>
                <w:snapToGrid w:val="0"/>
                <w:color w:val="auto"/>
                <w:spacing w:val="-2"/>
                <w:kern w:val="0"/>
                <w:szCs w:val="21"/>
              </w:rPr>
              <w:t>、噪声影响分析</w:t>
            </w:r>
          </w:p>
          <w:p w14:paraId="0A157B3D">
            <w:pPr>
              <w:overflowPunct w:val="0"/>
              <w:adjustRightInd w:val="0"/>
              <w:snapToGrid w:val="0"/>
              <w:spacing w:line="360" w:lineRule="auto"/>
              <w:jc w:val="left"/>
              <w:rPr>
                <w:b/>
                <w:bCs/>
                <w:snapToGrid w:val="0"/>
                <w:color w:val="auto"/>
                <w:spacing w:val="-2"/>
                <w:kern w:val="0"/>
                <w:szCs w:val="21"/>
              </w:rPr>
            </w:pPr>
            <w:r>
              <w:rPr>
                <w:rFonts w:hint="eastAsia"/>
                <w:b/>
                <w:bCs/>
                <w:snapToGrid w:val="0"/>
                <w:color w:val="auto"/>
                <w:spacing w:val="-2"/>
                <w:kern w:val="0"/>
                <w:szCs w:val="21"/>
                <w:lang w:val="en-US" w:eastAsia="zh-CN"/>
              </w:rPr>
              <w:t>3</w:t>
            </w:r>
            <w:r>
              <w:rPr>
                <w:b/>
                <w:bCs/>
                <w:snapToGrid w:val="0"/>
                <w:color w:val="auto"/>
                <w:spacing w:val="-2"/>
                <w:kern w:val="0"/>
                <w:szCs w:val="21"/>
              </w:rPr>
              <w:t>.1</w:t>
            </w:r>
            <w:r>
              <w:rPr>
                <w:rFonts w:hint="eastAsia"/>
                <w:b/>
                <w:bCs/>
                <w:snapToGrid w:val="0"/>
                <w:color w:val="auto"/>
                <w:spacing w:val="-2"/>
                <w:kern w:val="0"/>
                <w:szCs w:val="21"/>
              </w:rPr>
              <w:t>噪声源强分析</w:t>
            </w:r>
          </w:p>
          <w:p w14:paraId="725EFC84">
            <w:pPr>
              <w:spacing w:line="360" w:lineRule="auto"/>
              <w:ind w:firstLine="420" w:firstLineChars="200"/>
              <w:rPr>
                <w:bCs/>
                <w:color w:val="auto"/>
                <w:szCs w:val="21"/>
              </w:rPr>
            </w:pPr>
            <w:r>
              <w:rPr>
                <w:rFonts w:hint="eastAsia"/>
                <w:bCs/>
                <w:color w:val="auto"/>
                <w:szCs w:val="21"/>
              </w:rPr>
              <w:t>本项目噪声源主要是设备运行产生的噪声</w:t>
            </w:r>
            <w:r>
              <w:rPr>
                <w:rFonts w:hint="eastAsia"/>
                <w:color w:val="auto"/>
              </w:rPr>
              <w:t>，源强在</w:t>
            </w:r>
            <w:r>
              <w:rPr>
                <w:color w:val="auto"/>
              </w:rPr>
              <w:t>70~80dB(A)</w:t>
            </w:r>
            <w:r>
              <w:rPr>
                <w:rFonts w:hint="eastAsia"/>
                <w:color w:val="auto"/>
              </w:rPr>
              <w:t>之间。</w:t>
            </w:r>
            <w:r>
              <w:rPr>
                <w:rFonts w:hint="eastAsia"/>
                <w:bCs/>
                <w:color w:val="auto"/>
                <w:szCs w:val="21"/>
              </w:rPr>
              <w:t>主要设备噪声见下表。</w:t>
            </w:r>
          </w:p>
          <w:p w14:paraId="3790C3FD">
            <w:pPr>
              <w:jc w:val="center"/>
              <w:rPr>
                <w:rFonts w:hint="eastAsia" w:ascii="Times New Roman" w:hAnsi="Times New Roman" w:eastAsia="宋?" w:cs="Times New Roman"/>
                <w:lang w:eastAsia="zh-CN"/>
              </w:rPr>
            </w:pPr>
            <w:r>
              <w:rPr>
                <w:rFonts w:hint="eastAsia" w:ascii="Times New Roman" w:hAnsi="Times New Roman" w:eastAsia="宋?" w:cs="Times New Roman"/>
                <w:b/>
                <w:color w:val="000000"/>
                <w:szCs w:val="21"/>
              </w:rPr>
              <w:t>表</w:t>
            </w:r>
            <w:r>
              <w:rPr>
                <w:rFonts w:ascii="Times New Roman" w:hAnsi="Times New Roman" w:eastAsia="宋?" w:cs="Times New Roman"/>
                <w:b/>
                <w:color w:val="000000"/>
                <w:szCs w:val="21"/>
              </w:rPr>
              <w:t>4-</w:t>
            </w:r>
            <w:r>
              <w:rPr>
                <w:rFonts w:hint="eastAsia" w:eastAsia="宋?" w:cs="Times New Roman"/>
                <w:b/>
                <w:color w:val="000000"/>
                <w:szCs w:val="21"/>
                <w:lang w:val="en-US" w:eastAsia="zh-CN"/>
              </w:rPr>
              <w:t>13</w:t>
            </w:r>
            <w:r>
              <w:rPr>
                <w:rFonts w:ascii="Times New Roman" w:hAnsi="Times New Roman" w:eastAsia="宋?" w:cs="Times New Roman"/>
                <w:b/>
                <w:color w:val="000000"/>
                <w:szCs w:val="21"/>
              </w:rPr>
              <w:t xml:space="preserve">  </w:t>
            </w:r>
            <w:r>
              <w:rPr>
                <w:rFonts w:hint="eastAsia" w:ascii="Times New Roman" w:hAnsi="Times New Roman" w:eastAsia="宋?" w:cs="Times New Roman"/>
                <w:b/>
                <w:color w:val="000000"/>
                <w:szCs w:val="21"/>
              </w:rPr>
              <w:t>工业企业噪声源强调查清单（室内声源）</w:t>
            </w:r>
          </w:p>
          <w:tbl>
            <w:tblPr>
              <w:tblStyle w:val="26"/>
              <w:tblpPr w:leftFromText="181" w:rightFromText="181" w:vertAnchor="text" w:tblpXSpec="center" w:tblpY="1"/>
              <w:tblOverlap w:val="never"/>
              <w:tblW w:w="498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257"/>
              <w:gridCol w:w="495"/>
              <w:gridCol w:w="629"/>
              <w:gridCol w:w="540"/>
              <w:gridCol w:w="540"/>
              <w:gridCol w:w="765"/>
              <w:gridCol w:w="345"/>
              <w:gridCol w:w="375"/>
              <w:gridCol w:w="345"/>
              <w:gridCol w:w="645"/>
              <w:gridCol w:w="735"/>
              <w:gridCol w:w="474"/>
              <w:gridCol w:w="696"/>
              <w:gridCol w:w="561"/>
              <w:gridCol w:w="631"/>
            </w:tblGrid>
            <w:tr w14:paraId="2B2C5B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0" w:hRule="atLeast"/>
                <w:jc w:val="center"/>
              </w:trPr>
              <w:tc>
                <w:tcPr>
                  <w:tcW w:w="159" w:type="pct"/>
                  <w:vMerge w:val="restart"/>
                  <w:tcBorders>
                    <w:tl2br w:val="nil"/>
                    <w:tr2bl w:val="nil"/>
                  </w:tcBorders>
                  <w:noWrap w:val="0"/>
                  <w:vAlign w:val="center"/>
                </w:tcPr>
                <w:p w14:paraId="4A5BE66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序号</w:t>
                  </w:r>
                </w:p>
              </w:tc>
              <w:tc>
                <w:tcPr>
                  <w:tcW w:w="308" w:type="pct"/>
                  <w:vMerge w:val="restart"/>
                  <w:tcBorders>
                    <w:tl2br w:val="nil"/>
                    <w:tr2bl w:val="nil"/>
                  </w:tcBorders>
                  <w:noWrap w:val="0"/>
                  <w:vAlign w:val="center"/>
                </w:tcPr>
                <w:p w14:paraId="61AC559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建筑物名称</w:t>
                  </w:r>
                </w:p>
              </w:tc>
              <w:tc>
                <w:tcPr>
                  <w:tcW w:w="391" w:type="pct"/>
                  <w:vMerge w:val="restart"/>
                  <w:tcBorders>
                    <w:tl2br w:val="nil"/>
                    <w:tr2bl w:val="nil"/>
                  </w:tcBorders>
                  <w:noWrap w:val="0"/>
                  <w:vAlign w:val="center"/>
                </w:tcPr>
                <w:p w14:paraId="71F3780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声源名称</w:t>
                  </w:r>
                </w:p>
              </w:tc>
              <w:tc>
                <w:tcPr>
                  <w:tcW w:w="336" w:type="pct"/>
                  <w:vMerge w:val="restart"/>
                  <w:tcBorders>
                    <w:tl2br w:val="nil"/>
                    <w:tr2bl w:val="nil"/>
                  </w:tcBorders>
                  <w:noWrap w:val="0"/>
                  <w:vAlign w:val="center"/>
                </w:tcPr>
                <w:p w14:paraId="4E87464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eastAsia="宋?" w:cs="Times New Roman"/>
                      <w:b/>
                      <w:bCs/>
                      <w:color w:val="auto"/>
                      <w:kern w:val="2"/>
                      <w:sz w:val="18"/>
                      <w:szCs w:val="18"/>
                      <w:highlight w:val="none"/>
                      <w:lang w:val="en-US" w:eastAsia="zh-CN" w:bidi="ar-SA"/>
                    </w:rPr>
                    <w:t>台数</w:t>
                  </w:r>
                </w:p>
              </w:tc>
              <w:tc>
                <w:tcPr>
                  <w:tcW w:w="336" w:type="pct"/>
                  <w:tcBorders>
                    <w:tl2br w:val="nil"/>
                    <w:tr2bl w:val="nil"/>
                  </w:tcBorders>
                  <w:noWrap w:val="0"/>
                  <w:vAlign w:val="center"/>
                </w:tcPr>
                <w:p w14:paraId="0DD93DD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声源源强</w:t>
                  </w:r>
                </w:p>
              </w:tc>
              <w:tc>
                <w:tcPr>
                  <w:tcW w:w="476" w:type="pct"/>
                  <w:vMerge w:val="restart"/>
                  <w:tcBorders>
                    <w:tl2br w:val="nil"/>
                    <w:tr2bl w:val="nil"/>
                  </w:tcBorders>
                  <w:noWrap w:val="0"/>
                  <w:vAlign w:val="center"/>
                </w:tcPr>
                <w:p w14:paraId="278A525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声源控</w:t>
                  </w:r>
                </w:p>
                <w:p w14:paraId="62F98B8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制措施</w:t>
                  </w:r>
                </w:p>
              </w:tc>
              <w:tc>
                <w:tcPr>
                  <w:tcW w:w="662" w:type="pct"/>
                  <w:gridSpan w:val="3"/>
                  <w:tcBorders>
                    <w:tl2br w:val="nil"/>
                    <w:tr2bl w:val="nil"/>
                  </w:tcBorders>
                  <w:noWrap w:val="0"/>
                  <w:vAlign w:val="center"/>
                </w:tcPr>
                <w:p w14:paraId="37A09B1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空间相对位置（m）</w:t>
                  </w:r>
                </w:p>
              </w:tc>
              <w:tc>
                <w:tcPr>
                  <w:tcW w:w="401" w:type="pct"/>
                  <w:vMerge w:val="restart"/>
                  <w:tcBorders>
                    <w:tl2br w:val="nil"/>
                    <w:tr2bl w:val="nil"/>
                  </w:tcBorders>
                  <w:noWrap w:val="0"/>
                  <w:vAlign w:val="center"/>
                </w:tcPr>
                <w:p w14:paraId="1495DF3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距室内边界距离/m</w:t>
                  </w:r>
                </w:p>
              </w:tc>
              <w:tc>
                <w:tcPr>
                  <w:tcW w:w="457" w:type="pct"/>
                  <w:vMerge w:val="restart"/>
                  <w:tcBorders>
                    <w:tl2br w:val="nil"/>
                    <w:tr2bl w:val="nil"/>
                  </w:tcBorders>
                  <w:noWrap w:val="0"/>
                  <w:vAlign w:val="center"/>
                </w:tcPr>
                <w:p w14:paraId="7B51B96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室内边界声级/</w:t>
                  </w:r>
                  <w:r>
                    <w:rPr>
                      <w:rFonts w:ascii="Times New Roman" w:hAnsi="Times New Roman" w:eastAsia="宋?" w:cs="Times New Roman"/>
                      <w:b/>
                      <w:bCs/>
                      <w:color w:val="auto"/>
                      <w:kern w:val="2"/>
                      <w:sz w:val="18"/>
                      <w:szCs w:val="18"/>
                      <w:highlight w:val="none"/>
                      <w:lang w:val="en-US" w:eastAsia="zh-CN" w:bidi="ar-SA"/>
                    </w:rPr>
                    <w:t>dB(A)</w:t>
                  </w:r>
                </w:p>
              </w:tc>
              <w:tc>
                <w:tcPr>
                  <w:tcW w:w="295" w:type="pct"/>
                  <w:vMerge w:val="restart"/>
                  <w:tcBorders>
                    <w:tl2br w:val="nil"/>
                    <w:tr2bl w:val="nil"/>
                  </w:tcBorders>
                  <w:noWrap w:val="0"/>
                  <w:vAlign w:val="center"/>
                </w:tcPr>
                <w:p w14:paraId="6E78B2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运行时段</w:t>
                  </w:r>
                </w:p>
              </w:tc>
              <w:tc>
                <w:tcPr>
                  <w:tcW w:w="433" w:type="pct"/>
                  <w:vMerge w:val="restart"/>
                  <w:tcBorders>
                    <w:tl2br w:val="nil"/>
                    <w:tr2bl w:val="nil"/>
                  </w:tcBorders>
                  <w:noWrap w:val="0"/>
                  <w:vAlign w:val="center"/>
                </w:tcPr>
                <w:p w14:paraId="6FE4F03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建筑物插入损/</w:t>
                  </w:r>
                  <w:r>
                    <w:rPr>
                      <w:rFonts w:ascii="Times New Roman" w:hAnsi="Times New Roman" w:eastAsia="宋?" w:cs="Times New Roman"/>
                      <w:b/>
                      <w:bCs/>
                      <w:color w:val="auto"/>
                      <w:kern w:val="2"/>
                      <w:sz w:val="18"/>
                      <w:szCs w:val="18"/>
                      <w:highlight w:val="none"/>
                      <w:lang w:val="en-US" w:eastAsia="zh-CN" w:bidi="ar-SA"/>
                    </w:rPr>
                    <w:t>dB(A)</w:t>
                  </w:r>
                </w:p>
              </w:tc>
              <w:tc>
                <w:tcPr>
                  <w:tcW w:w="741" w:type="pct"/>
                  <w:gridSpan w:val="2"/>
                  <w:tcBorders>
                    <w:tl2br w:val="nil"/>
                    <w:tr2bl w:val="nil"/>
                  </w:tcBorders>
                  <w:noWrap w:val="0"/>
                  <w:vAlign w:val="center"/>
                </w:tcPr>
                <w:p w14:paraId="4AF665D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建筑物噪声</w:t>
                  </w:r>
                </w:p>
              </w:tc>
            </w:tr>
            <w:tr w14:paraId="3C7EF3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0" w:hRule="atLeast"/>
                <w:jc w:val="center"/>
              </w:trPr>
              <w:tc>
                <w:tcPr>
                  <w:tcW w:w="159" w:type="pct"/>
                  <w:vMerge w:val="continue"/>
                  <w:tcBorders>
                    <w:tl2br w:val="nil"/>
                    <w:tr2bl w:val="nil"/>
                  </w:tcBorders>
                  <w:noWrap w:val="0"/>
                  <w:vAlign w:val="center"/>
                </w:tcPr>
                <w:p w14:paraId="006D7E7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p>
              </w:tc>
              <w:tc>
                <w:tcPr>
                  <w:tcW w:w="308" w:type="pct"/>
                  <w:vMerge w:val="continue"/>
                  <w:tcBorders>
                    <w:tl2br w:val="nil"/>
                    <w:tr2bl w:val="nil"/>
                  </w:tcBorders>
                  <w:noWrap w:val="0"/>
                  <w:vAlign w:val="center"/>
                </w:tcPr>
                <w:p w14:paraId="72EF3B0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p>
              </w:tc>
              <w:tc>
                <w:tcPr>
                  <w:tcW w:w="391" w:type="pct"/>
                  <w:vMerge w:val="continue"/>
                  <w:tcBorders>
                    <w:tl2br w:val="nil"/>
                    <w:tr2bl w:val="nil"/>
                  </w:tcBorders>
                  <w:noWrap w:val="0"/>
                  <w:vAlign w:val="center"/>
                </w:tcPr>
                <w:p w14:paraId="0BDBB85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p>
              </w:tc>
              <w:tc>
                <w:tcPr>
                  <w:tcW w:w="336" w:type="pct"/>
                  <w:vMerge w:val="continue"/>
                  <w:tcBorders>
                    <w:tl2br w:val="nil"/>
                    <w:tr2bl w:val="nil"/>
                  </w:tcBorders>
                  <w:noWrap w:val="0"/>
                  <w:vAlign w:val="center"/>
                </w:tcPr>
                <w:p w14:paraId="26E0679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p>
              </w:tc>
              <w:tc>
                <w:tcPr>
                  <w:tcW w:w="336" w:type="pct"/>
                  <w:tcBorders>
                    <w:tl2br w:val="nil"/>
                    <w:tr2bl w:val="nil"/>
                  </w:tcBorders>
                  <w:noWrap w:val="0"/>
                  <w:vAlign w:val="center"/>
                </w:tcPr>
                <w:p w14:paraId="3CCB76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声功率级/dB(A</w:t>
                  </w:r>
                  <w:r>
                    <w:rPr>
                      <w:rFonts w:ascii="Times New Roman" w:hAnsi="Times New Roman" w:eastAsia="宋?" w:cs="Times New Roman"/>
                      <w:b/>
                      <w:bCs/>
                      <w:color w:val="auto"/>
                      <w:kern w:val="2"/>
                      <w:sz w:val="18"/>
                      <w:szCs w:val="18"/>
                      <w:highlight w:val="none"/>
                      <w:lang w:val="en-US" w:eastAsia="zh-CN" w:bidi="ar-SA"/>
                    </w:rPr>
                    <w:t>)</w:t>
                  </w:r>
                </w:p>
              </w:tc>
              <w:tc>
                <w:tcPr>
                  <w:tcW w:w="476" w:type="pct"/>
                  <w:vMerge w:val="continue"/>
                  <w:tcBorders>
                    <w:tl2br w:val="nil"/>
                    <w:tr2bl w:val="nil"/>
                  </w:tcBorders>
                  <w:noWrap w:val="0"/>
                  <w:vAlign w:val="center"/>
                </w:tcPr>
                <w:p w14:paraId="3CD813C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p>
              </w:tc>
              <w:tc>
                <w:tcPr>
                  <w:tcW w:w="214" w:type="pct"/>
                  <w:tcBorders>
                    <w:tl2br w:val="nil"/>
                    <w:tr2bl w:val="nil"/>
                  </w:tcBorders>
                  <w:noWrap w:val="0"/>
                  <w:vAlign w:val="center"/>
                </w:tcPr>
                <w:p w14:paraId="7C17849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X</w:t>
                  </w:r>
                </w:p>
              </w:tc>
              <w:tc>
                <w:tcPr>
                  <w:tcW w:w="233" w:type="pct"/>
                  <w:tcBorders>
                    <w:tl2br w:val="nil"/>
                    <w:tr2bl w:val="nil"/>
                  </w:tcBorders>
                  <w:noWrap w:val="0"/>
                  <w:vAlign w:val="center"/>
                </w:tcPr>
                <w:p w14:paraId="00FACD3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Y</w:t>
                  </w:r>
                </w:p>
              </w:tc>
              <w:tc>
                <w:tcPr>
                  <w:tcW w:w="214" w:type="pct"/>
                  <w:tcBorders>
                    <w:tl2br w:val="nil"/>
                    <w:tr2bl w:val="nil"/>
                  </w:tcBorders>
                  <w:noWrap w:val="0"/>
                  <w:vAlign w:val="center"/>
                </w:tcPr>
                <w:p w14:paraId="0099D52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Z</w:t>
                  </w:r>
                </w:p>
              </w:tc>
              <w:tc>
                <w:tcPr>
                  <w:tcW w:w="401" w:type="pct"/>
                  <w:vMerge w:val="continue"/>
                  <w:tcBorders>
                    <w:tl2br w:val="nil"/>
                    <w:tr2bl w:val="nil"/>
                  </w:tcBorders>
                  <w:noWrap w:val="0"/>
                  <w:vAlign w:val="center"/>
                </w:tcPr>
                <w:p w14:paraId="5768C1C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p>
              </w:tc>
              <w:tc>
                <w:tcPr>
                  <w:tcW w:w="457" w:type="pct"/>
                  <w:vMerge w:val="continue"/>
                  <w:tcBorders>
                    <w:tl2br w:val="nil"/>
                    <w:tr2bl w:val="nil"/>
                  </w:tcBorders>
                  <w:noWrap w:val="0"/>
                  <w:vAlign w:val="center"/>
                </w:tcPr>
                <w:p w14:paraId="7BB97A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p>
              </w:tc>
              <w:tc>
                <w:tcPr>
                  <w:tcW w:w="295" w:type="pct"/>
                  <w:vMerge w:val="continue"/>
                  <w:tcBorders>
                    <w:tl2br w:val="nil"/>
                    <w:tr2bl w:val="nil"/>
                  </w:tcBorders>
                  <w:noWrap w:val="0"/>
                  <w:vAlign w:val="center"/>
                </w:tcPr>
                <w:p w14:paraId="5AB51A7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p>
              </w:tc>
              <w:tc>
                <w:tcPr>
                  <w:tcW w:w="433" w:type="pct"/>
                  <w:vMerge w:val="continue"/>
                  <w:tcBorders>
                    <w:tl2br w:val="nil"/>
                    <w:tr2bl w:val="nil"/>
                  </w:tcBorders>
                  <w:noWrap w:val="0"/>
                  <w:vAlign w:val="center"/>
                </w:tcPr>
                <w:p w14:paraId="1AC8CD2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p>
              </w:tc>
              <w:tc>
                <w:tcPr>
                  <w:tcW w:w="349" w:type="pct"/>
                  <w:tcBorders>
                    <w:tl2br w:val="nil"/>
                    <w:tr2bl w:val="nil"/>
                  </w:tcBorders>
                  <w:noWrap w:val="0"/>
                  <w:vAlign w:val="center"/>
                </w:tcPr>
                <w:p w14:paraId="6C0B895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声压级/</w:t>
                  </w:r>
                  <w:r>
                    <w:rPr>
                      <w:rFonts w:ascii="Times New Roman" w:hAnsi="Times New Roman" w:eastAsia="宋?" w:cs="Times New Roman"/>
                      <w:b/>
                      <w:bCs/>
                      <w:color w:val="auto"/>
                      <w:kern w:val="2"/>
                      <w:sz w:val="18"/>
                      <w:szCs w:val="18"/>
                      <w:highlight w:val="none"/>
                      <w:lang w:val="en-US" w:eastAsia="zh-CN" w:bidi="ar-SA"/>
                    </w:rPr>
                    <w:t>dB(A)</w:t>
                  </w:r>
                </w:p>
              </w:tc>
              <w:tc>
                <w:tcPr>
                  <w:tcW w:w="392" w:type="pct"/>
                  <w:tcBorders>
                    <w:tl2br w:val="nil"/>
                    <w:tr2bl w:val="nil"/>
                  </w:tcBorders>
                  <w:noWrap w:val="0"/>
                  <w:vAlign w:val="center"/>
                </w:tcPr>
                <w:p w14:paraId="17E1F9A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b/>
                      <w:bCs/>
                      <w:color w:val="auto"/>
                      <w:kern w:val="2"/>
                      <w:sz w:val="18"/>
                      <w:szCs w:val="18"/>
                      <w:highlight w:val="none"/>
                      <w:lang w:val="en-US" w:eastAsia="zh-CN" w:bidi="ar-SA"/>
                    </w:rPr>
                  </w:pPr>
                  <w:r>
                    <w:rPr>
                      <w:rFonts w:hint="eastAsia" w:ascii="Times New Roman" w:hAnsi="Times New Roman" w:eastAsia="宋?" w:cs="Times New Roman"/>
                      <w:b/>
                      <w:bCs/>
                      <w:color w:val="auto"/>
                      <w:kern w:val="2"/>
                      <w:sz w:val="18"/>
                      <w:szCs w:val="18"/>
                      <w:highlight w:val="none"/>
                      <w:lang w:val="en-US" w:eastAsia="zh-CN" w:bidi="ar-SA"/>
                    </w:rPr>
                    <w:t>建筑物外距离</w:t>
                  </w:r>
                </w:p>
              </w:tc>
            </w:tr>
            <w:tr w14:paraId="3CD264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0" w:hRule="atLeast"/>
                <w:jc w:val="center"/>
              </w:trPr>
              <w:tc>
                <w:tcPr>
                  <w:tcW w:w="159" w:type="pct"/>
                  <w:tcBorders>
                    <w:tl2br w:val="nil"/>
                    <w:tr2bl w:val="nil"/>
                  </w:tcBorders>
                  <w:noWrap w:val="0"/>
                  <w:vAlign w:val="center"/>
                </w:tcPr>
                <w:p w14:paraId="7BED7F50">
                  <w:pPr>
                    <w:keepNext w:val="0"/>
                    <w:keepLines w:val="0"/>
                    <w:pageBreakBefore w:val="0"/>
                    <w:kinsoku/>
                    <w:wordWrap/>
                    <w:overflowPunct/>
                    <w:topLinePunct w:val="0"/>
                    <w:autoSpaceDE/>
                    <w:autoSpaceDN/>
                    <w:bidi w:val="0"/>
                    <w:adjustRightInd w:val="0"/>
                    <w:snapToGrid w:val="0"/>
                    <w:ind w:left="0" w:leftChars="0" w:right="0" w:rightChars="0"/>
                    <w:jc w:val="center"/>
                    <w:textAlignment w:val="auto"/>
                    <w:rPr>
                      <w:rFonts w:ascii="Times New Roman" w:hAnsi="Times New Roman" w:eastAsia="宋?" w:cs="Times New Roman"/>
                      <w:color w:val="auto"/>
                      <w:sz w:val="18"/>
                      <w:szCs w:val="18"/>
                      <w:highlight w:val="none"/>
                    </w:rPr>
                  </w:pPr>
                  <w:r>
                    <w:rPr>
                      <w:rFonts w:hint="eastAsia" w:ascii="Times New Roman" w:hAnsi="Times New Roman" w:eastAsia="宋?" w:cs="Times New Roman"/>
                      <w:color w:val="auto"/>
                      <w:sz w:val="18"/>
                      <w:szCs w:val="18"/>
                      <w:highlight w:val="none"/>
                    </w:rPr>
                    <w:t>1</w:t>
                  </w:r>
                </w:p>
              </w:tc>
              <w:tc>
                <w:tcPr>
                  <w:tcW w:w="308" w:type="pct"/>
                  <w:vMerge w:val="restart"/>
                  <w:tcBorders>
                    <w:tl2br w:val="nil"/>
                    <w:tr2bl w:val="nil"/>
                  </w:tcBorders>
                  <w:noWrap w:val="0"/>
                  <w:vAlign w:val="center"/>
                </w:tcPr>
                <w:p w14:paraId="5901D7F8">
                  <w:pPr>
                    <w:pStyle w:val="56"/>
                    <w:spacing w:beforeLines="0"/>
                    <w:textAlignment w:val="center"/>
                    <w:rPr>
                      <w:rFonts w:hint="eastAsia" w:ascii="Times New Roman" w:hAnsi="Times New Roman" w:eastAsia="宋体" w:cs="Times New Roman"/>
                      <w:color w:val="auto"/>
                      <w:sz w:val="18"/>
                      <w:szCs w:val="18"/>
                      <w:highlight w:val="none"/>
                      <w:lang w:val="en-US" w:eastAsia="zh-CN"/>
                    </w:rPr>
                  </w:pPr>
                  <w:r>
                    <w:rPr>
                      <w:rFonts w:hint="eastAsia"/>
                      <w:color w:val="auto"/>
                      <w:sz w:val="18"/>
                      <w:szCs w:val="18"/>
                      <w:lang w:val="en-US" w:eastAsia="zh-CN"/>
                    </w:rPr>
                    <w:t>生产车间</w:t>
                  </w:r>
                </w:p>
              </w:tc>
              <w:tc>
                <w:tcPr>
                  <w:tcW w:w="391" w:type="pct"/>
                  <w:tcBorders>
                    <w:tl2br w:val="nil"/>
                    <w:tr2bl w:val="nil"/>
                  </w:tcBorders>
                  <w:noWrap w:val="0"/>
                  <w:vAlign w:val="center"/>
                </w:tcPr>
                <w:p w14:paraId="4C96ADBF">
                  <w:pPr>
                    <w:keepNext w:val="0"/>
                    <w:keepLines w:val="0"/>
                    <w:pageBreakBefore w:val="0"/>
                    <w:kinsoku/>
                    <w:wordWrap/>
                    <w:overflowPunct/>
                    <w:topLinePunct w:val="0"/>
                    <w:autoSpaceDE/>
                    <w:autoSpaceDN/>
                    <w:bidi w:val="0"/>
                    <w:adjustRightInd w:val="0"/>
                    <w:snapToGrid w:val="0"/>
                    <w:ind w:left="0" w:leftChars="0" w:right="0" w:rightChars="0"/>
                    <w:jc w:val="center"/>
                    <w:textAlignment w:val="auto"/>
                    <w:rPr>
                      <w:rFonts w:hint="default" w:ascii="Times New Roman" w:hAnsi="Times New Roman" w:eastAsia="宋?" w:cs="Times New Roman"/>
                      <w:color w:val="auto"/>
                      <w:sz w:val="18"/>
                      <w:szCs w:val="18"/>
                      <w:highlight w:val="none"/>
                      <w:lang w:val="en-US" w:eastAsia="zh-CN"/>
                    </w:rPr>
                  </w:pPr>
                  <w:r>
                    <w:rPr>
                      <w:rFonts w:hint="eastAsia" w:ascii="Times New Roman" w:hAnsi="Times New Roman" w:eastAsia="宋?" w:cs="Times New Roman"/>
                      <w:color w:val="000000"/>
                      <w:sz w:val="18"/>
                      <w:szCs w:val="18"/>
                      <w:lang w:val="en-US" w:eastAsia="zh-CN"/>
                    </w:rPr>
                    <w:t>高效喷水织机</w:t>
                  </w:r>
                </w:p>
              </w:tc>
              <w:tc>
                <w:tcPr>
                  <w:tcW w:w="336" w:type="pct"/>
                  <w:tcBorders>
                    <w:tl2br w:val="nil"/>
                    <w:tr2bl w:val="nil"/>
                  </w:tcBorders>
                  <w:shd w:val="clear" w:color="auto" w:fill="auto"/>
                  <w:noWrap w:val="0"/>
                  <w:vAlign w:val="center"/>
                </w:tcPr>
                <w:p w14:paraId="4F3501D4">
                  <w:pPr>
                    <w:spacing w:beforeLines="0" w:afterLines="0"/>
                    <w:jc w:val="center"/>
                    <w:textAlignment w:val="center"/>
                    <w:rPr>
                      <w:rFonts w:hint="default" w:ascii="Times New Roman" w:hAnsi="Times New Roman" w:eastAsia="宋?" w:cs="Times New Roman"/>
                      <w:color w:val="000000"/>
                      <w:kern w:val="0"/>
                      <w:sz w:val="18"/>
                      <w:szCs w:val="18"/>
                      <w:lang w:val="en-US" w:eastAsia="zh-CN" w:bidi="ar-SA"/>
                    </w:rPr>
                  </w:pPr>
                  <w:r>
                    <w:rPr>
                      <w:rFonts w:hint="eastAsia" w:eastAsia="宋?" w:cs="Times New Roman"/>
                      <w:color w:val="000000"/>
                      <w:kern w:val="0"/>
                      <w:sz w:val="18"/>
                      <w:szCs w:val="18"/>
                      <w:lang w:val="en-US" w:eastAsia="zh-CN" w:bidi="ar-SA"/>
                    </w:rPr>
                    <w:t>136</w:t>
                  </w:r>
                </w:p>
              </w:tc>
              <w:tc>
                <w:tcPr>
                  <w:tcW w:w="336" w:type="pct"/>
                  <w:tcBorders>
                    <w:tl2br w:val="nil"/>
                    <w:tr2bl w:val="nil"/>
                  </w:tcBorders>
                  <w:noWrap w:val="0"/>
                  <w:vAlign w:val="center"/>
                </w:tcPr>
                <w:p w14:paraId="44D91A9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6</w:t>
                  </w:r>
                  <w:r>
                    <w:rPr>
                      <w:rFonts w:hint="eastAsia" w:eastAsia="宋?" w:cs="Times New Roman"/>
                      <w:color w:val="auto"/>
                      <w:spacing w:val="10"/>
                      <w:kern w:val="2"/>
                      <w:sz w:val="18"/>
                      <w:szCs w:val="18"/>
                      <w:highlight w:val="none"/>
                      <w:lang w:val="en-US" w:eastAsia="zh-CN" w:bidi="ar-SA"/>
                    </w:rPr>
                    <w:t>5</w:t>
                  </w:r>
                </w:p>
              </w:tc>
              <w:tc>
                <w:tcPr>
                  <w:tcW w:w="476" w:type="pct"/>
                  <w:vMerge w:val="restart"/>
                  <w:tcBorders>
                    <w:tl2br w:val="nil"/>
                    <w:tr2bl w:val="nil"/>
                  </w:tcBorders>
                  <w:noWrap w:val="0"/>
                  <w:vAlign w:val="center"/>
                </w:tcPr>
                <w:p w14:paraId="27A8644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color w:val="auto"/>
                      <w:spacing w:val="10"/>
                      <w:kern w:val="2"/>
                      <w:sz w:val="18"/>
                      <w:szCs w:val="18"/>
                      <w:highlight w:val="none"/>
                      <w:lang w:val="en-US" w:eastAsia="zh-CN" w:bidi="ar-SA"/>
                    </w:rPr>
                  </w:pPr>
                  <w:r>
                    <w:rPr>
                      <w:rFonts w:hint="eastAsia" w:ascii="宋体" w:hAnsi="Times New Roman" w:eastAsia="宋?" w:cs="Times New Roman"/>
                      <w:color w:val="auto"/>
                      <w:kern w:val="2"/>
                      <w:sz w:val="18"/>
                      <w:szCs w:val="18"/>
                      <w:highlight w:val="none"/>
                      <w:lang w:val="en-US" w:eastAsia="zh-CN" w:bidi="ar-SA"/>
                    </w:rPr>
                    <w:t>设置隔音降噪装置，</w:t>
                  </w:r>
                  <w:r>
                    <w:rPr>
                      <w:rFonts w:ascii="宋体" w:hAnsi="Times New Roman" w:eastAsia="宋?" w:cs="Times New Roman"/>
                      <w:color w:val="auto"/>
                      <w:kern w:val="2"/>
                      <w:sz w:val="18"/>
                      <w:szCs w:val="18"/>
                      <w:highlight w:val="none"/>
                      <w:lang w:val="en-US" w:eastAsia="zh-CN" w:bidi="ar-SA"/>
                    </w:rPr>
                    <w:t>厂房隔声，距离衰减</w:t>
                  </w:r>
                </w:p>
              </w:tc>
              <w:tc>
                <w:tcPr>
                  <w:tcW w:w="214" w:type="pct"/>
                  <w:tcBorders>
                    <w:tl2br w:val="nil"/>
                    <w:tr2bl w:val="nil"/>
                  </w:tcBorders>
                  <w:noWrap w:val="0"/>
                  <w:vAlign w:val="center"/>
                </w:tcPr>
                <w:p w14:paraId="5C9801A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-44</w:t>
                  </w:r>
                </w:p>
              </w:tc>
              <w:tc>
                <w:tcPr>
                  <w:tcW w:w="233" w:type="pct"/>
                  <w:tcBorders>
                    <w:tl2br w:val="nil"/>
                    <w:tr2bl w:val="nil"/>
                  </w:tcBorders>
                  <w:noWrap w:val="0"/>
                  <w:vAlign w:val="center"/>
                </w:tcPr>
                <w:p w14:paraId="69FD8F9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22</w:t>
                  </w:r>
                </w:p>
              </w:tc>
              <w:tc>
                <w:tcPr>
                  <w:tcW w:w="214" w:type="pct"/>
                  <w:tcBorders>
                    <w:tl2br w:val="nil"/>
                    <w:tr2bl w:val="nil"/>
                  </w:tcBorders>
                  <w:noWrap w:val="0"/>
                  <w:vAlign w:val="center"/>
                </w:tcPr>
                <w:p w14:paraId="020B4EB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1.2</w:t>
                  </w:r>
                </w:p>
              </w:tc>
              <w:tc>
                <w:tcPr>
                  <w:tcW w:w="401" w:type="pct"/>
                  <w:tcBorders>
                    <w:tl2br w:val="nil"/>
                    <w:tr2bl w:val="nil"/>
                  </w:tcBorders>
                  <w:noWrap w:val="0"/>
                  <w:vAlign w:val="center"/>
                </w:tcPr>
                <w:p w14:paraId="32C03CF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2</w:t>
                  </w:r>
                </w:p>
              </w:tc>
              <w:tc>
                <w:tcPr>
                  <w:tcW w:w="457" w:type="pct"/>
                  <w:tcBorders>
                    <w:tl2br w:val="nil"/>
                    <w:tr2bl w:val="nil"/>
                  </w:tcBorders>
                  <w:noWrap w:val="0"/>
                  <w:vAlign w:val="center"/>
                </w:tcPr>
                <w:p w14:paraId="1C3F4FC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65</w:t>
                  </w:r>
                </w:p>
              </w:tc>
              <w:tc>
                <w:tcPr>
                  <w:tcW w:w="295" w:type="pct"/>
                  <w:tcBorders>
                    <w:tl2br w:val="nil"/>
                    <w:tr2bl w:val="nil"/>
                  </w:tcBorders>
                  <w:noWrap w:val="0"/>
                  <w:vAlign w:val="center"/>
                </w:tcPr>
                <w:p w14:paraId="2405AF1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24h</w:t>
                  </w:r>
                </w:p>
              </w:tc>
              <w:tc>
                <w:tcPr>
                  <w:tcW w:w="433" w:type="pct"/>
                  <w:tcBorders>
                    <w:tl2br w:val="nil"/>
                    <w:tr2bl w:val="nil"/>
                  </w:tcBorders>
                  <w:noWrap w:val="0"/>
                  <w:vAlign w:val="center"/>
                </w:tcPr>
                <w:p w14:paraId="26FF49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25</w:t>
                  </w:r>
                </w:p>
              </w:tc>
              <w:tc>
                <w:tcPr>
                  <w:tcW w:w="349" w:type="pct"/>
                  <w:tcBorders>
                    <w:tl2br w:val="nil"/>
                    <w:tr2bl w:val="nil"/>
                  </w:tcBorders>
                  <w:noWrap w:val="0"/>
                  <w:vAlign w:val="center"/>
                </w:tcPr>
                <w:p w14:paraId="4578A3C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39.7</w:t>
                  </w:r>
                </w:p>
              </w:tc>
              <w:tc>
                <w:tcPr>
                  <w:tcW w:w="392" w:type="pct"/>
                  <w:tcBorders>
                    <w:tl2br w:val="nil"/>
                    <w:tr2bl w:val="nil"/>
                  </w:tcBorders>
                  <w:noWrap w:val="0"/>
                  <w:vAlign w:val="center"/>
                </w:tcPr>
                <w:p w14:paraId="1FE1B3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1m</w:t>
                  </w:r>
                </w:p>
              </w:tc>
            </w:tr>
            <w:tr w14:paraId="359682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0" w:hRule="atLeast"/>
                <w:jc w:val="center"/>
              </w:trPr>
              <w:tc>
                <w:tcPr>
                  <w:tcW w:w="159" w:type="pct"/>
                  <w:tcBorders>
                    <w:tl2br w:val="nil"/>
                    <w:tr2bl w:val="nil"/>
                  </w:tcBorders>
                  <w:noWrap w:val="0"/>
                  <w:vAlign w:val="center"/>
                </w:tcPr>
                <w:p w14:paraId="752E2881">
                  <w:pPr>
                    <w:keepNext w:val="0"/>
                    <w:keepLines w:val="0"/>
                    <w:pageBreakBefore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 w:cs="Times New Roman"/>
                      <w:color w:val="auto"/>
                      <w:sz w:val="18"/>
                      <w:szCs w:val="18"/>
                      <w:highlight w:val="none"/>
                      <w:lang w:val="en-US" w:eastAsia="zh-CN"/>
                    </w:rPr>
                  </w:pPr>
                  <w:r>
                    <w:rPr>
                      <w:rFonts w:hint="eastAsia" w:eastAsia="宋?" w:cs="Times New Roman"/>
                      <w:color w:val="auto"/>
                      <w:sz w:val="18"/>
                      <w:szCs w:val="18"/>
                      <w:highlight w:val="none"/>
                      <w:lang w:val="en-US" w:eastAsia="zh-CN"/>
                    </w:rPr>
                    <w:t>2</w:t>
                  </w:r>
                </w:p>
              </w:tc>
              <w:tc>
                <w:tcPr>
                  <w:tcW w:w="308" w:type="pct"/>
                  <w:vMerge w:val="continue"/>
                  <w:tcBorders>
                    <w:tl2br w:val="nil"/>
                    <w:tr2bl w:val="nil"/>
                  </w:tcBorders>
                  <w:noWrap w:val="0"/>
                  <w:vAlign w:val="center"/>
                </w:tcPr>
                <w:p w14:paraId="26017BD6">
                  <w:pPr>
                    <w:pStyle w:val="56"/>
                    <w:spacing w:beforeLines="0"/>
                    <w:textAlignment w:val="center"/>
                    <w:rPr>
                      <w:rFonts w:hint="eastAsia"/>
                      <w:color w:val="auto"/>
                      <w:sz w:val="18"/>
                      <w:szCs w:val="18"/>
                      <w:lang w:val="en-US" w:eastAsia="zh-CN"/>
                    </w:rPr>
                  </w:pPr>
                </w:p>
              </w:tc>
              <w:tc>
                <w:tcPr>
                  <w:tcW w:w="391" w:type="pct"/>
                  <w:tcBorders>
                    <w:tl2br w:val="nil"/>
                    <w:tr2bl w:val="nil"/>
                  </w:tcBorders>
                  <w:noWrap w:val="0"/>
                  <w:vAlign w:val="center"/>
                </w:tcPr>
                <w:p w14:paraId="27D81882">
                  <w:pPr>
                    <w:keepNext w:val="0"/>
                    <w:keepLines w:val="0"/>
                    <w:pageBreakBefore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sz w:val="18"/>
                      <w:szCs w:val="18"/>
                      <w:lang w:val="en-US" w:eastAsia="zh-CN"/>
                    </w:rPr>
                    <w:t>高档喷气织机</w:t>
                  </w:r>
                </w:p>
              </w:tc>
              <w:tc>
                <w:tcPr>
                  <w:tcW w:w="336" w:type="pct"/>
                  <w:tcBorders>
                    <w:tl2br w:val="nil"/>
                    <w:tr2bl w:val="nil"/>
                  </w:tcBorders>
                  <w:shd w:val="clear" w:color="auto" w:fill="auto"/>
                  <w:noWrap w:val="0"/>
                  <w:vAlign w:val="center"/>
                </w:tcPr>
                <w:p w14:paraId="1A8702A0">
                  <w:pPr>
                    <w:spacing w:beforeLines="0" w:afterLines="0"/>
                    <w:jc w:val="center"/>
                    <w:textAlignment w:val="center"/>
                    <w:rPr>
                      <w:rFonts w:hint="default" w:ascii="Times New Roman" w:hAnsi="Times New Roman" w:eastAsia="宋?" w:cs="Times New Roman"/>
                      <w:color w:val="000000"/>
                      <w:kern w:val="0"/>
                      <w:sz w:val="18"/>
                      <w:szCs w:val="18"/>
                      <w:lang w:val="en-US" w:eastAsia="zh-CN" w:bidi="ar-SA"/>
                    </w:rPr>
                  </w:pPr>
                  <w:r>
                    <w:rPr>
                      <w:rFonts w:hint="eastAsia" w:eastAsia="宋?" w:cs="Times New Roman"/>
                      <w:color w:val="000000"/>
                      <w:kern w:val="0"/>
                      <w:sz w:val="18"/>
                      <w:szCs w:val="18"/>
                      <w:lang w:val="en-US" w:eastAsia="zh-CN" w:bidi="ar-SA"/>
                    </w:rPr>
                    <w:t>420</w:t>
                  </w:r>
                </w:p>
              </w:tc>
              <w:tc>
                <w:tcPr>
                  <w:tcW w:w="336" w:type="pct"/>
                  <w:tcBorders>
                    <w:tl2br w:val="nil"/>
                    <w:tr2bl w:val="nil"/>
                  </w:tcBorders>
                  <w:noWrap w:val="0"/>
                  <w:vAlign w:val="center"/>
                </w:tcPr>
                <w:p w14:paraId="1671DE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75</w:t>
                  </w:r>
                </w:p>
              </w:tc>
              <w:tc>
                <w:tcPr>
                  <w:tcW w:w="476" w:type="pct"/>
                  <w:vMerge w:val="continue"/>
                  <w:tcBorders>
                    <w:tl2br w:val="nil"/>
                    <w:tr2bl w:val="nil"/>
                  </w:tcBorders>
                  <w:noWrap w:val="0"/>
                  <w:vAlign w:val="center"/>
                </w:tcPr>
                <w:p w14:paraId="5089496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Times New Roman" w:eastAsia="宋?" w:cs="Times New Roman"/>
                      <w:color w:val="auto"/>
                      <w:kern w:val="2"/>
                      <w:sz w:val="18"/>
                      <w:szCs w:val="18"/>
                      <w:highlight w:val="none"/>
                      <w:lang w:val="en-US" w:eastAsia="zh-CN" w:bidi="ar-SA"/>
                    </w:rPr>
                  </w:pPr>
                </w:p>
              </w:tc>
              <w:tc>
                <w:tcPr>
                  <w:tcW w:w="214" w:type="pct"/>
                  <w:tcBorders>
                    <w:tl2br w:val="nil"/>
                    <w:tr2bl w:val="nil"/>
                  </w:tcBorders>
                  <w:noWrap w:val="0"/>
                  <w:vAlign w:val="center"/>
                </w:tcPr>
                <w:p w14:paraId="3AC430A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-45</w:t>
                  </w:r>
                </w:p>
              </w:tc>
              <w:tc>
                <w:tcPr>
                  <w:tcW w:w="233" w:type="pct"/>
                  <w:tcBorders>
                    <w:tl2br w:val="nil"/>
                    <w:tr2bl w:val="nil"/>
                  </w:tcBorders>
                  <w:noWrap w:val="0"/>
                  <w:vAlign w:val="center"/>
                </w:tcPr>
                <w:p w14:paraId="23F4E45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20</w:t>
                  </w:r>
                </w:p>
              </w:tc>
              <w:tc>
                <w:tcPr>
                  <w:tcW w:w="214" w:type="pct"/>
                  <w:tcBorders>
                    <w:tl2br w:val="nil"/>
                    <w:tr2bl w:val="nil"/>
                  </w:tcBorders>
                  <w:noWrap w:val="0"/>
                  <w:vAlign w:val="center"/>
                </w:tcPr>
                <w:p w14:paraId="12A46F6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1.2</w:t>
                  </w:r>
                </w:p>
              </w:tc>
              <w:tc>
                <w:tcPr>
                  <w:tcW w:w="401" w:type="pct"/>
                  <w:tcBorders>
                    <w:tl2br w:val="nil"/>
                    <w:tr2bl w:val="nil"/>
                  </w:tcBorders>
                  <w:noWrap w:val="0"/>
                  <w:vAlign w:val="center"/>
                </w:tcPr>
                <w:p w14:paraId="378A29C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3</w:t>
                  </w:r>
                </w:p>
              </w:tc>
              <w:tc>
                <w:tcPr>
                  <w:tcW w:w="457" w:type="pct"/>
                  <w:tcBorders>
                    <w:tl2br w:val="nil"/>
                    <w:tr2bl w:val="nil"/>
                  </w:tcBorders>
                  <w:noWrap w:val="0"/>
                  <w:vAlign w:val="center"/>
                </w:tcPr>
                <w:p w14:paraId="15922A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75</w:t>
                  </w:r>
                </w:p>
              </w:tc>
              <w:tc>
                <w:tcPr>
                  <w:tcW w:w="295" w:type="pct"/>
                  <w:tcBorders>
                    <w:tl2br w:val="nil"/>
                    <w:tr2bl w:val="nil"/>
                  </w:tcBorders>
                  <w:noWrap w:val="0"/>
                  <w:vAlign w:val="center"/>
                </w:tcPr>
                <w:p w14:paraId="4893A1D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24h</w:t>
                  </w:r>
                </w:p>
              </w:tc>
              <w:tc>
                <w:tcPr>
                  <w:tcW w:w="433" w:type="pct"/>
                  <w:tcBorders>
                    <w:tl2br w:val="nil"/>
                    <w:tr2bl w:val="nil"/>
                  </w:tcBorders>
                  <w:noWrap w:val="0"/>
                  <w:vAlign w:val="center"/>
                </w:tcPr>
                <w:p w14:paraId="570E7E1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25</w:t>
                  </w:r>
                </w:p>
              </w:tc>
              <w:tc>
                <w:tcPr>
                  <w:tcW w:w="561" w:type="dxa"/>
                  <w:tcBorders>
                    <w:tl2br w:val="nil"/>
                    <w:tr2bl w:val="nil"/>
                  </w:tcBorders>
                  <w:noWrap w:val="0"/>
                  <w:vAlign w:val="center"/>
                </w:tcPr>
                <w:p w14:paraId="55ADB85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38.1</w:t>
                  </w:r>
                </w:p>
              </w:tc>
              <w:tc>
                <w:tcPr>
                  <w:tcW w:w="631" w:type="dxa"/>
                  <w:tcBorders>
                    <w:tl2br w:val="nil"/>
                    <w:tr2bl w:val="nil"/>
                  </w:tcBorders>
                  <w:noWrap w:val="0"/>
                  <w:vAlign w:val="center"/>
                </w:tcPr>
                <w:p w14:paraId="647B477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1m</w:t>
                  </w:r>
                </w:p>
              </w:tc>
            </w:tr>
            <w:tr w14:paraId="508319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0" w:hRule="atLeast"/>
                <w:jc w:val="center"/>
              </w:trPr>
              <w:tc>
                <w:tcPr>
                  <w:tcW w:w="159" w:type="pct"/>
                  <w:tcBorders>
                    <w:tl2br w:val="nil"/>
                    <w:tr2bl w:val="nil"/>
                  </w:tcBorders>
                  <w:noWrap w:val="0"/>
                  <w:vAlign w:val="center"/>
                </w:tcPr>
                <w:p w14:paraId="5F615C93">
                  <w:pPr>
                    <w:keepNext w:val="0"/>
                    <w:keepLines w:val="0"/>
                    <w:pageBreakBefore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 w:cs="Times New Roman"/>
                      <w:color w:val="auto"/>
                      <w:sz w:val="18"/>
                      <w:szCs w:val="18"/>
                      <w:highlight w:val="none"/>
                      <w:lang w:val="en-US" w:eastAsia="zh-CN"/>
                    </w:rPr>
                  </w:pPr>
                  <w:r>
                    <w:rPr>
                      <w:rFonts w:hint="eastAsia" w:eastAsia="宋?" w:cs="Times New Roman"/>
                      <w:color w:val="auto"/>
                      <w:sz w:val="18"/>
                      <w:szCs w:val="18"/>
                      <w:highlight w:val="none"/>
                      <w:lang w:val="en-US" w:eastAsia="zh-CN"/>
                    </w:rPr>
                    <w:t>3</w:t>
                  </w:r>
                </w:p>
              </w:tc>
              <w:tc>
                <w:tcPr>
                  <w:tcW w:w="308" w:type="pct"/>
                  <w:vMerge w:val="continue"/>
                  <w:tcBorders>
                    <w:tl2br w:val="nil"/>
                    <w:tr2bl w:val="nil"/>
                  </w:tcBorders>
                  <w:noWrap w:val="0"/>
                  <w:vAlign w:val="center"/>
                </w:tcPr>
                <w:p w14:paraId="20AEFF3B">
                  <w:pPr>
                    <w:pStyle w:val="56"/>
                    <w:spacing w:beforeLines="0"/>
                    <w:textAlignment w:val="center"/>
                    <w:rPr>
                      <w:rFonts w:hint="eastAsia"/>
                      <w:color w:val="auto"/>
                      <w:sz w:val="18"/>
                      <w:szCs w:val="18"/>
                      <w:lang w:val="en-US" w:eastAsia="zh-CN"/>
                    </w:rPr>
                  </w:pPr>
                </w:p>
              </w:tc>
              <w:tc>
                <w:tcPr>
                  <w:tcW w:w="391" w:type="pct"/>
                  <w:tcBorders>
                    <w:tl2br w:val="nil"/>
                    <w:tr2bl w:val="nil"/>
                  </w:tcBorders>
                  <w:noWrap w:val="0"/>
                  <w:vAlign w:val="center"/>
                </w:tcPr>
                <w:p w14:paraId="2C981531">
                  <w:pPr>
                    <w:keepNext w:val="0"/>
                    <w:keepLines w:val="0"/>
                    <w:pageBreakBefore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sz w:val="18"/>
                      <w:szCs w:val="18"/>
                      <w:lang w:val="en-US" w:eastAsia="zh-CN"/>
                    </w:rPr>
                    <w:t>先进加弹机</w:t>
                  </w:r>
                </w:p>
              </w:tc>
              <w:tc>
                <w:tcPr>
                  <w:tcW w:w="336" w:type="pct"/>
                  <w:tcBorders>
                    <w:tl2br w:val="nil"/>
                    <w:tr2bl w:val="nil"/>
                  </w:tcBorders>
                  <w:shd w:val="clear" w:color="auto" w:fill="auto"/>
                  <w:noWrap w:val="0"/>
                  <w:vAlign w:val="center"/>
                </w:tcPr>
                <w:p w14:paraId="25A0C12B">
                  <w:pPr>
                    <w:spacing w:beforeLines="0" w:afterLines="0"/>
                    <w:jc w:val="center"/>
                    <w:textAlignment w:val="center"/>
                    <w:rPr>
                      <w:rFonts w:hint="default" w:ascii="Times New Roman" w:hAnsi="Times New Roman" w:eastAsia="宋?" w:cs="Times New Roman"/>
                      <w:color w:val="000000"/>
                      <w:kern w:val="0"/>
                      <w:sz w:val="18"/>
                      <w:szCs w:val="18"/>
                      <w:lang w:val="en-US" w:eastAsia="zh-CN" w:bidi="ar-SA"/>
                    </w:rPr>
                  </w:pPr>
                  <w:r>
                    <w:rPr>
                      <w:rFonts w:hint="eastAsia" w:eastAsia="宋?" w:cs="Times New Roman"/>
                      <w:color w:val="000000"/>
                      <w:kern w:val="0"/>
                      <w:sz w:val="18"/>
                      <w:szCs w:val="18"/>
                      <w:lang w:val="en-US" w:eastAsia="zh-CN" w:bidi="ar-SA"/>
                    </w:rPr>
                    <w:t>20</w:t>
                  </w:r>
                </w:p>
              </w:tc>
              <w:tc>
                <w:tcPr>
                  <w:tcW w:w="336" w:type="pct"/>
                  <w:tcBorders>
                    <w:tl2br w:val="nil"/>
                    <w:tr2bl w:val="nil"/>
                  </w:tcBorders>
                  <w:noWrap w:val="0"/>
                  <w:vAlign w:val="center"/>
                </w:tcPr>
                <w:p w14:paraId="12B93DB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75</w:t>
                  </w:r>
                </w:p>
              </w:tc>
              <w:tc>
                <w:tcPr>
                  <w:tcW w:w="476" w:type="pct"/>
                  <w:vMerge w:val="continue"/>
                  <w:tcBorders>
                    <w:tl2br w:val="nil"/>
                    <w:tr2bl w:val="nil"/>
                  </w:tcBorders>
                  <w:noWrap w:val="0"/>
                  <w:vAlign w:val="center"/>
                </w:tcPr>
                <w:p w14:paraId="587062B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Times New Roman" w:eastAsia="宋?" w:cs="Times New Roman"/>
                      <w:color w:val="auto"/>
                      <w:kern w:val="2"/>
                      <w:sz w:val="18"/>
                      <w:szCs w:val="18"/>
                      <w:highlight w:val="none"/>
                      <w:lang w:val="en-US" w:eastAsia="zh-CN" w:bidi="ar-SA"/>
                    </w:rPr>
                  </w:pPr>
                </w:p>
              </w:tc>
              <w:tc>
                <w:tcPr>
                  <w:tcW w:w="214" w:type="pct"/>
                  <w:tcBorders>
                    <w:tl2br w:val="nil"/>
                    <w:tr2bl w:val="nil"/>
                  </w:tcBorders>
                  <w:noWrap w:val="0"/>
                  <w:vAlign w:val="center"/>
                </w:tcPr>
                <w:p w14:paraId="3DEEB50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20</w:t>
                  </w:r>
                </w:p>
              </w:tc>
              <w:tc>
                <w:tcPr>
                  <w:tcW w:w="233" w:type="pct"/>
                  <w:tcBorders>
                    <w:tl2br w:val="nil"/>
                    <w:tr2bl w:val="nil"/>
                  </w:tcBorders>
                  <w:noWrap w:val="0"/>
                  <w:vAlign w:val="center"/>
                </w:tcPr>
                <w:p w14:paraId="2361018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26</w:t>
                  </w:r>
                </w:p>
              </w:tc>
              <w:tc>
                <w:tcPr>
                  <w:tcW w:w="214" w:type="pct"/>
                  <w:tcBorders>
                    <w:tl2br w:val="nil"/>
                    <w:tr2bl w:val="nil"/>
                  </w:tcBorders>
                  <w:noWrap w:val="0"/>
                  <w:vAlign w:val="center"/>
                </w:tcPr>
                <w:p w14:paraId="29CEFE5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1.2</w:t>
                  </w:r>
                </w:p>
              </w:tc>
              <w:tc>
                <w:tcPr>
                  <w:tcW w:w="401" w:type="pct"/>
                  <w:tcBorders>
                    <w:tl2br w:val="nil"/>
                    <w:tr2bl w:val="nil"/>
                  </w:tcBorders>
                  <w:noWrap w:val="0"/>
                  <w:vAlign w:val="center"/>
                </w:tcPr>
                <w:p w14:paraId="75371C2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2</w:t>
                  </w:r>
                </w:p>
              </w:tc>
              <w:tc>
                <w:tcPr>
                  <w:tcW w:w="457" w:type="pct"/>
                  <w:tcBorders>
                    <w:tl2br w:val="nil"/>
                    <w:tr2bl w:val="nil"/>
                  </w:tcBorders>
                  <w:noWrap w:val="0"/>
                  <w:vAlign w:val="center"/>
                </w:tcPr>
                <w:p w14:paraId="700EFD2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76</w:t>
                  </w:r>
                </w:p>
              </w:tc>
              <w:tc>
                <w:tcPr>
                  <w:tcW w:w="295" w:type="pct"/>
                  <w:tcBorders>
                    <w:tl2br w:val="nil"/>
                    <w:tr2bl w:val="nil"/>
                  </w:tcBorders>
                  <w:noWrap w:val="0"/>
                  <w:vAlign w:val="center"/>
                </w:tcPr>
                <w:p w14:paraId="7743FC8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24h</w:t>
                  </w:r>
                </w:p>
              </w:tc>
              <w:tc>
                <w:tcPr>
                  <w:tcW w:w="433" w:type="pct"/>
                  <w:tcBorders>
                    <w:tl2br w:val="nil"/>
                    <w:tr2bl w:val="nil"/>
                  </w:tcBorders>
                  <w:noWrap w:val="0"/>
                  <w:vAlign w:val="center"/>
                </w:tcPr>
                <w:p w14:paraId="7C298A2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25</w:t>
                  </w:r>
                </w:p>
              </w:tc>
              <w:tc>
                <w:tcPr>
                  <w:tcW w:w="561" w:type="dxa"/>
                  <w:tcBorders>
                    <w:tl2br w:val="nil"/>
                    <w:tr2bl w:val="nil"/>
                  </w:tcBorders>
                  <w:noWrap w:val="0"/>
                  <w:vAlign w:val="center"/>
                </w:tcPr>
                <w:p w14:paraId="485B400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40.2</w:t>
                  </w:r>
                </w:p>
              </w:tc>
              <w:tc>
                <w:tcPr>
                  <w:tcW w:w="631" w:type="dxa"/>
                  <w:tcBorders>
                    <w:tl2br w:val="nil"/>
                    <w:tr2bl w:val="nil"/>
                  </w:tcBorders>
                  <w:noWrap w:val="0"/>
                  <w:vAlign w:val="center"/>
                </w:tcPr>
                <w:p w14:paraId="3906160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1m</w:t>
                  </w:r>
                </w:p>
              </w:tc>
            </w:tr>
            <w:tr w14:paraId="78F8D6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0" w:hRule="atLeast"/>
                <w:jc w:val="center"/>
              </w:trPr>
              <w:tc>
                <w:tcPr>
                  <w:tcW w:w="159" w:type="pct"/>
                  <w:tcBorders>
                    <w:tl2br w:val="nil"/>
                    <w:tr2bl w:val="nil"/>
                  </w:tcBorders>
                  <w:noWrap w:val="0"/>
                  <w:vAlign w:val="center"/>
                </w:tcPr>
                <w:p w14:paraId="37F18894">
                  <w:pPr>
                    <w:keepNext w:val="0"/>
                    <w:keepLines w:val="0"/>
                    <w:pageBreakBefore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 w:cs="Times New Roman"/>
                      <w:color w:val="auto"/>
                      <w:sz w:val="18"/>
                      <w:szCs w:val="18"/>
                      <w:highlight w:val="none"/>
                      <w:lang w:val="en-US" w:eastAsia="zh-CN"/>
                    </w:rPr>
                  </w:pPr>
                  <w:r>
                    <w:rPr>
                      <w:rFonts w:hint="eastAsia" w:eastAsia="宋?" w:cs="Times New Roman"/>
                      <w:color w:val="auto"/>
                      <w:sz w:val="18"/>
                      <w:szCs w:val="18"/>
                      <w:highlight w:val="none"/>
                      <w:lang w:val="en-US" w:eastAsia="zh-CN"/>
                    </w:rPr>
                    <w:t>4</w:t>
                  </w:r>
                </w:p>
              </w:tc>
              <w:tc>
                <w:tcPr>
                  <w:tcW w:w="308" w:type="pct"/>
                  <w:vMerge w:val="continue"/>
                  <w:tcBorders>
                    <w:tl2br w:val="nil"/>
                    <w:tr2bl w:val="nil"/>
                  </w:tcBorders>
                  <w:noWrap w:val="0"/>
                  <w:vAlign w:val="center"/>
                </w:tcPr>
                <w:p w14:paraId="68346FD0">
                  <w:pPr>
                    <w:pStyle w:val="56"/>
                    <w:spacing w:beforeLines="0"/>
                    <w:textAlignment w:val="center"/>
                    <w:rPr>
                      <w:rFonts w:hint="eastAsia"/>
                      <w:color w:val="auto"/>
                      <w:sz w:val="18"/>
                      <w:szCs w:val="18"/>
                      <w:lang w:val="en-US" w:eastAsia="zh-CN"/>
                    </w:rPr>
                  </w:pPr>
                </w:p>
              </w:tc>
              <w:tc>
                <w:tcPr>
                  <w:tcW w:w="391" w:type="pct"/>
                  <w:tcBorders>
                    <w:tl2br w:val="nil"/>
                    <w:tr2bl w:val="nil"/>
                  </w:tcBorders>
                  <w:noWrap w:val="0"/>
                  <w:vAlign w:val="center"/>
                </w:tcPr>
                <w:p w14:paraId="51C77828">
                  <w:pPr>
                    <w:keepNext w:val="0"/>
                    <w:keepLines w:val="0"/>
                    <w:pageBreakBefore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sz w:val="18"/>
                      <w:szCs w:val="18"/>
                      <w:lang w:val="en-US" w:eastAsia="zh-CN"/>
                    </w:rPr>
                    <w:t>整经机</w:t>
                  </w:r>
                </w:p>
              </w:tc>
              <w:tc>
                <w:tcPr>
                  <w:tcW w:w="336" w:type="pct"/>
                  <w:tcBorders>
                    <w:tl2br w:val="nil"/>
                    <w:tr2bl w:val="nil"/>
                  </w:tcBorders>
                  <w:shd w:val="clear" w:color="auto" w:fill="auto"/>
                  <w:noWrap w:val="0"/>
                  <w:vAlign w:val="center"/>
                </w:tcPr>
                <w:p w14:paraId="40B79D61">
                  <w:pPr>
                    <w:spacing w:beforeLines="0" w:afterLines="0"/>
                    <w:jc w:val="center"/>
                    <w:textAlignment w:val="center"/>
                    <w:rPr>
                      <w:rFonts w:hint="default" w:ascii="Times New Roman" w:hAnsi="Times New Roman" w:eastAsia="宋?" w:cs="Times New Roman"/>
                      <w:color w:val="000000"/>
                      <w:kern w:val="0"/>
                      <w:sz w:val="18"/>
                      <w:szCs w:val="18"/>
                      <w:lang w:val="en-US" w:eastAsia="zh-CN" w:bidi="ar-SA"/>
                    </w:rPr>
                  </w:pPr>
                  <w:r>
                    <w:rPr>
                      <w:rFonts w:hint="eastAsia" w:eastAsia="宋?" w:cs="Times New Roman"/>
                      <w:color w:val="000000"/>
                      <w:kern w:val="0"/>
                      <w:sz w:val="18"/>
                      <w:szCs w:val="18"/>
                      <w:lang w:val="en-US" w:eastAsia="zh-CN" w:bidi="ar-SA"/>
                    </w:rPr>
                    <w:t>1</w:t>
                  </w:r>
                </w:p>
              </w:tc>
              <w:tc>
                <w:tcPr>
                  <w:tcW w:w="336" w:type="pct"/>
                  <w:tcBorders>
                    <w:tl2br w:val="nil"/>
                    <w:tr2bl w:val="nil"/>
                  </w:tcBorders>
                  <w:noWrap w:val="0"/>
                  <w:vAlign w:val="center"/>
                </w:tcPr>
                <w:p w14:paraId="1E79D45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60</w:t>
                  </w:r>
                </w:p>
              </w:tc>
              <w:tc>
                <w:tcPr>
                  <w:tcW w:w="476" w:type="pct"/>
                  <w:vMerge w:val="continue"/>
                  <w:tcBorders>
                    <w:tl2br w:val="nil"/>
                    <w:tr2bl w:val="nil"/>
                  </w:tcBorders>
                  <w:noWrap w:val="0"/>
                  <w:vAlign w:val="center"/>
                </w:tcPr>
                <w:p w14:paraId="4937227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Times New Roman" w:eastAsia="宋?" w:cs="Times New Roman"/>
                      <w:color w:val="auto"/>
                      <w:kern w:val="2"/>
                      <w:sz w:val="18"/>
                      <w:szCs w:val="18"/>
                      <w:highlight w:val="none"/>
                      <w:lang w:val="en-US" w:eastAsia="zh-CN" w:bidi="ar-SA"/>
                    </w:rPr>
                  </w:pPr>
                </w:p>
              </w:tc>
              <w:tc>
                <w:tcPr>
                  <w:tcW w:w="214" w:type="pct"/>
                  <w:tcBorders>
                    <w:tl2br w:val="nil"/>
                    <w:tr2bl w:val="nil"/>
                  </w:tcBorders>
                  <w:noWrap w:val="0"/>
                  <w:vAlign w:val="center"/>
                </w:tcPr>
                <w:p w14:paraId="748787B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15</w:t>
                  </w:r>
                </w:p>
              </w:tc>
              <w:tc>
                <w:tcPr>
                  <w:tcW w:w="233" w:type="pct"/>
                  <w:tcBorders>
                    <w:tl2br w:val="nil"/>
                    <w:tr2bl w:val="nil"/>
                  </w:tcBorders>
                  <w:noWrap w:val="0"/>
                  <w:vAlign w:val="center"/>
                </w:tcPr>
                <w:p w14:paraId="1DF4750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28</w:t>
                  </w:r>
                </w:p>
              </w:tc>
              <w:tc>
                <w:tcPr>
                  <w:tcW w:w="214" w:type="pct"/>
                  <w:tcBorders>
                    <w:tl2br w:val="nil"/>
                    <w:tr2bl w:val="nil"/>
                  </w:tcBorders>
                  <w:noWrap w:val="0"/>
                  <w:vAlign w:val="center"/>
                </w:tcPr>
                <w:p w14:paraId="5D5A917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1.2</w:t>
                  </w:r>
                </w:p>
              </w:tc>
              <w:tc>
                <w:tcPr>
                  <w:tcW w:w="401" w:type="pct"/>
                  <w:tcBorders>
                    <w:tl2br w:val="nil"/>
                    <w:tr2bl w:val="nil"/>
                  </w:tcBorders>
                  <w:noWrap w:val="0"/>
                  <w:vAlign w:val="center"/>
                </w:tcPr>
                <w:p w14:paraId="4E6100F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5</w:t>
                  </w:r>
                </w:p>
              </w:tc>
              <w:tc>
                <w:tcPr>
                  <w:tcW w:w="457" w:type="pct"/>
                  <w:tcBorders>
                    <w:tl2br w:val="nil"/>
                    <w:tr2bl w:val="nil"/>
                  </w:tcBorders>
                  <w:noWrap w:val="0"/>
                  <w:vAlign w:val="center"/>
                </w:tcPr>
                <w:p w14:paraId="11EB2ED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61</w:t>
                  </w:r>
                </w:p>
              </w:tc>
              <w:tc>
                <w:tcPr>
                  <w:tcW w:w="295" w:type="pct"/>
                  <w:tcBorders>
                    <w:tl2br w:val="nil"/>
                    <w:tr2bl w:val="nil"/>
                  </w:tcBorders>
                  <w:noWrap w:val="0"/>
                  <w:vAlign w:val="center"/>
                </w:tcPr>
                <w:p w14:paraId="6B67D9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24h</w:t>
                  </w:r>
                </w:p>
              </w:tc>
              <w:tc>
                <w:tcPr>
                  <w:tcW w:w="433" w:type="pct"/>
                  <w:tcBorders>
                    <w:tl2br w:val="nil"/>
                    <w:tr2bl w:val="nil"/>
                  </w:tcBorders>
                  <w:noWrap w:val="0"/>
                  <w:vAlign w:val="center"/>
                </w:tcPr>
                <w:p w14:paraId="5B0327D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25</w:t>
                  </w:r>
                </w:p>
              </w:tc>
              <w:tc>
                <w:tcPr>
                  <w:tcW w:w="561" w:type="dxa"/>
                  <w:tcBorders>
                    <w:tl2br w:val="nil"/>
                    <w:tr2bl w:val="nil"/>
                  </w:tcBorders>
                  <w:noWrap w:val="0"/>
                  <w:vAlign w:val="center"/>
                </w:tcPr>
                <w:p w14:paraId="1FFD56E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3</w:t>
                  </w:r>
                  <w:r>
                    <w:rPr>
                      <w:rFonts w:hint="eastAsia" w:eastAsia="宋?" w:cs="Times New Roman"/>
                      <w:color w:val="auto"/>
                      <w:spacing w:val="10"/>
                      <w:kern w:val="2"/>
                      <w:sz w:val="18"/>
                      <w:szCs w:val="18"/>
                      <w:highlight w:val="none"/>
                      <w:lang w:val="en-US" w:eastAsia="zh-CN" w:bidi="ar-SA"/>
                    </w:rPr>
                    <w:t>5.7</w:t>
                  </w:r>
                </w:p>
              </w:tc>
              <w:tc>
                <w:tcPr>
                  <w:tcW w:w="631" w:type="dxa"/>
                  <w:tcBorders>
                    <w:tl2br w:val="nil"/>
                    <w:tr2bl w:val="nil"/>
                  </w:tcBorders>
                  <w:noWrap w:val="0"/>
                  <w:vAlign w:val="center"/>
                </w:tcPr>
                <w:p w14:paraId="112B75F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1m</w:t>
                  </w:r>
                </w:p>
              </w:tc>
            </w:tr>
            <w:tr w14:paraId="6F2250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0" w:hRule="atLeast"/>
                <w:jc w:val="center"/>
              </w:trPr>
              <w:tc>
                <w:tcPr>
                  <w:tcW w:w="159" w:type="pct"/>
                  <w:tcBorders>
                    <w:tl2br w:val="nil"/>
                    <w:tr2bl w:val="nil"/>
                  </w:tcBorders>
                  <w:noWrap w:val="0"/>
                  <w:vAlign w:val="center"/>
                </w:tcPr>
                <w:p w14:paraId="47C2F208">
                  <w:pPr>
                    <w:keepNext w:val="0"/>
                    <w:keepLines w:val="0"/>
                    <w:pageBreakBefore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 w:cs="Times New Roman"/>
                      <w:color w:val="auto"/>
                      <w:sz w:val="18"/>
                      <w:szCs w:val="18"/>
                      <w:highlight w:val="none"/>
                      <w:lang w:val="en-US" w:eastAsia="zh-CN"/>
                    </w:rPr>
                  </w:pPr>
                  <w:r>
                    <w:rPr>
                      <w:rFonts w:hint="eastAsia" w:eastAsia="宋?" w:cs="Times New Roman"/>
                      <w:color w:val="auto"/>
                      <w:sz w:val="18"/>
                      <w:szCs w:val="18"/>
                      <w:highlight w:val="none"/>
                      <w:lang w:val="en-US" w:eastAsia="zh-CN"/>
                    </w:rPr>
                    <w:t>5</w:t>
                  </w:r>
                </w:p>
              </w:tc>
              <w:tc>
                <w:tcPr>
                  <w:tcW w:w="308" w:type="pct"/>
                  <w:vMerge w:val="continue"/>
                  <w:tcBorders>
                    <w:tl2br w:val="nil"/>
                    <w:tr2bl w:val="nil"/>
                  </w:tcBorders>
                  <w:noWrap w:val="0"/>
                  <w:vAlign w:val="center"/>
                </w:tcPr>
                <w:p w14:paraId="49100106">
                  <w:pPr>
                    <w:pStyle w:val="56"/>
                    <w:spacing w:beforeLines="0"/>
                    <w:textAlignment w:val="center"/>
                    <w:rPr>
                      <w:rFonts w:hint="eastAsia"/>
                      <w:color w:val="auto"/>
                      <w:sz w:val="18"/>
                      <w:szCs w:val="18"/>
                      <w:lang w:val="en-US" w:eastAsia="zh-CN"/>
                    </w:rPr>
                  </w:pPr>
                </w:p>
              </w:tc>
              <w:tc>
                <w:tcPr>
                  <w:tcW w:w="391" w:type="pct"/>
                  <w:tcBorders>
                    <w:tl2br w:val="nil"/>
                    <w:tr2bl w:val="nil"/>
                  </w:tcBorders>
                  <w:noWrap w:val="0"/>
                  <w:vAlign w:val="center"/>
                </w:tcPr>
                <w:p w14:paraId="100FFD6D">
                  <w:pPr>
                    <w:keepNext w:val="0"/>
                    <w:keepLines w:val="0"/>
                    <w:pageBreakBefore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 w:cs="Times New Roman"/>
                      <w:color w:val="000000"/>
                      <w:sz w:val="18"/>
                      <w:szCs w:val="18"/>
                    </w:rPr>
                  </w:pPr>
                  <w:r>
                    <w:rPr>
                      <w:rFonts w:hint="eastAsia" w:ascii="Times New Roman" w:hAnsi="Times New Roman" w:eastAsia="宋?" w:cs="Times New Roman"/>
                      <w:color w:val="000000"/>
                      <w:sz w:val="18"/>
                      <w:szCs w:val="18"/>
                      <w:lang w:val="en-US" w:eastAsia="zh-CN"/>
                    </w:rPr>
                    <w:t>打卷机</w:t>
                  </w:r>
                </w:p>
              </w:tc>
              <w:tc>
                <w:tcPr>
                  <w:tcW w:w="336" w:type="pct"/>
                  <w:tcBorders>
                    <w:tl2br w:val="nil"/>
                    <w:tr2bl w:val="nil"/>
                  </w:tcBorders>
                  <w:shd w:val="clear" w:color="auto" w:fill="auto"/>
                  <w:noWrap w:val="0"/>
                  <w:vAlign w:val="center"/>
                </w:tcPr>
                <w:p w14:paraId="5AD56C4A">
                  <w:pPr>
                    <w:spacing w:beforeLines="0" w:afterLines="0"/>
                    <w:jc w:val="center"/>
                    <w:textAlignment w:val="center"/>
                    <w:rPr>
                      <w:rFonts w:hint="default" w:ascii="Times New Roman" w:hAnsi="Times New Roman" w:eastAsia="宋?" w:cs="Times New Roman"/>
                      <w:color w:val="000000"/>
                      <w:kern w:val="0"/>
                      <w:sz w:val="18"/>
                      <w:szCs w:val="18"/>
                      <w:lang w:val="en-US" w:eastAsia="zh-CN" w:bidi="ar-SA"/>
                    </w:rPr>
                  </w:pPr>
                  <w:r>
                    <w:rPr>
                      <w:rFonts w:hint="eastAsia" w:eastAsia="宋?" w:cs="Times New Roman"/>
                      <w:color w:val="000000"/>
                      <w:kern w:val="0"/>
                      <w:sz w:val="18"/>
                      <w:szCs w:val="18"/>
                      <w:lang w:val="en-US" w:eastAsia="zh-CN" w:bidi="ar-SA"/>
                    </w:rPr>
                    <w:t>2</w:t>
                  </w:r>
                </w:p>
              </w:tc>
              <w:tc>
                <w:tcPr>
                  <w:tcW w:w="336" w:type="pct"/>
                  <w:tcBorders>
                    <w:tl2br w:val="nil"/>
                    <w:tr2bl w:val="nil"/>
                  </w:tcBorders>
                  <w:noWrap w:val="0"/>
                  <w:vAlign w:val="center"/>
                </w:tcPr>
                <w:p w14:paraId="6CF0872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60</w:t>
                  </w:r>
                </w:p>
              </w:tc>
              <w:tc>
                <w:tcPr>
                  <w:tcW w:w="476" w:type="pct"/>
                  <w:vMerge w:val="continue"/>
                  <w:tcBorders>
                    <w:tl2br w:val="nil"/>
                    <w:tr2bl w:val="nil"/>
                  </w:tcBorders>
                  <w:noWrap w:val="0"/>
                  <w:vAlign w:val="center"/>
                </w:tcPr>
                <w:p w14:paraId="4E17F4C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Times New Roman" w:eastAsia="宋?" w:cs="Times New Roman"/>
                      <w:color w:val="auto"/>
                      <w:kern w:val="2"/>
                      <w:sz w:val="18"/>
                      <w:szCs w:val="18"/>
                      <w:highlight w:val="none"/>
                      <w:lang w:val="en-US" w:eastAsia="zh-CN" w:bidi="ar-SA"/>
                    </w:rPr>
                  </w:pPr>
                </w:p>
              </w:tc>
              <w:tc>
                <w:tcPr>
                  <w:tcW w:w="214" w:type="pct"/>
                  <w:tcBorders>
                    <w:tl2br w:val="nil"/>
                    <w:tr2bl w:val="nil"/>
                  </w:tcBorders>
                  <w:noWrap w:val="0"/>
                  <w:vAlign w:val="center"/>
                </w:tcPr>
                <w:p w14:paraId="271E2BE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10</w:t>
                  </w:r>
                </w:p>
              </w:tc>
              <w:tc>
                <w:tcPr>
                  <w:tcW w:w="233" w:type="pct"/>
                  <w:tcBorders>
                    <w:tl2br w:val="nil"/>
                    <w:tr2bl w:val="nil"/>
                  </w:tcBorders>
                  <w:noWrap w:val="0"/>
                  <w:vAlign w:val="center"/>
                </w:tcPr>
                <w:p w14:paraId="49ED729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19</w:t>
                  </w:r>
                </w:p>
              </w:tc>
              <w:tc>
                <w:tcPr>
                  <w:tcW w:w="214" w:type="pct"/>
                  <w:tcBorders>
                    <w:tl2br w:val="nil"/>
                    <w:tr2bl w:val="nil"/>
                  </w:tcBorders>
                  <w:noWrap w:val="0"/>
                  <w:vAlign w:val="center"/>
                </w:tcPr>
                <w:p w14:paraId="31BC9C5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1.2</w:t>
                  </w:r>
                </w:p>
              </w:tc>
              <w:tc>
                <w:tcPr>
                  <w:tcW w:w="401" w:type="pct"/>
                  <w:tcBorders>
                    <w:tl2br w:val="nil"/>
                    <w:tr2bl w:val="nil"/>
                  </w:tcBorders>
                  <w:noWrap w:val="0"/>
                  <w:vAlign w:val="center"/>
                </w:tcPr>
                <w:p w14:paraId="0DD8ED9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5</w:t>
                  </w:r>
                </w:p>
              </w:tc>
              <w:tc>
                <w:tcPr>
                  <w:tcW w:w="457" w:type="pct"/>
                  <w:tcBorders>
                    <w:tl2br w:val="nil"/>
                    <w:tr2bl w:val="nil"/>
                  </w:tcBorders>
                  <w:noWrap w:val="0"/>
                  <w:vAlign w:val="center"/>
                </w:tcPr>
                <w:p w14:paraId="362D7DD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eastAsia="宋?" w:cs="Times New Roman"/>
                      <w:color w:val="auto"/>
                      <w:spacing w:val="10"/>
                      <w:kern w:val="2"/>
                      <w:sz w:val="18"/>
                      <w:szCs w:val="18"/>
                      <w:highlight w:val="none"/>
                      <w:lang w:val="en-US" w:eastAsia="zh-CN" w:bidi="ar-SA"/>
                    </w:rPr>
                    <w:t>64</w:t>
                  </w:r>
                </w:p>
              </w:tc>
              <w:tc>
                <w:tcPr>
                  <w:tcW w:w="295" w:type="pct"/>
                  <w:tcBorders>
                    <w:tl2br w:val="nil"/>
                    <w:tr2bl w:val="nil"/>
                  </w:tcBorders>
                  <w:noWrap w:val="0"/>
                  <w:vAlign w:val="center"/>
                </w:tcPr>
                <w:p w14:paraId="1015596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24h</w:t>
                  </w:r>
                </w:p>
              </w:tc>
              <w:tc>
                <w:tcPr>
                  <w:tcW w:w="433" w:type="pct"/>
                  <w:tcBorders>
                    <w:tl2br w:val="nil"/>
                    <w:tr2bl w:val="nil"/>
                  </w:tcBorders>
                  <w:noWrap w:val="0"/>
                  <w:vAlign w:val="center"/>
                </w:tcPr>
                <w:p w14:paraId="34B770D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25</w:t>
                  </w:r>
                </w:p>
              </w:tc>
              <w:tc>
                <w:tcPr>
                  <w:tcW w:w="561" w:type="dxa"/>
                  <w:tcBorders>
                    <w:tl2br w:val="nil"/>
                    <w:tr2bl w:val="nil"/>
                  </w:tcBorders>
                  <w:noWrap w:val="0"/>
                  <w:vAlign w:val="center"/>
                </w:tcPr>
                <w:p w14:paraId="3BB329F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3</w:t>
                  </w:r>
                  <w:r>
                    <w:rPr>
                      <w:rFonts w:hint="eastAsia" w:eastAsia="宋?" w:cs="Times New Roman"/>
                      <w:color w:val="auto"/>
                      <w:spacing w:val="10"/>
                      <w:kern w:val="2"/>
                      <w:sz w:val="18"/>
                      <w:szCs w:val="18"/>
                      <w:highlight w:val="none"/>
                      <w:lang w:val="en-US" w:eastAsia="zh-CN" w:bidi="ar-SA"/>
                    </w:rPr>
                    <w:t>6</w:t>
                  </w:r>
                  <w:r>
                    <w:rPr>
                      <w:rFonts w:hint="eastAsia" w:ascii="Times New Roman" w:hAnsi="Times New Roman" w:eastAsia="宋?" w:cs="Times New Roman"/>
                      <w:color w:val="auto"/>
                      <w:spacing w:val="10"/>
                      <w:kern w:val="2"/>
                      <w:sz w:val="18"/>
                      <w:szCs w:val="18"/>
                      <w:highlight w:val="none"/>
                      <w:lang w:val="en-US" w:eastAsia="zh-CN" w:bidi="ar-SA"/>
                    </w:rPr>
                    <w:t>.</w:t>
                  </w:r>
                  <w:r>
                    <w:rPr>
                      <w:rFonts w:hint="eastAsia" w:eastAsia="宋?" w:cs="Times New Roman"/>
                      <w:color w:val="auto"/>
                      <w:spacing w:val="10"/>
                      <w:kern w:val="2"/>
                      <w:sz w:val="18"/>
                      <w:szCs w:val="18"/>
                      <w:highlight w:val="none"/>
                      <w:lang w:val="en-US" w:eastAsia="zh-CN" w:bidi="ar-SA"/>
                    </w:rPr>
                    <w:t>1</w:t>
                  </w:r>
                </w:p>
              </w:tc>
              <w:tc>
                <w:tcPr>
                  <w:tcW w:w="631" w:type="dxa"/>
                  <w:tcBorders>
                    <w:tl2br w:val="nil"/>
                    <w:tr2bl w:val="nil"/>
                  </w:tcBorders>
                  <w:noWrap w:val="0"/>
                  <w:vAlign w:val="center"/>
                </w:tcPr>
                <w:p w14:paraId="12F6031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 w:cs="Times New Roman"/>
                      <w:color w:val="auto"/>
                      <w:spacing w:val="10"/>
                      <w:kern w:val="2"/>
                      <w:sz w:val="18"/>
                      <w:szCs w:val="18"/>
                      <w:highlight w:val="none"/>
                      <w:lang w:val="en-US" w:eastAsia="zh-CN" w:bidi="ar-SA"/>
                    </w:rPr>
                  </w:pPr>
                  <w:r>
                    <w:rPr>
                      <w:rFonts w:hint="eastAsia" w:ascii="Times New Roman" w:hAnsi="Times New Roman" w:eastAsia="宋?" w:cs="Times New Roman"/>
                      <w:color w:val="auto"/>
                      <w:spacing w:val="10"/>
                      <w:kern w:val="2"/>
                      <w:sz w:val="18"/>
                      <w:szCs w:val="18"/>
                      <w:highlight w:val="none"/>
                      <w:lang w:val="en-US" w:eastAsia="zh-CN" w:bidi="ar-SA"/>
                    </w:rPr>
                    <w:t>1m</w:t>
                  </w:r>
                </w:p>
              </w:tc>
            </w:tr>
          </w:tbl>
          <w:p w14:paraId="7075CE98">
            <w:pPr>
              <w:rPr>
                <w:rFonts w:hint="eastAsia" w:ascii="Times New Roman" w:hAnsi="Times New Roman" w:eastAsia="宋?" w:cs="Times New Roman"/>
                <w:bCs/>
                <w:sz w:val="15"/>
                <w:szCs w:val="15"/>
              </w:rPr>
            </w:pPr>
            <w:r>
              <w:rPr>
                <w:rFonts w:hint="eastAsia" w:ascii="Times New Roman" w:hAnsi="Times New Roman" w:eastAsia="宋?" w:cs="Times New Roman"/>
                <w:bCs/>
                <w:sz w:val="15"/>
                <w:szCs w:val="15"/>
              </w:rPr>
              <w:t>注：表中坐标以厂界中心为坐标原点，正东向为</w:t>
            </w:r>
            <w:r>
              <w:rPr>
                <w:rFonts w:ascii="Times New Roman" w:hAnsi="Times New Roman" w:eastAsia="宋?" w:cs="Times New Roman"/>
                <w:bCs/>
                <w:sz w:val="15"/>
                <w:szCs w:val="15"/>
              </w:rPr>
              <w:t>X</w:t>
            </w:r>
            <w:r>
              <w:rPr>
                <w:rFonts w:hint="eastAsia" w:ascii="Times New Roman" w:hAnsi="Times New Roman" w:eastAsia="宋?" w:cs="Times New Roman"/>
                <w:bCs/>
                <w:sz w:val="15"/>
                <w:szCs w:val="15"/>
              </w:rPr>
              <w:t>轴正方向，正北向为</w:t>
            </w:r>
            <w:r>
              <w:rPr>
                <w:rFonts w:ascii="Times New Roman" w:hAnsi="Times New Roman" w:eastAsia="宋?" w:cs="Times New Roman"/>
                <w:bCs/>
                <w:sz w:val="15"/>
                <w:szCs w:val="15"/>
              </w:rPr>
              <w:t>Y</w:t>
            </w:r>
            <w:r>
              <w:rPr>
                <w:rFonts w:hint="eastAsia" w:ascii="Times New Roman" w:hAnsi="Times New Roman" w:eastAsia="宋?" w:cs="Times New Roman"/>
                <w:bCs/>
                <w:sz w:val="15"/>
                <w:szCs w:val="15"/>
              </w:rPr>
              <w:t>轴正方向。</w:t>
            </w:r>
          </w:p>
          <w:p w14:paraId="1E192085">
            <w:pPr>
              <w:ind w:firstLine="300" w:firstLineChars="200"/>
              <w:rPr>
                <w:rFonts w:hint="default" w:ascii="Times New Roman" w:hAnsi="Times New Roman" w:eastAsia="宋?" w:cs="Times New Roman"/>
                <w:bCs/>
                <w:sz w:val="15"/>
                <w:szCs w:val="15"/>
                <w:lang w:val="en-US" w:eastAsia="zh-CN"/>
              </w:rPr>
            </w:pPr>
            <w:r>
              <w:rPr>
                <w:rFonts w:hint="eastAsia" w:ascii="Times New Roman" w:hAnsi="Times New Roman" w:eastAsia="宋?" w:cs="Times New Roman"/>
                <w:bCs/>
                <w:sz w:val="15"/>
                <w:szCs w:val="15"/>
                <w:lang w:val="en-US" w:eastAsia="zh-CN"/>
              </w:rPr>
              <w:t>本项目未新增室外声源。</w:t>
            </w:r>
          </w:p>
          <w:p w14:paraId="20914450">
            <w:pPr>
              <w:overflowPunct w:val="0"/>
              <w:adjustRightInd w:val="0"/>
              <w:snapToGrid w:val="0"/>
              <w:spacing w:beforeLines="50" w:line="360" w:lineRule="auto"/>
              <w:jc w:val="left"/>
              <w:rPr>
                <w:b/>
                <w:bCs/>
                <w:snapToGrid w:val="0"/>
                <w:color w:val="auto"/>
                <w:spacing w:val="-2"/>
                <w:kern w:val="0"/>
                <w:szCs w:val="21"/>
              </w:rPr>
            </w:pPr>
            <w:r>
              <w:rPr>
                <w:rFonts w:hint="eastAsia"/>
                <w:b/>
                <w:bCs/>
                <w:snapToGrid w:val="0"/>
                <w:color w:val="auto"/>
                <w:spacing w:val="-2"/>
                <w:kern w:val="0"/>
                <w:szCs w:val="21"/>
                <w:lang w:val="en-US" w:eastAsia="zh-CN"/>
              </w:rPr>
              <w:t>3</w:t>
            </w:r>
            <w:r>
              <w:rPr>
                <w:b/>
                <w:bCs/>
                <w:snapToGrid w:val="0"/>
                <w:color w:val="auto"/>
                <w:spacing w:val="-2"/>
                <w:kern w:val="0"/>
                <w:szCs w:val="21"/>
              </w:rPr>
              <w:t>.2</w:t>
            </w:r>
            <w:r>
              <w:rPr>
                <w:rFonts w:hint="eastAsia"/>
                <w:b/>
                <w:bCs/>
                <w:snapToGrid w:val="0"/>
                <w:color w:val="auto"/>
                <w:spacing w:val="-2"/>
                <w:kern w:val="0"/>
                <w:szCs w:val="21"/>
              </w:rPr>
              <w:t>噪声污染防治措施</w:t>
            </w:r>
          </w:p>
          <w:p w14:paraId="249544F5">
            <w:pPr>
              <w:pStyle w:val="76"/>
              <w:ind w:firstLine="31680"/>
              <w:rPr>
                <w:color w:val="auto"/>
                <w:sz w:val="21"/>
                <w:szCs w:val="21"/>
              </w:rPr>
            </w:pPr>
            <w:r>
              <w:rPr>
                <w:rFonts w:hint="eastAsia"/>
                <w:color w:val="auto"/>
                <w:sz w:val="21"/>
                <w:szCs w:val="21"/>
              </w:rPr>
              <w:t>为确保项目建成运营后厂界噪声稳定达标，拟采取以下噪声污染防治措施。</w:t>
            </w:r>
          </w:p>
          <w:p w14:paraId="6B7E3AFA">
            <w:pPr>
              <w:pStyle w:val="76"/>
              <w:ind w:firstLine="31680"/>
              <w:rPr>
                <w:color w:val="auto"/>
                <w:sz w:val="21"/>
                <w:szCs w:val="21"/>
              </w:rPr>
            </w:pPr>
            <w:r>
              <w:rPr>
                <w:rFonts w:hint="eastAsia"/>
                <w:color w:val="auto"/>
                <w:sz w:val="21"/>
                <w:szCs w:val="21"/>
              </w:rPr>
              <w:t>①优化车间平面布置，主要高噪声设备远离车间边界。通过距离消减可以有效降低厂界的噪声。靠厂房的围护结构隔声，围护结构的墙为砖混结构。</w:t>
            </w:r>
          </w:p>
          <w:p w14:paraId="5000E049">
            <w:pPr>
              <w:pStyle w:val="76"/>
              <w:ind w:firstLine="31680"/>
              <w:rPr>
                <w:color w:val="auto"/>
                <w:sz w:val="21"/>
                <w:szCs w:val="21"/>
              </w:rPr>
            </w:pPr>
            <w:r>
              <w:rPr>
                <w:rFonts w:hint="eastAsia"/>
                <w:color w:val="auto"/>
                <w:sz w:val="21"/>
                <w:szCs w:val="21"/>
              </w:rPr>
              <w:t>②根据本项目噪声源特征，选用先进的低噪声设备；提高机械设备装配精度，加强维护和检修，减少机械振动和摩擦产生的噪声，防止共振。</w:t>
            </w:r>
          </w:p>
          <w:p w14:paraId="70C96ECE">
            <w:pPr>
              <w:pStyle w:val="76"/>
              <w:ind w:firstLine="31680"/>
              <w:rPr>
                <w:color w:val="auto"/>
                <w:sz w:val="21"/>
                <w:szCs w:val="21"/>
              </w:rPr>
            </w:pPr>
            <w:r>
              <w:rPr>
                <w:rFonts w:hint="eastAsia"/>
                <w:color w:val="auto"/>
                <w:sz w:val="21"/>
                <w:szCs w:val="21"/>
              </w:rPr>
              <w:t>③加强文明生产管理，减小原材料装卸作业的撞击声。</w:t>
            </w:r>
          </w:p>
          <w:p w14:paraId="5C76924A">
            <w:pPr>
              <w:overflowPunct w:val="0"/>
              <w:adjustRightInd w:val="0"/>
              <w:snapToGrid w:val="0"/>
              <w:spacing w:line="360" w:lineRule="auto"/>
              <w:jc w:val="left"/>
              <w:rPr>
                <w:b/>
                <w:bCs/>
                <w:snapToGrid w:val="0"/>
                <w:color w:val="auto"/>
                <w:spacing w:val="-2"/>
                <w:kern w:val="0"/>
                <w:szCs w:val="21"/>
              </w:rPr>
            </w:pPr>
            <w:r>
              <w:rPr>
                <w:rFonts w:hint="eastAsia"/>
                <w:b/>
                <w:bCs/>
                <w:snapToGrid w:val="0"/>
                <w:color w:val="auto"/>
                <w:spacing w:val="-2"/>
                <w:kern w:val="0"/>
                <w:szCs w:val="21"/>
                <w:lang w:val="en-US" w:eastAsia="zh-CN"/>
              </w:rPr>
              <w:t>3</w:t>
            </w:r>
            <w:r>
              <w:rPr>
                <w:b/>
                <w:bCs/>
                <w:snapToGrid w:val="0"/>
                <w:color w:val="auto"/>
                <w:spacing w:val="-2"/>
                <w:kern w:val="0"/>
                <w:szCs w:val="21"/>
              </w:rPr>
              <w:t>.3</w:t>
            </w:r>
            <w:r>
              <w:rPr>
                <w:rFonts w:hint="eastAsia"/>
                <w:b/>
                <w:bCs/>
                <w:snapToGrid w:val="0"/>
                <w:color w:val="auto"/>
                <w:spacing w:val="-2"/>
                <w:kern w:val="0"/>
                <w:szCs w:val="21"/>
              </w:rPr>
              <w:t>噪声影响预测</w:t>
            </w:r>
          </w:p>
          <w:p w14:paraId="733082C8">
            <w:pPr>
              <w:pStyle w:val="76"/>
              <w:ind w:firstLine="31680"/>
              <w:rPr>
                <w:color w:val="auto"/>
                <w:sz w:val="21"/>
                <w:szCs w:val="21"/>
              </w:rPr>
            </w:pPr>
            <w:r>
              <w:rPr>
                <w:rFonts w:hint="eastAsia"/>
                <w:color w:val="auto"/>
                <w:sz w:val="21"/>
                <w:szCs w:val="21"/>
              </w:rPr>
              <w:t>①评价标准</w:t>
            </w:r>
          </w:p>
          <w:p w14:paraId="526A6938">
            <w:pPr>
              <w:pStyle w:val="76"/>
              <w:ind w:firstLine="31680"/>
              <w:rPr>
                <w:color w:val="auto"/>
                <w:sz w:val="21"/>
                <w:szCs w:val="21"/>
              </w:rPr>
            </w:pPr>
            <w:r>
              <w:rPr>
                <w:rFonts w:hint="eastAsia"/>
                <w:color w:val="auto"/>
                <w:sz w:val="21"/>
                <w:szCs w:val="21"/>
              </w:rPr>
              <w:t>根据《市政府关于印发苏州市市区声环境功能区划分规定（</w:t>
            </w:r>
            <w:r>
              <w:rPr>
                <w:color w:val="auto"/>
                <w:sz w:val="21"/>
                <w:szCs w:val="21"/>
              </w:rPr>
              <w:t>2018</w:t>
            </w:r>
            <w:r>
              <w:rPr>
                <w:rFonts w:hint="eastAsia"/>
                <w:color w:val="auto"/>
                <w:sz w:val="21"/>
                <w:szCs w:val="21"/>
              </w:rPr>
              <w:t>年修订版）的通知》（苏府</w:t>
            </w:r>
            <w:r>
              <w:rPr>
                <w:rFonts w:hint="eastAsia"/>
                <w:color w:val="auto"/>
                <w:sz w:val="21"/>
                <w:szCs w:val="21"/>
                <w:lang w:eastAsia="zh-CN"/>
              </w:rPr>
              <w:t>〔</w:t>
            </w:r>
            <w:r>
              <w:rPr>
                <w:color w:val="auto"/>
                <w:sz w:val="21"/>
                <w:szCs w:val="21"/>
              </w:rPr>
              <w:t>2019</w:t>
            </w:r>
            <w:r>
              <w:rPr>
                <w:rFonts w:hint="eastAsia"/>
                <w:color w:val="auto"/>
                <w:sz w:val="21"/>
                <w:szCs w:val="21"/>
                <w:lang w:eastAsia="zh-CN"/>
              </w:rPr>
              <w:t>〕</w:t>
            </w:r>
            <w:r>
              <w:rPr>
                <w:color w:val="auto"/>
                <w:sz w:val="21"/>
                <w:szCs w:val="21"/>
              </w:rPr>
              <w:t>19</w:t>
            </w:r>
            <w:r>
              <w:rPr>
                <w:rFonts w:hint="eastAsia"/>
                <w:color w:val="auto"/>
                <w:sz w:val="21"/>
                <w:szCs w:val="21"/>
              </w:rPr>
              <w:t>号），本项目所在地为二类声环境功能区，所在区域执行《工业企业厂界环境噪声排放标准》（</w:t>
            </w:r>
            <w:r>
              <w:rPr>
                <w:color w:val="auto"/>
                <w:sz w:val="21"/>
                <w:szCs w:val="21"/>
              </w:rPr>
              <w:t>GB12348-2008</w:t>
            </w:r>
            <w:r>
              <w:rPr>
                <w:rFonts w:hint="eastAsia"/>
                <w:color w:val="auto"/>
                <w:sz w:val="21"/>
                <w:szCs w:val="21"/>
              </w:rPr>
              <w:t>）中的</w:t>
            </w:r>
            <w:r>
              <w:rPr>
                <w:color w:val="auto"/>
                <w:sz w:val="21"/>
                <w:szCs w:val="21"/>
              </w:rPr>
              <w:t>2</w:t>
            </w:r>
            <w:r>
              <w:rPr>
                <w:rFonts w:hint="eastAsia"/>
                <w:color w:val="auto"/>
                <w:sz w:val="21"/>
                <w:szCs w:val="21"/>
              </w:rPr>
              <w:t>类标准。</w:t>
            </w:r>
          </w:p>
          <w:p w14:paraId="0920AC14">
            <w:pPr>
              <w:pStyle w:val="76"/>
              <w:ind w:firstLine="31680"/>
              <w:rPr>
                <w:color w:val="auto"/>
                <w:sz w:val="21"/>
                <w:szCs w:val="21"/>
              </w:rPr>
            </w:pPr>
            <w:r>
              <w:rPr>
                <w:rFonts w:hint="eastAsia"/>
                <w:color w:val="auto"/>
                <w:sz w:val="21"/>
                <w:szCs w:val="21"/>
              </w:rPr>
              <w:t>②预测模式</w:t>
            </w:r>
          </w:p>
          <w:p w14:paraId="72A5727E">
            <w:pPr>
              <w:widowControl w:val="0"/>
              <w:tabs>
                <w:tab w:val="left" w:pos="600"/>
              </w:tabs>
              <w:spacing w:line="360" w:lineRule="auto"/>
              <w:ind w:firstLine="420" w:firstLineChars="200"/>
              <w:jc w:val="both"/>
              <w:rPr>
                <w:rFonts w:hint="eastAsia" w:ascii="Times New Roman" w:hAnsi="Times New Roman" w:eastAsia="宋?" w:cs="Times New Roman"/>
                <w:color w:val="000000"/>
                <w:kern w:val="2"/>
                <w:sz w:val="21"/>
                <w:szCs w:val="21"/>
                <w:lang w:val="en-US" w:eastAsia="zh-CN" w:bidi="ar-SA"/>
              </w:rPr>
            </w:pPr>
            <w:r>
              <w:rPr>
                <w:rFonts w:hint="eastAsia" w:ascii="Times New Roman" w:hAnsi="Times New Roman" w:eastAsia="宋?" w:cs="Times New Roman"/>
                <w:color w:val="000000"/>
                <w:kern w:val="2"/>
                <w:sz w:val="21"/>
                <w:szCs w:val="21"/>
                <w:lang w:val="en-US" w:eastAsia="zh-CN" w:bidi="ar-SA"/>
              </w:rPr>
              <w:t>根据 HJ2.4-2021 要求，室内声源和室外声源分别按照导则附录B和附录A分别计算：</w:t>
            </w:r>
          </w:p>
          <w:p w14:paraId="1E80DA31">
            <w:pPr>
              <w:widowControl w:val="0"/>
              <w:tabs>
                <w:tab w:val="left" w:pos="600"/>
              </w:tabs>
              <w:spacing w:line="360" w:lineRule="auto"/>
              <w:ind w:firstLine="420" w:firstLineChars="200"/>
              <w:jc w:val="both"/>
              <w:rPr>
                <w:rFonts w:hint="eastAsia" w:ascii="Times New Roman" w:hAnsi="Times New Roman" w:eastAsia="宋?" w:cs="Times New Roman"/>
                <w:color w:val="000000"/>
                <w:kern w:val="2"/>
                <w:sz w:val="21"/>
                <w:szCs w:val="21"/>
                <w:lang w:val="en-US" w:eastAsia="zh-CN" w:bidi="ar-SA"/>
              </w:rPr>
            </w:pPr>
            <w:r>
              <w:rPr>
                <w:rFonts w:hint="eastAsia" w:ascii="Times New Roman" w:hAnsi="Times New Roman" w:eastAsia="宋?" w:cs="Times New Roman"/>
                <w:color w:val="000000"/>
                <w:kern w:val="2"/>
                <w:sz w:val="21"/>
                <w:szCs w:val="21"/>
                <w:lang w:val="en-US" w:eastAsia="zh-CN" w:bidi="ar-SA"/>
              </w:rPr>
              <w:t>1.室内声源</w:t>
            </w:r>
          </w:p>
          <w:p w14:paraId="38DEEFDF">
            <w:pPr>
              <w:widowControl w:val="0"/>
              <w:tabs>
                <w:tab w:val="left" w:pos="600"/>
              </w:tabs>
              <w:spacing w:line="360" w:lineRule="auto"/>
              <w:ind w:firstLine="420" w:firstLineChars="200"/>
              <w:jc w:val="both"/>
              <w:rPr>
                <w:rFonts w:hint="eastAsia" w:ascii="Times New Roman" w:hAnsi="Times New Roman" w:eastAsia="宋?" w:cs="Times New Roman"/>
                <w:color w:val="000000"/>
                <w:kern w:val="2"/>
                <w:sz w:val="21"/>
                <w:szCs w:val="21"/>
                <w:lang w:val="en-US" w:eastAsia="zh-CN" w:bidi="ar-SA"/>
              </w:rPr>
            </w:pPr>
            <w:r>
              <w:rPr>
                <w:rFonts w:hint="eastAsia" w:ascii="Times New Roman" w:hAnsi="Times New Roman" w:eastAsia="宋?" w:cs="Times New Roman"/>
                <w:color w:val="000000"/>
                <w:kern w:val="2"/>
                <w:sz w:val="21"/>
                <w:szCs w:val="21"/>
                <w:lang w:val="en-US" w:eastAsia="zh-CN" w:bidi="ar-SA"/>
              </w:rPr>
              <w:t>A.计算某一室内声源靠近围护结构处产生的倍频带声压级。计算公式如下：</w:t>
            </w:r>
          </w:p>
          <w:p w14:paraId="7506B164">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drawing>
                <wp:anchor distT="0" distB="0" distL="114300" distR="114300" simplePos="0" relativeHeight="251659264" behindDoc="0" locked="0" layoutInCell="1" allowOverlap="1">
                  <wp:simplePos x="0" y="0"/>
                  <wp:positionH relativeFrom="column">
                    <wp:posOffset>1174750</wp:posOffset>
                  </wp:positionH>
                  <wp:positionV relativeFrom="paragraph">
                    <wp:posOffset>121285</wp:posOffset>
                  </wp:positionV>
                  <wp:extent cx="1963420" cy="545465"/>
                  <wp:effectExtent l="0" t="0" r="17780" b="6985"/>
                  <wp:wrapTopAndBottom/>
                  <wp:docPr id="3" name="图片 4" descr="167121362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671213622854"/>
                          <pic:cNvPicPr>
                            <a:picLocks noChangeAspect="1"/>
                          </pic:cNvPicPr>
                        </pic:nvPicPr>
                        <pic:blipFill>
                          <a:blip r:embed="rId19"/>
                          <a:stretch>
                            <a:fillRect/>
                          </a:stretch>
                        </pic:blipFill>
                        <pic:spPr>
                          <a:xfrm>
                            <a:off x="0" y="0"/>
                            <a:ext cx="1963420" cy="545465"/>
                          </a:xfrm>
                          <a:prstGeom prst="rect">
                            <a:avLst/>
                          </a:prstGeom>
                          <a:noFill/>
                          <a:ln>
                            <a:noFill/>
                          </a:ln>
                        </pic:spPr>
                      </pic:pic>
                    </a:graphicData>
                  </a:graphic>
                </wp:anchor>
              </w:drawing>
            </w:r>
            <w:r>
              <w:rPr>
                <w:rFonts w:ascii="Times New Roman" w:hAnsi="Times New Roman" w:eastAsia="宋?" w:cs="Times New Roman"/>
                <w:color w:val="auto"/>
                <w:sz w:val="21"/>
                <w:szCs w:val="21"/>
                <w:highlight w:val="none"/>
              </w:rPr>
              <w:t>式中：</w:t>
            </w:r>
          </w:p>
          <w:p w14:paraId="5219887B">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i/>
                <w:iCs/>
                <w:color w:val="auto"/>
                <w:sz w:val="21"/>
                <w:szCs w:val="21"/>
                <w:highlight w:val="none"/>
              </w:rPr>
              <w:t>L</w:t>
            </w:r>
            <w:r>
              <w:rPr>
                <w:rFonts w:ascii="Times New Roman" w:hAnsi="Times New Roman" w:eastAsia="宋?" w:cs="Times New Roman"/>
                <w:color w:val="auto"/>
                <w:sz w:val="21"/>
                <w:szCs w:val="21"/>
                <w:highlight w:val="none"/>
                <w:vertAlign w:val="subscript"/>
              </w:rPr>
              <w:t>p1</w:t>
            </w:r>
            <w:r>
              <w:rPr>
                <w:rFonts w:ascii="Times New Roman" w:hAnsi="Times New Roman" w:eastAsia="宋?" w:cs="Times New Roman"/>
                <w:color w:val="auto"/>
                <w:sz w:val="21"/>
                <w:szCs w:val="21"/>
                <w:highlight w:val="none"/>
              </w:rPr>
              <w:t>——靠近开口处（或窗户）室内某倍频带的声压级或A声级，dB；</w:t>
            </w:r>
          </w:p>
          <w:p w14:paraId="1EEE52E2">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i/>
                <w:iCs/>
                <w:color w:val="auto"/>
                <w:sz w:val="21"/>
                <w:szCs w:val="21"/>
                <w:highlight w:val="none"/>
              </w:rPr>
              <w:t>L</w:t>
            </w:r>
            <w:r>
              <w:rPr>
                <w:rFonts w:ascii="Times New Roman" w:hAnsi="Times New Roman" w:eastAsia="宋?" w:cs="Times New Roman"/>
                <w:color w:val="auto"/>
                <w:sz w:val="21"/>
                <w:szCs w:val="21"/>
                <w:highlight w:val="none"/>
                <w:vertAlign w:val="subscript"/>
              </w:rPr>
              <w:t>w</w:t>
            </w:r>
            <w:r>
              <w:rPr>
                <w:rFonts w:ascii="Times New Roman" w:hAnsi="Times New Roman" w:eastAsia="宋?" w:cs="Times New Roman"/>
                <w:color w:val="auto"/>
                <w:sz w:val="21"/>
                <w:szCs w:val="21"/>
                <w:highlight w:val="none"/>
              </w:rPr>
              <w:t>——点声源声功率级（A计权或倍频带）；</w:t>
            </w:r>
          </w:p>
          <w:p w14:paraId="0155FC2C">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Q——指向性因数，通常对无指向性声源，当声源放在房间中心时，Q=1，当放在一面墙的中心时，Q=2；当放在两面墙夹角处时，Q=4，当放在三面墙夹角处时，Q=8；</w:t>
            </w:r>
          </w:p>
          <w:p w14:paraId="0856A6EE">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R——房间常数，R=Sα/(1 −α) ，S为房间内表面面积，m</w:t>
            </w:r>
            <w:r>
              <w:rPr>
                <w:rFonts w:ascii="Times New Roman" w:hAnsi="Times New Roman" w:eastAsia="宋?" w:cs="Times New Roman"/>
                <w:color w:val="auto"/>
                <w:sz w:val="21"/>
                <w:szCs w:val="21"/>
                <w:highlight w:val="none"/>
                <w:vertAlign w:val="superscript"/>
              </w:rPr>
              <w:t>2</w:t>
            </w:r>
            <w:r>
              <w:rPr>
                <w:rFonts w:ascii="Times New Roman" w:hAnsi="Times New Roman" w:eastAsia="宋?" w:cs="Times New Roman"/>
                <w:color w:val="auto"/>
                <w:sz w:val="21"/>
                <w:szCs w:val="21"/>
                <w:highlight w:val="none"/>
              </w:rPr>
              <w:t>，α为平均吸声系数；</w:t>
            </w:r>
          </w:p>
          <w:p w14:paraId="15492C7C">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r——声源到靠近围护结构某点处的距离，m。</w:t>
            </w:r>
          </w:p>
          <w:p w14:paraId="0DF83801">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drawing>
                <wp:anchor distT="0" distB="0" distL="114300" distR="114300" simplePos="0" relativeHeight="251660288" behindDoc="0" locked="0" layoutInCell="1" allowOverlap="1">
                  <wp:simplePos x="0" y="0"/>
                  <wp:positionH relativeFrom="column">
                    <wp:posOffset>1165860</wp:posOffset>
                  </wp:positionH>
                  <wp:positionV relativeFrom="paragraph">
                    <wp:posOffset>594360</wp:posOffset>
                  </wp:positionV>
                  <wp:extent cx="1981200" cy="565785"/>
                  <wp:effectExtent l="0" t="0" r="0" b="5715"/>
                  <wp:wrapTopAndBottom/>
                  <wp:docPr id="5" name="图片 3" descr="167121385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1671213856700"/>
                          <pic:cNvPicPr>
                            <a:picLocks noChangeAspect="1"/>
                          </pic:cNvPicPr>
                        </pic:nvPicPr>
                        <pic:blipFill>
                          <a:blip r:embed="rId20"/>
                          <a:stretch>
                            <a:fillRect/>
                          </a:stretch>
                        </pic:blipFill>
                        <pic:spPr>
                          <a:xfrm>
                            <a:off x="0" y="0"/>
                            <a:ext cx="1981200" cy="565785"/>
                          </a:xfrm>
                          <a:prstGeom prst="rect">
                            <a:avLst/>
                          </a:prstGeom>
                          <a:noFill/>
                          <a:ln>
                            <a:noFill/>
                          </a:ln>
                        </pic:spPr>
                      </pic:pic>
                    </a:graphicData>
                  </a:graphic>
                </wp:anchor>
              </w:drawing>
            </w:r>
            <w:r>
              <w:rPr>
                <w:rFonts w:ascii="Times New Roman" w:hAnsi="Times New Roman" w:eastAsia="宋?" w:cs="Times New Roman"/>
                <w:color w:val="auto"/>
                <w:sz w:val="21"/>
                <w:szCs w:val="21"/>
                <w:highlight w:val="none"/>
              </w:rPr>
              <w:t>B.计算出所有室内声源在围护结构处产生的i倍频带叠加声压级。计算公式如下</w:t>
            </w:r>
            <w:r>
              <w:rPr>
                <w:rFonts w:hint="eastAsia" w:ascii="Times New Roman" w:hAnsi="Times New Roman" w:eastAsia="宋?" w:cs="Times New Roman"/>
                <w:color w:val="auto"/>
                <w:sz w:val="21"/>
                <w:szCs w:val="21"/>
                <w:highlight w:val="none"/>
              </w:rPr>
              <w:t>：</w:t>
            </w:r>
          </w:p>
          <w:p w14:paraId="6159883B">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式中：</w:t>
            </w:r>
          </w:p>
          <w:p w14:paraId="27B6BE93">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i/>
                <w:iCs/>
                <w:color w:val="auto"/>
                <w:sz w:val="21"/>
                <w:szCs w:val="21"/>
                <w:highlight w:val="none"/>
              </w:rPr>
              <w:t>L</w:t>
            </w:r>
            <w:r>
              <w:rPr>
                <w:rFonts w:ascii="Times New Roman" w:hAnsi="Times New Roman" w:eastAsia="宋?" w:cs="Times New Roman"/>
                <w:color w:val="auto"/>
                <w:sz w:val="21"/>
                <w:szCs w:val="21"/>
                <w:highlight w:val="none"/>
                <w:vertAlign w:val="subscript"/>
              </w:rPr>
              <w:t>pli</w:t>
            </w:r>
            <w:r>
              <w:rPr>
                <w:rFonts w:ascii="Times New Roman" w:hAnsi="Times New Roman" w:eastAsia="宋?" w:cs="Times New Roman"/>
                <w:color w:val="auto"/>
                <w:sz w:val="21"/>
                <w:szCs w:val="21"/>
                <w:highlight w:val="none"/>
              </w:rPr>
              <w:t>(T)——靠近围护结构处室内N个声源i倍频带的叠加声压级，dB；</w:t>
            </w:r>
          </w:p>
          <w:p w14:paraId="703007FD">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i/>
                <w:iCs/>
                <w:color w:val="auto"/>
                <w:sz w:val="21"/>
                <w:szCs w:val="21"/>
                <w:highlight w:val="none"/>
              </w:rPr>
              <w:t>L</w:t>
            </w:r>
            <w:r>
              <w:rPr>
                <w:rFonts w:ascii="Times New Roman" w:hAnsi="Times New Roman" w:eastAsia="宋?" w:cs="Times New Roman"/>
                <w:color w:val="auto"/>
                <w:sz w:val="21"/>
                <w:szCs w:val="21"/>
                <w:highlight w:val="none"/>
                <w:vertAlign w:val="subscript"/>
              </w:rPr>
              <w:t>plij</w:t>
            </w:r>
            <w:r>
              <w:rPr>
                <w:rFonts w:ascii="Times New Roman" w:hAnsi="Times New Roman" w:eastAsia="宋?" w:cs="Times New Roman"/>
                <w:color w:val="auto"/>
                <w:sz w:val="21"/>
                <w:szCs w:val="21"/>
                <w:highlight w:val="none"/>
              </w:rPr>
              <w:t xml:space="preserve"> ——室内j声源i倍频带的声压级，dB；</w:t>
            </w:r>
          </w:p>
          <w:p w14:paraId="6F3000DC">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N——室内声源总数。</w:t>
            </w:r>
          </w:p>
          <w:p w14:paraId="6C9E184E">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C.计算出靠近室外维护结构处的声压级。计算公式如下：</w:t>
            </w:r>
          </w:p>
          <w:p w14:paraId="1798DEA5">
            <w:pPr>
              <w:spacing w:line="360" w:lineRule="auto"/>
              <w:ind w:firstLine="420" w:firstLineChars="200"/>
              <w:jc w:val="center"/>
              <w:rPr>
                <w:rFonts w:ascii="Times New Roman" w:hAnsi="Times New Roman" w:eastAsia="宋?" w:cs="Times New Roman"/>
                <w:color w:val="auto"/>
                <w:sz w:val="21"/>
                <w:szCs w:val="21"/>
                <w:highlight w:val="none"/>
              </w:rPr>
            </w:pPr>
            <w:r>
              <w:rPr>
                <w:rFonts w:hint="eastAsia" w:ascii="Times New Roman" w:hAnsi="Times New Roman" w:eastAsia="宋?" w:cs="Times New Roman"/>
                <w:i/>
                <w:iCs/>
                <w:color w:val="auto"/>
                <w:sz w:val="21"/>
                <w:szCs w:val="21"/>
                <w:highlight w:val="none"/>
              </w:rPr>
              <w:t>L</w:t>
            </w:r>
            <w:r>
              <w:rPr>
                <w:rFonts w:hint="eastAsia" w:ascii="Times New Roman" w:hAnsi="Times New Roman" w:eastAsia="宋?" w:cs="Times New Roman"/>
                <w:i/>
                <w:iCs/>
                <w:color w:val="auto"/>
                <w:sz w:val="21"/>
                <w:szCs w:val="21"/>
                <w:highlight w:val="none"/>
                <w:vertAlign w:val="subscript"/>
              </w:rPr>
              <w:t>p2i</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T</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L</w:t>
            </w:r>
            <w:r>
              <w:rPr>
                <w:rFonts w:hint="eastAsia" w:ascii="Times New Roman" w:hAnsi="Times New Roman" w:eastAsia="宋?" w:cs="Times New Roman"/>
                <w:i/>
                <w:iCs/>
                <w:color w:val="auto"/>
                <w:sz w:val="21"/>
                <w:szCs w:val="21"/>
                <w:highlight w:val="none"/>
                <w:vertAlign w:val="subscript"/>
              </w:rPr>
              <w:t>pli</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T</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TL</w:t>
            </w:r>
            <w:r>
              <w:rPr>
                <w:rFonts w:hint="eastAsia" w:ascii="Times New Roman" w:hAnsi="Times New Roman" w:eastAsia="宋?" w:cs="Times New Roman"/>
                <w:i/>
                <w:iCs/>
                <w:color w:val="auto"/>
                <w:sz w:val="21"/>
                <w:szCs w:val="21"/>
                <w:highlight w:val="none"/>
                <w:vertAlign w:val="subscript"/>
              </w:rPr>
              <w:t>i</w:t>
            </w:r>
            <w:r>
              <w:rPr>
                <w:rFonts w:hint="eastAsia" w:ascii="Times New Roman" w:hAnsi="Times New Roman" w:eastAsia="宋?" w:cs="Times New Roman"/>
                <w:color w:val="auto"/>
                <w:sz w:val="21"/>
                <w:szCs w:val="21"/>
                <w:highlight w:val="none"/>
              </w:rPr>
              <w:t>+6）</w:t>
            </w:r>
          </w:p>
          <w:p w14:paraId="35FDB9B4">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式中：</w:t>
            </w:r>
          </w:p>
          <w:p w14:paraId="33493C17">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i/>
                <w:iCs/>
                <w:color w:val="auto"/>
                <w:sz w:val="21"/>
                <w:szCs w:val="21"/>
                <w:highlight w:val="none"/>
              </w:rPr>
              <w:t>L</w:t>
            </w:r>
            <w:r>
              <w:rPr>
                <w:rFonts w:ascii="Times New Roman" w:hAnsi="Times New Roman" w:eastAsia="宋?" w:cs="Times New Roman"/>
                <w:i/>
                <w:iCs/>
                <w:color w:val="auto"/>
                <w:sz w:val="21"/>
                <w:szCs w:val="21"/>
                <w:highlight w:val="none"/>
                <w:vertAlign w:val="subscript"/>
              </w:rPr>
              <w:t>p2i</w:t>
            </w:r>
            <w:r>
              <w:rPr>
                <w:rFonts w:ascii="Times New Roman" w:hAnsi="Times New Roman" w:eastAsia="宋?" w:cs="Times New Roman"/>
                <w:color w:val="auto"/>
                <w:sz w:val="21"/>
                <w:szCs w:val="21"/>
                <w:highlight w:val="none"/>
              </w:rPr>
              <w:t>(T)——靠近围护结构处室外N个声源i倍频带的叠加声压级，dB；</w:t>
            </w:r>
          </w:p>
          <w:p w14:paraId="733F7937">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i/>
                <w:iCs/>
                <w:color w:val="auto"/>
                <w:sz w:val="21"/>
                <w:szCs w:val="21"/>
                <w:highlight w:val="none"/>
              </w:rPr>
              <w:t>L</w:t>
            </w:r>
            <w:r>
              <w:rPr>
                <w:rFonts w:ascii="Times New Roman" w:hAnsi="Times New Roman" w:eastAsia="宋?" w:cs="Times New Roman"/>
                <w:i/>
                <w:iCs/>
                <w:color w:val="auto"/>
                <w:sz w:val="21"/>
                <w:szCs w:val="21"/>
                <w:highlight w:val="none"/>
                <w:vertAlign w:val="subscript"/>
              </w:rPr>
              <w:t>p1i</w:t>
            </w:r>
            <w:r>
              <w:rPr>
                <w:rFonts w:ascii="Times New Roman" w:hAnsi="Times New Roman" w:eastAsia="宋?" w:cs="Times New Roman"/>
                <w:color w:val="auto"/>
                <w:sz w:val="21"/>
                <w:szCs w:val="21"/>
                <w:highlight w:val="none"/>
              </w:rPr>
              <w:t>(T)——靠近围护结构处室内N个声源i倍频带的叠加声压级，dB；</w:t>
            </w:r>
          </w:p>
          <w:p w14:paraId="0C593C03">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i/>
                <w:iCs/>
                <w:color w:val="auto"/>
                <w:sz w:val="21"/>
                <w:szCs w:val="21"/>
                <w:highlight w:val="none"/>
              </w:rPr>
              <w:t>TL</w:t>
            </w:r>
            <w:r>
              <w:rPr>
                <w:rFonts w:ascii="Times New Roman" w:hAnsi="Times New Roman" w:eastAsia="宋?" w:cs="Times New Roman"/>
                <w:i/>
                <w:iCs/>
                <w:color w:val="auto"/>
                <w:sz w:val="21"/>
                <w:szCs w:val="21"/>
                <w:highlight w:val="none"/>
                <w:vertAlign w:val="subscript"/>
              </w:rPr>
              <w:t>i</w:t>
            </w:r>
            <w:r>
              <w:rPr>
                <w:rFonts w:ascii="Times New Roman" w:hAnsi="Times New Roman" w:eastAsia="宋?" w:cs="Times New Roman"/>
                <w:color w:val="auto"/>
                <w:sz w:val="21"/>
                <w:szCs w:val="21"/>
                <w:highlight w:val="none"/>
              </w:rPr>
              <w:t>——围护结构i倍频带的的隔声量，dB；</w:t>
            </w:r>
          </w:p>
          <w:p w14:paraId="72D18698">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D. 将室外声源的声压级和透过面积换算成等效的室外声源，计算出中心位置位于透声面积（S）处的</w:t>
            </w:r>
            <w:r>
              <w:rPr>
                <w:rFonts w:hint="eastAsia" w:eastAsia="宋?" w:cs="Times New Roman"/>
                <w:color w:val="auto"/>
                <w:sz w:val="21"/>
                <w:szCs w:val="21"/>
                <w:highlight w:val="none"/>
                <w:lang w:eastAsia="zh-CN"/>
              </w:rPr>
              <w:t>等效声源</w:t>
            </w:r>
            <w:r>
              <w:rPr>
                <w:rFonts w:ascii="Times New Roman" w:hAnsi="Times New Roman" w:eastAsia="宋?" w:cs="Times New Roman"/>
                <w:color w:val="auto"/>
                <w:sz w:val="21"/>
                <w:szCs w:val="21"/>
                <w:highlight w:val="none"/>
              </w:rPr>
              <w:t>的倍频带声功率级。计算公式如下：</w:t>
            </w:r>
          </w:p>
          <w:p w14:paraId="4347CAFE">
            <w:pPr>
              <w:spacing w:line="360" w:lineRule="auto"/>
              <w:ind w:firstLine="420" w:firstLineChars="200"/>
              <w:jc w:val="center"/>
              <w:rPr>
                <w:rFonts w:ascii="Times New Roman" w:hAnsi="Times New Roman" w:eastAsia="宋?" w:cs="Times New Roman"/>
                <w:color w:val="auto"/>
                <w:sz w:val="21"/>
                <w:szCs w:val="21"/>
                <w:highlight w:val="none"/>
              </w:rPr>
            </w:pPr>
            <w:r>
              <w:rPr>
                <w:rFonts w:hint="eastAsia" w:ascii="Times New Roman" w:hAnsi="Times New Roman" w:eastAsia="宋?" w:cs="Times New Roman"/>
                <w:i/>
                <w:iCs/>
                <w:color w:val="auto"/>
                <w:sz w:val="21"/>
                <w:szCs w:val="21"/>
                <w:highlight w:val="none"/>
              </w:rPr>
              <w:t>L</w:t>
            </w:r>
            <w:r>
              <w:rPr>
                <w:rFonts w:hint="eastAsia" w:ascii="Times New Roman" w:hAnsi="Times New Roman" w:eastAsia="宋?" w:cs="Times New Roman"/>
                <w:color w:val="auto"/>
                <w:sz w:val="21"/>
                <w:szCs w:val="21"/>
                <w:highlight w:val="none"/>
                <w:vertAlign w:val="subscript"/>
              </w:rPr>
              <w:t>w</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L</w:t>
            </w:r>
            <w:r>
              <w:rPr>
                <w:rFonts w:hint="eastAsia" w:ascii="Times New Roman" w:hAnsi="Times New Roman" w:eastAsia="宋?" w:cs="Times New Roman"/>
                <w:color w:val="auto"/>
                <w:sz w:val="21"/>
                <w:szCs w:val="21"/>
                <w:highlight w:val="none"/>
                <w:vertAlign w:val="subscript"/>
              </w:rPr>
              <w:t>p2</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T</w:t>
            </w:r>
            <w:r>
              <w:rPr>
                <w:rFonts w:hint="eastAsia" w:ascii="Times New Roman" w:hAnsi="Times New Roman" w:eastAsia="宋?" w:cs="Times New Roman"/>
                <w:color w:val="auto"/>
                <w:sz w:val="21"/>
                <w:szCs w:val="21"/>
                <w:highlight w:val="none"/>
              </w:rPr>
              <w:t>）=10lgS</w:t>
            </w:r>
          </w:p>
          <w:p w14:paraId="2FEB8B90">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式中：</w:t>
            </w:r>
          </w:p>
          <w:p w14:paraId="68AFF0EF">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i/>
                <w:iCs/>
                <w:color w:val="auto"/>
                <w:sz w:val="21"/>
                <w:szCs w:val="21"/>
                <w:highlight w:val="none"/>
              </w:rPr>
              <w:t>L</w:t>
            </w:r>
            <w:r>
              <w:rPr>
                <w:rFonts w:ascii="Times New Roman" w:hAnsi="Times New Roman" w:eastAsia="宋?" w:cs="Times New Roman"/>
                <w:color w:val="auto"/>
                <w:sz w:val="21"/>
                <w:szCs w:val="21"/>
                <w:highlight w:val="none"/>
                <w:vertAlign w:val="subscript"/>
              </w:rPr>
              <w:t>w</w:t>
            </w:r>
            <w:r>
              <w:rPr>
                <w:rFonts w:ascii="Times New Roman" w:hAnsi="Times New Roman" w:eastAsia="宋?" w:cs="Times New Roman"/>
                <w:color w:val="auto"/>
                <w:sz w:val="21"/>
                <w:szCs w:val="21"/>
                <w:highlight w:val="none"/>
              </w:rPr>
              <w:t>——中心位置位于透声面积（S）处的等效声源的倍频带声功率级，dB；</w:t>
            </w:r>
          </w:p>
          <w:p w14:paraId="063E5A56">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i/>
                <w:iCs/>
                <w:color w:val="auto"/>
                <w:sz w:val="21"/>
                <w:szCs w:val="21"/>
                <w:highlight w:val="none"/>
              </w:rPr>
              <w:t>L</w:t>
            </w:r>
            <w:r>
              <w:rPr>
                <w:rFonts w:ascii="Times New Roman" w:hAnsi="Times New Roman" w:eastAsia="宋?" w:cs="Times New Roman"/>
                <w:color w:val="auto"/>
                <w:sz w:val="21"/>
                <w:szCs w:val="21"/>
                <w:highlight w:val="none"/>
                <w:vertAlign w:val="subscript"/>
              </w:rPr>
              <w:t>p2</w:t>
            </w:r>
            <w:r>
              <w:rPr>
                <w:rFonts w:ascii="Times New Roman" w:hAnsi="Times New Roman" w:eastAsia="宋?" w:cs="Times New Roman"/>
                <w:color w:val="auto"/>
                <w:sz w:val="21"/>
                <w:szCs w:val="21"/>
                <w:highlight w:val="none"/>
              </w:rPr>
              <w:t>（T）——靠近围护结构处室外声源的声压级，dB；</w:t>
            </w:r>
          </w:p>
          <w:p w14:paraId="76F1728D">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S——透声面积，m</w:t>
            </w:r>
            <w:r>
              <w:rPr>
                <w:rFonts w:ascii="Times New Roman" w:hAnsi="Times New Roman" w:eastAsia="宋?" w:cs="Times New Roman"/>
                <w:color w:val="auto"/>
                <w:sz w:val="21"/>
                <w:szCs w:val="21"/>
                <w:highlight w:val="none"/>
                <w:vertAlign w:val="superscript"/>
              </w:rPr>
              <w:t>2</w:t>
            </w:r>
            <w:r>
              <w:rPr>
                <w:rFonts w:ascii="Times New Roman" w:hAnsi="Times New Roman" w:eastAsia="宋?" w:cs="Times New Roman"/>
                <w:color w:val="auto"/>
                <w:sz w:val="21"/>
                <w:szCs w:val="21"/>
                <w:highlight w:val="none"/>
              </w:rPr>
              <w:t>；</w:t>
            </w:r>
          </w:p>
          <w:p w14:paraId="363B1075">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然后按室外声源预测方法计算预测点处的A声级。</w:t>
            </w:r>
          </w:p>
          <w:p w14:paraId="05C07537">
            <w:pPr>
              <w:spacing w:line="360" w:lineRule="auto"/>
              <w:ind w:firstLine="420" w:firstLineChars="200"/>
              <w:rPr>
                <w:rFonts w:ascii="Times New Roman" w:hAnsi="Times New Roman" w:eastAsia="宋?" w:cs="Times New Roman"/>
                <w:color w:val="auto"/>
                <w:sz w:val="21"/>
                <w:szCs w:val="21"/>
                <w:highlight w:val="none"/>
              </w:rPr>
            </w:pPr>
            <w:r>
              <w:rPr>
                <w:rFonts w:hint="eastAsia" w:ascii="Times New Roman" w:hAnsi="Times New Roman" w:eastAsia="宋?" w:cs="Times New Roman"/>
                <w:color w:val="auto"/>
                <w:sz w:val="21"/>
                <w:szCs w:val="21"/>
                <w:highlight w:val="none"/>
                <w:lang w:val="en-US" w:eastAsia="zh-CN"/>
              </w:rPr>
              <w:t>2.</w:t>
            </w:r>
            <w:r>
              <w:rPr>
                <w:rFonts w:ascii="Times New Roman" w:hAnsi="Times New Roman" w:eastAsia="宋?" w:cs="Times New Roman"/>
                <w:color w:val="auto"/>
                <w:sz w:val="21"/>
                <w:szCs w:val="21"/>
                <w:highlight w:val="none"/>
              </w:rPr>
              <w:t>室外声源</w:t>
            </w:r>
          </w:p>
          <w:p w14:paraId="11E60897">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室外声源在预测点产生的声级计算模型见附录A。项目各噪声源都按点声源处理，根据声长特点，其预测模式为</w:t>
            </w:r>
            <w:r>
              <w:rPr>
                <w:rFonts w:hint="eastAsia" w:ascii="Times New Roman" w:hAnsi="Times New Roman" w:eastAsia="宋?" w:cs="Times New Roman"/>
                <w:color w:val="auto"/>
                <w:sz w:val="21"/>
                <w:szCs w:val="21"/>
                <w:highlight w:val="none"/>
              </w:rPr>
              <w:t>：</w:t>
            </w:r>
          </w:p>
          <w:p w14:paraId="036099D1">
            <w:pPr>
              <w:spacing w:line="360" w:lineRule="auto"/>
              <w:ind w:firstLine="420" w:firstLineChars="200"/>
              <w:jc w:val="center"/>
              <w:rPr>
                <w:rFonts w:ascii="Times New Roman" w:hAnsi="Times New Roman" w:eastAsia="宋?" w:cs="Times New Roman"/>
                <w:color w:val="auto"/>
                <w:sz w:val="21"/>
                <w:szCs w:val="21"/>
                <w:highlight w:val="none"/>
              </w:rPr>
            </w:pPr>
            <w:r>
              <w:rPr>
                <w:rFonts w:hint="eastAsia" w:ascii="Times New Roman" w:hAnsi="Times New Roman" w:eastAsia="宋?" w:cs="Times New Roman"/>
                <w:i/>
                <w:iCs/>
                <w:color w:val="auto"/>
                <w:sz w:val="21"/>
                <w:szCs w:val="21"/>
                <w:highlight w:val="none"/>
              </w:rPr>
              <w:t>L</w:t>
            </w:r>
            <w:r>
              <w:rPr>
                <w:rFonts w:hint="eastAsia" w:ascii="Times New Roman" w:hAnsi="Times New Roman" w:eastAsia="宋?" w:cs="Times New Roman"/>
                <w:i/>
                <w:iCs/>
                <w:color w:val="auto"/>
                <w:sz w:val="21"/>
                <w:szCs w:val="21"/>
                <w:highlight w:val="none"/>
                <w:vertAlign w:val="subscript"/>
              </w:rPr>
              <w:t>p</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r</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L</w:t>
            </w:r>
            <w:r>
              <w:rPr>
                <w:rFonts w:hint="eastAsia" w:ascii="Times New Roman" w:hAnsi="Times New Roman" w:eastAsia="宋?" w:cs="Times New Roman"/>
                <w:i/>
                <w:iCs/>
                <w:color w:val="auto"/>
                <w:sz w:val="21"/>
                <w:szCs w:val="21"/>
                <w:highlight w:val="none"/>
                <w:vertAlign w:val="subscript"/>
              </w:rPr>
              <w:t>p</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r</w:t>
            </w:r>
            <w:r>
              <w:rPr>
                <w:rFonts w:hint="eastAsia" w:ascii="Times New Roman" w:hAnsi="Times New Roman" w:eastAsia="宋?" w:cs="Times New Roman"/>
                <w:color w:val="auto"/>
                <w:sz w:val="21"/>
                <w:szCs w:val="21"/>
                <w:highlight w:val="none"/>
                <w:vertAlign w:val="subscript"/>
              </w:rPr>
              <w:t>0</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D</w:t>
            </w:r>
            <w:r>
              <w:rPr>
                <w:rFonts w:hint="eastAsia" w:ascii="Times New Roman" w:hAnsi="Times New Roman" w:eastAsia="宋?" w:cs="Times New Roman"/>
                <w:color w:val="auto"/>
                <w:sz w:val="21"/>
                <w:szCs w:val="21"/>
                <w:highlight w:val="none"/>
                <w:vertAlign w:val="subscript"/>
              </w:rPr>
              <w:t>C</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A</w:t>
            </w:r>
            <w:r>
              <w:rPr>
                <w:rFonts w:hint="eastAsia" w:ascii="Times New Roman" w:hAnsi="Times New Roman" w:eastAsia="宋?" w:cs="Times New Roman"/>
                <w:color w:val="auto"/>
                <w:sz w:val="21"/>
                <w:szCs w:val="21"/>
                <w:highlight w:val="none"/>
                <w:vertAlign w:val="subscript"/>
              </w:rPr>
              <w:t>div</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A</w:t>
            </w:r>
            <w:r>
              <w:rPr>
                <w:rFonts w:hint="eastAsia" w:ascii="Times New Roman" w:hAnsi="Times New Roman" w:eastAsia="宋?" w:cs="Times New Roman"/>
                <w:color w:val="auto"/>
                <w:sz w:val="21"/>
                <w:szCs w:val="21"/>
                <w:highlight w:val="none"/>
                <w:vertAlign w:val="subscript"/>
              </w:rPr>
              <w:t>atm</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A</w:t>
            </w:r>
            <w:r>
              <w:rPr>
                <w:rFonts w:hint="eastAsia" w:ascii="Times New Roman" w:hAnsi="Times New Roman" w:eastAsia="宋?" w:cs="Times New Roman"/>
                <w:color w:val="auto"/>
                <w:sz w:val="21"/>
                <w:szCs w:val="21"/>
                <w:highlight w:val="none"/>
                <w:vertAlign w:val="subscript"/>
              </w:rPr>
              <w:t>gr</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A</w:t>
            </w:r>
            <w:r>
              <w:rPr>
                <w:rFonts w:hint="eastAsia" w:ascii="Times New Roman" w:hAnsi="Times New Roman" w:eastAsia="宋?" w:cs="Times New Roman"/>
                <w:color w:val="auto"/>
                <w:sz w:val="21"/>
                <w:szCs w:val="21"/>
                <w:highlight w:val="none"/>
                <w:vertAlign w:val="subscript"/>
              </w:rPr>
              <w:t>bar</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A</w:t>
            </w:r>
            <w:r>
              <w:rPr>
                <w:rFonts w:hint="eastAsia" w:ascii="Times New Roman" w:hAnsi="Times New Roman" w:eastAsia="宋?" w:cs="Times New Roman"/>
                <w:color w:val="auto"/>
                <w:sz w:val="21"/>
                <w:szCs w:val="21"/>
                <w:highlight w:val="none"/>
                <w:vertAlign w:val="subscript"/>
              </w:rPr>
              <w:t>misc</w:t>
            </w:r>
            <w:r>
              <w:rPr>
                <w:rFonts w:hint="eastAsia" w:ascii="Times New Roman" w:hAnsi="Times New Roman" w:eastAsia="宋?" w:cs="Times New Roman"/>
                <w:color w:val="auto"/>
                <w:sz w:val="21"/>
                <w:szCs w:val="21"/>
                <w:highlight w:val="none"/>
              </w:rPr>
              <w:t>）</w:t>
            </w:r>
          </w:p>
          <w:p w14:paraId="4BC69A19">
            <w:pPr>
              <w:spacing w:line="360" w:lineRule="auto"/>
              <w:ind w:firstLine="420" w:firstLineChars="200"/>
              <w:rPr>
                <w:rFonts w:ascii="Times New Roman" w:hAnsi="Times New Roman" w:eastAsia="宋?" w:cs="Times New Roman"/>
                <w:color w:val="auto"/>
                <w:sz w:val="21"/>
                <w:szCs w:val="21"/>
                <w:highlight w:val="none"/>
              </w:rPr>
            </w:pPr>
            <w:r>
              <w:rPr>
                <w:rFonts w:hint="eastAsia" w:ascii="Times New Roman" w:hAnsi="Times New Roman" w:eastAsia="宋?" w:cs="Times New Roman"/>
                <w:color w:val="auto"/>
                <w:sz w:val="21"/>
                <w:szCs w:val="21"/>
                <w:highlight w:val="none"/>
              </w:rPr>
              <w:t>式中：</w:t>
            </w:r>
          </w:p>
          <w:p w14:paraId="0DC9E895">
            <w:pPr>
              <w:spacing w:line="360" w:lineRule="auto"/>
              <w:ind w:firstLine="420" w:firstLineChars="200"/>
              <w:rPr>
                <w:rFonts w:ascii="Times New Roman" w:hAnsi="Times New Roman" w:eastAsia="宋?" w:cs="Times New Roman"/>
                <w:color w:val="auto"/>
                <w:sz w:val="21"/>
                <w:szCs w:val="21"/>
                <w:highlight w:val="none"/>
              </w:rPr>
            </w:pPr>
            <w:r>
              <w:rPr>
                <w:rFonts w:hint="eastAsia" w:ascii="Times New Roman" w:hAnsi="Times New Roman" w:eastAsia="宋?" w:cs="Times New Roman"/>
                <w:i/>
                <w:iCs/>
                <w:color w:val="auto"/>
                <w:sz w:val="21"/>
                <w:szCs w:val="21"/>
                <w:highlight w:val="none"/>
              </w:rPr>
              <w:t>L</w:t>
            </w:r>
            <w:r>
              <w:rPr>
                <w:rFonts w:hint="eastAsia" w:ascii="Times New Roman" w:hAnsi="Times New Roman" w:eastAsia="宋?" w:cs="Times New Roman"/>
                <w:i/>
                <w:iCs/>
                <w:color w:val="auto"/>
                <w:sz w:val="21"/>
                <w:szCs w:val="21"/>
                <w:highlight w:val="none"/>
                <w:vertAlign w:val="subscript"/>
              </w:rPr>
              <w:t>p</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r</w:t>
            </w:r>
            <w:r>
              <w:rPr>
                <w:rFonts w:hint="eastAsia" w:ascii="Times New Roman" w:hAnsi="Times New Roman" w:eastAsia="宋?" w:cs="Times New Roman"/>
                <w:color w:val="auto"/>
                <w:sz w:val="21"/>
                <w:szCs w:val="21"/>
                <w:highlight w:val="none"/>
              </w:rPr>
              <w:t>）</w:t>
            </w:r>
            <w:r>
              <w:rPr>
                <w:rFonts w:ascii="Times New Roman" w:hAnsi="Times New Roman" w:eastAsia="宋?" w:cs="Times New Roman"/>
                <w:color w:val="auto"/>
                <w:sz w:val="21"/>
                <w:szCs w:val="21"/>
                <w:highlight w:val="none"/>
              </w:rPr>
              <w:t>——</w:t>
            </w:r>
            <w:r>
              <w:rPr>
                <w:rFonts w:hint="eastAsia" w:ascii="Times New Roman" w:hAnsi="Times New Roman" w:eastAsia="宋?" w:cs="Times New Roman"/>
                <w:color w:val="auto"/>
                <w:sz w:val="21"/>
                <w:szCs w:val="21"/>
                <w:highlight w:val="none"/>
              </w:rPr>
              <w:t>预测点处声压级，dB；</w:t>
            </w:r>
          </w:p>
          <w:p w14:paraId="2F0368AA">
            <w:pPr>
              <w:spacing w:line="360" w:lineRule="auto"/>
              <w:ind w:firstLine="420" w:firstLineChars="200"/>
              <w:rPr>
                <w:rFonts w:ascii="Times New Roman" w:hAnsi="Times New Roman" w:eastAsia="宋?" w:cs="Times New Roman"/>
                <w:color w:val="auto"/>
                <w:sz w:val="21"/>
                <w:szCs w:val="21"/>
                <w:highlight w:val="none"/>
              </w:rPr>
            </w:pPr>
            <w:r>
              <w:rPr>
                <w:rFonts w:hint="eastAsia" w:ascii="Times New Roman" w:hAnsi="Times New Roman" w:eastAsia="宋?" w:cs="Times New Roman"/>
                <w:i/>
                <w:iCs/>
                <w:color w:val="auto"/>
                <w:sz w:val="21"/>
                <w:szCs w:val="21"/>
                <w:highlight w:val="none"/>
              </w:rPr>
              <w:t>L</w:t>
            </w:r>
            <w:r>
              <w:rPr>
                <w:rFonts w:hint="eastAsia" w:ascii="Times New Roman" w:hAnsi="Times New Roman" w:eastAsia="宋?" w:cs="Times New Roman"/>
                <w:i/>
                <w:iCs/>
                <w:color w:val="auto"/>
                <w:sz w:val="21"/>
                <w:szCs w:val="21"/>
                <w:highlight w:val="none"/>
                <w:vertAlign w:val="subscript"/>
              </w:rPr>
              <w:t>p</w:t>
            </w:r>
            <w:r>
              <w:rPr>
                <w:rFonts w:hint="eastAsia"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r</w:t>
            </w:r>
            <w:r>
              <w:rPr>
                <w:rFonts w:hint="eastAsia" w:ascii="Times New Roman" w:hAnsi="Times New Roman" w:eastAsia="宋?" w:cs="Times New Roman"/>
                <w:color w:val="auto"/>
                <w:sz w:val="21"/>
                <w:szCs w:val="21"/>
                <w:highlight w:val="none"/>
                <w:vertAlign w:val="subscript"/>
              </w:rPr>
              <w:t>0</w:t>
            </w:r>
            <w:r>
              <w:rPr>
                <w:rFonts w:hint="eastAsia" w:ascii="Times New Roman" w:hAnsi="Times New Roman" w:eastAsia="宋?" w:cs="Times New Roman"/>
                <w:color w:val="auto"/>
                <w:sz w:val="21"/>
                <w:szCs w:val="21"/>
                <w:highlight w:val="none"/>
              </w:rPr>
              <w:t>）</w:t>
            </w:r>
            <w:r>
              <w:rPr>
                <w:rFonts w:ascii="Times New Roman" w:hAnsi="Times New Roman" w:eastAsia="宋?" w:cs="Times New Roman"/>
                <w:color w:val="auto"/>
                <w:sz w:val="21"/>
                <w:szCs w:val="21"/>
                <w:highlight w:val="none"/>
              </w:rPr>
              <w:t>——</w:t>
            </w:r>
            <w:r>
              <w:rPr>
                <w:rFonts w:hint="eastAsia" w:ascii="Times New Roman" w:hAnsi="Times New Roman" w:eastAsia="宋?" w:cs="Times New Roman"/>
                <w:color w:val="auto"/>
                <w:sz w:val="21"/>
                <w:szCs w:val="21"/>
                <w:highlight w:val="none"/>
              </w:rPr>
              <w:t>参考位置</w:t>
            </w:r>
            <w:r>
              <w:rPr>
                <w:rFonts w:hint="eastAsia" w:ascii="Times New Roman" w:hAnsi="Times New Roman" w:eastAsia="宋?" w:cs="Times New Roman"/>
                <w:i/>
                <w:iCs/>
                <w:color w:val="auto"/>
                <w:sz w:val="21"/>
                <w:szCs w:val="21"/>
                <w:highlight w:val="none"/>
              </w:rPr>
              <w:t>r</w:t>
            </w:r>
            <w:r>
              <w:rPr>
                <w:rFonts w:hint="eastAsia" w:ascii="Times New Roman" w:hAnsi="Times New Roman" w:eastAsia="宋?" w:cs="Times New Roman"/>
                <w:color w:val="auto"/>
                <w:sz w:val="21"/>
                <w:szCs w:val="21"/>
                <w:highlight w:val="none"/>
                <w:vertAlign w:val="subscript"/>
              </w:rPr>
              <w:t>0</w:t>
            </w:r>
            <w:r>
              <w:rPr>
                <w:rFonts w:hint="eastAsia" w:ascii="Times New Roman" w:hAnsi="Times New Roman" w:eastAsia="宋?" w:cs="Times New Roman"/>
                <w:color w:val="auto"/>
                <w:sz w:val="21"/>
                <w:szCs w:val="21"/>
                <w:highlight w:val="none"/>
              </w:rPr>
              <w:t>处的声压级，dB；</w:t>
            </w:r>
          </w:p>
          <w:p w14:paraId="263ABABF">
            <w:pPr>
              <w:spacing w:line="360" w:lineRule="auto"/>
              <w:ind w:firstLine="420" w:firstLineChars="200"/>
              <w:rPr>
                <w:rFonts w:ascii="Times New Roman" w:hAnsi="Times New Roman" w:eastAsia="宋?" w:cs="Times New Roman"/>
                <w:color w:val="auto"/>
                <w:sz w:val="21"/>
                <w:szCs w:val="21"/>
                <w:highlight w:val="none"/>
              </w:rPr>
            </w:pPr>
            <w:r>
              <w:rPr>
                <w:rFonts w:hint="eastAsia" w:ascii="Times New Roman" w:hAnsi="Times New Roman" w:eastAsia="宋?" w:cs="Times New Roman"/>
                <w:i/>
                <w:iCs/>
                <w:color w:val="auto"/>
                <w:sz w:val="21"/>
                <w:szCs w:val="21"/>
                <w:highlight w:val="none"/>
              </w:rPr>
              <w:t>D</w:t>
            </w:r>
            <w:r>
              <w:rPr>
                <w:rFonts w:hint="eastAsia" w:ascii="Times New Roman" w:hAnsi="Times New Roman" w:eastAsia="宋?" w:cs="Times New Roman"/>
                <w:color w:val="auto"/>
                <w:sz w:val="21"/>
                <w:szCs w:val="21"/>
                <w:highlight w:val="none"/>
                <w:vertAlign w:val="subscript"/>
              </w:rPr>
              <w:t>C</w:t>
            </w:r>
            <w:r>
              <w:rPr>
                <w:rFonts w:ascii="Times New Roman" w:hAnsi="Times New Roman" w:eastAsia="宋?" w:cs="Times New Roman"/>
                <w:color w:val="auto"/>
                <w:sz w:val="21"/>
                <w:szCs w:val="21"/>
                <w:highlight w:val="none"/>
              </w:rPr>
              <w:t>——</w:t>
            </w:r>
            <w:r>
              <w:rPr>
                <w:rFonts w:hint="eastAsia" w:ascii="Times New Roman" w:hAnsi="Times New Roman" w:eastAsia="宋?" w:cs="Times New Roman"/>
                <w:color w:val="auto"/>
                <w:sz w:val="21"/>
                <w:szCs w:val="21"/>
                <w:highlight w:val="none"/>
              </w:rPr>
              <w:t xml:space="preserve">指向性校正，它描述点声源的等效连续声压级与产生声功率级 </w:t>
            </w:r>
            <w:r>
              <w:rPr>
                <w:rFonts w:hint="eastAsia" w:ascii="Times New Roman" w:hAnsi="Times New Roman" w:eastAsia="宋?" w:cs="Times New Roman"/>
                <w:i/>
                <w:iCs/>
                <w:color w:val="auto"/>
                <w:sz w:val="21"/>
                <w:szCs w:val="21"/>
                <w:highlight w:val="none"/>
              </w:rPr>
              <w:t>L</w:t>
            </w:r>
            <w:r>
              <w:rPr>
                <w:rFonts w:hint="eastAsia" w:ascii="Times New Roman" w:hAnsi="Times New Roman" w:eastAsia="宋?" w:cs="Times New Roman"/>
                <w:color w:val="auto"/>
                <w:sz w:val="21"/>
                <w:szCs w:val="21"/>
                <w:highlight w:val="none"/>
              </w:rPr>
              <w:t>w 的全向点声源在规定方向的声级的偏差程度，dB；</w:t>
            </w:r>
          </w:p>
          <w:p w14:paraId="7B0AF863">
            <w:pPr>
              <w:spacing w:line="360" w:lineRule="auto"/>
              <w:ind w:firstLine="420" w:firstLineChars="200"/>
              <w:rPr>
                <w:rFonts w:ascii="Times New Roman" w:hAnsi="Times New Roman" w:eastAsia="宋?" w:cs="Times New Roman"/>
                <w:color w:val="auto"/>
                <w:sz w:val="21"/>
                <w:szCs w:val="21"/>
                <w:highlight w:val="none"/>
              </w:rPr>
            </w:pPr>
            <w:r>
              <w:rPr>
                <w:rFonts w:hint="eastAsia" w:ascii="Times New Roman" w:hAnsi="Times New Roman" w:eastAsia="宋?" w:cs="Times New Roman"/>
                <w:i/>
                <w:iCs/>
                <w:color w:val="auto"/>
                <w:sz w:val="21"/>
                <w:szCs w:val="21"/>
                <w:highlight w:val="none"/>
              </w:rPr>
              <w:t>A</w:t>
            </w:r>
            <w:r>
              <w:rPr>
                <w:rFonts w:hint="eastAsia" w:ascii="Times New Roman" w:hAnsi="Times New Roman" w:eastAsia="宋?" w:cs="Times New Roman"/>
                <w:color w:val="auto"/>
                <w:sz w:val="21"/>
                <w:szCs w:val="21"/>
                <w:highlight w:val="none"/>
                <w:vertAlign w:val="subscript"/>
              </w:rPr>
              <w:t>div</w:t>
            </w:r>
            <w:r>
              <w:rPr>
                <w:rFonts w:hint="eastAsia" w:ascii="Times New Roman" w:hAnsi="Times New Roman" w:eastAsia="宋?" w:cs="Times New Roman"/>
                <w:color w:val="auto"/>
                <w:sz w:val="21"/>
                <w:szCs w:val="21"/>
                <w:highlight w:val="none"/>
              </w:rPr>
              <w:t xml:space="preserve"> </w:t>
            </w:r>
            <w:r>
              <w:rPr>
                <w:rFonts w:ascii="Times New Roman" w:hAnsi="Times New Roman" w:eastAsia="宋?" w:cs="Times New Roman"/>
                <w:color w:val="auto"/>
                <w:sz w:val="21"/>
                <w:szCs w:val="21"/>
                <w:highlight w:val="none"/>
              </w:rPr>
              <w:t>——</w:t>
            </w:r>
            <w:r>
              <w:rPr>
                <w:rFonts w:hint="eastAsia" w:ascii="Times New Roman" w:hAnsi="Times New Roman" w:eastAsia="宋?" w:cs="Times New Roman"/>
                <w:color w:val="auto"/>
                <w:sz w:val="21"/>
                <w:szCs w:val="21"/>
                <w:highlight w:val="none"/>
              </w:rPr>
              <w:t>几何发散引起的衰减，dB；</w:t>
            </w:r>
          </w:p>
          <w:p w14:paraId="04842FB7">
            <w:pPr>
              <w:spacing w:line="360" w:lineRule="auto"/>
              <w:ind w:firstLine="420" w:firstLineChars="200"/>
              <w:rPr>
                <w:rFonts w:ascii="Times New Roman" w:hAnsi="Times New Roman" w:eastAsia="宋?" w:cs="Times New Roman"/>
                <w:color w:val="auto"/>
                <w:sz w:val="21"/>
                <w:szCs w:val="21"/>
                <w:highlight w:val="none"/>
              </w:rPr>
            </w:pPr>
            <w:r>
              <w:rPr>
                <w:rFonts w:hint="eastAsia" w:ascii="Times New Roman" w:hAnsi="Times New Roman" w:eastAsia="宋?" w:cs="Times New Roman"/>
                <w:i/>
                <w:iCs/>
                <w:color w:val="auto"/>
                <w:sz w:val="21"/>
                <w:szCs w:val="21"/>
                <w:highlight w:val="none"/>
              </w:rPr>
              <w:t>A</w:t>
            </w:r>
            <w:r>
              <w:rPr>
                <w:rFonts w:hint="eastAsia" w:ascii="Times New Roman" w:hAnsi="Times New Roman" w:eastAsia="宋?" w:cs="Times New Roman"/>
                <w:color w:val="auto"/>
                <w:sz w:val="21"/>
                <w:szCs w:val="21"/>
                <w:highlight w:val="none"/>
                <w:vertAlign w:val="subscript"/>
              </w:rPr>
              <w:t>atm</w:t>
            </w:r>
            <w:r>
              <w:rPr>
                <w:rFonts w:ascii="Times New Roman" w:hAnsi="Times New Roman" w:eastAsia="宋?" w:cs="Times New Roman"/>
                <w:color w:val="auto"/>
                <w:sz w:val="21"/>
                <w:szCs w:val="21"/>
                <w:highlight w:val="none"/>
              </w:rPr>
              <w:t>——</w:t>
            </w:r>
            <w:r>
              <w:rPr>
                <w:rFonts w:hint="eastAsia" w:ascii="Times New Roman" w:hAnsi="Times New Roman" w:eastAsia="宋?" w:cs="Times New Roman"/>
                <w:color w:val="auto"/>
                <w:sz w:val="21"/>
                <w:szCs w:val="21"/>
                <w:highlight w:val="none"/>
              </w:rPr>
              <w:t>大气吸收引起的衰减，dB；</w:t>
            </w:r>
          </w:p>
          <w:p w14:paraId="23F748E4">
            <w:pPr>
              <w:spacing w:line="360" w:lineRule="auto"/>
              <w:ind w:firstLine="420" w:firstLineChars="200"/>
              <w:rPr>
                <w:rFonts w:ascii="Times New Roman" w:hAnsi="Times New Roman" w:eastAsia="宋?" w:cs="Times New Roman"/>
                <w:color w:val="auto"/>
                <w:sz w:val="21"/>
                <w:szCs w:val="21"/>
                <w:highlight w:val="none"/>
              </w:rPr>
            </w:pPr>
            <w:r>
              <w:rPr>
                <w:rFonts w:hint="eastAsia" w:ascii="Times New Roman" w:hAnsi="Times New Roman" w:eastAsia="宋?" w:cs="Times New Roman"/>
                <w:i/>
                <w:iCs/>
                <w:color w:val="auto"/>
                <w:sz w:val="21"/>
                <w:szCs w:val="21"/>
                <w:highlight w:val="none"/>
              </w:rPr>
              <w:t>A</w:t>
            </w:r>
            <w:r>
              <w:rPr>
                <w:rFonts w:hint="eastAsia" w:ascii="Times New Roman" w:hAnsi="Times New Roman" w:eastAsia="宋?" w:cs="Times New Roman"/>
                <w:color w:val="auto"/>
                <w:sz w:val="21"/>
                <w:szCs w:val="21"/>
                <w:highlight w:val="none"/>
                <w:vertAlign w:val="subscript"/>
              </w:rPr>
              <w:t>gr</w:t>
            </w:r>
            <w:r>
              <w:rPr>
                <w:rFonts w:ascii="Times New Roman" w:hAnsi="Times New Roman" w:eastAsia="宋?" w:cs="Times New Roman"/>
                <w:color w:val="auto"/>
                <w:sz w:val="21"/>
                <w:szCs w:val="21"/>
                <w:highlight w:val="none"/>
              </w:rPr>
              <w:t>——</w:t>
            </w:r>
            <w:r>
              <w:rPr>
                <w:rFonts w:hint="eastAsia" w:ascii="Times New Roman" w:hAnsi="Times New Roman" w:eastAsia="宋?" w:cs="Times New Roman"/>
                <w:color w:val="auto"/>
                <w:sz w:val="21"/>
                <w:szCs w:val="21"/>
                <w:highlight w:val="none"/>
              </w:rPr>
              <w:t>地面效应引起的衰减，dB；</w:t>
            </w:r>
          </w:p>
          <w:p w14:paraId="0E6AC049">
            <w:pPr>
              <w:spacing w:line="360" w:lineRule="auto"/>
              <w:ind w:firstLine="420" w:firstLineChars="200"/>
              <w:rPr>
                <w:rFonts w:ascii="Times New Roman" w:hAnsi="Times New Roman" w:eastAsia="宋?" w:cs="Times New Roman"/>
                <w:color w:val="auto"/>
                <w:sz w:val="21"/>
                <w:szCs w:val="21"/>
                <w:highlight w:val="none"/>
              </w:rPr>
            </w:pPr>
            <w:r>
              <w:rPr>
                <w:rFonts w:hint="eastAsia" w:ascii="Times New Roman" w:hAnsi="Times New Roman" w:eastAsia="宋?" w:cs="Times New Roman"/>
                <w:i/>
                <w:iCs/>
                <w:color w:val="auto"/>
                <w:sz w:val="21"/>
                <w:szCs w:val="21"/>
                <w:highlight w:val="none"/>
              </w:rPr>
              <w:t>A</w:t>
            </w:r>
            <w:r>
              <w:rPr>
                <w:rFonts w:hint="eastAsia" w:ascii="Times New Roman" w:hAnsi="Times New Roman" w:eastAsia="宋?" w:cs="Times New Roman"/>
                <w:color w:val="auto"/>
                <w:sz w:val="21"/>
                <w:szCs w:val="21"/>
                <w:highlight w:val="none"/>
                <w:vertAlign w:val="subscript"/>
              </w:rPr>
              <w:t>bar</w:t>
            </w:r>
            <w:r>
              <w:rPr>
                <w:rFonts w:ascii="Times New Roman" w:hAnsi="Times New Roman" w:eastAsia="宋?" w:cs="Times New Roman"/>
                <w:color w:val="auto"/>
                <w:sz w:val="21"/>
                <w:szCs w:val="21"/>
                <w:highlight w:val="none"/>
              </w:rPr>
              <w:t>——</w:t>
            </w:r>
            <w:r>
              <w:rPr>
                <w:rFonts w:hint="eastAsia" w:ascii="Times New Roman" w:hAnsi="Times New Roman" w:eastAsia="宋?" w:cs="Times New Roman"/>
                <w:color w:val="auto"/>
                <w:sz w:val="21"/>
                <w:szCs w:val="21"/>
                <w:highlight w:val="none"/>
              </w:rPr>
              <w:t>障碍物屏蔽引起的衰减，dB；</w:t>
            </w:r>
          </w:p>
          <w:p w14:paraId="23213F94">
            <w:pPr>
              <w:spacing w:line="360" w:lineRule="auto"/>
              <w:ind w:firstLine="420" w:firstLineChars="200"/>
              <w:rPr>
                <w:rFonts w:ascii="Times New Roman" w:hAnsi="Times New Roman" w:eastAsia="宋?" w:cs="Times New Roman"/>
                <w:color w:val="auto"/>
                <w:sz w:val="21"/>
                <w:szCs w:val="21"/>
                <w:highlight w:val="none"/>
              </w:rPr>
            </w:pPr>
            <w:r>
              <w:rPr>
                <w:rFonts w:hint="eastAsia" w:ascii="Times New Roman" w:hAnsi="Times New Roman" w:eastAsia="宋?" w:cs="Times New Roman"/>
                <w:i/>
                <w:iCs/>
                <w:color w:val="auto"/>
                <w:sz w:val="21"/>
                <w:szCs w:val="21"/>
                <w:highlight w:val="none"/>
              </w:rPr>
              <w:t>A</w:t>
            </w:r>
            <w:r>
              <w:rPr>
                <w:rFonts w:hint="eastAsia" w:ascii="Times New Roman" w:hAnsi="Times New Roman" w:eastAsia="宋?" w:cs="Times New Roman"/>
                <w:color w:val="auto"/>
                <w:sz w:val="21"/>
                <w:szCs w:val="21"/>
                <w:highlight w:val="none"/>
                <w:vertAlign w:val="subscript"/>
              </w:rPr>
              <w:t>misc</w:t>
            </w:r>
            <w:r>
              <w:rPr>
                <w:rFonts w:ascii="Times New Roman" w:hAnsi="Times New Roman" w:eastAsia="宋?" w:cs="Times New Roman"/>
                <w:color w:val="auto"/>
                <w:sz w:val="21"/>
                <w:szCs w:val="21"/>
                <w:highlight w:val="none"/>
              </w:rPr>
              <w:t>—</w:t>
            </w:r>
            <w:r>
              <w:rPr>
                <w:rFonts w:hint="eastAsia" w:ascii="Times New Roman" w:hAnsi="Times New Roman" w:eastAsia="宋?" w:cs="Times New Roman"/>
                <w:color w:val="auto"/>
                <w:sz w:val="21"/>
                <w:szCs w:val="21"/>
                <w:highlight w:val="none"/>
              </w:rPr>
              <w:t>其他多方面效应引起的衰减，dB。</w:t>
            </w:r>
          </w:p>
          <w:p w14:paraId="30B7CC90">
            <w:pPr>
              <w:spacing w:line="360" w:lineRule="auto"/>
              <w:ind w:firstLine="420" w:firstLineChars="200"/>
              <w:rPr>
                <w:rFonts w:ascii="Times New Roman" w:hAnsi="Times New Roman" w:eastAsia="宋?" w:cs="Times New Roman"/>
                <w:color w:val="auto"/>
                <w:sz w:val="21"/>
                <w:szCs w:val="21"/>
                <w:highlight w:val="none"/>
              </w:rPr>
            </w:pPr>
            <w:r>
              <w:rPr>
                <w:rFonts w:hint="eastAsia" w:ascii="Times New Roman" w:hAnsi="Times New Roman" w:eastAsia="宋?" w:cs="Times New Roman"/>
                <w:color w:val="auto"/>
                <w:sz w:val="21"/>
                <w:szCs w:val="21"/>
                <w:highlight w:val="none"/>
              </w:rPr>
              <w:t>项目中噪声源都按点声源处理，无指向性点声源几何发散衰减的基本公式是：</w:t>
            </w:r>
          </w:p>
          <w:p w14:paraId="740C0914">
            <w:pPr>
              <w:spacing w:line="360" w:lineRule="auto"/>
              <w:ind w:firstLine="420" w:firstLineChars="200"/>
              <w:rPr>
                <w:rFonts w:ascii="Times New Roman" w:hAnsi="Times New Roman" w:eastAsia="宋?" w:cs="Times New Roman"/>
                <w:color w:val="auto"/>
                <w:sz w:val="21"/>
                <w:szCs w:val="21"/>
                <w:highlight w:val="none"/>
              </w:rPr>
            </w:pPr>
            <w:r>
              <w:rPr>
                <w:rFonts w:hint="eastAsia" w:ascii="Times New Roman" w:hAnsi="Times New Roman" w:eastAsia="宋?" w:cs="Times New Roman"/>
                <w:color w:val="auto"/>
                <w:sz w:val="21"/>
                <w:szCs w:val="21"/>
                <w:highlight w:val="none"/>
              </w:rPr>
              <w:drawing>
                <wp:anchor distT="0" distB="0" distL="114300" distR="114300" simplePos="0" relativeHeight="251661312" behindDoc="0" locked="0" layoutInCell="1" allowOverlap="1">
                  <wp:simplePos x="0" y="0"/>
                  <wp:positionH relativeFrom="column">
                    <wp:posOffset>1194435</wp:posOffset>
                  </wp:positionH>
                  <wp:positionV relativeFrom="paragraph">
                    <wp:posOffset>76200</wp:posOffset>
                  </wp:positionV>
                  <wp:extent cx="1924685" cy="320040"/>
                  <wp:effectExtent l="0" t="0" r="18415" b="3810"/>
                  <wp:wrapTopAndBottom/>
                  <wp:docPr id="4" name="图片 8" descr="1671215152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1671215152967"/>
                          <pic:cNvPicPr>
                            <a:picLocks noChangeAspect="1"/>
                          </pic:cNvPicPr>
                        </pic:nvPicPr>
                        <pic:blipFill>
                          <a:blip r:embed="rId21"/>
                          <a:stretch>
                            <a:fillRect/>
                          </a:stretch>
                        </pic:blipFill>
                        <pic:spPr>
                          <a:xfrm>
                            <a:off x="0" y="0"/>
                            <a:ext cx="1924685" cy="320040"/>
                          </a:xfrm>
                          <a:prstGeom prst="rect">
                            <a:avLst/>
                          </a:prstGeom>
                          <a:noFill/>
                          <a:ln>
                            <a:noFill/>
                          </a:ln>
                        </pic:spPr>
                      </pic:pic>
                    </a:graphicData>
                  </a:graphic>
                </wp:anchor>
              </w:drawing>
            </w:r>
            <w:r>
              <w:rPr>
                <w:rFonts w:ascii="Times New Roman" w:hAnsi="Times New Roman" w:eastAsia="宋?" w:cs="Times New Roman"/>
                <w:color w:val="auto"/>
                <w:sz w:val="21"/>
                <w:szCs w:val="21"/>
                <w:highlight w:val="none"/>
              </w:rPr>
              <w:t>式中：</w:t>
            </w:r>
          </w:p>
          <w:p w14:paraId="06A0FF82">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i/>
                <w:iCs/>
                <w:color w:val="auto"/>
                <w:sz w:val="21"/>
                <w:szCs w:val="21"/>
                <w:highlight w:val="none"/>
              </w:rPr>
              <w:t>L</w:t>
            </w:r>
            <w:r>
              <w:rPr>
                <w:rFonts w:ascii="Times New Roman" w:hAnsi="Times New Roman" w:eastAsia="宋?" w:cs="Times New Roman"/>
                <w:i/>
                <w:iCs/>
                <w:color w:val="auto"/>
                <w:sz w:val="21"/>
                <w:szCs w:val="21"/>
                <w:highlight w:val="none"/>
                <w:vertAlign w:val="subscript"/>
              </w:rPr>
              <w:t>p</w:t>
            </w:r>
            <w:r>
              <w:rPr>
                <w:rFonts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r</w:t>
            </w:r>
            <w:r>
              <w:rPr>
                <w:rFonts w:ascii="Times New Roman" w:hAnsi="Times New Roman" w:eastAsia="宋?" w:cs="Times New Roman"/>
                <w:color w:val="auto"/>
                <w:sz w:val="21"/>
                <w:szCs w:val="21"/>
                <w:highlight w:val="none"/>
              </w:rPr>
              <w:t>) ——预测点处声压级，dB；</w:t>
            </w:r>
          </w:p>
          <w:p w14:paraId="479DF482">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i/>
                <w:iCs/>
                <w:color w:val="auto"/>
                <w:sz w:val="21"/>
                <w:szCs w:val="21"/>
                <w:highlight w:val="none"/>
              </w:rPr>
              <w:t>Lp</w:t>
            </w:r>
            <w:r>
              <w:rPr>
                <w:rFonts w:ascii="Times New Roman" w:hAnsi="Times New Roman" w:eastAsia="宋?" w:cs="Times New Roman"/>
                <w:color w:val="auto"/>
                <w:sz w:val="21"/>
                <w:szCs w:val="21"/>
                <w:highlight w:val="none"/>
              </w:rPr>
              <w:t>(</w:t>
            </w:r>
            <w:r>
              <w:rPr>
                <w:rFonts w:hint="eastAsia" w:ascii="Times New Roman" w:hAnsi="Times New Roman" w:eastAsia="宋?" w:cs="Times New Roman"/>
                <w:i/>
                <w:iCs/>
                <w:color w:val="auto"/>
                <w:sz w:val="21"/>
                <w:szCs w:val="21"/>
                <w:highlight w:val="none"/>
              </w:rPr>
              <w:t>r</w:t>
            </w:r>
            <w:r>
              <w:rPr>
                <w:rFonts w:hint="eastAsia" w:ascii="Times New Roman" w:hAnsi="Times New Roman" w:eastAsia="宋?" w:cs="Times New Roman"/>
                <w:color w:val="auto"/>
                <w:sz w:val="21"/>
                <w:szCs w:val="21"/>
                <w:highlight w:val="none"/>
                <w:vertAlign w:val="subscript"/>
              </w:rPr>
              <w:t>0</w:t>
            </w:r>
            <w:r>
              <w:rPr>
                <w:rFonts w:ascii="Times New Roman" w:hAnsi="Times New Roman" w:eastAsia="宋?" w:cs="Times New Roman"/>
                <w:color w:val="auto"/>
                <w:sz w:val="21"/>
                <w:szCs w:val="21"/>
                <w:highlight w:val="none"/>
              </w:rPr>
              <w:t>) ——参考位置</w:t>
            </w:r>
            <w:r>
              <w:rPr>
                <w:rFonts w:hint="eastAsia" w:ascii="Times New Roman" w:hAnsi="Times New Roman" w:eastAsia="宋?" w:cs="Times New Roman"/>
                <w:i/>
                <w:iCs/>
                <w:color w:val="auto"/>
                <w:sz w:val="21"/>
                <w:szCs w:val="21"/>
                <w:highlight w:val="none"/>
              </w:rPr>
              <w:t>r</w:t>
            </w:r>
            <w:r>
              <w:rPr>
                <w:rFonts w:hint="eastAsia" w:ascii="Times New Roman" w:hAnsi="Times New Roman" w:eastAsia="宋?" w:cs="Times New Roman"/>
                <w:color w:val="auto"/>
                <w:sz w:val="21"/>
                <w:szCs w:val="21"/>
                <w:highlight w:val="none"/>
                <w:vertAlign w:val="subscript"/>
              </w:rPr>
              <w:t>0</w:t>
            </w:r>
            <w:r>
              <w:rPr>
                <w:rFonts w:ascii="Times New Roman" w:hAnsi="Times New Roman" w:eastAsia="宋?" w:cs="Times New Roman"/>
                <w:color w:val="auto"/>
                <w:sz w:val="21"/>
                <w:szCs w:val="21"/>
                <w:highlight w:val="none"/>
              </w:rPr>
              <w:t>处的声压级，dB；</w:t>
            </w:r>
          </w:p>
          <w:p w14:paraId="2D881F95">
            <w:pPr>
              <w:spacing w:line="360" w:lineRule="auto"/>
              <w:ind w:firstLine="420" w:firstLineChars="200"/>
              <w:rPr>
                <w:rFonts w:ascii="Times New Roman" w:hAnsi="Times New Roman" w:eastAsia="宋?" w:cs="Times New Roman"/>
                <w:color w:val="auto"/>
                <w:sz w:val="21"/>
                <w:szCs w:val="21"/>
                <w:highlight w:val="none"/>
              </w:rPr>
            </w:pPr>
            <w:r>
              <w:rPr>
                <w:rFonts w:hint="eastAsia" w:ascii="Times New Roman" w:hAnsi="Times New Roman" w:eastAsia="宋?" w:cs="Times New Roman"/>
                <w:i/>
                <w:iCs/>
                <w:color w:val="auto"/>
                <w:sz w:val="21"/>
                <w:szCs w:val="21"/>
                <w:highlight w:val="none"/>
              </w:rPr>
              <w:t>r</w:t>
            </w:r>
            <w:r>
              <w:rPr>
                <w:rFonts w:ascii="Times New Roman" w:hAnsi="Times New Roman" w:eastAsia="宋?" w:cs="Times New Roman"/>
                <w:color w:val="auto"/>
                <w:sz w:val="21"/>
                <w:szCs w:val="21"/>
                <w:highlight w:val="none"/>
              </w:rPr>
              <w:t>——预测点距声源的距离；</w:t>
            </w:r>
          </w:p>
          <w:p w14:paraId="7160FF25">
            <w:pPr>
              <w:spacing w:line="360" w:lineRule="auto"/>
              <w:ind w:firstLine="420" w:firstLineChars="200"/>
              <w:rPr>
                <w:rFonts w:ascii="Times New Roman" w:hAnsi="Times New Roman" w:eastAsia="宋?" w:cs="Times New Roman"/>
                <w:color w:val="auto"/>
                <w:sz w:val="21"/>
                <w:szCs w:val="21"/>
                <w:highlight w:val="none"/>
              </w:rPr>
            </w:pPr>
            <w:r>
              <w:rPr>
                <w:rFonts w:hint="eastAsia" w:ascii="Times New Roman" w:hAnsi="Times New Roman" w:eastAsia="宋?" w:cs="Times New Roman"/>
                <w:i/>
                <w:iCs/>
                <w:color w:val="auto"/>
                <w:sz w:val="21"/>
                <w:szCs w:val="21"/>
                <w:highlight w:val="none"/>
              </w:rPr>
              <w:t>r</w:t>
            </w:r>
            <w:r>
              <w:rPr>
                <w:rFonts w:hint="eastAsia" w:ascii="Times New Roman" w:hAnsi="Times New Roman" w:eastAsia="宋?" w:cs="Times New Roman"/>
                <w:color w:val="auto"/>
                <w:sz w:val="21"/>
                <w:szCs w:val="21"/>
                <w:highlight w:val="none"/>
                <w:vertAlign w:val="subscript"/>
              </w:rPr>
              <w:t>0</w:t>
            </w:r>
            <w:r>
              <w:rPr>
                <w:rFonts w:ascii="Times New Roman" w:hAnsi="Times New Roman" w:eastAsia="宋?" w:cs="Times New Roman"/>
                <w:color w:val="auto"/>
                <w:sz w:val="21"/>
                <w:szCs w:val="21"/>
                <w:highlight w:val="none"/>
              </w:rPr>
              <w:t>——参考位置距声源的距离。</w:t>
            </w:r>
          </w:p>
          <w:p w14:paraId="2660F694">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drawing>
                <wp:anchor distT="0" distB="0" distL="114300" distR="114300" simplePos="0" relativeHeight="251662336" behindDoc="0" locked="0" layoutInCell="1" allowOverlap="1">
                  <wp:simplePos x="0" y="0"/>
                  <wp:positionH relativeFrom="column">
                    <wp:posOffset>767080</wp:posOffset>
                  </wp:positionH>
                  <wp:positionV relativeFrom="paragraph">
                    <wp:posOffset>325120</wp:posOffset>
                  </wp:positionV>
                  <wp:extent cx="2779395" cy="601345"/>
                  <wp:effectExtent l="0" t="0" r="1905" b="8255"/>
                  <wp:wrapTopAndBottom/>
                  <wp:docPr id="7" name="图片 9" descr="167121581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1671215811746"/>
                          <pic:cNvPicPr>
                            <a:picLocks noChangeAspect="1"/>
                          </pic:cNvPicPr>
                        </pic:nvPicPr>
                        <pic:blipFill>
                          <a:blip r:embed="rId22"/>
                          <a:stretch>
                            <a:fillRect/>
                          </a:stretch>
                        </pic:blipFill>
                        <pic:spPr>
                          <a:xfrm>
                            <a:off x="0" y="0"/>
                            <a:ext cx="2779395" cy="601345"/>
                          </a:xfrm>
                          <a:prstGeom prst="rect">
                            <a:avLst/>
                          </a:prstGeom>
                          <a:noFill/>
                          <a:ln>
                            <a:noFill/>
                          </a:ln>
                        </pic:spPr>
                      </pic:pic>
                    </a:graphicData>
                  </a:graphic>
                </wp:anchor>
              </w:drawing>
            </w:r>
            <w:r>
              <w:rPr>
                <w:rFonts w:hint="eastAsia" w:ascii="Times New Roman" w:hAnsi="Times New Roman" w:eastAsia="宋?" w:cs="Times New Roman"/>
                <w:color w:val="auto"/>
                <w:sz w:val="21"/>
                <w:szCs w:val="21"/>
                <w:highlight w:val="none"/>
                <w:lang w:val="en-US" w:eastAsia="zh-CN"/>
              </w:rPr>
              <w:t>3.</w:t>
            </w:r>
            <w:r>
              <w:rPr>
                <w:rFonts w:ascii="Times New Roman" w:hAnsi="Times New Roman" w:eastAsia="宋?" w:cs="Times New Roman"/>
                <w:color w:val="auto"/>
                <w:sz w:val="21"/>
                <w:szCs w:val="21"/>
                <w:highlight w:val="none"/>
              </w:rPr>
              <w:t>噪声贡献值计算公式</w:t>
            </w:r>
          </w:p>
          <w:p w14:paraId="19679CE0">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式中：</w:t>
            </w:r>
          </w:p>
          <w:p w14:paraId="22E12B2B">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i/>
                <w:iCs/>
                <w:color w:val="auto"/>
                <w:sz w:val="21"/>
                <w:szCs w:val="21"/>
                <w:highlight w:val="none"/>
              </w:rPr>
              <w:t>L</w:t>
            </w:r>
            <w:r>
              <w:rPr>
                <w:rFonts w:ascii="Times New Roman" w:hAnsi="Times New Roman" w:eastAsia="宋?" w:cs="Times New Roman"/>
                <w:i/>
                <w:iCs/>
                <w:color w:val="auto"/>
                <w:sz w:val="21"/>
                <w:szCs w:val="21"/>
                <w:highlight w:val="none"/>
                <w:vertAlign w:val="subscript"/>
              </w:rPr>
              <w:t>eqg</w:t>
            </w:r>
            <w:r>
              <w:rPr>
                <w:rFonts w:ascii="Times New Roman" w:hAnsi="Times New Roman" w:eastAsia="宋?" w:cs="Times New Roman"/>
                <w:color w:val="auto"/>
                <w:sz w:val="21"/>
                <w:szCs w:val="21"/>
                <w:highlight w:val="none"/>
              </w:rPr>
              <w:t>——建设项目声源在预测点产生的噪声贡献值，dB；</w:t>
            </w:r>
          </w:p>
          <w:p w14:paraId="639896F0">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i/>
                <w:iCs/>
                <w:color w:val="auto"/>
                <w:sz w:val="21"/>
                <w:szCs w:val="21"/>
                <w:highlight w:val="none"/>
              </w:rPr>
              <w:t>T</w:t>
            </w:r>
            <w:r>
              <w:rPr>
                <w:rFonts w:ascii="Times New Roman" w:hAnsi="Times New Roman" w:eastAsia="宋?" w:cs="Times New Roman"/>
                <w:color w:val="auto"/>
                <w:sz w:val="21"/>
                <w:szCs w:val="21"/>
                <w:highlight w:val="none"/>
              </w:rPr>
              <w:t xml:space="preserve"> ——用于计算等效声级的时间，s；</w:t>
            </w:r>
          </w:p>
          <w:p w14:paraId="54E034F0">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i/>
                <w:iCs/>
                <w:color w:val="auto"/>
                <w:sz w:val="21"/>
                <w:szCs w:val="21"/>
                <w:highlight w:val="none"/>
              </w:rPr>
              <w:t>N</w:t>
            </w:r>
            <w:r>
              <w:rPr>
                <w:rFonts w:ascii="Times New Roman" w:hAnsi="Times New Roman" w:eastAsia="宋?" w:cs="Times New Roman"/>
                <w:color w:val="auto"/>
                <w:sz w:val="21"/>
                <w:szCs w:val="21"/>
                <w:highlight w:val="none"/>
              </w:rPr>
              <w:t xml:space="preserve"> ——室外声源个数；</w:t>
            </w:r>
          </w:p>
          <w:p w14:paraId="1D595196">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ti ——在 T 时间内 i 声源工作时间，s；</w:t>
            </w:r>
          </w:p>
          <w:p w14:paraId="7E37F06E">
            <w:pPr>
              <w:spacing w:line="360" w:lineRule="auto"/>
              <w:ind w:firstLine="420" w:firstLineChars="200"/>
              <w:rPr>
                <w:rFonts w:ascii="Times New Roman" w:hAnsi="Times New Roman" w:eastAsia="宋?" w:cs="Times New Roman"/>
                <w:color w:val="auto"/>
                <w:sz w:val="21"/>
                <w:szCs w:val="21"/>
                <w:highlight w:val="none"/>
              </w:rPr>
            </w:pPr>
            <w:r>
              <w:rPr>
                <w:rFonts w:ascii="Times New Roman" w:hAnsi="Times New Roman" w:eastAsia="宋?" w:cs="Times New Roman"/>
                <w:color w:val="auto"/>
                <w:sz w:val="21"/>
                <w:szCs w:val="21"/>
                <w:highlight w:val="none"/>
              </w:rPr>
              <w:t>M ——等效室外声源个</w:t>
            </w:r>
          </w:p>
          <w:p w14:paraId="0532A67B">
            <w:pPr>
              <w:pStyle w:val="76"/>
              <w:ind w:firstLine="31680"/>
              <w:rPr>
                <w:color w:val="auto"/>
                <w:sz w:val="21"/>
                <w:szCs w:val="21"/>
              </w:rPr>
            </w:pPr>
            <w:r>
              <w:rPr>
                <w:rFonts w:ascii="Times New Roman" w:hAnsi="Times New Roman" w:eastAsia="宋?" w:cs="Times New Roman"/>
                <w:color w:val="auto"/>
                <w:sz w:val="21"/>
                <w:szCs w:val="21"/>
                <w:highlight w:val="none"/>
              </w:rPr>
              <w:t>tj ——在 T 时间内 j 声源工作时间，s</w:t>
            </w:r>
            <w:r>
              <w:rPr>
                <w:rFonts w:hint="eastAsia"/>
                <w:color w:val="auto"/>
                <w:sz w:val="21"/>
                <w:szCs w:val="21"/>
              </w:rPr>
              <w:t>。</w:t>
            </w:r>
          </w:p>
          <w:p w14:paraId="4B4D7C64">
            <w:pPr>
              <w:autoSpaceDE w:val="0"/>
              <w:autoSpaceDN w:val="0"/>
              <w:adjustRightInd w:val="0"/>
              <w:snapToGrid w:val="0"/>
              <w:spacing w:line="360" w:lineRule="auto"/>
              <w:ind w:firstLine="480" w:firstLineChars="200"/>
              <w:rPr>
                <w:rFonts w:hint="default" w:ascii="Times New Roman" w:hAnsi="Times New Roman" w:eastAsia="宋体" w:cs="Times New Roman"/>
                <w:bCs/>
                <w:color w:val="auto"/>
                <w:spacing w:val="0"/>
                <w:position w:val="0"/>
                <w:sz w:val="24"/>
                <w:szCs w:val="24"/>
                <w:highlight w:val="none"/>
                <w:lang w:val="en-US" w:eastAsia="zh-CN"/>
              </w:rPr>
            </w:pPr>
            <w:r>
              <w:rPr>
                <w:rFonts w:hint="eastAsia" w:ascii="Times New Roman" w:hAnsi="Times New Roman" w:eastAsia="宋体" w:cs="Times New Roman"/>
                <w:bCs/>
                <w:color w:val="auto"/>
                <w:spacing w:val="0"/>
                <w:position w:val="0"/>
                <w:sz w:val="24"/>
                <w:szCs w:val="24"/>
                <w:highlight w:val="none"/>
                <w:lang w:val="en-US" w:eastAsia="zh-CN"/>
              </w:rPr>
              <w:t>预测值计算</w:t>
            </w:r>
          </w:p>
          <w:p w14:paraId="7FF881E4">
            <w:pPr>
              <w:autoSpaceDE w:val="0"/>
              <w:autoSpaceDN w:val="0"/>
              <w:adjustRightInd w:val="0"/>
              <w:snapToGrid w:val="0"/>
              <w:spacing w:line="360" w:lineRule="auto"/>
              <w:ind w:firstLine="480" w:firstLineChars="200"/>
              <w:rPr>
                <w:rFonts w:hint="default" w:ascii="Times New Roman" w:hAnsi="Times New Roman" w:eastAsia="宋体" w:cs="Times New Roman"/>
                <w:bCs/>
                <w:color w:val="auto"/>
                <w:spacing w:val="0"/>
                <w:position w:val="0"/>
                <w:sz w:val="24"/>
                <w:szCs w:val="24"/>
                <w:highlight w:val="none"/>
                <w:lang w:val="en-US" w:eastAsia="zh-CN"/>
              </w:rPr>
            </w:pPr>
            <w:r>
              <w:rPr>
                <w:rFonts w:hint="eastAsia" w:ascii="Times New Roman" w:hAnsi="Times New Roman" w:eastAsia="宋体" w:cs="Times New Roman"/>
                <w:bCs/>
                <w:color w:val="auto"/>
                <w:spacing w:val="0"/>
                <w:position w:val="0"/>
                <w:sz w:val="24"/>
                <w:szCs w:val="24"/>
                <w:highlight w:val="none"/>
                <w:lang w:val="en-US" w:eastAsia="zh-CN"/>
              </w:rPr>
              <w:t>预测点的预测等效声级为：</w:t>
            </w:r>
          </w:p>
          <w:p w14:paraId="0B5A4285">
            <w:pPr>
              <w:autoSpaceDE w:val="0"/>
              <w:autoSpaceDN w:val="0"/>
              <w:adjustRightInd w:val="0"/>
              <w:snapToGrid w:val="0"/>
              <w:spacing w:line="360" w:lineRule="auto"/>
              <w:ind w:firstLine="420" w:firstLineChars="200"/>
              <w:jc w:val="center"/>
              <w:rPr>
                <w:rFonts w:hint="default" w:ascii="Times New Roman" w:hAnsi="Times New Roman" w:eastAsia="宋体" w:cs="Times New Roman"/>
                <w:bCs/>
                <w:color w:val="auto"/>
                <w:spacing w:val="0"/>
                <w:position w:val="0"/>
                <w:sz w:val="24"/>
                <w:szCs w:val="24"/>
                <w:highlight w:val="none"/>
                <w:lang w:val="en-US" w:eastAsia="zh-CN"/>
              </w:rPr>
            </w:pPr>
            <w:r>
              <w:rPr>
                <w:highlight w:val="none"/>
              </w:rPr>
              <w:drawing>
                <wp:inline distT="0" distB="0" distL="114300" distR="114300">
                  <wp:extent cx="2204085" cy="342900"/>
                  <wp:effectExtent l="0" t="0" r="5715" b="762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23"/>
                          <a:stretch>
                            <a:fillRect/>
                          </a:stretch>
                        </pic:blipFill>
                        <pic:spPr>
                          <a:xfrm>
                            <a:off x="0" y="0"/>
                            <a:ext cx="2204085" cy="342900"/>
                          </a:xfrm>
                          <a:prstGeom prst="rect">
                            <a:avLst/>
                          </a:prstGeom>
                          <a:noFill/>
                          <a:ln>
                            <a:noFill/>
                          </a:ln>
                        </pic:spPr>
                      </pic:pic>
                    </a:graphicData>
                  </a:graphic>
                </wp:inline>
              </w:drawing>
            </w:r>
          </w:p>
          <w:p w14:paraId="496F93B5">
            <w:pPr>
              <w:pStyle w:val="76"/>
              <w:ind w:firstLine="31680"/>
              <w:rPr>
                <w:color w:val="auto"/>
                <w:sz w:val="21"/>
                <w:szCs w:val="21"/>
              </w:rPr>
            </w:pPr>
            <w:r>
              <w:rPr>
                <w:rFonts w:hint="eastAsia"/>
                <w:color w:val="auto"/>
                <w:sz w:val="21"/>
                <w:szCs w:val="21"/>
              </w:rPr>
              <w:t>③预测结果</w:t>
            </w:r>
          </w:p>
          <w:p w14:paraId="384A4FCF">
            <w:pPr>
              <w:jc w:val="center"/>
              <w:rPr>
                <w:b/>
                <w:color w:val="auto"/>
                <w:szCs w:val="21"/>
              </w:rPr>
            </w:pPr>
            <w:r>
              <w:rPr>
                <w:rFonts w:hint="eastAsia"/>
                <w:b/>
                <w:color w:val="auto"/>
                <w:szCs w:val="21"/>
              </w:rPr>
              <w:t>表</w:t>
            </w:r>
            <w:r>
              <w:rPr>
                <w:b/>
                <w:color w:val="auto"/>
                <w:szCs w:val="21"/>
              </w:rPr>
              <w:t>4-</w:t>
            </w:r>
            <w:r>
              <w:rPr>
                <w:rFonts w:hint="eastAsia"/>
                <w:b/>
                <w:color w:val="auto"/>
                <w:szCs w:val="21"/>
                <w:lang w:val="en-US" w:eastAsia="zh-CN"/>
              </w:rPr>
              <w:t>14</w:t>
            </w:r>
            <w:r>
              <w:rPr>
                <w:b/>
                <w:color w:val="auto"/>
                <w:szCs w:val="21"/>
              </w:rPr>
              <w:t xml:space="preserve">  </w:t>
            </w:r>
            <w:r>
              <w:rPr>
                <w:rFonts w:hint="eastAsia"/>
                <w:b/>
                <w:color w:val="auto"/>
                <w:szCs w:val="21"/>
              </w:rPr>
              <w:t>厂界噪声预测结果</w:t>
            </w:r>
          </w:p>
          <w:tbl>
            <w:tblPr>
              <w:tblStyle w:val="26"/>
              <w:tblW w:w="805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278"/>
              <w:gridCol w:w="723"/>
              <w:gridCol w:w="1320"/>
              <w:gridCol w:w="1020"/>
              <w:gridCol w:w="996"/>
              <w:gridCol w:w="1014"/>
              <w:gridCol w:w="945"/>
              <w:gridCol w:w="762"/>
            </w:tblGrid>
            <w:tr w14:paraId="0A0755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78" w:type="dxa"/>
                  <w:vMerge w:val="restart"/>
                  <w:tcBorders>
                    <w:tl2br w:val="nil"/>
                    <w:tr2bl w:val="nil"/>
                  </w:tcBorders>
                  <w:vAlign w:val="center"/>
                </w:tcPr>
                <w:p w14:paraId="024125D5">
                  <w:pPr>
                    <w:pStyle w:val="54"/>
                    <w:spacing w:beforeLines="0"/>
                    <w:textAlignment w:val="center"/>
                    <w:rPr>
                      <w:color w:val="auto"/>
                      <w:sz w:val="18"/>
                      <w:szCs w:val="18"/>
                    </w:rPr>
                  </w:pPr>
                  <w:r>
                    <w:rPr>
                      <w:rFonts w:hint="eastAsia"/>
                      <w:color w:val="auto"/>
                      <w:sz w:val="18"/>
                      <w:szCs w:val="18"/>
                    </w:rPr>
                    <w:t>预测点</w:t>
                  </w:r>
                </w:p>
              </w:tc>
              <w:tc>
                <w:tcPr>
                  <w:tcW w:w="723" w:type="dxa"/>
                  <w:vMerge w:val="restart"/>
                  <w:tcBorders>
                    <w:tl2br w:val="nil"/>
                    <w:tr2bl w:val="nil"/>
                  </w:tcBorders>
                  <w:vAlign w:val="center"/>
                </w:tcPr>
                <w:p w14:paraId="0AED34FD">
                  <w:pPr>
                    <w:pStyle w:val="54"/>
                    <w:spacing w:beforeLines="0"/>
                    <w:textAlignment w:val="center"/>
                    <w:rPr>
                      <w:color w:val="auto"/>
                      <w:sz w:val="18"/>
                      <w:szCs w:val="18"/>
                    </w:rPr>
                  </w:pPr>
                  <w:r>
                    <w:rPr>
                      <w:rFonts w:hint="eastAsia"/>
                      <w:color w:val="auto"/>
                      <w:sz w:val="18"/>
                      <w:szCs w:val="18"/>
                    </w:rPr>
                    <w:t>单位</w:t>
                  </w:r>
                </w:p>
              </w:tc>
              <w:tc>
                <w:tcPr>
                  <w:tcW w:w="1320" w:type="dxa"/>
                  <w:vMerge w:val="restart"/>
                  <w:tcBorders>
                    <w:tl2br w:val="nil"/>
                    <w:tr2bl w:val="nil"/>
                  </w:tcBorders>
                  <w:vAlign w:val="center"/>
                </w:tcPr>
                <w:p w14:paraId="54888CBA">
                  <w:pPr>
                    <w:pStyle w:val="54"/>
                    <w:spacing w:beforeLines="0"/>
                    <w:textAlignment w:val="center"/>
                    <w:rPr>
                      <w:color w:val="auto"/>
                      <w:sz w:val="18"/>
                      <w:szCs w:val="18"/>
                    </w:rPr>
                  </w:pPr>
                  <w:r>
                    <w:rPr>
                      <w:rFonts w:hint="eastAsia"/>
                      <w:color w:val="auto"/>
                      <w:sz w:val="18"/>
                      <w:szCs w:val="18"/>
                    </w:rPr>
                    <w:t>本项目贡献值</w:t>
                  </w:r>
                </w:p>
              </w:tc>
              <w:tc>
                <w:tcPr>
                  <w:tcW w:w="2016" w:type="dxa"/>
                  <w:gridSpan w:val="2"/>
                  <w:tcBorders>
                    <w:tl2br w:val="nil"/>
                    <w:tr2bl w:val="nil"/>
                  </w:tcBorders>
                  <w:vAlign w:val="center"/>
                </w:tcPr>
                <w:p w14:paraId="63F6D367">
                  <w:pPr>
                    <w:overflowPunct w:val="0"/>
                    <w:adjustRightInd w:val="0"/>
                    <w:snapToGrid w:val="0"/>
                    <w:jc w:val="center"/>
                    <w:rPr>
                      <w:rFonts w:hint="eastAsia"/>
                      <w:bCs/>
                      <w:snapToGrid w:val="0"/>
                      <w:color w:val="auto"/>
                      <w:sz w:val="18"/>
                      <w:szCs w:val="18"/>
                      <w:highlight w:val="none"/>
                      <w:lang w:val="en-US" w:eastAsia="zh-CN"/>
                    </w:rPr>
                  </w:pPr>
                  <w:r>
                    <w:rPr>
                      <w:rFonts w:hint="eastAsia"/>
                      <w:bCs/>
                      <w:snapToGrid w:val="0"/>
                      <w:color w:val="auto"/>
                      <w:sz w:val="18"/>
                      <w:szCs w:val="18"/>
                      <w:highlight w:val="none"/>
                      <w:lang w:val="en-US" w:eastAsia="zh-CN"/>
                    </w:rPr>
                    <w:t>背景值</w:t>
                  </w:r>
                </w:p>
              </w:tc>
              <w:tc>
                <w:tcPr>
                  <w:tcW w:w="1959" w:type="dxa"/>
                  <w:gridSpan w:val="2"/>
                  <w:tcBorders>
                    <w:tl2br w:val="nil"/>
                    <w:tr2bl w:val="nil"/>
                  </w:tcBorders>
                  <w:vAlign w:val="center"/>
                </w:tcPr>
                <w:p w14:paraId="5359B92E">
                  <w:pPr>
                    <w:overflowPunct w:val="0"/>
                    <w:adjustRightInd w:val="0"/>
                    <w:snapToGrid w:val="0"/>
                    <w:jc w:val="center"/>
                    <w:rPr>
                      <w:rFonts w:hint="eastAsia"/>
                      <w:bCs/>
                      <w:snapToGrid w:val="0"/>
                      <w:color w:val="auto"/>
                      <w:sz w:val="18"/>
                      <w:szCs w:val="18"/>
                      <w:highlight w:val="none"/>
                      <w:lang w:val="en-US" w:eastAsia="zh-CN"/>
                    </w:rPr>
                  </w:pPr>
                  <w:r>
                    <w:rPr>
                      <w:rFonts w:hint="eastAsia"/>
                      <w:bCs/>
                      <w:snapToGrid w:val="0"/>
                      <w:color w:val="auto"/>
                      <w:sz w:val="18"/>
                      <w:szCs w:val="18"/>
                      <w:highlight w:val="none"/>
                      <w:lang w:val="en-US" w:eastAsia="zh-CN"/>
                    </w:rPr>
                    <w:t>预测值</w:t>
                  </w:r>
                </w:p>
              </w:tc>
              <w:tc>
                <w:tcPr>
                  <w:tcW w:w="762" w:type="dxa"/>
                  <w:vMerge w:val="restart"/>
                  <w:tcBorders>
                    <w:tl2br w:val="nil"/>
                    <w:tr2bl w:val="nil"/>
                  </w:tcBorders>
                  <w:vAlign w:val="center"/>
                </w:tcPr>
                <w:p w14:paraId="6C5D0486">
                  <w:pPr>
                    <w:pStyle w:val="54"/>
                    <w:spacing w:beforeLines="0"/>
                    <w:textAlignment w:val="center"/>
                    <w:rPr>
                      <w:color w:val="auto"/>
                      <w:sz w:val="18"/>
                      <w:szCs w:val="18"/>
                    </w:rPr>
                  </w:pPr>
                  <w:r>
                    <w:rPr>
                      <w:rFonts w:hint="eastAsia"/>
                      <w:color w:val="auto"/>
                      <w:sz w:val="18"/>
                      <w:szCs w:val="18"/>
                    </w:rPr>
                    <w:t>评价结果</w:t>
                  </w:r>
                </w:p>
              </w:tc>
            </w:tr>
            <w:tr w14:paraId="147399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78" w:type="dxa"/>
                  <w:vMerge w:val="continue"/>
                  <w:tcBorders>
                    <w:tl2br w:val="nil"/>
                    <w:tr2bl w:val="nil"/>
                  </w:tcBorders>
                  <w:vAlign w:val="center"/>
                </w:tcPr>
                <w:p w14:paraId="75DACDC8">
                  <w:pPr>
                    <w:pStyle w:val="54"/>
                    <w:spacing w:beforeLines="0"/>
                    <w:textAlignment w:val="center"/>
                    <w:rPr>
                      <w:color w:val="auto"/>
                      <w:sz w:val="18"/>
                      <w:szCs w:val="18"/>
                    </w:rPr>
                  </w:pPr>
                </w:p>
              </w:tc>
              <w:tc>
                <w:tcPr>
                  <w:tcW w:w="723" w:type="dxa"/>
                  <w:vMerge w:val="continue"/>
                  <w:tcBorders>
                    <w:tl2br w:val="nil"/>
                    <w:tr2bl w:val="nil"/>
                  </w:tcBorders>
                  <w:vAlign w:val="center"/>
                </w:tcPr>
                <w:p w14:paraId="0DD6E96D">
                  <w:pPr>
                    <w:pStyle w:val="54"/>
                    <w:spacing w:beforeLines="0"/>
                    <w:textAlignment w:val="center"/>
                    <w:rPr>
                      <w:color w:val="auto"/>
                      <w:sz w:val="18"/>
                      <w:szCs w:val="18"/>
                    </w:rPr>
                  </w:pPr>
                </w:p>
              </w:tc>
              <w:tc>
                <w:tcPr>
                  <w:tcW w:w="1320" w:type="dxa"/>
                  <w:vMerge w:val="continue"/>
                  <w:tcBorders>
                    <w:tl2br w:val="nil"/>
                    <w:tr2bl w:val="nil"/>
                  </w:tcBorders>
                  <w:vAlign w:val="center"/>
                </w:tcPr>
                <w:p w14:paraId="5675606B">
                  <w:pPr>
                    <w:pStyle w:val="54"/>
                    <w:spacing w:beforeLines="0"/>
                    <w:textAlignment w:val="center"/>
                    <w:rPr>
                      <w:color w:val="auto"/>
                      <w:sz w:val="18"/>
                      <w:szCs w:val="18"/>
                    </w:rPr>
                  </w:pPr>
                </w:p>
              </w:tc>
              <w:tc>
                <w:tcPr>
                  <w:tcW w:w="1020" w:type="dxa"/>
                  <w:tcBorders>
                    <w:tl2br w:val="nil"/>
                    <w:tr2bl w:val="nil"/>
                  </w:tcBorders>
                  <w:vAlign w:val="center"/>
                </w:tcPr>
                <w:p w14:paraId="45C25DA8">
                  <w:pPr>
                    <w:overflowPunct w:val="0"/>
                    <w:adjustRightInd w:val="0"/>
                    <w:snapToGrid w:val="0"/>
                    <w:jc w:val="center"/>
                    <w:rPr>
                      <w:rFonts w:hint="eastAsia"/>
                      <w:bCs/>
                      <w:snapToGrid w:val="0"/>
                      <w:color w:val="auto"/>
                      <w:sz w:val="18"/>
                      <w:szCs w:val="18"/>
                      <w:highlight w:val="none"/>
                      <w:lang w:val="en-US" w:eastAsia="zh-CN"/>
                    </w:rPr>
                  </w:pPr>
                  <w:r>
                    <w:rPr>
                      <w:rFonts w:hint="eastAsia"/>
                      <w:bCs/>
                      <w:snapToGrid w:val="0"/>
                      <w:color w:val="auto"/>
                      <w:sz w:val="18"/>
                      <w:szCs w:val="18"/>
                      <w:highlight w:val="none"/>
                      <w:lang w:val="en-US" w:eastAsia="zh-CN"/>
                    </w:rPr>
                    <w:t>昼</w:t>
                  </w:r>
                </w:p>
              </w:tc>
              <w:tc>
                <w:tcPr>
                  <w:tcW w:w="996" w:type="dxa"/>
                  <w:tcBorders>
                    <w:tl2br w:val="nil"/>
                    <w:tr2bl w:val="nil"/>
                  </w:tcBorders>
                  <w:vAlign w:val="center"/>
                </w:tcPr>
                <w:p w14:paraId="7B900A16">
                  <w:pPr>
                    <w:overflowPunct w:val="0"/>
                    <w:adjustRightInd w:val="0"/>
                    <w:snapToGrid w:val="0"/>
                    <w:jc w:val="center"/>
                    <w:rPr>
                      <w:rFonts w:hint="eastAsia"/>
                      <w:bCs/>
                      <w:snapToGrid w:val="0"/>
                      <w:color w:val="auto"/>
                      <w:sz w:val="18"/>
                      <w:szCs w:val="18"/>
                      <w:highlight w:val="none"/>
                      <w:lang w:val="en-US" w:eastAsia="zh-CN"/>
                    </w:rPr>
                  </w:pPr>
                  <w:r>
                    <w:rPr>
                      <w:rFonts w:hint="eastAsia"/>
                      <w:bCs/>
                      <w:snapToGrid w:val="0"/>
                      <w:color w:val="auto"/>
                      <w:sz w:val="18"/>
                      <w:szCs w:val="18"/>
                      <w:highlight w:val="none"/>
                      <w:lang w:val="en-US" w:eastAsia="zh-CN"/>
                    </w:rPr>
                    <w:t>夜</w:t>
                  </w:r>
                </w:p>
              </w:tc>
              <w:tc>
                <w:tcPr>
                  <w:tcW w:w="1014" w:type="dxa"/>
                  <w:tcBorders>
                    <w:tl2br w:val="nil"/>
                    <w:tr2bl w:val="nil"/>
                  </w:tcBorders>
                  <w:vAlign w:val="center"/>
                </w:tcPr>
                <w:p w14:paraId="75D2DEC3">
                  <w:pPr>
                    <w:overflowPunct w:val="0"/>
                    <w:adjustRightInd w:val="0"/>
                    <w:snapToGrid w:val="0"/>
                    <w:jc w:val="center"/>
                    <w:rPr>
                      <w:rFonts w:hint="eastAsia"/>
                      <w:bCs/>
                      <w:snapToGrid w:val="0"/>
                      <w:color w:val="auto"/>
                      <w:sz w:val="18"/>
                      <w:szCs w:val="18"/>
                      <w:highlight w:val="none"/>
                      <w:lang w:val="en-US" w:eastAsia="zh-CN"/>
                    </w:rPr>
                  </w:pPr>
                  <w:r>
                    <w:rPr>
                      <w:rFonts w:hint="eastAsia"/>
                      <w:bCs/>
                      <w:snapToGrid w:val="0"/>
                      <w:color w:val="auto"/>
                      <w:sz w:val="18"/>
                      <w:szCs w:val="18"/>
                      <w:highlight w:val="none"/>
                      <w:lang w:val="en-US" w:eastAsia="zh-CN"/>
                    </w:rPr>
                    <w:t>昼</w:t>
                  </w:r>
                </w:p>
              </w:tc>
              <w:tc>
                <w:tcPr>
                  <w:tcW w:w="945" w:type="dxa"/>
                  <w:tcBorders>
                    <w:tl2br w:val="nil"/>
                    <w:tr2bl w:val="nil"/>
                  </w:tcBorders>
                  <w:vAlign w:val="center"/>
                </w:tcPr>
                <w:p w14:paraId="20F2FAA2">
                  <w:pPr>
                    <w:overflowPunct w:val="0"/>
                    <w:adjustRightInd w:val="0"/>
                    <w:snapToGrid w:val="0"/>
                    <w:jc w:val="center"/>
                    <w:rPr>
                      <w:rFonts w:hint="eastAsia"/>
                      <w:bCs/>
                      <w:snapToGrid w:val="0"/>
                      <w:color w:val="auto"/>
                      <w:sz w:val="18"/>
                      <w:szCs w:val="18"/>
                      <w:highlight w:val="none"/>
                      <w:lang w:val="en-US" w:eastAsia="zh-CN"/>
                    </w:rPr>
                  </w:pPr>
                  <w:r>
                    <w:rPr>
                      <w:rFonts w:hint="eastAsia"/>
                      <w:bCs/>
                      <w:snapToGrid w:val="0"/>
                      <w:color w:val="auto"/>
                      <w:sz w:val="18"/>
                      <w:szCs w:val="18"/>
                      <w:highlight w:val="none"/>
                      <w:lang w:val="en-US" w:eastAsia="zh-CN"/>
                    </w:rPr>
                    <w:t>夜</w:t>
                  </w:r>
                </w:p>
              </w:tc>
              <w:tc>
                <w:tcPr>
                  <w:tcW w:w="762" w:type="dxa"/>
                  <w:vMerge w:val="continue"/>
                  <w:tcBorders>
                    <w:tl2br w:val="nil"/>
                    <w:tr2bl w:val="nil"/>
                  </w:tcBorders>
                  <w:vAlign w:val="center"/>
                </w:tcPr>
                <w:p w14:paraId="55336C8F">
                  <w:pPr>
                    <w:pStyle w:val="54"/>
                    <w:spacing w:beforeLines="0"/>
                    <w:textAlignment w:val="center"/>
                    <w:rPr>
                      <w:color w:val="auto"/>
                      <w:sz w:val="18"/>
                      <w:szCs w:val="18"/>
                    </w:rPr>
                  </w:pPr>
                </w:p>
              </w:tc>
            </w:tr>
            <w:tr w14:paraId="1E6464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69" w:hRule="atLeast"/>
                <w:jc w:val="center"/>
              </w:trPr>
              <w:tc>
                <w:tcPr>
                  <w:tcW w:w="1278" w:type="dxa"/>
                  <w:tcBorders>
                    <w:tl2br w:val="nil"/>
                    <w:tr2bl w:val="nil"/>
                  </w:tcBorders>
                  <w:vAlign w:val="center"/>
                </w:tcPr>
                <w:p w14:paraId="301E433B">
                  <w:pPr>
                    <w:overflowPunct w:val="0"/>
                    <w:adjustRightInd w:val="0"/>
                    <w:snapToGrid w:val="0"/>
                    <w:jc w:val="center"/>
                    <w:rPr>
                      <w:color w:val="auto"/>
                      <w:sz w:val="18"/>
                      <w:szCs w:val="18"/>
                    </w:rPr>
                  </w:pPr>
                  <w:r>
                    <w:rPr>
                      <w:rFonts w:hint="eastAsia" w:eastAsia="宋体"/>
                      <w:bCs/>
                      <w:snapToGrid w:val="0"/>
                      <w:color w:val="auto"/>
                      <w:sz w:val="18"/>
                      <w:szCs w:val="18"/>
                    </w:rPr>
                    <w:t>项目</w:t>
                  </w:r>
                  <w:r>
                    <w:rPr>
                      <w:rFonts w:hint="eastAsia"/>
                      <w:bCs/>
                      <w:snapToGrid w:val="0"/>
                      <w:color w:val="auto"/>
                      <w:sz w:val="18"/>
                      <w:szCs w:val="18"/>
                      <w:lang w:val="en-US" w:eastAsia="zh-CN"/>
                    </w:rPr>
                    <w:t>东</w:t>
                  </w:r>
                  <w:r>
                    <w:rPr>
                      <w:rFonts w:hint="eastAsia" w:eastAsia="宋体"/>
                      <w:bCs/>
                      <w:snapToGrid w:val="0"/>
                      <w:color w:val="auto"/>
                      <w:sz w:val="18"/>
                      <w:szCs w:val="18"/>
                    </w:rPr>
                    <w:t>侧外</w:t>
                  </w:r>
                  <w:r>
                    <w:rPr>
                      <w:rFonts w:eastAsia="宋体"/>
                      <w:bCs/>
                      <w:snapToGrid w:val="0"/>
                      <w:color w:val="auto"/>
                      <w:sz w:val="18"/>
                      <w:szCs w:val="18"/>
                    </w:rPr>
                    <w:t>1m</w:t>
                  </w:r>
                </w:p>
              </w:tc>
              <w:tc>
                <w:tcPr>
                  <w:tcW w:w="723" w:type="dxa"/>
                  <w:vMerge w:val="restart"/>
                  <w:tcBorders>
                    <w:tl2br w:val="nil"/>
                    <w:tr2bl w:val="nil"/>
                  </w:tcBorders>
                  <w:vAlign w:val="center"/>
                </w:tcPr>
                <w:p w14:paraId="4AC40668">
                  <w:pPr>
                    <w:pStyle w:val="54"/>
                    <w:spacing w:beforeLines="0"/>
                    <w:textAlignment w:val="center"/>
                    <w:rPr>
                      <w:color w:val="auto"/>
                      <w:sz w:val="18"/>
                      <w:szCs w:val="18"/>
                    </w:rPr>
                  </w:pPr>
                  <w:r>
                    <w:rPr>
                      <w:color w:val="auto"/>
                      <w:sz w:val="18"/>
                      <w:szCs w:val="18"/>
                    </w:rPr>
                    <w:t>dB(A)</w:t>
                  </w:r>
                </w:p>
              </w:tc>
              <w:tc>
                <w:tcPr>
                  <w:tcW w:w="1320" w:type="dxa"/>
                  <w:tcBorders>
                    <w:tl2br w:val="nil"/>
                    <w:tr2bl w:val="nil"/>
                  </w:tcBorders>
                  <w:vAlign w:val="center"/>
                </w:tcPr>
                <w:p w14:paraId="323C5142">
                  <w:pPr>
                    <w:overflowPunct w:val="0"/>
                    <w:adjustRightInd w:val="0"/>
                    <w:snapToGrid w:val="0"/>
                    <w:jc w:val="center"/>
                    <w:rPr>
                      <w:rFonts w:hint="default"/>
                      <w:bCs/>
                      <w:snapToGrid w:val="0"/>
                      <w:color w:val="auto"/>
                      <w:sz w:val="18"/>
                      <w:szCs w:val="18"/>
                      <w:highlight w:val="none"/>
                      <w:lang w:val="en-US" w:eastAsia="zh-CN"/>
                    </w:rPr>
                  </w:pPr>
                  <w:r>
                    <w:rPr>
                      <w:rFonts w:hint="eastAsia"/>
                      <w:bCs/>
                      <w:snapToGrid w:val="0"/>
                      <w:color w:val="auto"/>
                      <w:sz w:val="18"/>
                      <w:szCs w:val="18"/>
                      <w:highlight w:val="none"/>
                      <w:lang w:val="en-US" w:eastAsia="zh-CN"/>
                    </w:rPr>
                    <w:t>34.3</w:t>
                  </w:r>
                </w:p>
              </w:tc>
              <w:tc>
                <w:tcPr>
                  <w:tcW w:w="1020" w:type="dxa"/>
                  <w:tcBorders>
                    <w:tl2br w:val="nil"/>
                    <w:tr2bl w:val="nil"/>
                  </w:tcBorders>
                  <w:vAlign w:val="center"/>
                </w:tcPr>
                <w:p w14:paraId="5A575684">
                  <w:pPr>
                    <w:overflowPunct w:val="0"/>
                    <w:adjustRightInd w:val="0"/>
                    <w:snapToGrid w:val="0"/>
                    <w:jc w:val="center"/>
                    <w:rPr>
                      <w:rFonts w:hint="default" w:ascii="Times New Roman" w:hAnsi="Times New Roman" w:eastAsia="宋体" w:cs="Times New Roman"/>
                      <w:bCs/>
                      <w:snapToGrid w:val="0"/>
                      <w:color w:val="auto"/>
                      <w:kern w:val="2"/>
                      <w:sz w:val="18"/>
                      <w:szCs w:val="18"/>
                      <w:lang w:val="en-US" w:eastAsia="zh-CN" w:bidi="ar-SA"/>
                    </w:rPr>
                  </w:pPr>
                  <w:r>
                    <w:rPr>
                      <w:rFonts w:eastAsia="宋体"/>
                      <w:bCs/>
                      <w:snapToGrid w:val="0"/>
                      <w:color w:val="auto"/>
                      <w:sz w:val="18"/>
                      <w:szCs w:val="18"/>
                      <w:highlight w:val="none"/>
                    </w:rPr>
                    <w:t>58</w:t>
                  </w:r>
                  <w:r>
                    <w:rPr>
                      <w:rFonts w:hint="eastAsia" w:eastAsia="宋体"/>
                      <w:bCs/>
                      <w:snapToGrid w:val="0"/>
                      <w:color w:val="auto"/>
                      <w:sz w:val="18"/>
                      <w:szCs w:val="18"/>
                      <w:highlight w:val="none"/>
                      <w:lang w:val="en-US" w:eastAsia="zh-CN"/>
                    </w:rPr>
                    <w:t>.</w:t>
                  </w:r>
                  <w:r>
                    <w:rPr>
                      <w:rFonts w:hint="eastAsia"/>
                      <w:bCs/>
                      <w:snapToGrid w:val="0"/>
                      <w:color w:val="auto"/>
                      <w:sz w:val="18"/>
                      <w:szCs w:val="18"/>
                      <w:highlight w:val="none"/>
                      <w:lang w:val="en-US" w:eastAsia="zh-CN"/>
                    </w:rPr>
                    <w:t>9</w:t>
                  </w:r>
                </w:p>
              </w:tc>
              <w:tc>
                <w:tcPr>
                  <w:tcW w:w="996" w:type="dxa"/>
                  <w:tcBorders>
                    <w:tl2br w:val="nil"/>
                    <w:tr2bl w:val="nil"/>
                  </w:tcBorders>
                  <w:vAlign w:val="center"/>
                </w:tcPr>
                <w:p w14:paraId="6F01721D">
                  <w:pPr>
                    <w:overflowPunct w:val="0"/>
                    <w:adjustRightInd w:val="0"/>
                    <w:snapToGrid w:val="0"/>
                    <w:jc w:val="center"/>
                    <w:rPr>
                      <w:rFonts w:hint="default" w:ascii="Times New Roman" w:hAnsi="Times New Roman" w:eastAsia="宋体" w:cs="Times New Roman"/>
                      <w:bCs/>
                      <w:snapToGrid w:val="0"/>
                      <w:color w:val="auto"/>
                      <w:kern w:val="2"/>
                      <w:sz w:val="18"/>
                      <w:szCs w:val="18"/>
                      <w:lang w:val="en-US" w:eastAsia="zh-CN" w:bidi="ar-SA"/>
                    </w:rPr>
                  </w:pPr>
                  <w:r>
                    <w:rPr>
                      <w:rFonts w:eastAsia="宋体"/>
                      <w:bCs/>
                      <w:snapToGrid w:val="0"/>
                      <w:color w:val="auto"/>
                      <w:sz w:val="18"/>
                      <w:szCs w:val="18"/>
                      <w:highlight w:val="none"/>
                    </w:rPr>
                    <w:t>4</w:t>
                  </w:r>
                  <w:r>
                    <w:rPr>
                      <w:rFonts w:hint="eastAsia"/>
                      <w:bCs/>
                      <w:snapToGrid w:val="0"/>
                      <w:color w:val="auto"/>
                      <w:sz w:val="18"/>
                      <w:szCs w:val="18"/>
                      <w:highlight w:val="none"/>
                      <w:lang w:val="en-US" w:eastAsia="zh-CN"/>
                    </w:rPr>
                    <w:t>8.6</w:t>
                  </w:r>
                </w:p>
              </w:tc>
              <w:tc>
                <w:tcPr>
                  <w:tcW w:w="1014" w:type="dxa"/>
                  <w:tcBorders>
                    <w:tl2br w:val="nil"/>
                    <w:tr2bl w:val="nil"/>
                  </w:tcBorders>
                  <w:vAlign w:val="center"/>
                </w:tcPr>
                <w:p w14:paraId="1C9E382E">
                  <w:pPr>
                    <w:adjustRightInd w:val="0"/>
                    <w:snapToGrid w:val="0"/>
                    <w:jc w:val="center"/>
                    <w:textAlignment w:val="center"/>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0"/>
                      <w:sz w:val="18"/>
                      <w:szCs w:val="18"/>
                      <w:lang w:val="en-US" w:eastAsia="zh-CN" w:bidi="ar-SA"/>
                    </w:rPr>
                    <w:t>59.0</w:t>
                  </w:r>
                </w:p>
              </w:tc>
              <w:tc>
                <w:tcPr>
                  <w:tcW w:w="945" w:type="dxa"/>
                  <w:tcBorders>
                    <w:tl2br w:val="nil"/>
                    <w:tr2bl w:val="nil"/>
                  </w:tcBorders>
                  <w:vAlign w:val="center"/>
                </w:tcPr>
                <w:p w14:paraId="0D0B7371">
                  <w:pPr>
                    <w:adjustRightInd w:val="0"/>
                    <w:snapToGrid w:val="0"/>
                    <w:jc w:val="center"/>
                    <w:textAlignment w:val="center"/>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0"/>
                      <w:sz w:val="18"/>
                      <w:szCs w:val="18"/>
                      <w:lang w:val="en-US" w:eastAsia="zh-CN" w:bidi="ar-SA"/>
                    </w:rPr>
                    <w:t>49.3</w:t>
                  </w:r>
                </w:p>
              </w:tc>
              <w:tc>
                <w:tcPr>
                  <w:tcW w:w="762" w:type="dxa"/>
                  <w:tcBorders>
                    <w:tl2br w:val="nil"/>
                    <w:tr2bl w:val="nil"/>
                  </w:tcBorders>
                  <w:vAlign w:val="center"/>
                </w:tcPr>
                <w:p w14:paraId="3252EF12">
                  <w:pPr>
                    <w:pStyle w:val="54"/>
                    <w:spacing w:beforeLines="0"/>
                    <w:textAlignment w:val="center"/>
                    <w:rPr>
                      <w:color w:val="auto"/>
                      <w:sz w:val="18"/>
                      <w:szCs w:val="18"/>
                    </w:rPr>
                  </w:pPr>
                  <w:r>
                    <w:rPr>
                      <w:rFonts w:hint="eastAsia"/>
                      <w:color w:val="auto"/>
                      <w:sz w:val="18"/>
                      <w:szCs w:val="18"/>
                    </w:rPr>
                    <w:t>达标</w:t>
                  </w:r>
                </w:p>
              </w:tc>
            </w:tr>
            <w:tr w14:paraId="4C46E0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78" w:type="dxa"/>
                  <w:tcBorders>
                    <w:tl2br w:val="nil"/>
                    <w:tr2bl w:val="nil"/>
                  </w:tcBorders>
                  <w:vAlign w:val="center"/>
                </w:tcPr>
                <w:p w14:paraId="7F2103FA">
                  <w:pPr>
                    <w:overflowPunct w:val="0"/>
                    <w:adjustRightInd w:val="0"/>
                    <w:snapToGrid w:val="0"/>
                    <w:jc w:val="center"/>
                    <w:rPr>
                      <w:color w:val="auto"/>
                      <w:sz w:val="18"/>
                      <w:szCs w:val="18"/>
                    </w:rPr>
                  </w:pPr>
                  <w:r>
                    <w:rPr>
                      <w:rFonts w:hint="eastAsia" w:eastAsia="宋体"/>
                      <w:bCs/>
                      <w:snapToGrid w:val="0"/>
                      <w:color w:val="auto"/>
                      <w:sz w:val="18"/>
                      <w:szCs w:val="18"/>
                    </w:rPr>
                    <w:t>项目</w:t>
                  </w:r>
                  <w:r>
                    <w:rPr>
                      <w:rFonts w:hint="eastAsia"/>
                      <w:bCs/>
                      <w:snapToGrid w:val="0"/>
                      <w:color w:val="auto"/>
                      <w:sz w:val="18"/>
                      <w:szCs w:val="18"/>
                      <w:lang w:val="en-US" w:eastAsia="zh-CN"/>
                    </w:rPr>
                    <w:t>南</w:t>
                  </w:r>
                  <w:r>
                    <w:rPr>
                      <w:rFonts w:hint="eastAsia" w:eastAsia="宋体"/>
                      <w:bCs/>
                      <w:snapToGrid w:val="0"/>
                      <w:color w:val="auto"/>
                      <w:sz w:val="18"/>
                      <w:szCs w:val="18"/>
                    </w:rPr>
                    <w:t>侧外</w:t>
                  </w:r>
                  <w:r>
                    <w:rPr>
                      <w:rFonts w:eastAsia="宋体"/>
                      <w:bCs/>
                      <w:snapToGrid w:val="0"/>
                      <w:color w:val="auto"/>
                      <w:sz w:val="18"/>
                      <w:szCs w:val="18"/>
                    </w:rPr>
                    <w:t>1m</w:t>
                  </w:r>
                </w:p>
              </w:tc>
              <w:tc>
                <w:tcPr>
                  <w:tcW w:w="723" w:type="dxa"/>
                  <w:vMerge w:val="continue"/>
                  <w:tcBorders>
                    <w:tl2br w:val="nil"/>
                    <w:tr2bl w:val="nil"/>
                  </w:tcBorders>
                  <w:vAlign w:val="center"/>
                </w:tcPr>
                <w:p w14:paraId="74AF56C4">
                  <w:pPr>
                    <w:pStyle w:val="54"/>
                    <w:spacing w:beforeLines="0"/>
                    <w:textAlignment w:val="center"/>
                    <w:rPr>
                      <w:color w:val="auto"/>
                      <w:sz w:val="18"/>
                      <w:szCs w:val="18"/>
                    </w:rPr>
                  </w:pPr>
                </w:p>
              </w:tc>
              <w:tc>
                <w:tcPr>
                  <w:tcW w:w="1320" w:type="dxa"/>
                  <w:tcBorders>
                    <w:tl2br w:val="nil"/>
                    <w:tr2bl w:val="nil"/>
                  </w:tcBorders>
                  <w:vAlign w:val="center"/>
                </w:tcPr>
                <w:p w14:paraId="438AD85C">
                  <w:pPr>
                    <w:overflowPunct w:val="0"/>
                    <w:adjustRightInd w:val="0"/>
                    <w:snapToGrid w:val="0"/>
                    <w:jc w:val="center"/>
                    <w:rPr>
                      <w:rFonts w:hint="default"/>
                      <w:bCs/>
                      <w:snapToGrid w:val="0"/>
                      <w:color w:val="auto"/>
                      <w:sz w:val="18"/>
                      <w:szCs w:val="18"/>
                      <w:highlight w:val="none"/>
                      <w:lang w:val="en-US" w:eastAsia="zh-CN"/>
                    </w:rPr>
                  </w:pPr>
                  <w:r>
                    <w:rPr>
                      <w:rFonts w:hint="eastAsia"/>
                      <w:bCs/>
                      <w:snapToGrid w:val="0"/>
                      <w:color w:val="auto"/>
                      <w:sz w:val="18"/>
                      <w:szCs w:val="18"/>
                      <w:highlight w:val="none"/>
                      <w:lang w:val="en-US" w:eastAsia="zh-CN"/>
                    </w:rPr>
                    <w:t>41.2</w:t>
                  </w:r>
                </w:p>
              </w:tc>
              <w:tc>
                <w:tcPr>
                  <w:tcW w:w="1020" w:type="dxa"/>
                  <w:tcBorders>
                    <w:tl2br w:val="nil"/>
                    <w:tr2bl w:val="nil"/>
                  </w:tcBorders>
                  <w:vAlign w:val="center"/>
                </w:tcPr>
                <w:p w14:paraId="7DC8FD17">
                  <w:pPr>
                    <w:overflowPunct w:val="0"/>
                    <w:adjustRightInd w:val="0"/>
                    <w:snapToGrid w:val="0"/>
                    <w:jc w:val="center"/>
                    <w:rPr>
                      <w:rFonts w:hint="default" w:ascii="Times New Roman" w:hAnsi="Times New Roman" w:eastAsia="宋体" w:cs="Times New Roman"/>
                      <w:bCs/>
                      <w:snapToGrid w:val="0"/>
                      <w:color w:val="auto"/>
                      <w:kern w:val="2"/>
                      <w:sz w:val="18"/>
                      <w:szCs w:val="18"/>
                      <w:lang w:val="en-US" w:eastAsia="zh-CN" w:bidi="ar-SA"/>
                    </w:rPr>
                  </w:pPr>
                  <w:r>
                    <w:rPr>
                      <w:rFonts w:eastAsia="宋体"/>
                      <w:bCs/>
                      <w:snapToGrid w:val="0"/>
                      <w:color w:val="auto"/>
                      <w:sz w:val="18"/>
                      <w:szCs w:val="18"/>
                      <w:highlight w:val="none"/>
                    </w:rPr>
                    <w:t>5</w:t>
                  </w:r>
                  <w:r>
                    <w:rPr>
                      <w:rFonts w:hint="eastAsia"/>
                      <w:bCs/>
                      <w:snapToGrid w:val="0"/>
                      <w:color w:val="auto"/>
                      <w:sz w:val="18"/>
                      <w:szCs w:val="18"/>
                      <w:highlight w:val="none"/>
                      <w:lang w:val="en-US" w:eastAsia="zh-CN"/>
                    </w:rPr>
                    <w:t>9.2</w:t>
                  </w:r>
                </w:p>
              </w:tc>
              <w:tc>
                <w:tcPr>
                  <w:tcW w:w="996" w:type="dxa"/>
                  <w:tcBorders>
                    <w:tl2br w:val="nil"/>
                    <w:tr2bl w:val="nil"/>
                  </w:tcBorders>
                  <w:vAlign w:val="center"/>
                </w:tcPr>
                <w:p w14:paraId="3301345E">
                  <w:pPr>
                    <w:overflowPunct w:val="0"/>
                    <w:adjustRightInd w:val="0"/>
                    <w:snapToGrid w:val="0"/>
                    <w:jc w:val="center"/>
                    <w:rPr>
                      <w:rFonts w:hint="default" w:ascii="Times New Roman" w:hAnsi="Times New Roman" w:eastAsia="宋体" w:cs="Times New Roman"/>
                      <w:bCs/>
                      <w:snapToGrid w:val="0"/>
                      <w:color w:val="auto"/>
                      <w:kern w:val="2"/>
                      <w:sz w:val="18"/>
                      <w:szCs w:val="18"/>
                      <w:lang w:val="en-US" w:eastAsia="zh-CN" w:bidi="ar-SA"/>
                    </w:rPr>
                  </w:pPr>
                  <w:r>
                    <w:rPr>
                      <w:rFonts w:eastAsia="宋体"/>
                      <w:bCs/>
                      <w:snapToGrid w:val="0"/>
                      <w:color w:val="auto"/>
                      <w:sz w:val="18"/>
                      <w:szCs w:val="18"/>
                      <w:highlight w:val="none"/>
                    </w:rPr>
                    <w:t>4</w:t>
                  </w:r>
                  <w:r>
                    <w:rPr>
                      <w:rFonts w:hint="eastAsia" w:eastAsia="宋体"/>
                      <w:bCs/>
                      <w:snapToGrid w:val="0"/>
                      <w:color w:val="auto"/>
                      <w:sz w:val="18"/>
                      <w:szCs w:val="18"/>
                      <w:highlight w:val="none"/>
                      <w:lang w:val="en-US" w:eastAsia="zh-CN"/>
                    </w:rPr>
                    <w:t>9.</w:t>
                  </w:r>
                  <w:r>
                    <w:rPr>
                      <w:rFonts w:hint="eastAsia"/>
                      <w:bCs/>
                      <w:snapToGrid w:val="0"/>
                      <w:color w:val="auto"/>
                      <w:sz w:val="18"/>
                      <w:szCs w:val="18"/>
                      <w:highlight w:val="none"/>
                      <w:lang w:val="en-US" w:eastAsia="zh-CN"/>
                    </w:rPr>
                    <w:t>4</w:t>
                  </w:r>
                </w:p>
              </w:tc>
              <w:tc>
                <w:tcPr>
                  <w:tcW w:w="1014" w:type="dxa"/>
                  <w:tcBorders>
                    <w:tl2br w:val="nil"/>
                    <w:tr2bl w:val="nil"/>
                  </w:tcBorders>
                  <w:vAlign w:val="center"/>
                </w:tcPr>
                <w:p w14:paraId="594E352D">
                  <w:pPr>
                    <w:adjustRightInd w:val="0"/>
                    <w:snapToGrid w:val="0"/>
                    <w:jc w:val="center"/>
                    <w:textAlignment w:val="center"/>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59.2</w:t>
                  </w:r>
                </w:p>
              </w:tc>
              <w:tc>
                <w:tcPr>
                  <w:tcW w:w="945" w:type="dxa"/>
                  <w:tcBorders>
                    <w:tl2br w:val="nil"/>
                    <w:tr2bl w:val="nil"/>
                  </w:tcBorders>
                  <w:vAlign w:val="center"/>
                </w:tcPr>
                <w:p w14:paraId="60FE1857">
                  <w:pPr>
                    <w:adjustRightInd w:val="0"/>
                    <w:snapToGrid w:val="0"/>
                    <w:jc w:val="center"/>
                    <w:textAlignment w:val="center"/>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49.5</w:t>
                  </w:r>
                </w:p>
              </w:tc>
              <w:tc>
                <w:tcPr>
                  <w:tcW w:w="762" w:type="dxa"/>
                  <w:tcBorders>
                    <w:tl2br w:val="nil"/>
                    <w:tr2bl w:val="nil"/>
                  </w:tcBorders>
                  <w:vAlign w:val="center"/>
                </w:tcPr>
                <w:p w14:paraId="017A0E30">
                  <w:pPr>
                    <w:adjustRightInd w:val="0"/>
                    <w:snapToGrid w:val="0"/>
                    <w:jc w:val="center"/>
                    <w:textAlignment w:val="center"/>
                    <w:rPr>
                      <w:color w:val="auto"/>
                      <w:sz w:val="18"/>
                      <w:szCs w:val="18"/>
                    </w:rPr>
                  </w:pPr>
                  <w:r>
                    <w:rPr>
                      <w:rFonts w:hint="eastAsia"/>
                      <w:color w:val="auto"/>
                      <w:sz w:val="18"/>
                      <w:szCs w:val="18"/>
                    </w:rPr>
                    <w:t>达标</w:t>
                  </w:r>
                </w:p>
              </w:tc>
            </w:tr>
            <w:tr w14:paraId="01D497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78" w:type="dxa"/>
                  <w:tcBorders>
                    <w:tl2br w:val="nil"/>
                    <w:tr2bl w:val="nil"/>
                  </w:tcBorders>
                  <w:vAlign w:val="center"/>
                </w:tcPr>
                <w:p w14:paraId="4CA5535C">
                  <w:pPr>
                    <w:overflowPunct w:val="0"/>
                    <w:adjustRightInd w:val="0"/>
                    <w:snapToGrid w:val="0"/>
                    <w:jc w:val="center"/>
                    <w:rPr>
                      <w:color w:val="auto"/>
                      <w:sz w:val="18"/>
                      <w:szCs w:val="18"/>
                    </w:rPr>
                  </w:pPr>
                  <w:r>
                    <w:rPr>
                      <w:rFonts w:hint="eastAsia" w:eastAsia="宋体"/>
                      <w:bCs/>
                      <w:snapToGrid w:val="0"/>
                      <w:color w:val="auto"/>
                      <w:sz w:val="18"/>
                      <w:szCs w:val="18"/>
                    </w:rPr>
                    <w:t>项目</w:t>
                  </w:r>
                  <w:r>
                    <w:rPr>
                      <w:rFonts w:hint="eastAsia"/>
                      <w:bCs/>
                      <w:snapToGrid w:val="0"/>
                      <w:color w:val="auto"/>
                      <w:sz w:val="18"/>
                      <w:szCs w:val="18"/>
                      <w:lang w:val="en-US" w:eastAsia="zh-CN"/>
                    </w:rPr>
                    <w:t>西</w:t>
                  </w:r>
                  <w:r>
                    <w:rPr>
                      <w:rFonts w:hint="eastAsia" w:eastAsia="宋体"/>
                      <w:bCs/>
                      <w:snapToGrid w:val="0"/>
                      <w:color w:val="auto"/>
                      <w:sz w:val="18"/>
                      <w:szCs w:val="18"/>
                    </w:rPr>
                    <w:t>侧外</w:t>
                  </w:r>
                  <w:r>
                    <w:rPr>
                      <w:rFonts w:eastAsia="宋体"/>
                      <w:bCs/>
                      <w:snapToGrid w:val="0"/>
                      <w:color w:val="auto"/>
                      <w:sz w:val="18"/>
                      <w:szCs w:val="18"/>
                    </w:rPr>
                    <w:t>1m</w:t>
                  </w:r>
                </w:p>
              </w:tc>
              <w:tc>
                <w:tcPr>
                  <w:tcW w:w="723" w:type="dxa"/>
                  <w:vMerge w:val="continue"/>
                  <w:tcBorders>
                    <w:tl2br w:val="nil"/>
                    <w:tr2bl w:val="nil"/>
                  </w:tcBorders>
                  <w:vAlign w:val="center"/>
                </w:tcPr>
                <w:p w14:paraId="071516DC">
                  <w:pPr>
                    <w:pStyle w:val="54"/>
                    <w:spacing w:beforeLines="0"/>
                    <w:textAlignment w:val="center"/>
                    <w:rPr>
                      <w:color w:val="auto"/>
                      <w:sz w:val="18"/>
                      <w:szCs w:val="18"/>
                    </w:rPr>
                  </w:pPr>
                </w:p>
              </w:tc>
              <w:tc>
                <w:tcPr>
                  <w:tcW w:w="1320" w:type="dxa"/>
                  <w:tcBorders>
                    <w:tl2br w:val="nil"/>
                    <w:tr2bl w:val="nil"/>
                  </w:tcBorders>
                  <w:vAlign w:val="center"/>
                </w:tcPr>
                <w:p w14:paraId="49380613">
                  <w:pPr>
                    <w:overflowPunct w:val="0"/>
                    <w:adjustRightInd w:val="0"/>
                    <w:snapToGrid w:val="0"/>
                    <w:jc w:val="center"/>
                    <w:rPr>
                      <w:rFonts w:hint="default"/>
                      <w:bCs/>
                      <w:snapToGrid w:val="0"/>
                      <w:color w:val="auto"/>
                      <w:sz w:val="18"/>
                      <w:szCs w:val="18"/>
                      <w:highlight w:val="none"/>
                      <w:lang w:val="en-US" w:eastAsia="zh-CN"/>
                    </w:rPr>
                  </w:pPr>
                  <w:r>
                    <w:rPr>
                      <w:rFonts w:hint="eastAsia"/>
                      <w:bCs/>
                      <w:snapToGrid w:val="0"/>
                      <w:color w:val="auto"/>
                      <w:sz w:val="18"/>
                      <w:szCs w:val="18"/>
                      <w:highlight w:val="none"/>
                      <w:lang w:val="en-US" w:eastAsia="zh-CN"/>
                    </w:rPr>
                    <w:t>34.9</w:t>
                  </w:r>
                </w:p>
              </w:tc>
              <w:tc>
                <w:tcPr>
                  <w:tcW w:w="1020" w:type="dxa"/>
                  <w:tcBorders>
                    <w:tl2br w:val="nil"/>
                    <w:tr2bl w:val="nil"/>
                  </w:tcBorders>
                  <w:vAlign w:val="center"/>
                </w:tcPr>
                <w:p w14:paraId="531B0BC4">
                  <w:pPr>
                    <w:overflowPunct w:val="0"/>
                    <w:adjustRightInd w:val="0"/>
                    <w:snapToGrid w:val="0"/>
                    <w:jc w:val="center"/>
                    <w:rPr>
                      <w:rFonts w:hint="default" w:ascii="Times New Roman" w:hAnsi="Times New Roman" w:eastAsia="宋体" w:cs="Times New Roman"/>
                      <w:bCs/>
                      <w:snapToGrid w:val="0"/>
                      <w:color w:val="auto"/>
                      <w:kern w:val="2"/>
                      <w:sz w:val="18"/>
                      <w:szCs w:val="18"/>
                      <w:lang w:val="en-US" w:eastAsia="zh-CN" w:bidi="ar-SA"/>
                    </w:rPr>
                  </w:pPr>
                  <w:r>
                    <w:rPr>
                      <w:rFonts w:eastAsia="宋体"/>
                      <w:bCs/>
                      <w:snapToGrid w:val="0"/>
                      <w:color w:val="auto"/>
                      <w:sz w:val="18"/>
                      <w:szCs w:val="18"/>
                      <w:highlight w:val="none"/>
                    </w:rPr>
                    <w:t>5</w:t>
                  </w:r>
                  <w:r>
                    <w:rPr>
                      <w:rFonts w:hint="eastAsia"/>
                      <w:bCs/>
                      <w:snapToGrid w:val="0"/>
                      <w:color w:val="auto"/>
                      <w:sz w:val="18"/>
                      <w:szCs w:val="18"/>
                      <w:highlight w:val="none"/>
                      <w:lang w:val="en-US" w:eastAsia="zh-CN"/>
                    </w:rPr>
                    <w:t>7.7</w:t>
                  </w:r>
                </w:p>
              </w:tc>
              <w:tc>
                <w:tcPr>
                  <w:tcW w:w="996" w:type="dxa"/>
                  <w:tcBorders>
                    <w:tl2br w:val="nil"/>
                    <w:tr2bl w:val="nil"/>
                  </w:tcBorders>
                  <w:vAlign w:val="center"/>
                </w:tcPr>
                <w:p w14:paraId="50A58CF0">
                  <w:pPr>
                    <w:overflowPunct w:val="0"/>
                    <w:adjustRightInd w:val="0"/>
                    <w:snapToGrid w:val="0"/>
                    <w:jc w:val="center"/>
                    <w:rPr>
                      <w:rFonts w:hint="default" w:ascii="Times New Roman" w:hAnsi="Times New Roman" w:eastAsia="宋体" w:cs="Times New Roman"/>
                      <w:bCs/>
                      <w:snapToGrid w:val="0"/>
                      <w:color w:val="auto"/>
                      <w:kern w:val="2"/>
                      <w:sz w:val="18"/>
                      <w:szCs w:val="18"/>
                      <w:lang w:val="en-US" w:eastAsia="zh-CN" w:bidi="ar-SA"/>
                    </w:rPr>
                  </w:pPr>
                  <w:r>
                    <w:rPr>
                      <w:rFonts w:eastAsia="宋体"/>
                      <w:bCs/>
                      <w:snapToGrid w:val="0"/>
                      <w:color w:val="auto"/>
                      <w:sz w:val="18"/>
                      <w:szCs w:val="18"/>
                      <w:highlight w:val="none"/>
                    </w:rPr>
                    <w:t>4</w:t>
                  </w:r>
                  <w:r>
                    <w:rPr>
                      <w:rFonts w:hint="eastAsia"/>
                      <w:bCs/>
                      <w:snapToGrid w:val="0"/>
                      <w:color w:val="auto"/>
                      <w:sz w:val="18"/>
                      <w:szCs w:val="18"/>
                      <w:highlight w:val="none"/>
                      <w:lang w:val="en-US" w:eastAsia="zh-CN"/>
                    </w:rPr>
                    <w:t>6.3</w:t>
                  </w:r>
                </w:p>
              </w:tc>
              <w:tc>
                <w:tcPr>
                  <w:tcW w:w="1014" w:type="dxa"/>
                  <w:tcBorders>
                    <w:tl2br w:val="nil"/>
                    <w:tr2bl w:val="nil"/>
                  </w:tcBorders>
                  <w:vAlign w:val="center"/>
                </w:tcPr>
                <w:p w14:paraId="6F9B942F">
                  <w:pPr>
                    <w:adjustRightInd w:val="0"/>
                    <w:snapToGrid w:val="0"/>
                    <w:jc w:val="center"/>
                    <w:textAlignment w:val="center"/>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2"/>
                      <w:sz w:val="18"/>
                      <w:szCs w:val="18"/>
                      <w:lang w:val="en-US" w:eastAsia="zh-CN" w:bidi="ar-SA"/>
                    </w:rPr>
                    <w:t>58.0</w:t>
                  </w:r>
                </w:p>
              </w:tc>
              <w:tc>
                <w:tcPr>
                  <w:tcW w:w="945" w:type="dxa"/>
                  <w:tcBorders>
                    <w:tl2br w:val="nil"/>
                    <w:tr2bl w:val="nil"/>
                  </w:tcBorders>
                  <w:vAlign w:val="center"/>
                </w:tcPr>
                <w:p w14:paraId="0DD43E1F">
                  <w:pPr>
                    <w:adjustRightInd w:val="0"/>
                    <w:snapToGrid w:val="0"/>
                    <w:jc w:val="center"/>
                    <w:textAlignment w:val="center"/>
                    <w:rPr>
                      <w:rFonts w:hint="default" w:ascii="Times New Roman" w:hAnsi="Times New Roman" w:eastAsia="宋体" w:cs="Times New Roman"/>
                      <w:color w:val="auto"/>
                      <w:kern w:val="0"/>
                      <w:sz w:val="18"/>
                      <w:szCs w:val="18"/>
                      <w:lang w:val="en-US" w:eastAsia="zh-CN" w:bidi="ar-SA"/>
                    </w:rPr>
                  </w:pPr>
                  <w:r>
                    <w:rPr>
                      <w:rFonts w:hint="eastAsia" w:cs="Times New Roman"/>
                      <w:color w:val="auto"/>
                      <w:kern w:val="0"/>
                      <w:sz w:val="18"/>
                      <w:szCs w:val="18"/>
                      <w:lang w:val="en-US" w:eastAsia="zh-CN" w:bidi="ar-SA"/>
                    </w:rPr>
                    <w:t>49.1</w:t>
                  </w:r>
                </w:p>
              </w:tc>
              <w:tc>
                <w:tcPr>
                  <w:tcW w:w="762" w:type="dxa"/>
                  <w:tcBorders>
                    <w:tl2br w:val="nil"/>
                    <w:tr2bl w:val="nil"/>
                  </w:tcBorders>
                  <w:vAlign w:val="center"/>
                </w:tcPr>
                <w:p w14:paraId="145E57D6">
                  <w:pPr>
                    <w:adjustRightInd w:val="0"/>
                    <w:snapToGrid w:val="0"/>
                    <w:jc w:val="center"/>
                    <w:textAlignment w:val="center"/>
                    <w:rPr>
                      <w:color w:val="auto"/>
                      <w:sz w:val="18"/>
                      <w:szCs w:val="18"/>
                    </w:rPr>
                  </w:pPr>
                  <w:r>
                    <w:rPr>
                      <w:rFonts w:hint="eastAsia"/>
                      <w:color w:val="auto"/>
                      <w:sz w:val="18"/>
                      <w:szCs w:val="18"/>
                    </w:rPr>
                    <w:t>达标</w:t>
                  </w:r>
                </w:p>
              </w:tc>
            </w:tr>
            <w:tr w14:paraId="71C7D0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278" w:type="dxa"/>
                  <w:tcBorders>
                    <w:tl2br w:val="nil"/>
                    <w:tr2bl w:val="nil"/>
                  </w:tcBorders>
                  <w:vAlign w:val="center"/>
                </w:tcPr>
                <w:p w14:paraId="4A0D4144">
                  <w:pPr>
                    <w:overflowPunct w:val="0"/>
                    <w:adjustRightInd w:val="0"/>
                    <w:snapToGrid w:val="0"/>
                    <w:jc w:val="center"/>
                    <w:rPr>
                      <w:color w:val="auto"/>
                      <w:sz w:val="18"/>
                      <w:szCs w:val="18"/>
                    </w:rPr>
                  </w:pPr>
                  <w:r>
                    <w:rPr>
                      <w:rFonts w:hint="eastAsia" w:eastAsia="宋体"/>
                      <w:bCs/>
                      <w:snapToGrid w:val="0"/>
                      <w:color w:val="auto"/>
                      <w:sz w:val="18"/>
                      <w:szCs w:val="18"/>
                    </w:rPr>
                    <w:t>项目</w:t>
                  </w:r>
                  <w:r>
                    <w:rPr>
                      <w:rFonts w:hint="eastAsia"/>
                      <w:bCs/>
                      <w:snapToGrid w:val="0"/>
                      <w:color w:val="auto"/>
                      <w:sz w:val="18"/>
                      <w:szCs w:val="18"/>
                      <w:lang w:val="en-US" w:eastAsia="zh-CN"/>
                    </w:rPr>
                    <w:t>北</w:t>
                  </w:r>
                  <w:r>
                    <w:rPr>
                      <w:rFonts w:hint="eastAsia" w:eastAsia="宋体"/>
                      <w:bCs/>
                      <w:snapToGrid w:val="0"/>
                      <w:color w:val="auto"/>
                      <w:sz w:val="18"/>
                      <w:szCs w:val="18"/>
                    </w:rPr>
                    <w:t>侧外</w:t>
                  </w:r>
                  <w:r>
                    <w:rPr>
                      <w:rFonts w:eastAsia="宋体"/>
                      <w:bCs/>
                      <w:snapToGrid w:val="0"/>
                      <w:color w:val="auto"/>
                      <w:sz w:val="18"/>
                      <w:szCs w:val="18"/>
                    </w:rPr>
                    <w:t>1m</w:t>
                  </w:r>
                </w:p>
              </w:tc>
              <w:tc>
                <w:tcPr>
                  <w:tcW w:w="723" w:type="dxa"/>
                  <w:vMerge w:val="continue"/>
                  <w:tcBorders>
                    <w:tl2br w:val="nil"/>
                    <w:tr2bl w:val="nil"/>
                  </w:tcBorders>
                  <w:vAlign w:val="center"/>
                </w:tcPr>
                <w:p w14:paraId="0BB68397">
                  <w:pPr>
                    <w:pStyle w:val="54"/>
                    <w:spacing w:beforeLines="0"/>
                    <w:textAlignment w:val="center"/>
                    <w:rPr>
                      <w:color w:val="auto"/>
                      <w:sz w:val="18"/>
                      <w:szCs w:val="18"/>
                    </w:rPr>
                  </w:pPr>
                </w:p>
              </w:tc>
              <w:tc>
                <w:tcPr>
                  <w:tcW w:w="1320" w:type="dxa"/>
                  <w:tcBorders>
                    <w:tl2br w:val="nil"/>
                    <w:tr2bl w:val="nil"/>
                  </w:tcBorders>
                  <w:vAlign w:val="center"/>
                </w:tcPr>
                <w:p w14:paraId="28CF9DF8">
                  <w:pPr>
                    <w:overflowPunct w:val="0"/>
                    <w:adjustRightInd w:val="0"/>
                    <w:snapToGrid w:val="0"/>
                    <w:jc w:val="center"/>
                    <w:rPr>
                      <w:rFonts w:hint="default"/>
                      <w:bCs/>
                      <w:snapToGrid w:val="0"/>
                      <w:color w:val="auto"/>
                      <w:sz w:val="18"/>
                      <w:szCs w:val="18"/>
                      <w:highlight w:val="none"/>
                      <w:lang w:val="en-US" w:eastAsia="zh-CN"/>
                    </w:rPr>
                  </w:pPr>
                  <w:r>
                    <w:rPr>
                      <w:rFonts w:hint="eastAsia"/>
                      <w:bCs/>
                      <w:snapToGrid w:val="0"/>
                      <w:color w:val="auto"/>
                      <w:sz w:val="18"/>
                      <w:szCs w:val="18"/>
                      <w:highlight w:val="none"/>
                      <w:lang w:val="en-US" w:eastAsia="zh-CN"/>
                    </w:rPr>
                    <w:t>45.8</w:t>
                  </w:r>
                </w:p>
              </w:tc>
              <w:tc>
                <w:tcPr>
                  <w:tcW w:w="1020" w:type="dxa"/>
                  <w:tcBorders>
                    <w:tl2br w:val="nil"/>
                    <w:tr2bl w:val="nil"/>
                  </w:tcBorders>
                  <w:vAlign w:val="center"/>
                </w:tcPr>
                <w:p w14:paraId="2EEED222">
                  <w:pPr>
                    <w:overflowPunct w:val="0"/>
                    <w:adjustRightInd w:val="0"/>
                    <w:snapToGrid w:val="0"/>
                    <w:jc w:val="center"/>
                    <w:rPr>
                      <w:rFonts w:hint="default" w:ascii="Times New Roman" w:hAnsi="Times New Roman" w:eastAsia="宋体" w:cs="Times New Roman"/>
                      <w:bCs/>
                      <w:snapToGrid w:val="0"/>
                      <w:color w:val="auto"/>
                      <w:kern w:val="2"/>
                      <w:sz w:val="18"/>
                      <w:szCs w:val="18"/>
                      <w:lang w:val="en-US" w:eastAsia="zh-CN" w:bidi="ar-SA"/>
                    </w:rPr>
                  </w:pPr>
                  <w:r>
                    <w:rPr>
                      <w:rFonts w:eastAsia="宋体"/>
                      <w:bCs/>
                      <w:snapToGrid w:val="0"/>
                      <w:color w:val="auto"/>
                      <w:sz w:val="18"/>
                      <w:szCs w:val="18"/>
                      <w:highlight w:val="none"/>
                    </w:rPr>
                    <w:t>5</w:t>
                  </w:r>
                  <w:r>
                    <w:rPr>
                      <w:rFonts w:hint="eastAsia"/>
                      <w:bCs/>
                      <w:snapToGrid w:val="0"/>
                      <w:color w:val="auto"/>
                      <w:sz w:val="18"/>
                      <w:szCs w:val="18"/>
                      <w:highlight w:val="none"/>
                      <w:lang w:val="en-US" w:eastAsia="zh-CN"/>
                    </w:rPr>
                    <w:t>9.5</w:t>
                  </w:r>
                </w:p>
              </w:tc>
              <w:tc>
                <w:tcPr>
                  <w:tcW w:w="996" w:type="dxa"/>
                  <w:tcBorders>
                    <w:tl2br w:val="nil"/>
                    <w:tr2bl w:val="nil"/>
                  </w:tcBorders>
                  <w:vAlign w:val="center"/>
                </w:tcPr>
                <w:p w14:paraId="0D31E956">
                  <w:pPr>
                    <w:overflowPunct w:val="0"/>
                    <w:adjustRightInd w:val="0"/>
                    <w:snapToGrid w:val="0"/>
                    <w:jc w:val="center"/>
                    <w:rPr>
                      <w:rFonts w:hint="default" w:ascii="Times New Roman" w:hAnsi="Times New Roman" w:eastAsia="宋体" w:cs="Times New Roman"/>
                      <w:bCs/>
                      <w:snapToGrid w:val="0"/>
                      <w:color w:val="auto"/>
                      <w:kern w:val="2"/>
                      <w:sz w:val="18"/>
                      <w:szCs w:val="18"/>
                      <w:lang w:val="en-US" w:eastAsia="zh-CN" w:bidi="ar-SA"/>
                    </w:rPr>
                  </w:pPr>
                  <w:r>
                    <w:rPr>
                      <w:rFonts w:eastAsia="宋体"/>
                      <w:bCs/>
                      <w:snapToGrid w:val="0"/>
                      <w:color w:val="auto"/>
                      <w:sz w:val="18"/>
                      <w:szCs w:val="18"/>
                      <w:highlight w:val="none"/>
                    </w:rPr>
                    <w:t>4</w:t>
                  </w:r>
                  <w:r>
                    <w:rPr>
                      <w:rFonts w:hint="eastAsia" w:eastAsia="宋体"/>
                      <w:bCs/>
                      <w:snapToGrid w:val="0"/>
                      <w:color w:val="auto"/>
                      <w:sz w:val="18"/>
                      <w:szCs w:val="18"/>
                      <w:highlight w:val="none"/>
                      <w:lang w:val="en-US" w:eastAsia="zh-CN"/>
                    </w:rPr>
                    <w:t>8.</w:t>
                  </w:r>
                  <w:r>
                    <w:rPr>
                      <w:rFonts w:hint="eastAsia"/>
                      <w:bCs/>
                      <w:snapToGrid w:val="0"/>
                      <w:color w:val="auto"/>
                      <w:sz w:val="18"/>
                      <w:szCs w:val="18"/>
                      <w:highlight w:val="none"/>
                      <w:lang w:val="en-US" w:eastAsia="zh-CN"/>
                    </w:rPr>
                    <w:t>1</w:t>
                  </w:r>
                </w:p>
              </w:tc>
              <w:tc>
                <w:tcPr>
                  <w:tcW w:w="1014" w:type="dxa"/>
                  <w:tcBorders>
                    <w:tl2br w:val="nil"/>
                    <w:tr2bl w:val="nil"/>
                  </w:tcBorders>
                  <w:vAlign w:val="center"/>
                </w:tcPr>
                <w:p w14:paraId="6B7C8860">
                  <w:pPr>
                    <w:adjustRightInd w:val="0"/>
                    <w:snapToGrid w:val="0"/>
                    <w:jc w:val="center"/>
                    <w:textAlignment w:val="center"/>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59.5</w:t>
                  </w:r>
                </w:p>
              </w:tc>
              <w:tc>
                <w:tcPr>
                  <w:tcW w:w="945" w:type="dxa"/>
                  <w:tcBorders>
                    <w:tl2br w:val="nil"/>
                    <w:tr2bl w:val="nil"/>
                  </w:tcBorders>
                  <w:vAlign w:val="center"/>
                </w:tcPr>
                <w:p w14:paraId="38177E1B">
                  <w:pPr>
                    <w:adjustRightInd w:val="0"/>
                    <w:snapToGrid w:val="0"/>
                    <w:jc w:val="center"/>
                    <w:textAlignment w:val="center"/>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48.3</w:t>
                  </w:r>
                </w:p>
              </w:tc>
              <w:tc>
                <w:tcPr>
                  <w:tcW w:w="762" w:type="dxa"/>
                  <w:tcBorders>
                    <w:tl2br w:val="nil"/>
                    <w:tr2bl w:val="nil"/>
                  </w:tcBorders>
                  <w:vAlign w:val="center"/>
                </w:tcPr>
                <w:p w14:paraId="2FB6BF64">
                  <w:pPr>
                    <w:adjustRightInd w:val="0"/>
                    <w:snapToGrid w:val="0"/>
                    <w:jc w:val="center"/>
                    <w:textAlignment w:val="center"/>
                    <w:rPr>
                      <w:color w:val="auto"/>
                      <w:sz w:val="18"/>
                      <w:szCs w:val="18"/>
                    </w:rPr>
                  </w:pPr>
                  <w:r>
                    <w:rPr>
                      <w:rFonts w:hint="eastAsia"/>
                      <w:color w:val="auto"/>
                      <w:sz w:val="18"/>
                      <w:szCs w:val="18"/>
                    </w:rPr>
                    <w:t>达标</w:t>
                  </w:r>
                </w:p>
              </w:tc>
            </w:tr>
            <w:tr w14:paraId="40EC0D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77" w:hRule="atLeast"/>
                <w:jc w:val="center"/>
              </w:trPr>
              <w:tc>
                <w:tcPr>
                  <w:tcW w:w="1278" w:type="dxa"/>
                  <w:tcBorders>
                    <w:tl2br w:val="nil"/>
                    <w:tr2bl w:val="nil"/>
                  </w:tcBorders>
                  <w:vAlign w:val="center"/>
                </w:tcPr>
                <w:p w14:paraId="0354D27F">
                  <w:pPr>
                    <w:overflowPunct w:val="0"/>
                    <w:adjustRightInd w:val="0"/>
                    <w:snapToGrid w:val="0"/>
                    <w:jc w:val="center"/>
                    <w:rPr>
                      <w:rFonts w:hint="eastAsia" w:eastAsia="宋体"/>
                      <w:bCs/>
                      <w:snapToGrid w:val="0"/>
                      <w:color w:val="auto"/>
                      <w:sz w:val="18"/>
                      <w:szCs w:val="18"/>
                    </w:rPr>
                  </w:pPr>
                  <w:r>
                    <w:rPr>
                      <w:rFonts w:hint="eastAsia" w:eastAsia="宋体"/>
                      <w:bCs/>
                      <w:snapToGrid w:val="0"/>
                      <w:color w:val="auto"/>
                      <w:sz w:val="18"/>
                      <w:szCs w:val="18"/>
                      <w:lang w:val="en-US" w:eastAsia="zh-CN"/>
                    </w:rPr>
                    <w:t>高路村</w:t>
                  </w:r>
                </w:p>
              </w:tc>
              <w:tc>
                <w:tcPr>
                  <w:tcW w:w="723" w:type="dxa"/>
                  <w:vMerge w:val="continue"/>
                  <w:tcBorders>
                    <w:tl2br w:val="nil"/>
                    <w:tr2bl w:val="nil"/>
                  </w:tcBorders>
                  <w:vAlign w:val="center"/>
                </w:tcPr>
                <w:p w14:paraId="43EF29BB">
                  <w:pPr>
                    <w:pStyle w:val="54"/>
                    <w:spacing w:beforeLines="0"/>
                    <w:textAlignment w:val="center"/>
                    <w:rPr>
                      <w:color w:val="auto"/>
                      <w:sz w:val="18"/>
                      <w:szCs w:val="18"/>
                    </w:rPr>
                  </w:pPr>
                </w:p>
              </w:tc>
              <w:tc>
                <w:tcPr>
                  <w:tcW w:w="1320" w:type="dxa"/>
                  <w:tcBorders>
                    <w:tl2br w:val="nil"/>
                    <w:tr2bl w:val="nil"/>
                  </w:tcBorders>
                  <w:vAlign w:val="center"/>
                </w:tcPr>
                <w:p w14:paraId="58DD8AC5">
                  <w:pPr>
                    <w:overflowPunct w:val="0"/>
                    <w:adjustRightInd w:val="0"/>
                    <w:snapToGrid w:val="0"/>
                    <w:jc w:val="center"/>
                    <w:rPr>
                      <w:rFonts w:hint="default"/>
                      <w:bCs/>
                      <w:snapToGrid w:val="0"/>
                      <w:color w:val="auto"/>
                      <w:sz w:val="18"/>
                      <w:szCs w:val="18"/>
                      <w:highlight w:val="none"/>
                      <w:lang w:val="en-US" w:eastAsia="zh-CN"/>
                    </w:rPr>
                  </w:pPr>
                  <w:r>
                    <w:rPr>
                      <w:rFonts w:hint="eastAsia"/>
                      <w:bCs/>
                      <w:snapToGrid w:val="0"/>
                      <w:color w:val="auto"/>
                      <w:sz w:val="18"/>
                      <w:szCs w:val="18"/>
                      <w:highlight w:val="none"/>
                      <w:lang w:val="en-US" w:eastAsia="zh-CN"/>
                    </w:rPr>
                    <w:t>40.6</w:t>
                  </w:r>
                </w:p>
              </w:tc>
              <w:tc>
                <w:tcPr>
                  <w:tcW w:w="1020" w:type="dxa"/>
                  <w:tcBorders>
                    <w:tl2br w:val="nil"/>
                    <w:tr2bl w:val="nil"/>
                  </w:tcBorders>
                  <w:vAlign w:val="center"/>
                </w:tcPr>
                <w:p w14:paraId="64F2BC4F">
                  <w:pPr>
                    <w:overflowPunct w:val="0"/>
                    <w:adjustRightInd w:val="0"/>
                    <w:snapToGrid w:val="0"/>
                    <w:jc w:val="center"/>
                    <w:rPr>
                      <w:rFonts w:hint="default" w:eastAsia="宋体"/>
                      <w:bCs/>
                      <w:snapToGrid w:val="0"/>
                      <w:color w:val="auto"/>
                      <w:sz w:val="18"/>
                      <w:szCs w:val="18"/>
                      <w:highlight w:val="none"/>
                      <w:lang w:val="en-US" w:eastAsia="zh-CN"/>
                    </w:rPr>
                  </w:pPr>
                  <w:r>
                    <w:rPr>
                      <w:rFonts w:hint="eastAsia"/>
                      <w:bCs/>
                      <w:snapToGrid w:val="0"/>
                      <w:color w:val="auto"/>
                      <w:sz w:val="18"/>
                      <w:szCs w:val="18"/>
                      <w:highlight w:val="none"/>
                      <w:lang w:val="en-US" w:eastAsia="zh-CN"/>
                    </w:rPr>
                    <w:t>57.2</w:t>
                  </w:r>
                </w:p>
              </w:tc>
              <w:tc>
                <w:tcPr>
                  <w:tcW w:w="996" w:type="dxa"/>
                  <w:tcBorders>
                    <w:tl2br w:val="nil"/>
                    <w:tr2bl w:val="nil"/>
                  </w:tcBorders>
                  <w:vAlign w:val="center"/>
                </w:tcPr>
                <w:p w14:paraId="5DCAC65E">
                  <w:pPr>
                    <w:overflowPunct w:val="0"/>
                    <w:adjustRightInd w:val="0"/>
                    <w:snapToGrid w:val="0"/>
                    <w:jc w:val="center"/>
                    <w:rPr>
                      <w:rFonts w:eastAsia="宋体"/>
                      <w:bCs/>
                      <w:snapToGrid w:val="0"/>
                      <w:color w:val="auto"/>
                      <w:sz w:val="18"/>
                      <w:szCs w:val="18"/>
                      <w:highlight w:val="none"/>
                    </w:rPr>
                  </w:pPr>
                  <w:r>
                    <w:rPr>
                      <w:rFonts w:hint="eastAsia"/>
                      <w:bCs/>
                      <w:snapToGrid w:val="0"/>
                      <w:color w:val="auto"/>
                      <w:sz w:val="18"/>
                      <w:szCs w:val="18"/>
                      <w:highlight w:val="none"/>
                      <w:lang w:val="en-US" w:eastAsia="zh-CN"/>
                    </w:rPr>
                    <w:t>45.8</w:t>
                  </w:r>
                </w:p>
              </w:tc>
              <w:tc>
                <w:tcPr>
                  <w:tcW w:w="1014" w:type="dxa"/>
                  <w:tcBorders>
                    <w:tl2br w:val="nil"/>
                    <w:tr2bl w:val="nil"/>
                  </w:tcBorders>
                  <w:vAlign w:val="center"/>
                </w:tcPr>
                <w:p w14:paraId="44F666BD">
                  <w:pPr>
                    <w:adjustRightInd w:val="0"/>
                    <w:snapToGrid w:val="0"/>
                    <w:jc w:val="center"/>
                    <w:textAlignment w:val="center"/>
                    <w:rPr>
                      <w:rFonts w:hint="default" w:eastAsia="宋体"/>
                      <w:color w:val="auto"/>
                      <w:sz w:val="18"/>
                      <w:szCs w:val="18"/>
                      <w:lang w:val="en-US" w:eastAsia="zh-CN"/>
                    </w:rPr>
                  </w:pPr>
                  <w:r>
                    <w:rPr>
                      <w:rFonts w:hint="eastAsia"/>
                      <w:color w:val="auto"/>
                      <w:sz w:val="18"/>
                      <w:szCs w:val="18"/>
                      <w:lang w:val="en-US" w:eastAsia="zh-CN"/>
                    </w:rPr>
                    <w:t>57.3</w:t>
                  </w:r>
                </w:p>
              </w:tc>
              <w:tc>
                <w:tcPr>
                  <w:tcW w:w="945" w:type="dxa"/>
                  <w:tcBorders>
                    <w:tl2br w:val="nil"/>
                    <w:tr2bl w:val="nil"/>
                  </w:tcBorders>
                  <w:vAlign w:val="center"/>
                </w:tcPr>
                <w:p w14:paraId="73B6F456">
                  <w:pPr>
                    <w:adjustRightInd w:val="0"/>
                    <w:snapToGrid w:val="0"/>
                    <w:jc w:val="center"/>
                    <w:textAlignment w:val="center"/>
                    <w:rPr>
                      <w:rFonts w:hint="default" w:eastAsia="宋体"/>
                      <w:color w:val="auto"/>
                      <w:sz w:val="18"/>
                      <w:szCs w:val="18"/>
                      <w:lang w:val="en-US" w:eastAsia="zh-CN"/>
                    </w:rPr>
                  </w:pPr>
                  <w:r>
                    <w:rPr>
                      <w:rFonts w:hint="eastAsia"/>
                      <w:color w:val="auto"/>
                      <w:sz w:val="18"/>
                      <w:szCs w:val="18"/>
                      <w:lang w:val="en-US" w:eastAsia="zh-CN"/>
                    </w:rPr>
                    <w:t>46.9</w:t>
                  </w:r>
                </w:p>
              </w:tc>
              <w:tc>
                <w:tcPr>
                  <w:tcW w:w="762" w:type="dxa"/>
                  <w:tcBorders>
                    <w:tl2br w:val="nil"/>
                    <w:tr2bl w:val="nil"/>
                  </w:tcBorders>
                  <w:vAlign w:val="center"/>
                </w:tcPr>
                <w:p w14:paraId="5A5C8122">
                  <w:pPr>
                    <w:adjustRightInd w:val="0"/>
                    <w:snapToGrid w:val="0"/>
                    <w:jc w:val="center"/>
                    <w:textAlignment w:val="center"/>
                    <w:rPr>
                      <w:rFonts w:hint="eastAsia"/>
                      <w:color w:val="auto"/>
                      <w:sz w:val="18"/>
                      <w:szCs w:val="18"/>
                    </w:rPr>
                  </w:pPr>
                  <w:r>
                    <w:rPr>
                      <w:rFonts w:hint="eastAsia"/>
                      <w:color w:val="auto"/>
                      <w:sz w:val="18"/>
                      <w:szCs w:val="18"/>
                    </w:rPr>
                    <w:t>达标</w:t>
                  </w:r>
                </w:p>
              </w:tc>
            </w:tr>
          </w:tbl>
          <w:p w14:paraId="23A1B270">
            <w:pPr>
              <w:pStyle w:val="76"/>
              <w:ind w:firstLine="31680"/>
              <w:rPr>
                <w:color w:val="auto"/>
                <w:sz w:val="21"/>
                <w:szCs w:val="21"/>
              </w:rPr>
            </w:pPr>
            <w:r>
              <w:rPr>
                <w:rFonts w:hint="eastAsia"/>
                <w:color w:val="auto"/>
                <w:sz w:val="21"/>
                <w:szCs w:val="21"/>
              </w:rPr>
              <w:t>根据噪声预测分析，本项目各噪声源在采取相应的噪声污染防治措施后，噪声能符合《工业企业厂界环境噪声排放标准》（</w:t>
            </w:r>
            <w:r>
              <w:rPr>
                <w:color w:val="auto"/>
                <w:sz w:val="21"/>
                <w:szCs w:val="21"/>
              </w:rPr>
              <w:t>GB 12348-2008</w:t>
            </w:r>
            <w:r>
              <w:rPr>
                <w:rFonts w:hint="eastAsia"/>
                <w:color w:val="auto"/>
                <w:sz w:val="21"/>
                <w:szCs w:val="21"/>
              </w:rPr>
              <w:t>）中的</w:t>
            </w:r>
            <w:r>
              <w:rPr>
                <w:color w:val="auto"/>
                <w:sz w:val="21"/>
                <w:szCs w:val="21"/>
              </w:rPr>
              <w:t>2</w:t>
            </w:r>
            <w:r>
              <w:rPr>
                <w:rFonts w:hint="eastAsia"/>
                <w:color w:val="auto"/>
                <w:sz w:val="21"/>
                <w:szCs w:val="21"/>
              </w:rPr>
              <w:t>类标准。</w:t>
            </w:r>
          </w:p>
          <w:p w14:paraId="372FB5D4">
            <w:pPr>
              <w:overflowPunct w:val="0"/>
              <w:adjustRightInd w:val="0"/>
              <w:snapToGrid w:val="0"/>
              <w:spacing w:line="360" w:lineRule="auto"/>
              <w:jc w:val="left"/>
              <w:rPr>
                <w:b/>
                <w:bCs/>
                <w:snapToGrid w:val="0"/>
                <w:color w:val="auto"/>
                <w:spacing w:val="-2"/>
                <w:kern w:val="0"/>
                <w:szCs w:val="21"/>
              </w:rPr>
            </w:pPr>
            <w:r>
              <w:rPr>
                <w:rFonts w:hint="eastAsia"/>
                <w:b/>
                <w:bCs/>
                <w:snapToGrid w:val="0"/>
                <w:color w:val="auto"/>
                <w:spacing w:val="-2"/>
                <w:kern w:val="0"/>
                <w:szCs w:val="21"/>
                <w:lang w:val="en-US" w:eastAsia="zh-CN"/>
              </w:rPr>
              <w:t>3</w:t>
            </w:r>
            <w:r>
              <w:rPr>
                <w:b/>
                <w:bCs/>
                <w:snapToGrid w:val="0"/>
                <w:color w:val="auto"/>
                <w:spacing w:val="-2"/>
                <w:kern w:val="0"/>
                <w:szCs w:val="21"/>
              </w:rPr>
              <w:t>.4</w:t>
            </w:r>
            <w:r>
              <w:rPr>
                <w:rFonts w:hint="eastAsia"/>
                <w:b/>
                <w:bCs/>
                <w:snapToGrid w:val="0"/>
                <w:color w:val="auto"/>
                <w:spacing w:val="-2"/>
                <w:kern w:val="0"/>
                <w:szCs w:val="21"/>
              </w:rPr>
              <w:t>噪声监测</w:t>
            </w:r>
          </w:p>
          <w:p w14:paraId="1019E398">
            <w:pPr>
              <w:pStyle w:val="76"/>
              <w:ind w:firstLine="31680"/>
              <w:rPr>
                <w:color w:val="auto"/>
                <w:sz w:val="21"/>
                <w:szCs w:val="21"/>
              </w:rPr>
            </w:pPr>
            <w:r>
              <w:rPr>
                <w:rFonts w:hint="eastAsia"/>
                <w:color w:val="auto"/>
                <w:sz w:val="21"/>
                <w:szCs w:val="21"/>
              </w:rPr>
              <w:t>根据《排污单位自行监测技术指南总则》（</w:t>
            </w:r>
            <w:r>
              <w:rPr>
                <w:color w:val="auto"/>
                <w:sz w:val="21"/>
                <w:szCs w:val="21"/>
              </w:rPr>
              <w:t>HJ819-2017</w:t>
            </w:r>
            <w:r>
              <w:rPr>
                <w:rFonts w:hint="eastAsia"/>
                <w:color w:val="auto"/>
                <w:sz w:val="21"/>
                <w:szCs w:val="21"/>
              </w:rPr>
              <w:t>），本项目噪声监测要求见下表。</w:t>
            </w:r>
          </w:p>
          <w:p w14:paraId="020DD5F9">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4-</w:t>
            </w:r>
            <w:r>
              <w:rPr>
                <w:rFonts w:hint="eastAsia"/>
                <w:b/>
                <w:snapToGrid w:val="0"/>
                <w:color w:val="auto"/>
                <w:szCs w:val="21"/>
                <w:lang w:val="en-US" w:eastAsia="zh-CN"/>
              </w:rPr>
              <w:t>15</w:t>
            </w:r>
            <w:r>
              <w:rPr>
                <w:b/>
                <w:snapToGrid w:val="0"/>
                <w:color w:val="auto"/>
                <w:szCs w:val="21"/>
              </w:rPr>
              <w:t xml:space="preserve">  </w:t>
            </w:r>
            <w:r>
              <w:rPr>
                <w:rFonts w:hint="eastAsia"/>
                <w:b/>
                <w:snapToGrid w:val="0"/>
                <w:color w:val="auto"/>
                <w:szCs w:val="21"/>
              </w:rPr>
              <w:t>噪声监测要求</w:t>
            </w:r>
          </w:p>
          <w:tbl>
            <w:tblPr>
              <w:tblStyle w:val="26"/>
              <w:tblW w:w="805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81"/>
              <w:gridCol w:w="1433"/>
              <w:gridCol w:w="1275"/>
              <w:gridCol w:w="1280"/>
              <w:gridCol w:w="3087"/>
            </w:tblGrid>
            <w:tr w14:paraId="6574AD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981" w:type="dxa"/>
                  <w:tcBorders>
                    <w:top w:val="single" w:color="auto" w:sz="12" w:space="0"/>
                    <w:bottom w:val="single" w:color="auto" w:sz="4" w:space="0"/>
                    <w:right w:val="single" w:color="auto" w:sz="4" w:space="0"/>
                  </w:tcBorders>
                  <w:vAlign w:val="center"/>
                </w:tcPr>
                <w:p w14:paraId="446A1AEC">
                  <w:pPr>
                    <w:jc w:val="center"/>
                    <w:rPr>
                      <w:bCs/>
                      <w:color w:val="auto"/>
                      <w:sz w:val="18"/>
                      <w:szCs w:val="18"/>
                    </w:rPr>
                  </w:pPr>
                  <w:r>
                    <w:rPr>
                      <w:rFonts w:hint="eastAsia"/>
                      <w:bCs/>
                      <w:color w:val="auto"/>
                      <w:sz w:val="18"/>
                      <w:szCs w:val="18"/>
                    </w:rPr>
                    <w:t>类型</w:t>
                  </w:r>
                </w:p>
              </w:tc>
              <w:tc>
                <w:tcPr>
                  <w:tcW w:w="1433" w:type="dxa"/>
                  <w:tcBorders>
                    <w:top w:val="single" w:color="auto" w:sz="12" w:space="0"/>
                    <w:left w:val="single" w:color="auto" w:sz="4" w:space="0"/>
                    <w:bottom w:val="single" w:color="auto" w:sz="4" w:space="0"/>
                    <w:right w:val="single" w:color="auto" w:sz="4" w:space="0"/>
                  </w:tcBorders>
                  <w:vAlign w:val="center"/>
                </w:tcPr>
                <w:p w14:paraId="58D037B1">
                  <w:pPr>
                    <w:jc w:val="center"/>
                    <w:rPr>
                      <w:bCs/>
                      <w:color w:val="auto"/>
                      <w:sz w:val="18"/>
                      <w:szCs w:val="18"/>
                    </w:rPr>
                  </w:pPr>
                  <w:r>
                    <w:rPr>
                      <w:rFonts w:hint="eastAsia"/>
                      <w:bCs/>
                      <w:color w:val="auto"/>
                      <w:sz w:val="18"/>
                      <w:szCs w:val="18"/>
                    </w:rPr>
                    <w:t>监测点位</w:t>
                  </w:r>
                </w:p>
              </w:tc>
              <w:tc>
                <w:tcPr>
                  <w:tcW w:w="1275" w:type="dxa"/>
                  <w:tcBorders>
                    <w:top w:val="single" w:color="auto" w:sz="12" w:space="0"/>
                    <w:left w:val="single" w:color="auto" w:sz="4" w:space="0"/>
                    <w:bottom w:val="single" w:color="auto" w:sz="4" w:space="0"/>
                    <w:right w:val="single" w:color="auto" w:sz="4" w:space="0"/>
                  </w:tcBorders>
                  <w:vAlign w:val="center"/>
                </w:tcPr>
                <w:p w14:paraId="07E9760E">
                  <w:pPr>
                    <w:jc w:val="center"/>
                    <w:rPr>
                      <w:bCs/>
                      <w:color w:val="auto"/>
                      <w:sz w:val="18"/>
                      <w:szCs w:val="18"/>
                    </w:rPr>
                  </w:pPr>
                  <w:r>
                    <w:rPr>
                      <w:rFonts w:hint="eastAsia"/>
                      <w:bCs/>
                      <w:color w:val="auto"/>
                      <w:sz w:val="18"/>
                      <w:szCs w:val="18"/>
                    </w:rPr>
                    <w:t>监测频次</w:t>
                  </w:r>
                </w:p>
              </w:tc>
              <w:tc>
                <w:tcPr>
                  <w:tcW w:w="1280" w:type="dxa"/>
                  <w:tcBorders>
                    <w:top w:val="single" w:color="auto" w:sz="12" w:space="0"/>
                    <w:left w:val="single" w:color="auto" w:sz="4" w:space="0"/>
                    <w:bottom w:val="single" w:color="auto" w:sz="4" w:space="0"/>
                    <w:right w:val="single" w:color="auto" w:sz="4" w:space="0"/>
                  </w:tcBorders>
                  <w:vAlign w:val="center"/>
                </w:tcPr>
                <w:p w14:paraId="6288DEBC">
                  <w:pPr>
                    <w:jc w:val="center"/>
                    <w:rPr>
                      <w:bCs/>
                      <w:color w:val="auto"/>
                      <w:sz w:val="18"/>
                      <w:szCs w:val="18"/>
                    </w:rPr>
                  </w:pPr>
                  <w:r>
                    <w:rPr>
                      <w:rFonts w:hint="eastAsia"/>
                      <w:bCs/>
                      <w:color w:val="auto"/>
                      <w:sz w:val="18"/>
                      <w:szCs w:val="18"/>
                    </w:rPr>
                    <w:t>监测指标</w:t>
                  </w:r>
                </w:p>
              </w:tc>
              <w:tc>
                <w:tcPr>
                  <w:tcW w:w="3087" w:type="dxa"/>
                  <w:tcBorders>
                    <w:top w:val="single" w:color="auto" w:sz="12" w:space="0"/>
                    <w:left w:val="single" w:color="auto" w:sz="4" w:space="0"/>
                    <w:bottom w:val="single" w:color="auto" w:sz="4" w:space="0"/>
                  </w:tcBorders>
                  <w:vAlign w:val="center"/>
                </w:tcPr>
                <w:p w14:paraId="0B185AEE">
                  <w:pPr>
                    <w:jc w:val="center"/>
                    <w:rPr>
                      <w:bCs/>
                      <w:color w:val="auto"/>
                      <w:sz w:val="18"/>
                      <w:szCs w:val="18"/>
                    </w:rPr>
                  </w:pPr>
                  <w:r>
                    <w:rPr>
                      <w:rFonts w:hint="eastAsia"/>
                      <w:bCs/>
                      <w:color w:val="auto"/>
                      <w:sz w:val="18"/>
                      <w:szCs w:val="18"/>
                    </w:rPr>
                    <w:t>执行标准</w:t>
                  </w:r>
                </w:p>
              </w:tc>
            </w:tr>
            <w:tr w14:paraId="3B477D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981" w:type="dxa"/>
                  <w:tcBorders>
                    <w:top w:val="single" w:color="auto" w:sz="4" w:space="0"/>
                    <w:bottom w:val="single" w:color="auto" w:sz="12" w:space="0"/>
                    <w:right w:val="single" w:color="auto" w:sz="4" w:space="0"/>
                  </w:tcBorders>
                  <w:vAlign w:val="center"/>
                </w:tcPr>
                <w:p w14:paraId="434E325A">
                  <w:pPr>
                    <w:jc w:val="center"/>
                    <w:rPr>
                      <w:color w:val="auto"/>
                      <w:sz w:val="18"/>
                      <w:szCs w:val="18"/>
                    </w:rPr>
                  </w:pPr>
                  <w:r>
                    <w:rPr>
                      <w:rFonts w:hint="eastAsia"/>
                      <w:color w:val="auto"/>
                      <w:sz w:val="18"/>
                      <w:szCs w:val="18"/>
                    </w:rPr>
                    <w:t>噪声</w:t>
                  </w:r>
                </w:p>
              </w:tc>
              <w:tc>
                <w:tcPr>
                  <w:tcW w:w="1433" w:type="dxa"/>
                  <w:tcBorders>
                    <w:top w:val="single" w:color="auto" w:sz="4" w:space="0"/>
                    <w:left w:val="single" w:color="auto" w:sz="4" w:space="0"/>
                    <w:bottom w:val="single" w:color="auto" w:sz="12" w:space="0"/>
                    <w:right w:val="single" w:color="auto" w:sz="4" w:space="0"/>
                  </w:tcBorders>
                  <w:vAlign w:val="center"/>
                </w:tcPr>
                <w:p w14:paraId="76F57EF8">
                  <w:pPr>
                    <w:jc w:val="center"/>
                    <w:rPr>
                      <w:color w:val="auto"/>
                      <w:sz w:val="18"/>
                      <w:szCs w:val="18"/>
                    </w:rPr>
                  </w:pPr>
                  <w:r>
                    <w:rPr>
                      <w:rFonts w:hint="eastAsia"/>
                      <w:color w:val="auto"/>
                      <w:sz w:val="18"/>
                      <w:szCs w:val="18"/>
                    </w:rPr>
                    <w:t>厂界四周</w:t>
                  </w:r>
                </w:p>
              </w:tc>
              <w:tc>
                <w:tcPr>
                  <w:tcW w:w="1275" w:type="dxa"/>
                  <w:tcBorders>
                    <w:top w:val="single" w:color="auto" w:sz="4" w:space="0"/>
                    <w:left w:val="single" w:color="auto" w:sz="4" w:space="0"/>
                    <w:bottom w:val="single" w:color="auto" w:sz="12" w:space="0"/>
                    <w:right w:val="single" w:color="auto" w:sz="4" w:space="0"/>
                  </w:tcBorders>
                  <w:vAlign w:val="center"/>
                </w:tcPr>
                <w:p w14:paraId="01C57A33">
                  <w:pPr>
                    <w:jc w:val="center"/>
                    <w:rPr>
                      <w:color w:val="auto"/>
                      <w:sz w:val="18"/>
                      <w:szCs w:val="18"/>
                    </w:rPr>
                  </w:pPr>
                  <w:r>
                    <w:rPr>
                      <w:color w:val="auto"/>
                      <w:sz w:val="18"/>
                      <w:szCs w:val="18"/>
                    </w:rPr>
                    <w:t>1</w:t>
                  </w:r>
                  <w:r>
                    <w:rPr>
                      <w:rFonts w:hint="eastAsia"/>
                      <w:color w:val="auto"/>
                      <w:sz w:val="18"/>
                      <w:szCs w:val="18"/>
                    </w:rPr>
                    <w:t>次</w:t>
                  </w:r>
                  <w:r>
                    <w:rPr>
                      <w:color w:val="auto"/>
                      <w:sz w:val="18"/>
                      <w:szCs w:val="18"/>
                    </w:rPr>
                    <w:t>/</w:t>
                  </w:r>
                  <w:r>
                    <w:rPr>
                      <w:rFonts w:hint="eastAsia"/>
                      <w:color w:val="auto"/>
                      <w:sz w:val="18"/>
                      <w:szCs w:val="18"/>
                    </w:rPr>
                    <w:t>季度</w:t>
                  </w:r>
                </w:p>
              </w:tc>
              <w:tc>
                <w:tcPr>
                  <w:tcW w:w="1280" w:type="dxa"/>
                  <w:tcBorders>
                    <w:top w:val="single" w:color="auto" w:sz="4" w:space="0"/>
                    <w:left w:val="single" w:color="auto" w:sz="4" w:space="0"/>
                    <w:bottom w:val="single" w:color="auto" w:sz="12" w:space="0"/>
                    <w:right w:val="single" w:color="auto" w:sz="4" w:space="0"/>
                  </w:tcBorders>
                  <w:vAlign w:val="center"/>
                </w:tcPr>
                <w:p w14:paraId="41276D93">
                  <w:pPr>
                    <w:jc w:val="center"/>
                    <w:rPr>
                      <w:color w:val="auto"/>
                      <w:sz w:val="18"/>
                      <w:szCs w:val="18"/>
                    </w:rPr>
                  </w:pPr>
                  <w:r>
                    <w:rPr>
                      <w:rFonts w:hint="eastAsia"/>
                      <w:color w:val="auto"/>
                      <w:sz w:val="18"/>
                      <w:szCs w:val="18"/>
                    </w:rPr>
                    <w:t>等效</w:t>
                  </w:r>
                  <w:r>
                    <w:rPr>
                      <w:color w:val="auto"/>
                      <w:sz w:val="18"/>
                      <w:szCs w:val="18"/>
                    </w:rPr>
                    <w:t>A</w:t>
                  </w:r>
                  <w:r>
                    <w:rPr>
                      <w:rFonts w:hint="eastAsia"/>
                      <w:color w:val="auto"/>
                      <w:sz w:val="18"/>
                      <w:szCs w:val="18"/>
                    </w:rPr>
                    <w:t>连续声级</w:t>
                  </w:r>
                </w:p>
              </w:tc>
              <w:tc>
                <w:tcPr>
                  <w:tcW w:w="3087" w:type="dxa"/>
                  <w:tcBorders>
                    <w:top w:val="single" w:color="auto" w:sz="4" w:space="0"/>
                    <w:left w:val="single" w:color="auto" w:sz="4" w:space="0"/>
                    <w:bottom w:val="single" w:color="auto" w:sz="12" w:space="0"/>
                  </w:tcBorders>
                  <w:vAlign w:val="center"/>
                </w:tcPr>
                <w:p w14:paraId="73536BF6">
                  <w:pPr>
                    <w:jc w:val="center"/>
                    <w:rPr>
                      <w:color w:val="auto"/>
                      <w:sz w:val="18"/>
                      <w:szCs w:val="18"/>
                    </w:rPr>
                  </w:pPr>
                  <w:r>
                    <w:rPr>
                      <w:rFonts w:hint="eastAsia"/>
                      <w:color w:val="auto"/>
                      <w:sz w:val="18"/>
                      <w:szCs w:val="18"/>
                    </w:rPr>
                    <w:t>《工业企业厂界环境噪声排放标准》（</w:t>
                  </w:r>
                  <w:r>
                    <w:rPr>
                      <w:color w:val="auto"/>
                      <w:sz w:val="18"/>
                      <w:szCs w:val="18"/>
                    </w:rPr>
                    <w:t>GB 12348-2008</w:t>
                  </w:r>
                  <w:r>
                    <w:rPr>
                      <w:rFonts w:hint="eastAsia"/>
                      <w:color w:val="auto"/>
                      <w:sz w:val="18"/>
                      <w:szCs w:val="18"/>
                    </w:rPr>
                    <w:t>）</w:t>
                  </w:r>
                  <w:r>
                    <w:rPr>
                      <w:color w:val="auto"/>
                      <w:sz w:val="18"/>
                      <w:szCs w:val="18"/>
                    </w:rPr>
                    <w:t>2</w:t>
                  </w:r>
                  <w:r>
                    <w:rPr>
                      <w:rFonts w:hint="eastAsia"/>
                      <w:color w:val="auto"/>
                      <w:sz w:val="18"/>
                      <w:szCs w:val="18"/>
                    </w:rPr>
                    <w:t>类标准</w:t>
                  </w:r>
                </w:p>
              </w:tc>
            </w:tr>
          </w:tbl>
          <w:p w14:paraId="5D48D1CB">
            <w:pPr>
              <w:overflowPunct w:val="0"/>
              <w:adjustRightInd w:val="0"/>
              <w:snapToGrid w:val="0"/>
              <w:spacing w:line="360" w:lineRule="auto"/>
              <w:jc w:val="left"/>
              <w:rPr>
                <w:b/>
                <w:bCs/>
                <w:snapToGrid w:val="0"/>
                <w:color w:val="auto"/>
                <w:spacing w:val="-2"/>
                <w:kern w:val="0"/>
                <w:szCs w:val="21"/>
              </w:rPr>
            </w:pPr>
            <w:r>
              <w:rPr>
                <w:rFonts w:hint="eastAsia"/>
                <w:b/>
                <w:bCs/>
                <w:snapToGrid w:val="0"/>
                <w:color w:val="auto"/>
                <w:spacing w:val="-2"/>
                <w:kern w:val="0"/>
                <w:szCs w:val="21"/>
                <w:lang w:val="en-US" w:eastAsia="zh-CN"/>
              </w:rPr>
              <w:t>3</w:t>
            </w:r>
            <w:r>
              <w:rPr>
                <w:b/>
                <w:bCs/>
                <w:snapToGrid w:val="0"/>
                <w:color w:val="auto"/>
                <w:spacing w:val="-2"/>
                <w:kern w:val="0"/>
                <w:szCs w:val="21"/>
              </w:rPr>
              <w:t>.5</w:t>
            </w:r>
            <w:r>
              <w:rPr>
                <w:rFonts w:hint="eastAsia"/>
                <w:b/>
                <w:bCs/>
                <w:snapToGrid w:val="0"/>
                <w:color w:val="auto"/>
                <w:spacing w:val="-2"/>
                <w:kern w:val="0"/>
                <w:szCs w:val="21"/>
              </w:rPr>
              <w:t>噪声环境影响评价结论</w:t>
            </w:r>
          </w:p>
          <w:p w14:paraId="1E4B9953">
            <w:pPr>
              <w:pStyle w:val="76"/>
              <w:ind w:firstLine="31680"/>
              <w:rPr>
                <w:color w:val="auto"/>
                <w:sz w:val="21"/>
                <w:szCs w:val="21"/>
              </w:rPr>
            </w:pPr>
            <w:r>
              <w:rPr>
                <w:rFonts w:hint="eastAsia"/>
                <w:color w:val="auto"/>
                <w:sz w:val="21"/>
                <w:szCs w:val="21"/>
              </w:rPr>
              <w:t>建设单位采取相关措施后，本项目噪声均可满足《工业企业厂界</w:t>
            </w:r>
            <w:r>
              <w:rPr>
                <w:rFonts w:hint="eastAsia"/>
                <w:color w:val="auto"/>
                <w:sz w:val="21"/>
                <w:szCs w:val="21"/>
                <w:lang w:val="en-US" w:eastAsia="zh-CN"/>
              </w:rPr>
              <w:t>环境</w:t>
            </w:r>
            <w:r>
              <w:rPr>
                <w:rFonts w:hint="eastAsia"/>
                <w:color w:val="auto"/>
                <w:sz w:val="21"/>
                <w:szCs w:val="21"/>
              </w:rPr>
              <w:t>噪声</w:t>
            </w:r>
            <w:r>
              <w:rPr>
                <w:rFonts w:hint="eastAsia"/>
                <w:color w:val="auto"/>
                <w:sz w:val="21"/>
                <w:szCs w:val="21"/>
                <w:lang w:val="en-US" w:eastAsia="zh-CN"/>
              </w:rPr>
              <w:t>排放</w:t>
            </w:r>
            <w:r>
              <w:rPr>
                <w:rFonts w:hint="eastAsia"/>
                <w:color w:val="auto"/>
                <w:sz w:val="21"/>
                <w:szCs w:val="21"/>
              </w:rPr>
              <w:t>标准》（</w:t>
            </w:r>
            <w:r>
              <w:rPr>
                <w:color w:val="auto"/>
                <w:sz w:val="21"/>
                <w:szCs w:val="21"/>
              </w:rPr>
              <w:t>GB 12348-2008</w:t>
            </w:r>
            <w:r>
              <w:rPr>
                <w:rFonts w:hint="eastAsia"/>
                <w:color w:val="auto"/>
                <w:sz w:val="21"/>
                <w:szCs w:val="21"/>
              </w:rPr>
              <w:t>）</w:t>
            </w:r>
            <w:r>
              <w:rPr>
                <w:color w:val="auto"/>
                <w:sz w:val="21"/>
                <w:szCs w:val="21"/>
              </w:rPr>
              <w:t>2</w:t>
            </w:r>
            <w:r>
              <w:rPr>
                <w:rFonts w:hint="eastAsia"/>
                <w:color w:val="auto"/>
                <w:sz w:val="21"/>
                <w:szCs w:val="21"/>
              </w:rPr>
              <w:t>类标准要求。因此，本项目噪声对周边声环境影响不大。</w:t>
            </w:r>
          </w:p>
          <w:p w14:paraId="38647256">
            <w:pPr>
              <w:overflowPunct w:val="0"/>
              <w:adjustRightInd w:val="0"/>
              <w:snapToGrid w:val="0"/>
              <w:spacing w:line="360" w:lineRule="auto"/>
              <w:jc w:val="left"/>
              <w:rPr>
                <w:b/>
                <w:bCs/>
                <w:snapToGrid w:val="0"/>
                <w:color w:val="auto"/>
                <w:spacing w:val="-2"/>
                <w:kern w:val="0"/>
                <w:szCs w:val="21"/>
              </w:rPr>
            </w:pPr>
            <w:r>
              <w:rPr>
                <w:rFonts w:hint="eastAsia"/>
                <w:b/>
                <w:bCs/>
                <w:snapToGrid w:val="0"/>
                <w:color w:val="auto"/>
                <w:spacing w:val="-2"/>
                <w:kern w:val="0"/>
                <w:szCs w:val="21"/>
                <w:lang w:val="en-US" w:eastAsia="zh-CN"/>
              </w:rPr>
              <w:t>4</w:t>
            </w:r>
            <w:r>
              <w:rPr>
                <w:rFonts w:hint="eastAsia"/>
                <w:b/>
                <w:bCs/>
                <w:snapToGrid w:val="0"/>
                <w:color w:val="auto"/>
                <w:spacing w:val="-2"/>
                <w:kern w:val="0"/>
                <w:szCs w:val="21"/>
              </w:rPr>
              <w:t>、固体废弃物影响分析</w:t>
            </w:r>
          </w:p>
          <w:p w14:paraId="78F0D145">
            <w:pPr>
              <w:overflowPunct w:val="0"/>
              <w:adjustRightInd w:val="0"/>
              <w:snapToGrid w:val="0"/>
              <w:spacing w:line="360" w:lineRule="auto"/>
              <w:jc w:val="left"/>
              <w:rPr>
                <w:b/>
                <w:bCs/>
                <w:snapToGrid w:val="0"/>
                <w:color w:val="auto"/>
                <w:spacing w:val="-2"/>
                <w:kern w:val="0"/>
                <w:szCs w:val="21"/>
              </w:rPr>
            </w:pPr>
            <w:r>
              <w:rPr>
                <w:rFonts w:hint="eastAsia"/>
                <w:b/>
                <w:bCs/>
                <w:snapToGrid w:val="0"/>
                <w:color w:val="auto"/>
                <w:spacing w:val="-2"/>
                <w:kern w:val="0"/>
                <w:szCs w:val="21"/>
                <w:lang w:val="en-US" w:eastAsia="zh-CN"/>
              </w:rPr>
              <w:t>4</w:t>
            </w:r>
            <w:r>
              <w:rPr>
                <w:b/>
                <w:bCs/>
                <w:snapToGrid w:val="0"/>
                <w:color w:val="auto"/>
                <w:spacing w:val="-2"/>
                <w:kern w:val="0"/>
                <w:szCs w:val="21"/>
              </w:rPr>
              <w:t>.1</w:t>
            </w:r>
            <w:r>
              <w:rPr>
                <w:rFonts w:hint="eastAsia"/>
                <w:b/>
                <w:bCs/>
                <w:snapToGrid w:val="0"/>
                <w:color w:val="auto"/>
                <w:spacing w:val="-2"/>
                <w:kern w:val="0"/>
                <w:szCs w:val="21"/>
              </w:rPr>
              <w:t>固废产生情况</w:t>
            </w:r>
          </w:p>
          <w:p w14:paraId="23118D09">
            <w:pPr>
              <w:adjustRightInd w:val="0"/>
              <w:snapToGrid w:val="0"/>
              <w:spacing w:line="360" w:lineRule="auto"/>
              <w:ind w:firstLine="420" w:firstLineChars="200"/>
              <w:rPr>
                <w:color w:val="auto"/>
              </w:rPr>
            </w:pPr>
            <w:r>
              <w:rPr>
                <w:rFonts w:hint="eastAsia"/>
                <w:color w:val="auto"/>
              </w:rPr>
              <w:t>本项目产生的固废主要为废丝、</w:t>
            </w:r>
            <w:r>
              <w:rPr>
                <w:rFonts w:hint="eastAsia"/>
                <w:color w:val="auto"/>
                <w:lang w:val="en-US" w:eastAsia="zh-CN"/>
              </w:rPr>
              <w:t>废纺丝油剂包装、废胶水、废胶水包装、</w:t>
            </w:r>
            <w:r>
              <w:rPr>
                <w:rFonts w:hint="eastAsia"/>
                <w:color w:val="auto"/>
              </w:rPr>
              <w:t>废润滑油、</w:t>
            </w:r>
            <w:r>
              <w:rPr>
                <w:rFonts w:hint="eastAsia"/>
                <w:color w:val="auto"/>
                <w:lang w:eastAsia="zh-CN"/>
              </w:rPr>
              <w:t>废润滑油包装</w:t>
            </w:r>
            <w:r>
              <w:rPr>
                <w:rFonts w:hint="eastAsia"/>
                <w:color w:val="auto"/>
              </w:rPr>
              <w:t>、在线仪废液</w:t>
            </w:r>
            <w:r>
              <w:rPr>
                <w:rFonts w:hint="eastAsia"/>
                <w:color w:val="auto"/>
                <w:lang w:eastAsia="zh-CN"/>
              </w:rPr>
              <w:t>、</w:t>
            </w:r>
            <w:r>
              <w:rPr>
                <w:rFonts w:hint="eastAsia"/>
                <w:color w:val="auto"/>
                <w:lang w:val="en-US" w:eastAsia="zh-CN"/>
              </w:rPr>
              <w:t>废试剂包装、废草酸包装、静电除油器废油、废活性炭</w:t>
            </w:r>
            <w:r>
              <w:rPr>
                <w:rFonts w:hint="eastAsia"/>
                <w:color w:val="auto"/>
              </w:rPr>
              <w:t>和生活垃圾。</w:t>
            </w:r>
          </w:p>
          <w:p w14:paraId="1E4F629A">
            <w:pPr>
              <w:adjustRightInd w:val="0"/>
              <w:snapToGrid w:val="0"/>
              <w:spacing w:line="360" w:lineRule="auto"/>
              <w:ind w:firstLine="420" w:firstLineChars="200"/>
              <w:rPr>
                <w:rFonts w:hint="default" w:eastAsia="宋体"/>
                <w:color w:val="auto"/>
                <w:lang w:val="en-US" w:eastAsia="zh-CN"/>
              </w:rPr>
            </w:pPr>
            <w:r>
              <w:rPr>
                <w:rFonts w:hint="eastAsia"/>
                <w:color w:val="auto"/>
              </w:rPr>
              <w:t>废丝：整经、</w:t>
            </w:r>
            <w:r>
              <w:rPr>
                <w:rFonts w:hint="eastAsia"/>
                <w:color w:val="auto"/>
                <w:lang w:val="en-US" w:eastAsia="zh-CN"/>
              </w:rPr>
              <w:t>穿综扒筘、</w:t>
            </w:r>
            <w:r>
              <w:rPr>
                <w:rFonts w:hint="eastAsia"/>
                <w:color w:val="auto"/>
              </w:rPr>
              <w:t>喷</w:t>
            </w:r>
            <w:r>
              <w:rPr>
                <w:rFonts w:hint="eastAsia"/>
                <w:color w:val="auto"/>
                <w:lang w:val="en-US" w:eastAsia="zh-CN"/>
              </w:rPr>
              <w:t>气</w:t>
            </w:r>
            <w:r>
              <w:rPr>
                <w:rFonts w:hint="eastAsia"/>
                <w:color w:val="auto"/>
              </w:rPr>
              <w:t>织造</w:t>
            </w:r>
            <w:r>
              <w:rPr>
                <w:rFonts w:hint="eastAsia"/>
                <w:color w:val="auto"/>
                <w:lang w:eastAsia="zh-CN"/>
              </w:rPr>
              <w:t>、</w:t>
            </w:r>
            <w:r>
              <w:rPr>
                <w:rFonts w:hint="eastAsia"/>
                <w:color w:val="auto"/>
                <w:lang w:val="en-US" w:eastAsia="zh-CN"/>
              </w:rPr>
              <w:t>喷水织造</w:t>
            </w:r>
            <w:r>
              <w:rPr>
                <w:rFonts w:hint="eastAsia"/>
                <w:color w:val="auto"/>
              </w:rPr>
              <w:t>过程产生一定量的废丝，根据建设单位提供参考数据，</w:t>
            </w:r>
            <w:r>
              <w:rPr>
                <w:rFonts w:hint="eastAsia"/>
                <w:color w:val="auto"/>
                <w:lang w:val="en-US" w:eastAsia="zh-CN"/>
              </w:rPr>
              <w:t>废丝量约占化纤丝用量的2%，则本项目废丝产生量为57t/a。</w:t>
            </w:r>
          </w:p>
          <w:p w14:paraId="3D4F8D71">
            <w:pPr>
              <w:adjustRightInd w:val="0"/>
              <w:snapToGrid w:val="0"/>
              <w:spacing w:line="360" w:lineRule="auto"/>
              <w:ind w:firstLine="420" w:firstLineChars="200"/>
              <w:rPr>
                <w:rFonts w:hint="eastAsia"/>
                <w:color w:val="auto"/>
                <w:szCs w:val="21"/>
              </w:rPr>
            </w:pPr>
            <w:r>
              <w:rPr>
                <w:rFonts w:hint="eastAsia"/>
                <w:color w:val="auto"/>
              </w:rPr>
              <w:t>生活垃圾：</w:t>
            </w:r>
            <w:r>
              <w:rPr>
                <w:rFonts w:hint="eastAsia"/>
                <w:color w:val="auto"/>
                <w:szCs w:val="21"/>
                <w:lang w:val="en-US" w:eastAsia="zh-CN"/>
              </w:rPr>
              <w:t>本项目员工25人，年工作365天，</w:t>
            </w:r>
            <w:r>
              <w:rPr>
                <w:rFonts w:hint="eastAsia"/>
                <w:color w:val="auto"/>
                <w:szCs w:val="21"/>
              </w:rPr>
              <w:t>生活垃圾产生量按照每人每天产生</w:t>
            </w:r>
            <w:r>
              <w:rPr>
                <w:color w:val="auto"/>
                <w:szCs w:val="21"/>
              </w:rPr>
              <w:t>0.5kg</w:t>
            </w:r>
            <w:r>
              <w:rPr>
                <w:rFonts w:hint="eastAsia"/>
                <w:color w:val="auto"/>
                <w:szCs w:val="21"/>
              </w:rPr>
              <w:t>计算，则</w:t>
            </w:r>
            <w:r>
              <w:rPr>
                <w:rFonts w:hint="eastAsia"/>
                <w:color w:val="auto"/>
                <w:szCs w:val="21"/>
                <w:lang w:val="en-US" w:eastAsia="zh-CN"/>
              </w:rPr>
              <w:t>本项目生活垃圾产生量为4.6t/a，</w:t>
            </w:r>
            <w:r>
              <w:rPr>
                <w:rFonts w:hint="eastAsia"/>
                <w:color w:val="auto"/>
                <w:szCs w:val="21"/>
              </w:rPr>
              <w:t>生活垃圾由环卫部门定期清运。</w:t>
            </w:r>
          </w:p>
          <w:p w14:paraId="34A3CD9C">
            <w:pPr>
              <w:adjustRightInd w:val="0"/>
              <w:snapToGrid w:val="0"/>
              <w:spacing w:line="360" w:lineRule="auto"/>
              <w:ind w:firstLine="420" w:firstLineChars="200"/>
              <w:rPr>
                <w:rFonts w:hint="eastAsia"/>
                <w:color w:val="auto"/>
                <w:szCs w:val="21"/>
                <w:lang w:val="en-US" w:eastAsia="zh-CN"/>
              </w:rPr>
            </w:pPr>
            <w:r>
              <w:rPr>
                <w:rFonts w:hint="eastAsia"/>
                <w:color w:val="auto"/>
                <w:szCs w:val="21"/>
                <w:lang w:val="en-US" w:eastAsia="zh-CN"/>
              </w:rPr>
              <w:t>废纺丝油剂包装：本项目加弹工段使用纺丝油剂，用完后的包装物作为固体废物。使用纺丝油剂15t/a，规格为25kg/桶，则使用每年使用600桶。包装桶空重0.002t，则产生废纺丝油剂包装1.2t/a。</w:t>
            </w:r>
          </w:p>
          <w:p w14:paraId="5DA00385">
            <w:pPr>
              <w:adjustRightInd w:val="0"/>
              <w:snapToGrid w:val="0"/>
              <w:spacing w:line="360" w:lineRule="auto"/>
              <w:ind w:firstLine="420" w:firstLineChars="200"/>
              <w:rPr>
                <w:rFonts w:hint="eastAsia"/>
                <w:color w:val="auto"/>
                <w:szCs w:val="21"/>
              </w:rPr>
            </w:pPr>
            <w:r>
              <w:rPr>
                <w:rFonts w:hint="eastAsia"/>
                <w:color w:val="auto"/>
                <w:szCs w:val="21"/>
                <w:lang w:val="en-US" w:eastAsia="zh-CN"/>
              </w:rPr>
              <w:t>废胶水</w:t>
            </w:r>
            <w:r>
              <w:rPr>
                <w:rFonts w:hint="eastAsia"/>
                <w:color w:val="auto"/>
                <w:szCs w:val="21"/>
              </w:rPr>
              <w:t>：</w:t>
            </w:r>
            <w:r>
              <w:rPr>
                <w:rFonts w:hint="eastAsia"/>
                <w:color w:val="auto"/>
                <w:szCs w:val="21"/>
                <w:lang w:val="en-US" w:eastAsia="zh-CN"/>
              </w:rPr>
              <w:t>本项目复合工段使用水性胶粘剂，每年因操作过程中多涂胶粘剂，或剩余胶粘剂放置过期等问题，会产生废胶水。根据企业信息，废胶水量约为胶水总用量的1%，本项目使用的胶粘剂总量为300t/a，故本项目产生废胶水3t/a</w:t>
            </w:r>
            <w:r>
              <w:rPr>
                <w:rFonts w:hint="eastAsia"/>
                <w:color w:val="auto"/>
                <w:szCs w:val="21"/>
              </w:rPr>
              <w:t>。</w:t>
            </w:r>
          </w:p>
          <w:p w14:paraId="0EC19B2A">
            <w:pPr>
              <w:adjustRightInd w:val="0"/>
              <w:snapToGrid w:val="0"/>
              <w:spacing w:line="360" w:lineRule="auto"/>
              <w:ind w:firstLine="420" w:firstLineChars="200"/>
              <w:rPr>
                <w:rFonts w:hint="eastAsia"/>
                <w:color w:val="auto"/>
                <w:szCs w:val="21"/>
              </w:rPr>
            </w:pPr>
            <w:r>
              <w:rPr>
                <w:rFonts w:hint="eastAsia"/>
                <w:color w:val="auto"/>
                <w:szCs w:val="21"/>
                <w:lang w:val="en-US" w:eastAsia="zh-CN"/>
              </w:rPr>
              <w:t>废胶水包装</w:t>
            </w:r>
            <w:r>
              <w:rPr>
                <w:rFonts w:hint="eastAsia"/>
                <w:color w:val="auto"/>
                <w:szCs w:val="21"/>
              </w:rPr>
              <w:t>：</w:t>
            </w:r>
            <w:r>
              <w:rPr>
                <w:rFonts w:hint="eastAsia"/>
                <w:color w:val="auto"/>
                <w:szCs w:val="21"/>
                <w:lang w:val="en-US" w:eastAsia="zh-CN"/>
              </w:rPr>
              <w:t>本项目使用胶粘剂300t/a，规格为10kg/桶，则每年使用30000桶。包装桶空重0.001t，则产生废胶水包装30t/a。</w:t>
            </w:r>
          </w:p>
          <w:p w14:paraId="370A1272">
            <w:pPr>
              <w:adjustRightInd w:val="0"/>
              <w:snapToGrid w:val="0"/>
              <w:spacing w:line="360" w:lineRule="auto"/>
              <w:ind w:firstLine="420" w:firstLineChars="200"/>
              <w:rPr>
                <w:color w:val="auto"/>
              </w:rPr>
            </w:pPr>
            <w:r>
              <w:rPr>
                <w:rFonts w:hint="eastAsia"/>
                <w:color w:val="auto"/>
              </w:rPr>
              <w:t>废润滑油：设备维护产生的废润滑</w:t>
            </w:r>
            <w:r>
              <w:rPr>
                <w:rFonts w:hint="eastAsia"/>
                <w:color w:val="auto"/>
                <w:szCs w:val="21"/>
              </w:rPr>
              <w:t>油</w:t>
            </w:r>
            <w:r>
              <w:rPr>
                <w:rFonts w:hint="eastAsia"/>
                <w:color w:val="auto"/>
              </w:rPr>
              <w:t>，本项目润滑油年用量</w:t>
            </w:r>
            <w:r>
              <w:rPr>
                <w:rFonts w:hint="eastAsia"/>
                <w:color w:val="auto"/>
                <w:lang w:val="en-US" w:eastAsia="zh-CN"/>
              </w:rPr>
              <w:t>0.2</w:t>
            </w:r>
            <w:r>
              <w:rPr>
                <w:color w:val="auto"/>
              </w:rPr>
              <w:t>t</w:t>
            </w:r>
            <w:r>
              <w:rPr>
                <w:rFonts w:hint="eastAsia"/>
                <w:color w:val="auto"/>
              </w:rPr>
              <w:t>，损耗较少忽略不计，则废润滑油产生量约</w:t>
            </w:r>
            <w:r>
              <w:rPr>
                <w:rFonts w:hint="eastAsia"/>
                <w:color w:val="auto"/>
                <w:lang w:val="en-US" w:eastAsia="zh-CN"/>
              </w:rPr>
              <w:t>0.2</w:t>
            </w:r>
            <w:r>
              <w:rPr>
                <w:color w:val="auto"/>
              </w:rPr>
              <w:t>t/a</w:t>
            </w:r>
            <w:r>
              <w:rPr>
                <w:rFonts w:hint="eastAsia"/>
                <w:color w:val="auto"/>
              </w:rPr>
              <w:t>。</w:t>
            </w:r>
          </w:p>
          <w:p w14:paraId="581350CD">
            <w:pPr>
              <w:adjustRightInd w:val="0"/>
              <w:snapToGrid w:val="0"/>
              <w:spacing w:line="360" w:lineRule="auto"/>
              <w:ind w:firstLine="420" w:firstLineChars="200"/>
              <w:rPr>
                <w:rFonts w:hint="default"/>
                <w:color w:val="auto"/>
                <w:lang w:val="en-US"/>
              </w:rPr>
            </w:pPr>
            <w:r>
              <w:rPr>
                <w:rFonts w:hint="eastAsia"/>
                <w:color w:val="auto"/>
                <w:lang w:eastAsia="zh-CN"/>
              </w:rPr>
              <w:t>废润滑油包装</w:t>
            </w:r>
            <w:r>
              <w:rPr>
                <w:rFonts w:hint="eastAsia"/>
                <w:color w:val="auto"/>
              </w:rPr>
              <w:t>：设备维护过程润滑油用完后产生的</w:t>
            </w:r>
            <w:r>
              <w:rPr>
                <w:rFonts w:hint="eastAsia"/>
                <w:color w:val="auto"/>
                <w:lang w:eastAsia="zh-CN"/>
              </w:rPr>
              <w:t>废润滑油包装</w:t>
            </w:r>
            <w:r>
              <w:rPr>
                <w:rFonts w:hint="eastAsia"/>
                <w:color w:val="auto"/>
              </w:rPr>
              <w:t>，</w:t>
            </w:r>
            <w:r>
              <w:rPr>
                <w:rFonts w:hint="eastAsia"/>
                <w:color w:val="auto"/>
                <w:lang w:val="en-US" w:eastAsia="zh-CN"/>
              </w:rPr>
              <w:t>本项目使用润滑油0.2t/a，润滑油包装规格为10kg/桶，则每年使用润滑油20桶，空桶重量0.001t，则产生废润滑油包装0.02t/a。</w:t>
            </w:r>
          </w:p>
          <w:p w14:paraId="1B997841">
            <w:pPr>
              <w:snapToGrid w:val="0"/>
              <w:spacing w:line="360" w:lineRule="auto"/>
              <w:ind w:right="63" w:rightChars="30" w:firstLine="420" w:firstLineChars="200"/>
              <w:rPr>
                <w:rFonts w:hint="default" w:eastAsia="宋体"/>
                <w:color w:val="auto"/>
                <w:szCs w:val="21"/>
                <w:lang w:val="en-US" w:eastAsia="zh-CN"/>
              </w:rPr>
            </w:pPr>
            <w:r>
              <w:rPr>
                <w:rFonts w:hint="eastAsia"/>
                <w:color w:val="auto"/>
              </w:rPr>
              <w:t>在线仪废液：污水在线监测设备会使用少量试剂，约</w:t>
            </w:r>
            <w:r>
              <w:rPr>
                <w:color w:val="auto"/>
              </w:rPr>
              <w:t>0.0</w:t>
            </w:r>
            <w:r>
              <w:rPr>
                <w:rFonts w:hint="eastAsia"/>
                <w:color w:val="auto"/>
                <w:lang w:val="en-US" w:eastAsia="zh-CN"/>
              </w:rPr>
              <w:t>0</w:t>
            </w:r>
            <w:r>
              <w:rPr>
                <w:color w:val="auto"/>
              </w:rPr>
              <w:t>6t/a</w:t>
            </w:r>
            <w:r>
              <w:rPr>
                <w:rFonts w:hint="eastAsia"/>
                <w:color w:val="auto"/>
              </w:rPr>
              <w:t>，在线仪废液产生量与试剂使用量相近，约</w:t>
            </w:r>
            <w:r>
              <w:rPr>
                <w:color w:val="auto"/>
              </w:rPr>
              <w:t>0.0</w:t>
            </w:r>
            <w:r>
              <w:rPr>
                <w:rFonts w:hint="eastAsia"/>
                <w:color w:val="auto"/>
                <w:lang w:val="en-US" w:eastAsia="zh-CN"/>
              </w:rPr>
              <w:t>0</w:t>
            </w:r>
            <w:r>
              <w:rPr>
                <w:color w:val="auto"/>
              </w:rPr>
              <w:t>6t/a</w:t>
            </w:r>
            <w:r>
              <w:rPr>
                <w:rFonts w:hint="eastAsia"/>
                <w:color w:val="auto"/>
                <w:szCs w:val="21"/>
              </w:rPr>
              <w:t>。</w:t>
            </w:r>
            <w:r>
              <w:rPr>
                <w:rFonts w:hint="eastAsia"/>
                <w:color w:val="auto"/>
                <w:szCs w:val="21"/>
                <w:lang w:val="en-US" w:eastAsia="zh-CN"/>
              </w:rPr>
              <w:t>现有项目不产生，故全厂在线仪废液产生量为0.006t/a。</w:t>
            </w:r>
          </w:p>
          <w:p w14:paraId="3FC6FF43">
            <w:pPr>
              <w:snapToGrid w:val="0"/>
              <w:spacing w:line="360" w:lineRule="auto"/>
              <w:ind w:right="63" w:rightChars="30" w:firstLine="420" w:firstLineChars="200"/>
              <w:rPr>
                <w:rFonts w:hint="default"/>
                <w:color w:val="auto"/>
                <w:szCs w:val="21"/>
                <w:lang w:val="en-US" w:eastAsia="zh-CN"/>
              </w:rPr>
            </w:pPr>
            <w:r>
              <w:rPr>
                <w:rFonts w:hint="eastAsia"/>
                <w:color w:val="auto"/>
                <w:szCs w:val="21"/>
                <w:lang w:val="en-US" w:eastAsia="zh-CN"/>
              </w:rPr>
              <w:t>废试剂包装：污水在线监测设备会使用少量试剂，试剂用完后废弃的包装作为危废处理，产生量为0.001t/a。</w:t>
            </w:r>
          </w:p>
          <w:p w14:paraId="68B51FC8">
            <w:pPr>
              <w:snapToGrid w:val="0"/>
              <w:spacing w:line="360" w:lineRule="auto"/>
              <w:ind w:right="63" w:rightChars="30" w:firstLine="420" w:firstLineChars="200"/>
              <w:rPr>
                <w:rFonts w:hint="eastAsia"/>
                <w:color w:val="auto"/>
                <w:szCs w:val="21"/>
                <w:lang w:val="en-US" w:eastAsia="zh-CN"/>
              </w:rPr>
            </w:pPr>
            <w:r>
              <w:rPr>
                <w:rFonts w:hint="eastAsia"/>
                <w:color w:val="auto"/>
                <w:szCs w:val="21"/>
                <w:lang w:val="en-US" w:eastAsia="zh-CN"/>
              </w:rPr>
              <w:t>废草酸包装：本项目洗综工艺使用草酸，草酸用完后剩余的包装材料当作危废处理，本项目使用草酸0.32t/a，规格为10kg/袋，则使用草酸32袋。草酸包装袋空重为100g，故本项目产生废草酸包装袋0.0032t/a。</w:t>
            </w:r>
          </w:p>
          <w:p w14:paraId="75E3D7A5">
            <w:pPr>
              <w:snapToGrid w:val="0"/>
              <w:spacing w:line="360" w:lineRule="auto"/>
              <w:ind w:right="63" w:rightChars="30" w:firstLine="420" w:firstLineChars="200"/>
              <w:rPr>
                <w:rFonts w:hint="default"/>
                <w:color w:val="auto"/>
                <w:szCs w:val="21"/>
                <w:lang w:val="en-US" w:eastAsia="zh-CN"/>
              </w:rPr>
            </w:pPr>
            <w:r>
              <w:rPr>
                <w:rFonts w:hint="eastAsia"/>
                <w:color w:val="auto"/>
                <w:szCs w:val="21"/>
                <w:lang w:val="en-US" w:eastAsia="zh-CN"/>
              </w:rPr>
              <w:t>静电除油废油：本项目使用静电除油去除油雾颗粒，根据上文计算，收集到的废油的量为3.079t/a。</w:t>
            </w:r>
          </w:p>
          <w:p w14:paraId="47335028">
            <w:pPr>
              <w:snapToGrid w:val="0"/>
              <w:spacing w:line="360" w:lineRule="auto"/>
              <w:ind w:right="63" w:rightChars="30" w:firstLine="420" w:firstLineChars="200"/>
              <w:rPr>
                <w:rFonts w:hint="default"/>
                <w:color w:val="auto"/>
                <w:szCs w:val="21"/>
                <w:lang w:val="en-US" w:eastAsia="zh-CN"/>
              </w:rPr>
            </w:pPr>
            <w:r>
              <w:rPr>
                <w:rFonts w:hint="eastAsia"/>
                <w:color w:val="auto"/>
                <w:szCs w:val="21"/>
                <w:lang w:val="en-US" w:eastAsia="zh-CN"/>
              </w:rPr>
              <w:t>废活性炭：本项目使用1套静电除油+二级活性炭吸附设施处理废气，经上文计算，废活性炭产生33.93t/a。</w:t>
            </w:r>
          </w:p>
          <w:p w14:paraId="69979E4A">
            <w:pPr>
              <w:overflowPunct w:val="0"/>
              <w:adjustRightInd w:val="0"/>
              <w:snapToGrid w:val="0"/>
              <w:spacing w:line="360" w:lineRule="auto"/>
              <w:jc w:val="left"/>
              <w:rPr>
                <w:b/>
                <w:bCs/>
                <w:snapToGrid w:val="0"/>
                <w:color w:val="auto"/>
                <w:spacing w:val="-2"/>
                <w:kern w:val="0"/>
                <w:szCs w:val="21"/>
              </w:rPr>
            </w:pPr>
            <w:r>
              <w:rPr>
                <w:rFonts w:hint="eastAsia"/>
                <w:b/>
                <w:bCs/>
                <w:snapToGrid w:val="0"/>
                <w:color w:val="auto"/>
                <w:spacing w:val="-2"/>
                <w:kern w:val="0"/>
                <w:szCs w:val="21"/>
                <w:lang w:val="en-US" w:eastAsia="zh-CN"/>
              </w:rPr>
              <w:t>4</w:t>
            </w:r>
            <w:r>
              <w:rPr>
                <w:b/>
                <w:bCs/>
                <w:snapToGrid w:val="0"/>
                <w:color w:val="auto"/>
                <w:spacing w:val="-2"/>
                <w:kern w:val="0"/>
                <w:szCs w:val="21"/>
              </w:rPr>
              <w:t>.2</w:t>
            </w:r>
            <w:r>
              <w:rPr>
                <w:rFonts w:hint="eastAsia"/>
                <w:b/>
                <w:bCs/>
                <w:snapToGrid w:val="0"/>
                <w:color w:val="auto"/>
                <w:spacing w:val="-2"/>
                <w:kern w:val="0"/>
                <w:szCs w:val="21"/>
              </w:rPr>
              <w:t>固体废物属性判定</w:t>
            </w:r>
          </w:p>
          <w:p w14:paraId="6D350CAD">
            <w:pPr>
              <w:pStyle w:val="76"/>
              <w:ind w:firstLine="31680"/>
              <w:rPr>
                <w:color w:val="auto"/>
                <w:sz w:val="21"/>
                <w:szCs w:val="21"/>
              </w:rPr>
            </w:pPr>
            <w:r>
              <w:rPr>
                <w:rFonts w:hint="eastAsia"/>
                <w:color w:val="auto"/>
                <w:sz w:val="21"/>
                <w:szCs w:val="21"/>
              </w:rPr>
              <w:t>根据《中华人民共和国固体废物污染环境防治法</w:t>
            </w:r>
            <w:r>
              <w:rPr>
                <w:rFonts w:hint="eastAsia"/>
                <w:color w:val="auto"/>
                <w:sz w:val="21"/>
                <w:szCs w:val="21"/>
                <w:lang w:eastAsia="zh-CN"/>
              </w:rPr>
              <w:t>》《</w:t>
            </w:r>
            <w:r>
              <w:rPr>
                <w:rFonts w:hint="eastAsia"/>
                <w:color w:val="auto"/>
                <w:sz w:val="21"/>
                <w:szCs w:val="21"/>
              </w:rPr>
              <w:t>固体废物鉴别标准通则》（</w:t>
            </w:r>
            <w:r>
              <w:rPr>
                <w:color w:val="auto"/>
                <w:sz w:val="21"/>
                <w:szCs w:val="21"/>
              </w:rPr>
              <w:t>GB 34330-2017</w:t>
            </w:r>
            <w:r>
              <w:rPr>
                <w:rFonts w:hint="eastAsia"/>
                <w:color w:val="auto"/>
                <w:sz w:val="21"/>
                <w:szCs w:val="21"/>
              </w:rPr>
              <w:t>）的规定，判断建设项目生产过程中产生的是属于固体废物，还是副产品，详见下表。</w:t>
            </w:r>
          </w:p>
          <w:p w14:paraId="54BBB9E0">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4-</w:t>
            </w:r>
            <w:r>
              <w:rPr>
                <w:rFonts w:hint="eastAsia"/>
                <w:b/>
                <w:snapToGrid w:val="0"/>
                <w:color w:val="auto"/>
                <w:szCs w:val="21"/>
                <w:lang w:val="en-US" w:eastAsia="zh-CN"/>
              </w:rPr>
              <w:t>16</w:t>
            </w:r>
            <w:r>
              <w:rPr>
                <w:b/>
                <w:snapToGrid w:val="0"/>
                <w:color w:val="auto"/>
                <w:szCs w:val="21"/>
              </w:rPr>
              <w:t xml:space="preserve">  </w:t>
            </w:r>
            <w:r>
              <w:rPr>
                <w:rFonts w:hint="eastAsia"/>
                <w:b/>
                <w:snapToGrid w:val="0"/>
                <w:color w:val="auto"/>
                <w:szCs w:val="21"/>
                <w:lang w:val="en-US" w:eastAsia="zh-CN"/>
              </w:rPr>
              <w:t>本次技改</w:t>
            </w:r>
            <w:r>
              <w:rPr>
                <w:rFonts w:hint="eastAsia"/>
                <w:b/>
                <w:snapToGrid w:val="0"/>
                <w:color w:val="auto"/>
                <w:szCs w:val="21"/>
              </w:rPr>
              <w:t>固体废物和副产品判别属性汇总表</w:t>
            </w:r>
          </w:p>
          <w:tbl>
            <w:tblPr>
              <w:tblStyle w:val="26"/>
              <w:tblW w:w="8058"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409"/>
              <w:gridCol w:w="1275"/>
              <w:gridCol w:w="1742"/>
              <w:gridCol w:w="780"/>
              <w:gridCol w:w="1333"/>
              <w:gridCol w:w="980"/>
              <w:gridCol w:w="830"/>
              <w:gridCol w:w="709"/>
            </w:tblGrid>
            <w:tr w14:paraId="1AF2F5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409" w:type="dxa"/>
                  <w:vMerge w:val="restart"/>
                  <w:tcBorders>
                    <w:tl2br w:val="nil"/>
                    <w:tr2bl w:val="nil"/>
                  </w:tcBorders>
                  <w:vAlign w:val="center"/>
                </w:tcPr>
                <w:p w14:paraId="343FB307">
                  <w:pPr>
                    <w:snapToGrid w:val="0"/>
                    <w:jc w:val="center"/>
                    <w:textAlignment w:val="baseline"/>
                    <w:rPr>
                      <w:color w:val="auto"/>
                      <w:sz w:val="18"/>
                      <w:szCs w:val="18"/>
                    </w:rPr>
                  </w:pPr>
                  <w:r>
                    <w:rPr>
                      <w:rFonts w:hint="eastAsia"/>
                      <w:color w:val="auto"/>
                      <w:sz w:val="18"/>
                      <w:szCs w:val="18"/>
                    </w:rPr>
                    <w:t>序号</w:t>
                  </w:r>
                </w:p>
              </w:tc>
              <w:tc>
                <w:tcPr>
                  <w:tcW w:w="1275" w:type="dxa"/>
                  <w:vMerge w:val="restart"/>
                  <w:tcBorders>
                    <w:tl2br w:val="nil"/>
                    <w:tr2bl w:val="nil"/>
                  </w:tcBorders>
                  <w:vAlign w:val="center"/>
                </w:tcPr>
                <w:p w14:paraId="549E2A50">
                  <w:pPr>
                    <w:snapToGrid w:val="0"/>
                    <w:jc w:val="center"/>
                    <w:textAlignment w:val="baseline"/>
                    <w:rPr>
                      <w:color w:val="auto"/>
                      <w:sz w:val="18"/>
                      <w:szCs w:val="18"/>
                    </w:rPr>
                  </w:pPr>
                  <w:r>
                    <w:rPr>
                      <w:rFonts w:hint="eastAsia"/>
                      <w:color w:val="auto"/>
                      <w:sz w:val="18"/>
                      <w:szCs w:val="18"/>
                    </w:rPr>
                    <w:t>名称</w:t>
                  </w:r>
                </w:p>
              </w:tc>
              <w:tc>
                <w:tcPr>
                  <w:tcW w:w="1742" w:type="dxa"/>
                  <w:vMerge w:val="restart"/>
                  <w:tcBorders>
                    <w:tl2br w:val="nil"/>
                    <w:tr2bl w:val="nil"/>
                  </w:tcBorders>
                  <w:vAlign w:val="center"/>
                </w:tcPr>
                <w:p w14:paraId="52C07F61">
                  <w:pPr>
                    <w:snapToGrid w:val="0"/>
                    <w:jc w:val="center"/>
                    <w:textAlignment w:val="baseline"/>
                    <w:rPr>
                      <w:color w:val="auto"/>
                      <w:sz w:val="18"/>
                      <w:szCs w:val="18"/>
                    </w:rPr>
                  </w:pPr>
                  <w:r>
                    <w:rPr>
                      <w:rFonts w:hint="eastAsia"/>
                      <w:color w:val="auto"/>
                      <w:sz w:val="18"/>
                      <w:szCs w:val="18"/>
                    </w:rPr>
                    <w:t>产生工序</w:t>
                  </w:r>
                </w:p>
              </w:tc>
              <w:tc>
                <w:tcPr>
                  <w:tcW w:w="780" w:type="dxa"/>
                  <w:vMerge w:val="restart"/>
                  <w:tcBorders>
                    <w:tl2br w:val="nil"/>
                    <w:tr2bl w:val="nil"/>
                  </w:tcBorders>
                  <w:vAlign w:val="center"/>
                </w:tcPr>
                <w:p w14:paraId="1FCF2638">
                  <w:pPr>
                    <w:snapToGrid w:val="0"/>
                    <w:jc w:val="center"/>
                    <w:textAlignment w:val="baseline"/>
                    <w:rPr>
                      <w:color w:val="auto"/>
                      <w:sz w:val="18"/>
                      <w:szCs w:val="18"/>
                    </w:rPr>
                  </w:pPr>
                  <w:r>
                    <w:rPr>
                      <w:rFonts w:hint="eastAsia"/>
                      <w:color w:val="auto"/>
                      <w:sz w:val="18"/>
                      <w:szCs w:val="18"/>
                    </w:rPr>
                    <w:t>形态</w:t>
                  </w:r>
                </w:p>
              </w:tc>
              <w:tc>
                <w:tcPr>
                  <w:tcW w:w="1333" w:type="dxa"/>
                  <w:vMerge w:val="restart"/>
                  <w:tcBorders>
                    <w:tl2br w:val="nil"/>
                    <w:tr2bl w:val="nil"/>
                  </w:tcBorders>
                  <w:vAlign w:val="center"/>
                </w:tcPr>
                <w:p w14:paraId="574BF598">
                  <w:pPr>
                    <w:snapToGrid w:val="0"/>
                    <w:jc w:val="center"/>
                    <w:textAlignment w:val="baseline"/>
                    <w:rPr>
                      <w:color w:val="auto"/>
                      <w:sz w:val="18"/>
                      <w:szCs w:val="18"/>
                    </w:rPr>
                  </w:pPr>
                  <w:r>
                    <w:rPr>
                      <w:rFonts w:hint="eastAsia"/>
                      <w:color w:val="auto"/>
                      <w:sz w:val="18"/>
                      <w:szCs w:val="18"/>
                    </w:rPr>
                    <w:t>主要成分</w:t>
                  </w:r>
                </w:p>
              </w:tc>
              <w:tc>
                <w:tcPr>
                  <w:tcW w:w="980" w:type="dxa"/>
                  <w:vMerge w:val="restart"/>
                  <w:tcBorders>
                    <w:tl2br w:val="nil"/>
                    <w:tr2bl w:val="nil"/>
                  </w:tcBorders>
                  <w:vAlign w:val="center"/>
                </w:tcPr>
                <w:p w14:paraId="3AF10DD0">
                  <w:pPr>
                    <w:snapToGrid w:val="0"/>
                    <w:jc w:val="center"/>
                    <w:textAlignment w:val="baseline"/>
                    <w:rPr>
                      <w:color w:val="auto"/>
                      <w:sz w:val="18"/>
                      <w:szCs w:val="18"/>
                    </w:rPr>
                  </w:pPr>
                  <w:r>
                    <w:rPr>
                      <w:rFonts w:hint="eastAsia"/>
                      <w:color w:val="auto"/>
                      <w:sz w:val="18"/>
                      <w:szCs w:val="18"/>
                    </w:rPr>
                    <w:t>预测产生量</w:t>
                  </w:r>
                </w:p>
                <w:p w14:paraId="2A3CF0AD">
                  <w:pPr>
                    <w:snapToGrid w:val="0"/>
                    <w:jc w:val="center"/>
                    <w:textAlignment w:val="baseline"/>
                    <w:rPr>
                      <w:color w:val="auto"/>
                      <w:sz w:val="18"/>
                      <w:szCs w:val="18"/>
                    </w:rPr>
                  </w:pPr>
                  <w:r>
                    <w:rPr>
                      <w:rFonts w:hint="eastAsia"/>
                      <w:color w:val="auto"/>
                      <w:sz w:val="18"/>
                      <w:szCs w:val="18"/>
                    </w:rPr>
                    <w:t>（</w:t>
                  </w:r>
                  <w:r>
                    <w:rPr>
                      <w:color w:val="auto"/>
                      <w:sz w:val="18"/>
                      <w:szCs w:val="18"/>
                    </w:rPr>
                    <w:t>t/a</w:t>
                  </w:r>
                  <w:r>
                    <w:rPr>
                      <w:rFonts w:hint="eastAsia"/>
                      <w:color w:val="auto"/>
                      <w:sz w:val="18"/>
                      <w:szCs w:val="18"/>
                    </w:rPr>
                    <w:t>）</w:t>
                  </w:r>
                </w:p>
              </w:tc>
              <w:tc>
                <w:tcPr>
                  <w:tcW w:w="1539" w:type="dxa"/>
                  <w:gridSpan w:val="2"/>
                  <w:tcBorders>
                    <w:tl2br w:val="nil"/>
                    <w:tr2bl w:val="nil"/>
                  </w:tcBorders>
                  <w:vAlign w:val="center"/>
                </w:tcPr>
                <w:p w14:paraId="1F7DAE2D">
                  <w:pPr>
                    <w:snapToGrid w:val="0"/>
                    <w:jc w:val="center"/>
                    <w:textAlignment w:val="baseline"/>
                    <w:rPr>
                      <w:color w:val="auto"/>
                      <w:sz w:val="18"/>
                      <w:szCs w:val="18"/>
                    </w:rPr>
                  </w:pPr>
                  <w:r>
                    <w:rPr>
                      <w:rFonts w:hint="eastAsia"/>
                      <w:color w:val="auto"/>
                      <w:sz w:val="18"/>
                      <w:szCs w:val="18"/>
                    </w:rPr>
                    <w:t>种类判断</w:t>
                  </w:r>
                </w:p>
              </w:tc>
            </w:tr>
            <w:tr w14:paraId="58C5CB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409" w:type="dxa"/>
                  <w:vMerge w:val="continue"/>
                  <w:tcBorders>
                    <w:tl2br w:val="nil"/>
                    <w:tr2bl w:val="nil"/>
                  </w:tcBorders>
                  <w:vAlign w:val="center"/>
                </w:tcPr>
                <w:p w14:paraId="5FED97FC">
                  <w:pPr>
                    <w:snapToGrid w:val="0"/>
                    <w:jc w:val="center"/>
                    <w:textAlignment w:val="baseline"/>
                    <w:rPr>
                      <w:color w:val="auto"/>
                      <w:sz w:val="18"/>
                      <w:szCs w:val="18"/>
                    </w:rPr>
                  </w:pPr>
                </w:p>
              </w:tc>
              <w:tc>
                <w:tcPr>
                  <w:tcW w:w="1275" w:type="dxa"/>
                  <w:vMerge w:val="continue"/>
                  <w:tcBorders>
                    <w:tl2br w:val="nil"/>
                    <w:tr2bl w:val="nil"/>
                  </w:tcBorders>
                  <w:vAlign w:val="center"/>
                </w:tcPr>
                <w:p w14:paraId="6DC033A7">
                  <w:pPr>
                    <w:snapToGrid w:val="0"/>
                    <w:jc w:val="center"/>
                    <w:textAlignment w:val="baseline"/>
                    <w:rPr>
                      <w:color w:val="auto"/>
                      <w:sz w:val="18"/>
                      <w:szCs w:val="18"/>
                    </w:rPr>
                  </w:pPr>
                </w:p>
              </w:tc>
              <w:tc>
                <w:tcPr>
                  <w:tcW w:w="1742" w:type="dxa"/>
                  <w:vMerge w:val="continue"/>
                  <w:tcBorders>
                    <w:tl2br w:val="nil"/>
                    <w:tr2bl w:val="nil"/>
                  </w:tcBorders>
                  <w:vAlign w:val="center"/>
                </w:tcPr>
                <w:p w14:paraId="52A273B7">
                  <w:pPr>
                    <w:snapToGrid w:val="0"/>
                    <w:jc w:val="center"/>
                    <w:textAlignment w:val="baseline"/>
                    <w:rPr>
                      <w:color w:val="auto"/>
                      <w:sz w:val="18"/>
                      <w:szCs w:val="18"/>
                    </w:rPr>
                  </w:pPr>
                </w:p>
              </w:tc>
              <w:tc>
                <w:tcPr>
                  <w:tcW w:w="780" w:type="dxa"/>
                  <w:vMerge w:val="continue"/>
                  <w:tcBorders>
                    <w:tl2br w:val="nil"/>
                    <w:tr2bl w:val="nil"/>
                  </w:tcBorders>
                  <w:vAlign w:val="center"/>
                </w:tcPr>
                <w:p w14:paraId="73583DC6">
                  <w:pPr>
                    <w:snapToGrid w:val="0"/>
                    <w:jc w:val="center"/>
                    <w:textAlignment w:val="baseline"/>
                    <w:rPr>
                      <w:color w:val="auto"/>
                      <w:sz w:val="18"/>
                      <w:szCs w:val="18"/>
                    </w:rPr>
                  </w:pPr>
                </w:p>
              </w:tc>
              <w:tc>
                <w:tcPr>
                  <w:tcW w:w="1333" w:type="dxa"/>
                  <w:vMerge w:val="continue"/>
                  <w:tcBorders>
                    <w:tl2br w:val="nil"/>
                    <w:tr2bl w:val="nil"/>
                  </w:tcBorders>
                  <w:vAlign w:val="center"/>
                </w:tcPr>
                <w:p w14:paraId="146F48CB">
                  <w:pPr>
                    <w:snapToGrid w:val="0"/>
                    <w:jc w:val="center"/>
                    <w:textAlignment w:val="baseline"/>
                    <w:rPr>
                      <w:color w:val="auto"/>
                      <w:sz w:val="18"/>
                      <w:szCs w:val="18"/>
                    </w:rPr>
                  </w:pPr>
                </w:p>
              </w:tc>
              <w:tc>
                <w:tcPr>
                  <w:tcW w:w="980" w:type="dxa"/>
                  <w:vMerge w:val="continue"/>
                  <w:tcBorders>
                    <w:tl2br w:val="nil"/>
                    <w:tr2bl w:val="nil"/>
                  </w:tcBorders>
                  <w:vAlign w:val="center"/>
                </w:tcPr>
                <w:p w14:paraId="6D16D81E">
                  <w:pPr>
                    <w:snapToGrid w:val="0"/>
                    <w:jc w:val="center"/>
                    <w:textAlignment w:val="baseline"/>
                    <w:rPr>
                      <w:color w:val="auto"/>
                      <w:sz w:val="18"/>
                      <w:szCs w:val="18"/>
                    </w:rPr>
                  </w:pPr>
                </w:p>
              </w:tc>
              <w:tc>
                <w:tcPr>
                  <w:tcW w:w="830" w:type="dxa"/>
                  <w:tcBorders>
                    <w:tl2br w:val="nil"/>
                    <w:tr2bl w:val="nil"/>
                  </w:tcBorders>
                  <w:vAlign w:val="center"/>
                </w:tcPr>
                <w:p w14:paraId="13A5F831">
                  <w:pPr>
                    <w:snapToGrid w:val="0"/>
                    <w:jc w:val="center"/>
                    <w:textAlignment w:val="baseline"/>
                    <w:rPr>
                      <w:color w:val="auto"/>
                      <w:sz w:val="18"/>
                      <w:szCs w:val="18"/>
                    </w:rPr>
                  </w:pPr>
                  <w:r>
                    <w:rPr>
                      <w:rFonts w:hint="eastAsia"/>
                      <w:color w:val="auto"/>
                      <w:sz w:val="18"/>
                      <w:szCs w:val="18"/>
                    </w:rPr>
                    <w:t>固体废物</w:t>
                  </w:r>
                </w:p>
              </w:tc>
              <w:tc>
                <w:tcPr>
                  <w:tcW w:w="709" w:type="dxa"/>
                  <w:tcBorders>
                    <w:tl2br w:val="nil"/>
                    <w:tr2bl w:val="nil"/>
                  </w:tcBorders>
                  <w:vAlign w:val="center"/>
                </w:tcPr>
                <w:p w14:paraId="6648DE48">
                  <w:pPr>
                    <w:snapToGrid w:val="0"/>
                    <w:jc w:val="center"/>
                    <w:textAlignment w:val="baseline"/>
                    <w:rPr>
                      <w:color w:val="auto"/>
                      <w:sz w:val="18"/>
                      <w:szCs w:val="18"/>
                    </w:rPr>
                  </w:pPr>
                  <w:r>
                    <w:rPr>
                      <w:rFonts w:hint="eastAsia"/>
                      <w:color w:val="auto"/>
                      <w:sz w:val="18"/>
                      <w:szCs w:val="18"/>
                    </w:rPr>
                    <w:t>副产品</w:t>
                  </w:r>
                </w:p>
              </w:tc>
            </w:tr>
            <w:tr w14:paraId="7637F2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409" w:type="dxa"/>
                  <w:tcBorders>
                    <w:tl2br w:val="nil"/>
                    <w:tr2bl w:val="nil"/>
                  </w:tcBorders>
                  <w:vAlign w:val="center"/>
                </w:tcPr>
                <w:p w14:paraId="376FB131">
                  <w:pPr>
                    <w:snapToGrid w:val="0"/>
                    <w:jc w:val="center"/>
                    <w:textAlignment w:val="baseline"/>
                    <w:rPr>
                      <w:color w:val="auto"/>
                      <w:sz w:val="18"/>
                      <w:szCs w:val="18"/>
                    </w:rPr>
                  </w:pPr>
                  <w:r>
                    <w:rPr>
                      <w:color w:val="auto"/>
                      <w:sz w:val="18"/>
                      <w:szCs w:val="18"/>
                    </w:rPr>
                    <w:t>1</w:t>
                  </w:r>
                </w:p>
              </w:tc>
              <w:tc>
                <w:tcPr>
                  <w:tcW w:w="1275" w:type="dxa"/>
                  <w:tcBorders>
                    <w:tl2br w:val="nil"/>
                    <w:tr2bl w:val="nil"/>
                  </w:tcBorders>
                  <w:vAlign w:val="center"/>
                </w:tcPr>
                <w:p w14:paraId="4FF62F86">
                  <w:pPr>
                    <w:snapToGrid w:val="0"/>
                    <w:jc w:val="center"/>
                    <w:textAlignment w:val="baseline"/>
                    <w:rPr>
                      <w:color w:val="auto"/>
                      <w:sz w:val="18"/>
                      <w:szCs w:val="18"/>
                    </w:rPr>
                  </w:pPr>
                  <w:r>
                    <w:rPr>
                      <w:rFonts w:hint="eastAsia"/>
                      <w:color w:val="auto"/>
                      <w:sz w:val="18"/>
                      <w:szCs w:val="18"/>
                    </w:rPr>
                    <w:t>废丝</w:t>
                  </w:r>
                </w:p>
              </w:tc>
              <w:tc>
                <w:tcPr>
                  <w:tcW w:w="1742" w:type="dxa"/>
                  <w:tcBorders>
                    <w:tl2br w:val="nil"/>
                    <w:tr2bl w:val="nil"/>
                  </w:tcBorders>
                  <w:vAlign w:val="center"/>
                </w:tcPr>
                <w:p w14:paraId="1C2F30BC">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整经、穿综扒筘、喷气织造、喷水织造</w:t>
                  </w:r>
                </w:p>
              </w:tc>
              <w:tc>
                <w:tcPr>
                  <w:tcW w:w="780" w:type="dxa"/>
                  <w:tcBorders>
                    <w:tl2br w:val="nil"/>
                    <w:tr2bl w:val="nil"/>
                  </w:tcBorders>
                  <w:vAlign w:val="center"/>
                </w:tcPr>
                <w:p w14:paraId="4C2DF2D1">
                  <w:pPr>
                    <w:snapToGrid w:val="0"/>
                    <w:jc w:val="center"/>
                    <w:textAlignment w:val="baseline"/>
                    <w:rPr>
                      <w:color w:val="auto"/>
                      <w:sz w:val="18"/>
                      <w:szCs w:val="18"/>
                    </w:rPr>
                  </w:pPr>
                  <w:r>
                    <w:rPr>
                      <w:rFonts w:hint="eastAsia"/>
                      <w:color w:val="auto"/>
                      <w:sz w:val="18"/>
                      <w:szCs w:val="18"/>
                    </w:rPr>
                    <w:t>固态</w:t>
                  </w:r>
                </w:p>
              </w:tc>
              <w:tc>
                <w:tcPr>
                  <w:tcW w:w="1333" w:type="dxa"/>
                  <w:tcBorders>
                    <w:tl2br w:val="nil"/>
                    <w:tr2bl w:val="nil"/>
                  </w:tcBorders>
                  <w:vAlign w:val="center"/>
                </w:tcPr>
                <w:p w14:paraId="7D3752E4">
                  <w:pPr>
                    <w:snapToGrid w:val="0"/>
                    <w:jc w:val="center"/>
                    <w:textAlignment w:val="baseline"/>
                    <w:rPr>
                      <w:color w:val="auto"/>
                      <w:sz w:val="18"/>
                      <w:szCs w:val="18"/>
                    </w:rPr>
                  </w:pPr>
                  <w:r>
                    <w:rPr>
                      <w:rFonts w:hint="eastAsia"/>
                      <w:color w:val="auto"/>
                      <w:sz w:val="18"/>
                      <w:szCs w:val="18"/>
                    </w:rPr>
                    <w:t>化纤丝</w:t>
                  </w:r>
                </w:p>
              </w:tc>
              <w:tc>
                <w:tcPr>
                  <w:tcW w:w="980" w:type="dxa"/>
                  <w:tcBorders>
                    <w:tl2br w:val="nil"/>
                    <w:tr2bl w:val="nil"/>
                  </w:tcBorders>
                  <w:vAlign w:val="center"/>
                </w:tcPr>
                <w:p w14:paraId="7F693208">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57</w:t>
                  </w:r>
                </w:p>
              </w:tc>
              <w:tc>
                <w:tcPr>
                  <w:tcW w:w="830" w:type="dxa"/>
                  <w:tcBorders>
                    <w:tl2br w:val="nil"/>
                    <w:tr2bl w:val="nil"/>
                  </w:tcBorders>
                  <w:vAlign w:val="center"/>
                </w:tcPr>
                <w:p w14:paraId="60AF9E3B">
                  <w:pPr>
                    <w:snapToGrid w:val="0"/>
                    <w:jc w:val="center"/>
                    <w:textAlignment w:val="baseline"/>
                    <w:rPr>
                      <w:color w:val="auto"/>
                      <w:sz w:val="18"/>
                      <w:szCs w:val="18"/>
                    </w:rPr>
                  </w:pPr>
                  <w:r>
                    <w:rPr>
                      <w:rFonts w:ascii="Arial" w:hAnsi="Arial" w:cs="Arial"/>
                      <w:color w:val="auto"/>
                      <w:sz w:val="18"/>
                      <w:szCs w:val="18"/>
                    </w:rPr>
                    <w:t>√</w:t>
                  </w:r>
                </w:p>
              </w:tc>
              <w:tc>
                <w:tcPr>
                  <w:tcW w:w="709" w:type="dxa"/>
                  <w:tcBorders>
                    <w:tl2br w:val="nil"/>
                    <w:tr2bl w:val="nil"/>
                  </w:tcBorders>
                  <w:vAlign w:val="center"/>
                </w:tcPr>
                <w:p w14:paraId="31559773">
                  <w:pPr>
                    <w:snapToGrid w:val="0"/>
                    <w:jc w:val="center"/>
                    <w:textAlignment w:val="baseline"/>
                    <w:rPr>
                      <w:color w:val="auto"/>
                      <w:sz w:val="18"/>
                      <w:szCs w:val="18"/>
                    </w:rPr>
                  </w:pPr>
                  <w:r>
                    <w:rPr>
                      <w:color w:val="auto"/>
                      <w:sz w:val="18"/>
                      <w:szCs w:val="18"/>
                    </w:rPr>
                    <w:t>/</w:t>
                  </w:r>
                </w:p>
              </w:tc>
            </w:tr>
            <w:tr w14:paraId="0B6FD5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409" w:type="dxa"/>
                  <w:tcBorders>
                    <w:tl2br w:val="nil"/>
                    <w:tr2bl w:val="nil"/>
                  </w:tcBorders>
                  <w:vAlign w:val="center"/>
                </w:tcPr>
                <w:p w14:paraId="78CB1142">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2</w:t>
                  </w:r>
                </w:p>
              </w:tc>
              <w:tc>
                <w:tcPr>
                  <w:tcW w:w="1275" w:type="dxa"/>
                  <w:tcBorders>
                    <w:tl2br w:val="nil"/>
                    <w:tr2bl w:val="nil"/>
                  </w:tcBorders>
                  <w:vAlign w:val="center"/>
                </w:tcPr>
                <w:p w14:paraId="25919B52">
                  <w:pPr>
                    <w:snapToGrid w:val="0"/>
                    <w:jc w:val="center"/>
                    <w:textAlignment w:val="baseline"/>
                    <w:rPr>
                      <w:rFonts w:hint="eastAsia"/>
                      <w:color w:val="auto"/>
                      <w:sz w:val="18"/>
                      <w:szCs w:val="18"/>
                    </w:rPr>
                  </w:pPr>
                  <w:r>
                    <w:rPr>
                      <w:rFonts w:hint="eastAsia"/>
                      <w:color w:val="auto"/>
                      <w:sz w:val="18"/>
                      <w:szCs w:val="18"/>
                      <w:lang w:val="en-US" w:eastAsia="zh-CN"/>
                    </w:rPr>
                    <w:t>废纺丝油剂包装</w:t>
                  </w:r>
                </w:p>
              </w:tc>
              <w:tc>
                <w:tcPr>
                  <w:tcW w:w="1742" w:type="dxa"/>
                  <w:tcBorders>
                    <w:tl2br w:val="nil"/>
                    <w:tr2bl w:val="nil"/>
                  </w:tcBorders>
                  <w:vAlign w:val="center"/>
                </w:tcPr>
                <w:p w14:paraId="47DCA234">
                  <w:pPr>
                    <w:snapToGrid w:val="0"/>
                    <w:jc w:val="center"/>
                    <w:textAlignment w:val="baseline"/>
                    <w:rPr>
                      <w:rFonts w:hint="default"/>
                      <w:color w:val="auto"/>
                      <w:sz w:val="18"/>
                      <w:szCs w:val="18"/>
                      <w:lang w:val="en-US" w:eastAsia="zh-CN"/>
                    </w:rPr>
                  </w:pPr>
                  <w:r>
                    <w:rPr>
                      <w:rFonts w:hint="eastAsia"/>
                      <w:color w:val="auto"/>
                      <w:sz w:val="18"/>
                      <w:szCs w:val="18"/>
                      <w:lang w:val="en-US" w:eastAsia="zh-CN"/>
                    </w:rPr>
                    <w:t>加弹</w:t>
                  </w:r>
                </w:p>
              </w:tc>
              <w:tc>
                <w:tcPr>
                  <w:tcW w:w="780" w:type="dxa"/>
                  <w:tcBorders>
                    <w:tl2br w:val="nil"/>
                    <w:tr2bl w:val="nil"/>
                  </w:tcBorders>
                  <w:vAlign w:val="center"/>
                </w:tcPr>
                <w:p w14:paraId="696FD286">
                  <w:pPr>
                    <w:snapToGrid w:val="0"/>
                    <w:jc w:val="center"/>
                    <w:textAlignment w:val="baseline"/>
                    <w:rPr>
                      <w:rFonts w:hint="eastAsia"/>
                      <w:color w:val="auto"/>
                      <w:sz w:val="18"/>
                      <w:szCs w:val="18"/>
                    </w:rPr>
                  </w:pPr>
                  <w:r>
                    <w:rPr>
                      <w:rFonts w:hint="eastAsia"/>
                      <w:color w:val="auto"/>
                      <w:sz w:val="18"/>
                      <w:szCs w:val="18"/>
                    </w:rPr>
                    <w:t>固态</w:t>
                  </w:r>
                </w:p>
              </w:tc>
              <w:tc>
                <w:tcPr>
                  <w:tcW w:w="1333" w:type="dxa"/>
                  <w:tcBorders>
                    <w:tl2br w:val="nil"/>
                    <w:tr2bl w:val="nil"/>
                  </w:tcBorders>
                  <w:vAlign w:val="center"/>
                </w:tcPr>
                <w:p w14:paraId="0452D54B">
                  <w:pPr>
                    <w:snapToGrid w:val="0"/>
                    <w:jc w:val="center"/>
                    <w:textAlignment w:val="baseline"/>
                    <w:rPr>
                      <w:rFonts w:hint="eastAsia"/>
                      <w:color w:val="auto"/>
                      <w:sz w:val="18"/>
                      <w:szCs w:val="18"/>
                    </w:rPr>
                  </w:pPr>
                  <w:r>
                    <w:rPr>
                      <w:rFonts w:hint="eastAsia"/>
                      <w:color w:val="auto"/>
                      <w:sz w:val="18"/>
                      <w:szCs w:val="18"/>
                      <w:lang w:val="en-US" w:eastAsia="zh-CN"/>
                    </w:rPr>
                    <w:t>塑料、废油剂</w:t>
                  </w:r>
                </w:p>
              </w:tc>
              <w:tc>
                <w:tcPr>
                  <w:tcW w:w="980" w:type="dxa"/>
                  <w:tcBorders>
                    <w:tl2br w:val="nil"/>
                    <w:tr2bl w:val="nil"/>
                  </w:tcBorders>
                  <w:vAlign w:val="center"/>
                </w:tcPr>
                <w:p w14:paraId="3230E719">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1.2</w:t>
                  </w:r>
                </w:p>
              </w:tc>
              <w:tc>
                <w:tcPr>
                  <w:tcW w:w="830" w:type="dxa"/>
                  <w:tcBorders>
                    <w:tl2br w:val="nil"/>
                    <w:tr2bl w:val="nil"/>
                  </w:tcBorders>
                  <w:vAlign w:val="center"/>
                </w:tcPr>
                <w:p w14:paraId="3ABFA8B8">
                  <w:pPr>
                    <w:snapToGrid w:val="0"/>
                    <w:jc w:val="center"/>
                    <w:textAlignment w:val="baseline"/>
                    <w:rPr>
                      <w:rFonts w:ascii="Arial" w:hAnsi="Arial" w:cs="Arial"/>
                      <w:color w:val="auto"/>
                      <w:sz w:val="18"/>
                      <w:szCs w:val="18"/>
                    </w:rPr>
                  </w:pPr>
                  <w:r>
                    <w:rPr>
                      <w:rFonts w:ascii="Arial" w:hAnsi="Arial" w:cs="Arial"/>
                      <w:color w:val="auto"/>
                      <w:sz w:val="18"/>
                      <w:szCs w:val="18"/>
                    </w:rPr>
                    <w:t>√</w:t>
                  </w:r>
                </w:p>
              </w:tc>
              <w:tc>
                <w:tcPr>
                  <w:tcW w:w="709" w:type="dxa"/>
                  <w:tcBorders>
                    <w:tl2br w:val="nil"/>
                    <w:tr2bl w:val="nil"/>
                  </w:tcBorders>
                  <w:vAlign w:val="center"/>
                </w:tcPr>
                <w:p w14:paraId="5C15FE79">
                  <w:pPr>
                    <w:snapToGrid w:val="0"/>
                    <w:jc w:val="center"/>
                    <w:textAlignment w:val="baseline"/>
                    <w:rPr>
                      <w:color w:val="auto"/>
                      <w:sz w:val="18"/>
                      <w:szCs w:val="18"/>
                    </w:rPr>
                  </w:pPr>
                  <w:r>
                    <w:rPr>
                      <w:color w:val="auto"/>
                      <w:sz w:val="18"/>
                      <w:szCs w:val="18"/>
                    </w:rPr>
                    <w:t>/</w:t>
                  </w:r>
                </w:p>
              </w:tc>
            </w:tr>
            <w:tr w14:paraId="2785E0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409" w:type="dxa"/>
                  <w:tcBorders>
                    <w:tl2br w:val="nil"/>
                    <w:tr2bl w:val="nil"/>
                  </w:tcBorders>
                  <w:vAlign w:val="center"/>
                </w:tcPr>
                <w:p w14:paraId="63C06779">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3</w:t>
                  </w:r>
                </w:p>
              </w:tc>
              <w:tc>
                <w:tcPr>
                  <w:tcW w:w="1275" w:type="dxa"/>
                  <w:tcBorders>
                    <w:tl2br w:val="nil"/>
                    <w:tr2bl w:val="nil"/>
                  </w:tcBorders>
                  <w:vAlign w:val="center"/>
                </w:tcPr>
                <w:p w14:paraId="75173487">
                  <w:pPr>
                    <w:snapToGrid w:val="0"/>
                    <w:jc w:val="center"/>
                    <w:textAlignment w:val="baseline"/>
                    <w:rPr>
                      <w:rFonts w:hint="eastAsia"/>
                      <w:color w:val="auto"/>
                      <w:sz w:val="18"/>
                      <w:szCs w:val="18"/>
                    </w:rPr>
                  </w:pPr>
                  <w:r>
                    <w:rPr>
                      <w:rFonts w:hint="eastAsia"/>
                      <w:color w:val="auto"/>
                      <w:sz w:val="18"/>
                      <w:szCs w:val="18"/>
                      <w:lang w:val="en-US" w:eastAsia="zh-CN"/>
                    </w:rPr>
                    <w:t>废胶水</w:t>
                  </w:r>
                </w:p>
              </w:tc>
              <w:tc>
                <w:tcPr>
                  <w:tcW w:w="1742" w:type="dxa"/>
                  <w:tcBorders>
                    <w:tl2br w:val="nil"/>
                    <w:tr2bl w:val="nil"/>
                  </w:tcBorders>
                  <w:vAlign w:val="center"/>
                </w:tcPr>
                <w:p w14:paraId="5EF0D137">
                  <w:pPr>
                    <w:snapToGrid w:val="0"/>
                    <w:jc w:val="center"/>
                    <w:textAlignment w:val="baseline"/>
                    <w:rPr>
                      <w:rFonts w:hint="default"/>
                      <w:color w:val="auto"/>
                      <w:sz w:val="18"/>
                      <w:szCs w:val="18"/>
                      <w:lang w:val="en-US" w:eastAsia="zh-CN"/>
                    </w:rPr>
                  </w:pPr>
                  <w:r>
                    <w:rPr>
                      <w:rFonts w:hint="eastAsia"/>
                      <w:color w:val="auto"/>
                      <w:sz w:val="18"/>
                      <w:szCs w:val="18"/>
                      <w:lang w:val="en-US" w:eastAsia="zh-CN"/>
                    </w:rPr>
                    <w:t>复合</w:t>
                  </w:r>
                </w:p>
              </w:tc>
              <w:tc>
                <w:tcPr>
                  <w:tcW w:w="780" w:type="dxa"/>
                  <w:tcBorders>
                    <w:tl2br w:val="nil"/>
                    <w:tr2bl w:val="nil"/>
                  </w:tcBorders>
                  <w:vAlign w:val="center"/>
                </w:tcPr>
                <w:p w14:paraId="02E1EA56">
                  <w:pPr>
                    <w:snapToGrid w:val="0"/>
                    <w:jc w:val="center"/>
                    <w:textAlignment w:val="baseline"/>
                    <w:rPr>
                      <w:rFonts w:hint="eastAsia"/>
                      <w:color w:val="auto"/>
                      <w:sz w:val="18"/>
                      <w:szCs w:val="18"/>
                    </w:rPr>
                  </w:pPr>
                  <w:r>
                    <w:rPr>
                      <w:rFonts w:hint="eastAsia"/>
                      <w:color w:val="auto"/>
                      <w:sz w:val="18"/>
                      <w:szCs w:val="18"/>
                    </w:rPr>
                    <w:t>液态</w:t>
                  </w:r>
                </w:p>
              </w:tc>
              <w:tc>
                <w:tcPr>
                  <w:tcW w:w="1333" w:type="dxa"/>
                  <w:tcBorders>
                    <w:tl2br w:val="nil"/>
                    <w:tr2bl w:val="nil"/>
                  </w:tcBorders>
                  <w:vAlign w:val="center"/>
                </w:tcPr>
                <w:p w14:paraId="0E3ED917">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废胶水</w:t>
                  </w:r>
                </w:p>
              </w:tc>
              <w:tc>
                <w:tcPr>
                  <w:tcW w:w="980" w:type="dxa"/>
                  <w:tcBorders>
                    <w:tl2br w:val="nil"/>
                    <w:tr2bl w:val="nil"/>
                  </w:tcBorders>
                  <w:vAlign w:val="center"/>
                </w:tcPr>
                <w:p w14:paraId="05692FED">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3</w:t>
                  </w:r>
                </w:p>
              </w:tc>
              <w:tc>
                <w:tcPr>
                  <w:tcW w:w="830" w:type="dxa"/>
                  <w:tcBorders>
                    <w:tl2br w:val="nil"/>
                    <w:tr2bl w:val="nil"/>
                  </w:tcBorders>
                  <w:vAlign w:val="center"/>
                </w:tcPr>
                <w:p w14:paraId="7456CA35">
                  <w:pPr>
                    <w:snapToGrid w:val="0"/>
                    <w:jc w:val="center"/>
                    <w:textAlignment w:val="baseline"/>
                    <w:rPr>
                      <w:rFonts w:ascii="Arial" w:hAnsi="Arial" w:cs="Arial"/>
                      <w:color w:val="auto"/>
                      <w:sz w:val="18"/>
                      <w:szCs w:val="18"/>
                    </w:rPr>
                  </w:pPr>
                  <w:r>
                    <w:rPr>
                      <w:rFonts w:ascii="Arial" w:hAnsi="Arial" w:cs="Arial"/>
                      <w:color w:val="auto"/>
                      <w:sz w:val="18"/>
                      <w:szCs w:val="18"/>
                    </w:rPr>
                    <w:t>√</w:t>
                  </w:r>
                </w:p>
              </w:tc>
              <w:tc>
                <w:tcPr>
                  <w:tcW w:w="709" w:type="dxa"/>
                  <w:tcBorders>
                    <w:tl2br w:val="nil"/>
                    <w:tr2bl w:val="nil"/>
                  </w:tcBorders>
                  <w:vAlign w:val="center"/>
                </w:tcPr>
                <w:p w14:paraId="6185B27F">
                  <w:pPr>
                    <w:snapToGrid w:val="0"/>
                    <w:jc w:val="center"/>
                    <w:textAlignment w:val="baseline"/>
                    <w:rPr>
                      <w:color w:val="auto"/>
                      <w:sz w:val="18"/>
                      <w:szCs w:val="18"/>
                    </w:rPr>
                  </w:pPr>
                  <w:r>
                    <w:rPr>
                      <w:color w:val="auto"/>
                      <w:sz w:val="18"/>
                      <w:szCs w:val="18"/>
                    </w:rPr>
                    <w:t>/</w:t>
                  </w:r>
                </w:p>
              </w:tc>
            </w:tr>
            <w:tr w14:paraId="5D64B2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409" w:type="dxa"/>
                  <w:tcBorders>
                    <w:tl2br w:val="nil"/>
                    <w:tr2bl w:val="nil"/>
                  </w:tcBorders>
                  <w:vAlign w:val="center"/>
                </w:tcPr>
                <w:p w14:paraId="327DBC49">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4</w:t>
                  </w:r>
                </w:p>
              </w:tc>
              <w:tc>
                <w:tcPr>
                  <w:tcW w:w="1275" w:type="dxa"/>
                  <w:tcBorders>
                    <w:tl2br w:val="nil"/>
                    <w:tr2bl w:val="nil"/>
                  </w:tcBorders>
                  <w:vAlign w:val="center"/>
                </w:tcPr>
                <w:p w14:paraId="681CC3EB">
                  <w:pPr>
                    <w:snapToGrid w:val="0"/>
                    <w:jc w:val="center"/>
                    <w:textAlignment w:val="baseline"/>
                    <w:rPr>
                      <w:rFonts w:hint="eastAsia"/>
                      <w:color w:val="auto"/>
                      <w:sz w:val="18"/>
                      <w:szCs w:val="18"/>
                    </w:rPr>
                  </w:pPr>
                  <w:r>
                    <w:rPr>
                      <w:rFonts w:hint="eastAsia"/>
                      <w:color w:val="auto"/>
                      <w:sz w:val="18"/>
                      <w:szCs w:val="18"/>
                      <w:lang w:val="en-US" w:eastAsia="zh-CN"/>
                    </w:rPr>
                    <w:t>废胶水包装</w:t>
                  </w:r>
                </w:p>
              </w:tc>
              <w:tc>
                <w:tcPr>
                  <w:tcW w:w="1742" w:type="dxa"/>
                  <w:tcBorders>
                    <w:tl2br w:val="nil"/>
                    <w:tr2bl w:val="nil"/>
                  </w:tcBorders>
                  <w:vAlign w:val="center"/>
                </w:tcPr>
                <w:p w14:paraId="12500E11">
                  <w:pPr>
                    <w:snapToGrid w:val="0"/>
                    <w:jc w:val="center"/>
                    <w:textAlignment w:val="baseline"/>
                    <w:rPr>
                      <w:rFonts w:hint="default"/>
                      <w:color w:val="auto"/>
                      <w:sz w:val="18"/>
                      <w:szCs w:val="18"/>
                      <w:lang w:val="en-US" w:eastAsia="zh-CN"/>
                    </w:rPr>
                  </w:pPr>
                  <w:r>
                    <w:rPr>
                      <w:rFonts w:hint="eastAsia"/>
                      <w:color w:val="auto"/>
                      <w:sz w:val="18"/>
                      <w:szCs w:val="18"/>
                      <w:lang w:val="en-US" w:eastAsia="zh-CN"/>
                    </w:rPr>
                    <w:t>复合</w:t>
                  </w:r>
                </w:p>
              </w:tc>
              <w:tc>
                <w:tcPr>
                  <w:tcW w:w="780" w:type="dxa"/>
                  <w:tcBorders>
                    <w:tl2br w:val="nil"/>
                    <w:tr2bl w:val="nil"/>
                  </w:tcBorders>
                  <w:vAlign w:val="center"/>
                </w:tcPr>
                <w:p w14:paraId="29FE2B80">
                  <w:pPr>
                    <w:snapToGrid w:val="0"/>
                    <w:jc w:val="center"/>
                    <w:textAlignment w:val="baseline"/>
                    <w:rPr>
                      <w:rFonts w:hint="eastAsia"/>
                      <w:color w:val="auto"/>
                      <w:sz w:val="18"/>
                      <w:szCs w:val="18"/>
                    </w:rPr>
                  </w:pPr>
                  <w:r>
                    <w:rPr>
                      <w:rFonts w:hint="eastAsia"/>
                      <w:color w:val="auto"/>
                      <w:sz w:val="18"/>
                      <w:szCs w:val="18"/>
                    </w:rPr>
                    <w:t>固态</w:t>
                  </w:r>
                </w:p>
              </w:tc>
              <w:tc>
                <w:tcPr>
                  <w:tcW w:w="1333" w:type="dxa"/>
                  <w:tcBorders>
                    <w:tl2br w:val="nil"/>
                    <w:tr2bl w:val="nil"/>
                  </w:tcBorders>
                  <w:vAlign w:val="center"/>
                </w:tcPr>
                <w:p w14:paraId="6B850988">
                  <w:pPr>
                    <w:snapToGrid w:val="0"/>
                    <w:jc w:val="center"/>
                    <w:textAlignment w:val="baseline"/>
                    <w:rPr>
                      <w:rFonts w:hint="eastAsia"/>
                      <w:color w:val="auto"/>
                      <w:sz w:val="18"/>
                      <w:szCs w:val="18"/>
                    </w:rPr>
                  </w:pPr>
                  <w:r>
                    <w:rPr>
                      <w:rFonts w:hint="eastAsia"/>
                      <w:color w:val="auto"/>
                      <w:sz w:val="18"/>
                      <w:szCs w:val="18"/>
                    </w:rPr>
                    <w:t>塑料</w:t>
                  </w:r>
                </w:p>
              </w:tc>
              <w:tc>
                <w:tcPr>
                  <w:tcW w:w="980" w:type="dxa"/>
                  <w:tcBorders>
                    <w:tl2br w:val="nil"/>
                    <w:tr2bl w:val="nil"/>
                  </w:tcBorders>
                  <w:vAlign w:val="center"/>
                </w:tcPr>
                <w:p w14:paraId="14116BB4">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30</w:t>
                  </w:r>
                </w:p>
              </w:tc>
              <w:tc>
                <w:tcPr>
                  <w:tcW w:w="830" w:type="dxa"/>
                  <w:tcBorders>
                    <w:tl2br w:val="nil"/>
                    <w:tr2bl w:val="nil"/>
                  </w:tcBorders>
                  <w:vAlign w:val="center"/>
                </w:tcPr>
                <w:p w14:paraId="6C2D9026">
                  <w:pPr>
                    <w:snapToGrid w:val="0"/>
                    <w:jc w:val="center"/>
                    <w:textAlignment w:val="baseline"/>
                    <w:rPr>
                      <w:rFonts w:ascii="Arial" w:hAnsi="Arial" w:cs="Arial"/>
                      <w:color w:val="auto"/>
                      <w:sz w:val="18"/>
                      <w:szCs w:val="18"/>
                    </w:rPr>
                  </w:pPr>
                  <w:r>
                    <w:rPr>
                      <w:rFonts w:ascii="Arial" w:hAnsi="Arial" w:cs="Arial"/>
                      <w:color w:val="auto"/>
                      <w:sz w:val="18"/>
                      <w:szCs w:val="18"/>
                    </w:rPr>
                    <w:t>√</w:t>
                  </w:r>
                </w:p>
              </w:tc>
              <w:tc>
                <w:tcPr>
                  <w:tcW w:w="709" w:type="dxa"/>
                  <w:tcBorders>
                    <w:tl2br w:val="nil"/>
                    <w:tr2bl w:val="nil"/>
                  </w:tcBorders>
                  <w:vAlign w:val="center"/>
                </w:tcPr>
                <w:p w14:paraId="32A181B5">
                  <w:pPr>
                    <w:snapToGrid w:val="0"/>
                    <w:jc w:val="center"/>
                    <w:textAlignment w:val="baseline"/>
                    <w:rPr>
                      <w:color w:val="auto"/>
                      <w:sz w:val="18"/>
                      <w:szCs w:val="18"/>
                    </w:rPr>
                  </w:pPr>
                  <w:r>
                    <w:rPr>
                      <w:color w:val="auto"/>
                      <w:sz w:val="18"/>
                      <w:szCs w:val="18"/>
                    </w:rPr>
                    <w:t>/</w:t>
                  </w:r>
                </w:p>
              </w:tc>
            </w:tr>
            <w:tr w14:paraId="3C250C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409" w:type="dxa"/>
                  <w:tcBorders>
                    <w:tl2br w:val="nil"/>
                    <w:tr2bl w:val="nil"/>
                  </w:tcBorders>
                  <w:vAlign w:val="center"/>
                </w:tcPr>
                <w:p w14:paraId="2718333E">
                  <w:pPr>
                    <w:snapToGrid w:val="0"/>
                    <w:jc w:val="center"/>
                    <w:textAlignment w:val="baseline"/>
                    <w:rPr>
                      <w:rFonts w:hint="eastAsia" w:eastAsia="宋体"/>
                      <w:color w:val="auto"/>
                      <w:sz w:val="18"/>
                      <w:szCs w:val="18"/>
                      <w:lang w:eastAsia="zh-CN"/>
                    </w:rPr>
                  </w:pPr>
                  <w:r>
                    <w:rPr>
                      <w:rFonts w:hint="eastAsia"/>
                      <w:color w:val="auto"/>
                      <w:sz w:val="18"/>
                      <w:szCs w:val="18"/>
                      <w:lang w:val="en-US" w:eastAsia="zh-CN"/>
                    </w:rPr>
                    <w:t>5</w:t>
                  </w:r>
                </w:p>
              </w:tc>
              <w:tc>
                <w:tcPr>
                  <w:tcW w:w="1275" w:type="dxa"/>
                  <w:tcBorders>
                    <w:tl2br w:val="nil"/>
                    <w:tr2bl w:val="nil"/>
                  </w:tcBorders>
                  <w:vAlign w:val="center"/>
                </w:tcPr>
                <w:p w14:paraId="4C45725C">
                  <w:pPr>
                    <w:snapToGrid w:val="0"/>
                    <w:jc w:val="center"/>
                    <w:textAlignment w:val="baseline"/>
                    <w:rPr>
                      <w:color w:val="auto"/>
                      <w:sz w:val="18"/>
                      <w:szCs w:val="18"/>
                    </w:rPr>
                  </w:pPr>
                  <w:r>
                    <w:rPr>
                      <w:rFonts w:hint="eastAsia"/>
                      <w:color w:val="auto"/>
                      <w:sz w:val="18"/>
                      <w:szCs w:val="18"/>
                    </w:rPr>
                    <w:t>废润滑油</w:t>
                  </w:r>
                </w:p>
              </w:tc>
              <w:tc>
                <w:tcPr>
                  <w:tcW w:w="1742" w:type="dxa"/>
                  <w:tcBorders>
                    <w:tl2br w:val="nil"/>
                    <w:tr2bl w:val="nil"/>
                  </w:tcBorders>
                  <w:vAlign w:val="center"/>
                </w:tcPr>
                <w:p w14:paraId="58A741F4">
                  <w:pPr>
                    <w:snapToGrid w:val="0"/>
                    <w:jc w:val="center"/>
                    <w:textAlignment w:val="baseline"/>
                    <w:rPr>
                      <w:rFonts w:hint="eastAsia" w:eastAsia="宋体"/>
                      <w:color w:val="auto"/>
                      <w:sz w:val="18"/>
                      <w:szCs w:val="18"/>
                      <w:lang w:eastAsia="zh-CN"/>
                    </w:rPr>
                  </w:pPr>
                  <w:r>
                    <w:rPr>
                      <w:rFonts w:hint="eastAsia"/>
                      <w:color w:val="auto"/>
                      <w:sz w:val="18"/>
                      <w:szCs w:val="18"/>
                      <w:lang w:val="en-US" w:eastAsia="zh-CN"/>
                    </w:rPr>
                    <w:t>设备维护</w:t>
                  </w:r>
                </w:p>
              </w:tc>
              <w:tc>
                <w:tcPr>
                  <w:tcW w:w="780" w:type="dxa"/>
                  <w:tcBorders>
                    <w:tl2br w:val="nil"/>
                    <w:tr2bl w:val="nil"/>
                  </w:tcBorders>
                  <w:vAlign w:val="center"/>
                </w:tcPr>
                <w:p w14:paraId="26F026B4">
                  <w:pPr>
                    <w:snapToGrid w:val="0"/>
                    <w:jc w:val="center"/>
                    <w:textAlignment w:val="baseline"/>
                    <w:rPr>
                      <w:color w:val="auto"/>
                      <w:sz w:val="18"/>
                      <w:szCs w:val="18"/>
                    </w:rPr>
                  </w:pPr>
                  <w:r>
                    <w:rPr>
                      <w:rFonts w:hint="eastAsia"/>
                      <w:color w:val="auto"/>
                      <w:sz w:val="18"/>
                      <w:szCs w:val="18"/>
                    </w:rPr>
                    <w:t>液态</w:t>
                  </w:r>
                </w:p>
              </w:tc>
              <w:tc>
                <w:tcPr>
                  <w:tcW w:w="1333" w:type="dxa"/>
                  <w:tcBorders>
                    <w:tl2br w:val="nil"/>
                    <w:tr2bl w:val="nil"/>
                  </w:tcBorders>
                  <w:vAlign w:val="center"/>
                </w:tcPr>
                <w:p w14:paraId="2E993FB3">
                  <w:pPr>
                    <w:snapToGrid w:val="0"/>
                    <w:jc w:val="center"/>
                    <w:textAlignment w:val="baseline"/>
                    <w:rPr>
                      <w:color w:val="auto"/>
                      <w:sz w:val="18"/>
                      <w:szCs w:val="18"/>
                    </w:rPr>
                  </w:pPr>
                  <w:r>
                    <w:rPr>
                      <w:rFonts w:hint="eastAsia"/>
                      <w:color w:val="auto"/>
                      <w:sz w:val="18"/>
                      <w:szCs w:val="18"/>
                    </w:rPr>
                    <w:t>机油</w:t>
                  </w:r>
                </w:p>
              </w:tc>
              <w:tc>
                <w:tcPr>
                  <w:tcW w:w="980" w:type="dxa"/>
                  <w:tcBorders>
                    <w:tl2br w:val="nil"/>
                    <w:tr2bl w:val="nil"/>
                  </w:tcBorders>
                  <w:vAlign w:val="center"/>
                </w:tcPr>
                <w:p w14:paraId="014E6295">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0.2</w:t>
                  </w:r>
                </w:p>
              </w:tc>
              <w:tc>
                <w:tcPr>
                  <w:tcW w:w="830" w:type="dxa"/>
                  <w:tcBorders>
                    <w:tl2br w:val="nil"/>
                    <w:tr2bl w:val="nil"/>
                  </w:tcBorders>
                  <w:vAlign w:val="center"/>
                </w:tcPr>
                <w:p w14:paraId="0D60EC16">
                  <w:pPr>
                    <w:snapToGrid w:val="0"/>
                    <w:jc w:val="center"/>
                    <w:textAlignment w:val="baseline"/>
                    <w:rPr>
                      <w:color w:val="auto"/>
                      <w:sz w:val="18"/>
                      <w:szCs w:val="18"/>
                    </w:rPr>
                  </w:pPr>
                  <w:r>
                    <w:rPr>
                      <w:rFonts w:ascii="Arial" w:hAnsi="Arial" w:cs="Arial"/>
                      <w:color w:val="auto"/>
                      <w:sz w:val="18"/>
                      <w:szCs w:val="18"/>
                    </w:rPr>
                    <w:t>√</w:t>
                  </w:r>
                </w:p>
              </w:tc>
              <w:tc>
                <w:tcPr>
                  <w:tcW w:w="709" w:type="dxa"/>
                  <w:tcBorders>
                    <w:tl2br w:val="nil"/>
                    <w:tr2bl w:val="nil"/>
                  </w:tcBorders>
                  <w:vAlign w:val="center"/>
                </w:tcPr>
                <w:p w14:paraId="0DB3EFC1">
                  <w:pPr>
                    <w:snapToGrid w:val="0"/>
                    <w:jc w:val="center"/>
                    <w:textAlignment w:val="baseline"/>
                    <w:rPr>
                      <w:color w:val="auto"/>
                      <w:sz w:val="18"/>
                      <w:szCs w:val="18"/>
                    </w:rPr>
                  </w:pPr>
                  <w:r>
                    <w:rPr>
                      <w:color w:val="auto"/>
                      <w:sz w:val="18"/>
                      <w:szCs w:val="18"/>
                    </w:rPr>
                    <w:t>/</w:t>
                  </w:r>
                </w:p>
              </w:tc>
            </w:tr>
            <w:tr w14:paraId="43BD14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409" w:type="dxa"/>
                  <w:tcBorders>
                    <w:tl2br w:val="nil"/>
                    <w:tr2bl w:val="nil"/>
                  </w:tcBorders>
                  <w:vAlign w:val="center"/>
                </w:tcPr>
                <w:p w14:paraId="0D5EB135">
                  <w:pPr>
                    <w:snapToGrid w:val="0"/>
                    <w:jc w:val="center"/>
                    <w:textAlignment w:val="baseline"/>
                    <w:rPr>
                      <w:rFonts w:hint="eastAsia" w:eastAsia="宋体"/>
                      <w:color w:val="auto"/>
                      <w:sz w:val="18"/>
                      <w:szCs w:val="18"/>
                      <w:lang w:eastAsia="zh-CN"/>
                    </w:rPr>
                  </w:pPr>
                  <w:r>
                    <w:rPr>
                      <w:rFonts w:hint="eastAsia"/>
                      <w:color w:val="auto"/>
                      <w:sz w:val="18"/>
                      <w:szCs w:val="18"/>
                      <w:lang w:val="en-US" w:eastAsia="zh-CN"/>
                    </w:rPr>
                    <w:t>6</w:t>
                  </w:r>
                </w:p>
              </w:tc>
              <w:tc>
                <w:tcPr>
                  <w:tcW w:w="1275" w:type="dxa"/>
                  <w:tcBorders>
                    <w:tl2br w:val="nil"/>
                    <w:tr2bl w:val="nil"/>
                  </w:tcBorders>
                  <w:vAlign w:val="center"/>
                </w:tcPr>
                <w:p w14:paraId="6CF8C7B2">
                  <w:pPr>
                    <w:snapToGrid w:val="0"/>
                    <w:jc w:val="center"/>
                    <w:textAlignment w:val="baseline"/>
                    <w:rPr>
                      <w:rFonts w:hint="eastAsia" w:eastAsia="宋体"/>
                      <w:color w:val="auto"/>
                      <w:sz w:val="18"/>
                      <w:szCs w:val="18"/>
                      <w:lang w:eastAsia="zh-CN"/>
                    </w:rPr>
                  </w:pPr>
                  <w:r>
                    <w:rPr>
                      <w:rFonts w:hint="eastAsia"/>
                      <w:color w:val="auto"/>
                      <w:sz w:val="18"/>
                      <w:szCs w:val="18"/>
                      <w:lang w:eastAsia="zh-CN"/>
                    </w:rPr>
                    <w:t>废润滑油包装</w:t>
                  </w:r>
                </w:p>
              </w:tc>
              <w:tc>
                <w:tcPr>
                  <w:tcW w:w="1742" w:type="dxa"/>
                  <w:tcBorders>
                    <w:tl2br w:val="nil"/>
                    <w:tr2bl w:val="nil"/>
                  </w:tcBorders>
                  <w:vAlign w:val="center"/>
                </w:tcPr>
                <w:p w14:paraId="6B6A4B04">
                  <w:pPr>
                    <w:snapToGrid w:val="0"/>
                    <w:jc w:val="center"/>
                    <w:textAlignment w:val="baseline"/>
                    <w:rPr>
                      <w:color w:val="auto"/>
                      <w:sz w:val="18"/>
                      <w:szCs w:val="18"/>
                    </w:rPr>
                  </w:pPr>
                  <w:r>
                    <w:rPr>
                      <w:rFonts w:hint="eastAsia"/>
                      <w:color w:val="auto"/>
                      <w:sz w:val="18"/>
                      <w:szCs w:val="18"/>
                    </w:rPr>
                    <w:t>设备维护</w:t>
                  </w:r>
                </w:p>
              </w:tc>
              <w:tc>
                <w:tcPr>
                  <w:tcW w:w="780" w:type="dxa"/>
                  <w:tcBorders>
                    <w:tl2br w:val="nil"/>
                    <w:tr2bl w:val="nil"/>
                  </w:tcBorders>
                  <w:vAlign w:val="center"/>
                </w:tcPr>
                <w:p w14:paraId="7026C8F1">
                  <w:pPr>
                    <w:snapToGrid w:val="0"/>
                    <w:jc w:val="center"/>
                    <w:textAlignment w:val="baseline"/>
                    <w:rPr>
                      <w:color w:val="auto"/>
                      <w:sz w:val="18"/>
                      <w:szCs w:val="18"/>
                    </w:rPr>
                  </w:pPr>
                  <w:r>
                    <w:rPr>
                      <w:rFonts w:hint="eastAsia"/>
                      <w:color w:val="auto"/>
                      <w:sz w:val="18"/>
                      <w:szCs w:val="18"/>
                    </w:rPr>
                    <w:t>固态</w:t>
                  </w:r>
                </w:p>
              </w:tc>
              <w:tc>
                <w:tcPr>
                  <w:tcW w:w="1333" w:type="dxa"/>
                  <w:tcBorders>
                    <w:tl2br w:val="nil"/>
                    <w:tr2bl w:val="nil"/>
                  </w:tcBorders>
                  <w:vAlign w:val="center"/>
                </w:tcPr>
                <w:p w14:paraId="3D94413E">
                  <w:pPr>
                    <w:snapToGrid w:val="0"/>
                    <w:jc w:val="center"/>
                    <w:textAlignment w:val="baseline"/>
                    <w:rPr>
                      <w:color w:val="auto"/>
                      <w:sz w:val="18"/>
                      <w:szCs w:val="18"/>
                    </w:rPr>
                  </w:pPr>
                  <w:r>
                    <w:rPr>
                      <w:rFonts w:hint="eastAsia"/>
                      <w:color w:val="auto"/>
                      <w:sz w:val="18"/>
                      <w:szCs w:val="18"/>
                    </w:rPr>
                    <w:t>塑料、残油</w:t>
                  </w:r>
                </w:p>
              </w:tc>
              <w:tc>
                <w:tcPr>
                  <w:tcW w:w="980" w:type="dxa"/>
                  <w:tcBorders>
                    <w:tl2br w:val="nil"/>
                    <w:tr2bl w:val="nil"/>
                  </w:tcBorders>
                  <w:vAlign w:val="center"/>
                </w:tcPr>
                <w:p w14:paraId="35978AB8">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0.02</w:t>
                  </w:r>
                </w:p>
              </w:tc>
              <w:tc>
                <w:tcPr>
                  <w:tcW w:w="830" w:type="dxa"/>
                  <w:tcBorders>
                    <w:tl2br w:val="nil"/>
                    <w:tr2bl w:val="nil"/>
                  </w:tcBorders>
                  <w:vAlign w:val="center"/>
                </w:tcPr>
                <w:p w14:paraId="2F85CFB5">
                  <w:pPr>
                    <w:snapToGrid w:val="0"/>
                    <w:jc w:val="center"/>
                    <w:textAlignment w:val="baseline"/>
                    <w:rPr>
                      <w:color w:val="auto"/>
                      <w:sz w:val="18"/>
                      <w:szCs w:val="18"/>
                    </w:rPr>
                  </w:pPr>
                  <w:r>
                    <w:rPr>
                      <w:rFonts w:ascii="Arial" w:hAnsi="Arial" w:cs="Arial"/>
                      <w:color w:val="auto"/>
                      <w:sz w:val="18"/>
                      <w:szCs w:val="18"/>
                    </w:rPr>
                    <w:t>√</w:t>
                  </w:r>
                </w:p>
              </w:tc>
              <w:tc>
                <w:tcPr>
                  <w:tcW w:w="709" w:type="dxa"/>
                  <w:tcBorders>
                    <w:tl2br w:val="nil"/>
                    <w:tr2bl w:val="nil"/>
                  </w:tcBorders>
                  <w:vAlign w:val="center"/>
                </w:tcPr>
                <w:p w14:paraId="6D1F6B72">
                  <w:pPr>
                    <w:snapToGrid w:val="0"/>
                    <w:jc w:val="center"/>
                    <w:textAlignment w:val="baseline"/>
                    <w:rPr>
                      <w:color w:val="auto"/>
                      <w:sz w:val="18"/>
                      <w:szCs w:val="18"/>
                    </w:rPr>
                  </w:pPr>
                  <w:r>
                    <w:rPr>
                      <w:color w:val="auto"/>
                      <w:sz w:val="18"/>
                      <w:szCs w:val="18"/>
                    </w:rPr>
                    <w:t>/</w:t>
                  </w:r>
                </w:p>
              </w:tc>
            </w:tr>
            <w:tr w14:paraId="451F43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188" w:hRule="atLeast"/>
                <w:tblHeader/>
              </w:trPr>
              <w:tc>
                <w:tcPr>
                  <w:tcW w:w="409" w:type="dxa"/>
                  <w:tcBorders>
                    <w:tl2br w:val="nil"/>
                    <w:tr2bl w:val="nil"/>
                  </w:tcBorders>
                  <w:shd w:val="clear" w:color="auto" w:fill="auto"/>
                  <w:vAlign w:val="center"/>
                </w:tcPr>
                <w:p w14:paraId="6E0827A4">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7</w:t>
                  </w:r>
                </w:p>
              </w:tc>
              <w:tc>
                <w:tcPr>
                  <w:tcW w:w="1275" w:type="dxa"/>
                  <w:tcBorders>
                    <w:tl2br w:val="nil"/>
                    <w:tr2bl w:val="nil"/>
                  </w:tcBorders>
                  <w:shd w:val="clear" w:color="auto" w:fill="auto"/>
                  <w:vAlign w:val="center"/>
                </w:tcPr>
                <w:p w14:paraId="3FEFA3B3">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rPr>
                    <w:t>在线仪废液</w:t>
                  </w:r>
                </w:p>
              </w:tc>
              <w:tc>
                <w:tcPr>
                  <w:tcW w:w="1742" w:type="dxa"/>
                  <w:tcBorders>
                    <w:tl2br w:val="nil"/>
                    <w:tr2bl w:val="nil"/>
                  </w:tcBorders>
                  <w:shd w:val="clear" w:color="auto" w:fill="auto"/>
                  <w:vAlign w:val="center"/>
                </w:tcPr>
                <w:p w14:paraId="0AAB596E">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rPr>
                    <w:t>污水在线监测</w:t>
                  </w:r>
                </w:p>
              </w:tc>
              <w:tc>
                <w:tcPr>
                  <w:tcW w:w="780" w:type="dxa"/>
                  <w:tcBorders>
                    <w:tl2br w:val="nil"/>
                    <w:tr2bl w:val="nil"/>
                  </w:tcBorders>
                  <w:shd w:val="clear" w:color="auto" w:fill="auto"/>
                  <w:vAlign w:val="center"/>
                </w:tcPr>
                <w:p w14:paraId="7E4649E3">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rPr>
                    <w:t>液态</w:t>
                  </w:r>
                </w:p>
              </w:tc>
              <w:tc>
                <w:tcPr>
                  <w:tcW w:w="1333" w:type="dxa"/>
                  <w:tcBorders>
                    <w:tl2br w:val="nil"/>
                    <w:tr2bl w:val="nil"/>
                  </w:tcBorders>
                  <w:shd w:val="clear" w:color="auto" w:fill="auto"/>
                  <w:vAlign w:val="center"/>
                </w:tcPr>
                <w:p w14:paraId="3ACD92B5">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rPr>
                    <w:t>硫酸汞等</w:t>
                  </w:r>
                </w:p>
              </w:tc>
              <w:tc>
                <w:tcPr>
                  <w:tcW w:w="980" w:type="dxa"/>
                  <w:tcBorders>
                    <w:tl2br w:val="nil"/>
                    <w:tr2bl w:val="nil"/>
                  </w:tcBorders>
                  <w:shd w:val="clear" w:color="auto" w:fill="auto"/>
                  <w:vAlign w:val="center"/>
                </w:tcPr>
                <w:p w14:paraId="3F77362B">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0.006</w:t>
                  </w:r>
                </w:p>
              </w:tc>
              <w:tc>
                <w:tcPr>
                  <w:tcW w:w="830" w:type="dxa"/>
                  <w:tcBorders>
                    <w:tl2br w:val="nil"/>
                    <w:tr2bl w:val="nil"/>
                  </w:tcBorders>
                  <w:shd w:val="clear" w:color="auto" w:fill="auto"/>
                  <w:vAlign w:val="center"/>
                </w:tcPr>
                <w:p w14:paraId="4ED1FFCA">
                  <w:pPr>
                    <w:snapToGrid w:val="0"/>
                    <w:jc w:val="center"/>
                    <w:textAlignment w:val="baseline"/>
                    <w:rPr>
                      <w:rFonts w:ascii="Times New Roman" w:hAnsi="Times New Roman" w:eastAsia="宋体" w:cs="Times New Roman"/>
                      <w:color w:val="auto"/>
                      <w:kern w:val="2"/>
                      <w:sz w:val="18"/>
                      <w:szCs w:val="18"/>
                      <w:lang w:val="en-US" w:eastAsia="zh-CN" w:bidi="ar-SA"/>
                    </w:rPr>
                  </w:pPr>
                  <w:r>
                    <w:rPr>
                      <w:rFonts w:ascii="Arial" w:hAnsi="Arial" w:cs="Arial"/>
                      <w:color w:val="auto"/>
                      <w:sz w:val="18"/>
                      <w:szCs w:val="18"/>
                    </w:rPr>
                    <w:t>√</w:t>
                  </w:r>
                </w:p>
              </w:tc>
              <w:tc>
                <w:tcPr>
                  <w:tcW w:w="709" w:type="dxa"/>
                  <w:tcBorders>
                    <w:tl2br w:val="nil"/>
                    <w:tr2bl w:val="nil"/>
                  </w:tcBorders>
                  <w:shd w:val="clear" w:color="auto" w:fill="auto"/>
                  <w:vAlign w:val="center"/>
                </w:tcPr>
                <w:p w14:paraId="22A5C9F7">
                  <w:pPr>
                    <w:snapToGrid w:val="0"/>
                    <w:jc w:val="center"/>
                    <w:textAlignment w:val="baseline"/>
                    <w:rPr>
                      <w:rFonts w:ascii="Times New Roman" w:hAnsi="Times New Roman" w:eastAsia="宋体" w:cs="Times New Roman"/>
                      <w:color w:val="auto"/>
                      <w:kern w:val="2"/>
                      <w:sz w:val="18"/>
                      <w:szCs w:val="18"/>
                      <w:lang w:val="en-US" w:eastAsia="zh-CN" w:bidi="ar-SA"/>
                    </w:rPr>
                  </w:pPr>
                  <w:r>
                    <w:rPr>
                      <w:color w:val="auto"/>
                      <w:sz w:val="18"/>
                      <w:szCs w:val="18"/>
                    </w:rPr>
                    <w:t>/</w:t>
                  </w:r>
                </w:p>
              </w:tc>
            </w:tr>
            <w:tr w14:paraId="7A2900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188" w:hRule="atLeast"/>
                <w:tblHeader/>
              </w:trPr>
              <w:tc>
                <w:tcPr>
                  <w:tcW w:w="409" w:type="dxa"/>
                  <w:tcBorders>
                    <w:tl2br w:val="nil"/>
                    <w:tr2bl w:val="nil"/>
                  </w:tcBorders>
                  <w:shd w:val="clear" w:color="auto" w:fill="auto"/>
                  <w:vAlign w:val="center"/>
                </w:tcPr>
                <w:p w14:paraId="174A056C">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8</w:t>
                  </w:r>
                </w:p>
              </w:tc>
              <w:tc>
                <w:tcPr>
                  <w:tcW w:w="1275" w:type="dxa"/>
                  <w:tcBorders>
                    <w:tl2br w:val="nil"/>
                    <w:tr2bl w:val="nil"/>
                  </w:tcBorders>
                  <w:shd w:val="clear" w:color="auto" w:fill="auto"/>
                  <w:vAlign w:val="center"/>
                </w:tcPr>
                <w:p w14:paraId="38F2D670">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废试剂包装</w:t>
                  </w:r>
                </w:p>
              </w:tc>
              <w:tc>
                <w:tcPr>
                  <w:tcW w:w="1742" w:type="dxa"/>
                  <w:tcBorders>
                    <w:tl2br w:val="nil"/>
                    <w:tr2bl w:val="nil"/>
                  </w:tcBorders>
                  <w:shd w:val="clear" w:color="auto" w:fill="auto"/>
                  <w:vAlign w:val="center"/>
                </w:tcPr>
                <w:p w14:paraId="229418FB">
                  <w:pPr>
                    <w:snapToGrid w:val="0"/>
                    <w:jc w:val="center"/>
                    <w:textAlignment w:val="baseline"/>
                    <w:rPr>
                      <w:rFonts w:hint="eastAsia"/>
                      <w:color w:val="auto"/>
                      <w:sz w:val="18"/>
                      <w:szCs w:val="18"/>
                    </w:rPr>
                  </w:pPr>
                  <w:r>
                    <w:rPr>
                      <w:rFonts w:hint="eastAsia"/>
                      <w:color w:val="auto"/>
                      <w:sz w:val="18"/>
                      <w:szCs w:val="18"/>
                    </w:rPr>
                    <w:t>污水在线监测</w:t>
                  </w:r>
                </w:p>
              </w:tc>
              <w:tc>
                <w:tcPr>
                  <w:tcW w:w="780" w:type="dxa"/>
                  <w:tcBorders>
                    <w:tl2br w:val="nil"/>
                    <w:tr2bl w:val="nil"/>
                  </w:tcBorders>
                  <w:shd w:val="clear" w:color="auto" w:fill="auto"/>
                  <w:vAlign w:val="center"/>
                </w:tcPr>
                <w:p w14:paraId="39C211C3">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固态</w:t>
                  </w:r>
                </w:p>
              </w:tc>
              <w:tc>
                <w:tcPr>
                  <w:tcW w:w="1333" w:type="dxa"/>
                  <w:tcBorders>
                    <w:tl2br w:val="nil"/>
                    <w:tr2bl w:val="nil"/>
                  </w:tcBorders>
                  <w:shd w:val="clear" w:color="auto" w:fill="auto"/>
                  <w:vAlign w:val="center"/>
                </w:tcPr>
                <w:p w14:paraId="2D3EE32D">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塑料</w:t>
                  </w:r>
                </w:p>
              </w:tc>
              <w:tc>
                <w:tcPr>
                  <w:tcW w:w="980" w:type="dxa"/>
                  <w:tcBorders>
                    <w:tl2br w:val="nil"/>
                    <w:tr2bl w:val="nil"/>
                  </w:tcBorders>
                  <w:shd w:val="clear" w:color="auto" w:fill="auto"/>
                  <w:vAlign w:val="center"/>
                </w:tcPr>
                <w:p w14:paraId="158D98D5">
                  <w:pPr>
                    <w:snapToGrid w:val="0"/>
                    <w:jc w:val="center"/>
                    <w:textAlignment w:val="baseline"/>
                    <w:rPr>
                      <w:rFonts w:hint="default" w:cs="Times New Roman"/>
                      <w:color w:val="auto"/>
                      <w:kern w:val="2"/>
                      <w:sz w:val="18"/>
                      <w:szCs w:val="18"/>
                      <w:lang w:val="en-US" w:eastAsia="zh-CN" w:bidi="ar-SA"/>
                    </w:rPr>
                  </w:pPr>
                  <w:r>
                    <w:rPr>
                      <w:rFonts w:hint="eastAsia" w:cs="Times New Roman"/>
                      <w:color w:val="auto"/>
                      <w:kern w:val="2"/>
                      <w:sz w:val="18"/>
                      <w:szCs w:val="18"/>
                      <w:lang w:val="en-US" w:eastAsia="zh-CN" w:bidi="ar-SA"/>
                    </w:rPr>
                    <w:t>0.001</w:t>
                  </w:r>
                </w:p>
              </w:tc>
              <w:tc>
                <w:tcPr>
                  <w:tcW w:w="830" w:type="dxa"/>
                  <w:tcBorders>
                    <w:tl2br w:val="nil"/>
                    <w:tr2bl w:val="nil"/>
                  </w:tcBorders>
                  <w:shd w:val="clear" w:color="auto" w:fill="auto"/>
                  <w:vAlign w:val="center"/>
                </w:tcPr>
                <w:p w14:paraId="6D637B6E">
                  <w:pPr>
                    <w:snapToGrid w:val="0"/>
                    <w:jc w:val="center"/>
                    <w:textAlignment w:val="baseline"/>
                    <w:rPr>
                      <w:rFonts w:ascii="Arial" w:hAnsi="Arial" w:cs="Arial"/>
                      <w:color w:val="auto"/>
                      <w:sz w:val="18"/>
                      <w:szCs w:val="18"/>
                    </w:rPr>
                  </w:pPr>
                  <w:r>
                    <w:rPr>
                      <w:rFonts w:ascii="Arial" w:hAnsi="Arial" w:cs="Arial"/>
                      <w:color w:val="auto"/>
                      <w:sz w:val="18"/>
                      <w:szCs w:val="18"/>
                    </w:rPr>
                    <w:t>√</w:t>
                  </w:r>
                </w:p>
              </w:tc>
              <w:tc>
                <w:tcPr>
                  <w:tcW w:w="709" w:type="dxa"/>
                  <w:tcBorders>
                    <w:tl2br w:val="nil"/>
                    <w:tr2bl w:val="nil"/>
                  </w:tcBorders>
                  <w:shd w:val="clear" w:color="auto" w:fill="auto"/>
                  <w:vAlign w:val="center"/>
                </w:tcPr>
                <w:p w14:paraId="4DA8EE79">
                  <w:pPr>
                    <w:snapToGrid w:val="0"/>
                    <w:jc w:val="center"/>
                    <w:textAlignment w:val="baseline"/>
                    <w:rPr>
                      <w:color w:val="auto"/>
                      <w:sz w:val="18"/>
                      <w:szCs w:val="18"/>
                    </w:rPr>
                  </w:pPr>
                  <w:r>
                    <w:rPr>
                      <w:color w:val="auto"/>
                      <w:sz w:val="18"/>
                      <w:szCs w:val="18"/>
                    </w:rPr>
                    <w:t>/</w:t>
                  </w:r>
                </w:p>
              </w:tc>
            </w:tr>
            <w:tr w14:paraId="47CD72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409" w:type="dxa"/>
                  <w:tcBorders>
                    <w:tl2br w:val="nil"/>
                    <w:tr2bl w:val="nil"/>
                  </w:tcBorders>
                  <w:shd w:val="clear" w:color="auto" w:fill="auto"/>
                  <w:vAlign w:val="center"/>
                </w:tcPr>
                <w:p w14:paraId="552677BE">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9</w:t>
                  </w:r>
                </w:p>
              </w:tc>
              <w:tc>
                <w:tcPr>
                  <w:tcW w:w="1275" w:type="dxa"/>
                  <w:tcBorders>
                    <w:tl2br w:val="nil"/>
                    <w:tr2bl w:val="nil"/>
                  </w:tcBorders>
                  <w:shd w:val="clear" w:color="auto" w:fill="auto"/>
                  <w:vAlign w:val="center"/>
                </w:tcPr>
                <w:p w14:paraId="66472F80">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废草酸包装</w:t>
                  </w:r>
                </w:p>
              </w:tc>
              <w:tc>
                <w:tcPr>
                  <w:tcW w:w="1742" w:type="dxa"/>
                  <w:tcBorders>
                    <w:tl2br w:val="nil"/>
                    <w:tr2bl w:val="nil"/>
                  </w:tcBorders>
                  <w:shd w:val="clear" w:color="auto" w:fill="auto"/>
                  <w:vAlign w:val="center"/>
                </w:tcPr>
                <w:p w14:paraId="2194E4F3">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洗综</w:t>
                  </w:r>
                </w:p>
              </w:tc>
              <w:tc>
                <w:tcPr>
                  <w:tcW w:w="780" w:type="dxa"/>
                  <w:tcBorders>
                    <w:tl2br w:val="nil"/>
                    <w:tr2bl w:val="nil"/>
                  </w:tcBorders>
                  <w:shd w:val="clear" w:color="auto" w:fill="auto"/>
                  <w:vAlign w:val="center"/>
                </w:tcPr>
                <w:p w14:paraId="425572AC">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固态</w:t>
                  </w:r>
                </w:p>
              </w:tc>
              <w:tc>
                <w:tcPr>
                  <w:tcW w:w="1333" w:type="dxa"/>
                  <w:tcBorders>
                    <w:tl2br w:val="nil"/>
                    <w:tr2bl w:val="nil"/>
                  </w:tcBorders>
                  <w:shd w:val="clear" w:color="auto" w:fill="auto"/>
                  <w:vAlign w:val="center"/>
                </w:tcPr>
                <w:p w14:paraId="4D727D47">
                  <w:pPr>
                    <w:snapToGrid w:val="0"/>
                    <w:jc w:val="center"/>
                    <w:textAlignment w:val="baseline"/>
                    <w:rPr>
                      <w:rFonts w:hint="eastAsia"/>
                      <w:color w:val="auto"/>
                      <w:sz w:val="18"/>
                      <w:szCs w:val="18"/>
                    </w:rPr>
                  </w:pPr>
                  <w:r>
                    <w:rPr>
                      <w:rFonts w:hint="eastAsia"/>
                      <w:color w:val="auto"/>
                      <w:sz w:val="18"/>
                      <w:szCs w:val="18"/>
                    </w:rPr>
                    <w:t>塑料</w:t>
                  </w:r>
                </w:p>
              </w:tc>
              <w:tc>
                <w:tcPr>
                  <w:tcW w:w="980" w:type="dxa"/>
                  <w:tcBorders>
                    <w:tl2br w:val="nil"/>
                    <w:tr2bl w:val="nil"/>
                  </w:tcBorders>
                  <w:shd w:val="clear" w:color="auto" w:fill="auto"/>
                  <w:vAlign w:val="center"/>
                </w:tcPr>
                <w:p w14:paraId="1C961AF6">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0.0032</w:t>
                  </w:r>
                </w:p>
              </w:tc>
              <w:tc>
                <w:tcPr>
                  <w:tcW w:w="830" w:type="dxa"/>
                  <w:tcBorders>
                    <w:tl2br w:val="nil"/>
                    <w:tr2bl w:val="nil"/>
                  </w:tcBorders>
                  <w:shd w:val="clear" w:color="auto" w:fill="auto"/>
                  <w:vAlign w:val="center"/>
                </w:tcPr>
                <w:p w14:paraId="6B47ADEF">
                  <w:pPr>
                    <w:snapToGrid w:val="0"/>
                    <w:jc w:val="center"/>
                    <w:textAlignment w:val="baseline"/>
                    <w:rPr>
                      <w:rFonts w:ascii="Arial" w:hAnsi="Arial" w:cs="Arial"/>
                      <w:color w:val="auto"/>
                      <w:sz w:val="18"/>
                      <w:szCs w:val="18"/>
                    </w:rPr>
                  </w:pPr>
                  <w:r>
                    <w:rPr>
                      <w:rFonts w:ascii="Arial" w:hAnsi="Arial" w:cs="Arial"/>
                      <w:color w:val="auto"/>
                      <w:sz w:val="18"/>
                      <w:szCs w:val="18"/>
                    </w:rPr>
                    <w:t>√</w:t>
                  </w:r>
                </w:p>
              </w:tc>
              <w:tc>
                <w:tcPr>
                  <w:tcW w:w="709" w:type="dxa"/>
                  <w:tcBorders>
                    <w:tl2br w:val="nil"/>
                    <w:tr2bl w:val="nil"/>
                  </w:tcBorders>
                  <w:shd w:val="clear" w:color="auto" w:fill="auto"/>
                  <w:vAlign w:val="center"/>
                </w:tcPr>
                <w:p w14:paraId="227F5116">
                  <w:pPr>
                    <w:snapToGrid w:val="0"/>
                    <w:jc w:val="center"/>
                    <w:textAlignment w:val="baseline"/>
                    <w:rPr>
                      <w:color w:val="auto"/>
                      <w:sz w:val="18"/>
                      <w:szCs w:val="18"/>
                    </w:rPr>
                  </w:pPr>
                  <w:r>
                    <w:rPr>
                      <w:color w:val="auto"/>
                      <w:sz w:val="18"/>
                      <w:szCs w:val="18"/>
                    </w:rPr>
                    <w:t>/</w:t>
                  </w:r>
                </w:p>
              </w:tc>
            </w:tr>
            <w:tr w14:paraId="581E04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409" w:type="dxa"/>
                  <w:tcBorders>
                    <w:tl2br w:val="nil"/>
                    <w:tr2bl w:val="nil"/>
                  </w:tcBorders>
                  <w:shd w:val="clear" w:color="auto" w:fill="auto"/>
                  <w:vAlign w:val="center"/>
                </w:tcPr>
                <w:p w14:paraId="462807E6">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10</w:t>
                  </w:r>
                </w:p>
              </w:tc>
              <w:tc>
                <w:tcPr>
                  <w:tcW w:w="1275" w:type="dxa"/>
                  <w:tcBorders>
                    <w:tl2br w:val="nil"/>
                    <w:tr2bl w:val="nil"/>
                  </w:tcBorders>
                  <w:shd w:val="clear" w:color="auto" w:fill="auto"/>
                  <w:vAlign w:val="center"/>
                </w:tcPr>
                <w:p w14:paraId="682884C6">
                  <w:pPr>
                    <w:snapToGrid w:val="0"/>
                    <w:jc w:val="center"/>
                    <w:textAlignment w:val="baseline"/>
                    <w:rPr>
                      <w:rFonts w:hint="eastAsia"/>
                      <w:color w:val="auto"/>
                      <w:sz w:val="18"/>
                      <w:szCs w:val="18"/>
                      <w:lang w:val="en-US" w:eastAsia="zh-CN"/>
                    </w:rPr>
                  </w:pPr>
                  <w:r>
                    <w:rPr>
                      <w:rFonts w:hint="eastAsia"/>
                      <w:color w:val="auto"/>
                      <w:sz w:val="18"/>
                      <w:szCs w:val="18"/>
                      <w:lang w:val="en-US" w:eastAsia="zh-CN"/>
                    </w:rPr>
                    <w:t>静电除油废油</w:t>
                  </w:r>
                </w:p>
              </w:tc>
              <w:tc>
                <w:tcPr>
                  <w:tcW w:w="1742" w:type="dxa"/>
                  <w:tcBorders>
                    <w:tl2br w:val="nil"/>
                    <w:tr2bl w:val="nil"/>
                  </w:tcBorders>
                  <w:shd w:val="clear" w:color="auto" w:fill="auto"/>
                  <w:vAlign w:val="center"/>
                </w:tcPr>
                <w:p w14:paraId="6F1AAE48">
                  <w:pPr>
                    <w:snapToGrid w:val="0"/>
                    <w:jc w:val="center"/>
                    <w:textAlignment w:val="baseline"/>
                    <w:rPr>
                      <w:rFonts w:hint="eastAsia"/>
                      <w:color w:val="auto"/>
                      <w:sz w:val="18"/>
                      <w:szCs w:val="18"/>
                      <w:lang w:val="en-US" w:eastAsia="zh-CN"/>
                    </w:rPr>
                  </w:pPr>
                  <w:r>
                    <w:rPr>
                      <w:rFonts w:hint="eastAsia"/>
                      <w:color w:val="auto"/>
                      <w:sz w:val="18"/>
                      <w:szCs w:val="18"/>
                      <w:lang w:val="en-US" w:eastAsia="zh-CN"/>
                    </w:rPr>
                    <w:t>废气处理</w:t>
                  </w:r>
                </w:p>
              </w:tc>
              <w:tc>
                <w:tcPr>
                  <w:tcW w:w="780" w:type="dxa"/>
                  <w:tcBorders>
                    <w:tl2br w:val="nil"/>
                    <w:tr2bl w:val="nil"/>
                  </w:tcBorders>
                  <w:shd w:val="clear" w:color="auto" w:fill="auto"/>
                  <w:vAlign w:val="center"/>
                </w:tcPr>
                <w:p w14:paraId="6CF18466">
                  <w:pPr>
                    <w:snapToGrid w:val="0"/>
                    <w:jc w:val="center"/>
                    <w:textAlignment w:val="baseline"/>
                    <w:rPr>
                      <w:rFonts w:hint="eastAsia"/>
                      <w:color w:val="auto"/>
                      <w:sz w:val="18"/>
                      <w:szCs w:val="18"/>
                    </w:rPr>
                  </w:pPr>
                  <w:r>
                    <w:rPr>
                      <w:rFonts w:hint="eastAsia"/>
                      <w:color w:val="auto"/>
                      <w:sz w:val="18"/>
                      <w:szCs w:val="18"/>
                    </w:rPr>
                    <w:t>液态</w:t>
                  </w:r>
                </w:p>
              </w:tc>
              <w:tc>
                <w:tcPr>
                  <w:tcW w:w="1333" w:type="dxa"/>
                  <w:tcBorders>
                    <w:tl2br w:val="nil"/>
                    <w:tr2bl w:val="nil"/>
                  </w:tcBorders>
                  <w:shd w:val="clear" w:color="auto" w:fill="auto"/>
                  <w:vAlign w:val="center"/>
                </w:tcPr>
                <w:p w14:paraId="0B840D3A">
                  <w:pPr>
                    <w:snapToGrid w:val="0"/>
                    <w:jc w:val="center"/>
                    <w:textAlignment w:val="baseline"/>
                    <w:rPr>
                      <w:rFonts w:hint="eastAsia"/>
                      <w:color w:val="auto"/>
                      <w:sz w:val="18"/>
                      <w:szCs w:val="18"/>
                    </w:rPr>
                  </w:pPr>
                  <w:r>
                    <w:rPr>
                      <w:rFonts w:hint="eastAsia"/>
                      <w:color w:val="auto"/>
                      <w:sz w:val="18"/>
                      <w:szCs w:val="18"/>
                      <w:lang w:val="en-US" w:eastAsia="zh-CN"/>
                    </w:rPr>
                    <w:t>废油</w:t>
                  </w:r>
                </w:p>
              </w:tc>
              <w:tc>
                <w:tcPr>
                  <w:tcW w:w="980" w:type="dxa"/>
                  <w:tcBorders>
                    <w:tl2br w:val="nil"/>
                    <w:tr2bl w:val="nil"/>
                  </w:tcBorders>
                  <w:shd w:val="clear" w:color="auto" w:fill="auto"/>
                  <w:vAlign w:val="center"/>
                </w:tcPr>
                <w:p w14:paraId="2603FEE6">
                  <w:pPr>
                    <w:snapToGrid w:val="0"/>
                    <w:jc w:val="center"/>
                    <w:textAlignment w:val="baseline"/>
                    <w:rPr>
                      <w:rFonts w:hint="eastAsia" w:cs="Times New Roman"/>
                      <w:color w:val="auto"/>
                      <w:kern w:val="2"/>
                      <w:sz w:val="18"/>
                      <w:szCs w:val="18"/>
                      <w:lang w:val="en-US" w:eastAsia="zh-CN" w:bidi="ar-SA"/>
                    </w:rPr>
                  </w:pPr>
                  <w:r>
                    <w:rPr>
                      <w:rFonts w:hint="eastAsia" w:cs="Times New Roman"/>
                      <w:color w:val="auto"/>
                      <w:kern w:val="2"/>
                      <w:sz w:val="18"/>
                      <w:szCs w:val="18"/>
                      <w:lang w:val="en-US" w:eastAsia="zh-CN" w:bidi="ar-SA"/>
                    </w:rPr>
                    <w:t>3.079</w:t>
                  </w:r>
                </w:p>
              </w:tc>
              <w:tc>
                <w:tcPr>
                  <w:tcW w:w="830" w:type="dxa"/>
                  <w:tcBorders>
                    <w:tl2br w:val="nil"/>
                    <w:tr2bl w:val="nil"/>
                  </w:tcBorders>
                  <w:shd w:val="clear" w:color="auto" w:fill="auto"/>
                  <w:vAlign w:val="center"/>
                </w:tcPr>
                <w:p w14:paraId="245BC68A">
                  <w:pPr>
                    <w:snapToGrid w:val="0"/>
                    <w:jc w:val="center"/>
                    <w:textAlignment w:val="baseline"/>
                    <w:rPr>
                      <w:rFonts w:ascii="Arial" w:hAnsi="Arial" w:eastAsia="宋体" w:cs="Arial"/>
                      <w:color w:val="auto"/>
                      <w:kern w:val="2"/>
                      <w:sz w:val="18"/>
                      <w:szCs w:val="18"/>
                      <w:lang w:val="en-US" w:eastAsia="zh-CN" w:bidi="ar-SA"/>
                    </w:rPr>
                  </w:pPr>
                  <w:r>
                    <w:rPr>
                      <w:rFonts w:ascii="Arial" w:hAnsi="Arial" w:cs="Arial"/>
                      <w:color w:val="auto"/>
                      <w:sz w:val="18"/>
                      <w:szCs w:val="18"/>
                    </w:rPr>
                    <w:t>√</w:t>
                  </w:r>
                </w:p>
              </w:tc>
              <w:tc>
                <w:tcPr>
                  <w:tcW w:w="709" w:type="dxa"/>
                  <w:tcBorders>
                    <w:tl2br w:val="nil"/>
                    <w:tr2bl w:val="nil"/>
                  </w:tcBorders>
                  <w:shd w:val="clear" w:color="auto" w:fill="auto"/>
                  <w:vAlign w:val="center"/>
                </w:tcPr>
                <w:p w14:paraId="7E2C34CE">
                  <w:pPr>
                    <w:snapToGrid w:val="0"/>
                    <w:jc w:val="center"/>
                    <w:textAlignment w:val="baseline"/>
                    <w:rPr>
                      <w:rFonts w:ascii="Times New Roman" w:hAnsi="Times New Roman" w:eastAsia="宋体" w:cs="Times New Roman"/>
                      <w:color w:val="auto"/>
                      <w:kern w:val="2"/>
                      <w:sz w:val="18"/>
                      <w:szCs w:val="18"/>
                      <w:lang w:val="en-US" w:eastAsia="zh-CN" w:bidi="ar-SA"/>
                    </w:rPr>
                  </w:pPr>
                  <w:r>
                    <w:rPr>
                      <w:color w:val="auto"/>
                      <w:sz w:val="18"/>
                      <w:szCs w:val="18"/>
                    </w:rPr>
                    <w:t>/</w:t>
                  </w:r>
                </w:p>
              </w:tc>
            </w:tr>
            <w:tr w14:paraId="1EDCE3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409" w:type="dxa"/>
                  <w:tcBorders>
                    <w:tl2br w:val="nil"/>
                    <w:tr2bl w:val="nil"/>
                  </w:tcBorders>
                  <w:shd w:val="clear" w:color="auto" w:fill="auto"/>
                  <w:vAlign w:val="center"/>
                </w:tcPr>
                <w:p w14:paraId="6BAE7959">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11</w:t>
                  </w:r>
                </w:p>
              </w:tc>
              <w:tc>
                <w:tcPr>
                  <w:tcW w:w="1275" w:type="dxa"/>
                  <w:tcBorders>
                    <w:tl2br w:val="nil"/>
                    <w:tr2bl w:val="nil"/>
                  </w:tcBorders>
                  <w:shd w:val="clear" w:color="auto" w:fill="auto"/>
                  <w:vAlign w:val="center"/>
                </w:tcPr>
                <w:p w14:paraId="0A888378">
                  <w:pPr>
                    <w:snapToGrid w:val="0"/>
                    <w:jc w:val="center"/>
                    <w:textAlignment w:val="baseline"/>
                    <w:rPr>
                      <w:rFonts w:hint="default"/>
                      <w:color w:val="auto"/>
                      <w:sz w:val="18"/>
                      <w:szCs w:val="18"/>
                      <w:lang w:val="en-US" w:eastAsia="zh-CN"/>
                    </w:rPr>
                  </w:pPr>
                  <w:r>
                    <w:rPr>
                      <w:rFonts w:hint="eastAsia"/>
                      <w:color w:val="auto"/>
                      <w:sz w:val="18"/>
                      <w:szCs w:val="18"/>
                      <w:lang w:val="en-US" w:eastAsia="zh-CN"/>
                    </w:rPr>
                    <w:t>废活性炭</w:t>
                  </w:r>
                </w:p>
              </w:tc>
              <w:tc>
                <w:tcPr>
                  <w:tcW w:w="1742" w:type="dxa"/>
                  <w:tcBorders>
                    <w:tl2br w:val="nil"/>
                    <w:tr2bl w:val="nil"/>
                  </w:tcBorders>
                  <w:shd w:val="clear" w:color="auto" w:fill="auto"/>
                  <w:vAlign w:val="center"/>
                </w:tcPr>
                <w:p w14:paraId="7EA56785">
                  <w:pPr>
                    <w:snapToGrid w:val="0"/>
                    <w:jc w:val="center"/>
                    <w:textAlignment w:val="baseline"/>
                    <w:rPr>
                      <w:rFonts w:hint="default"/>
                      <w:color w:val="auto"/>
                      <w:sz w:val="18"/>
                      <w:szCs w:val="18"/>
                      <w:lang w:val="en-US" w:eastAsia="zh-CN"/>
                    </w:rPr>
                  </w:pPr>
                  <w:r>
                    <w:rPr>
                      <w:rFonts w:hint="eastAsia"/>
                      <w:color w:val="auto"/>
                      <w:sz w:val="18"/>
                      <w:szCs w:val="18"/>
                      <w:lang w:val="en-US" w:eastAsia="zh-CN"/>
                    </w:rPr>
                    <w:t>废气处理</w:t>
                  </w:r>
                </w:p>
              </w:tc>
              <w:tc>
                <w:tcPr>
                  <w:tcW w:w="780" w:type="dxa"/>
                  <w:tcBorders>
                    <w:tl2br w:val="nil"/>
                    <w:tr2bl w:val="nil"/>
                  </w:tcBorders>
                  <w:shd w:val="clear" w:color="auto" w:fill="auto"/>
                  <w:vAlign w:val="center"/>
                </w:tcPr>
                <w:p w14:paraId="6DD36CA1">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固态</w:t>
                  </w:r>
                </w:p>
              </w:tc>
              <w:tc>
                <w:tcPr>
                  <w:tcW w:w="1333" w:type="dxa"/>
                  <w:tcBorders>
                    <w:tl2br w:val="nil"/>
                    <w:tr2bl w:val="nil"/>
                  </w:tcBorders>
                  <w:shd w:val="clear" w:color="auto" w:fill="auto"/>
                  <w:vAlign w:val="center"/>
                </w:tcPr>
                <w:p w14:paraId="5EAB0500">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废活性炭</w:t>
                  </w:r>
                </w:p>
              </w:tc>
              <w:tc>
                <w:tcPr>
                  <w:tcW w:w="980" w:type="dxa"/>
                  <w:tcBorders>
                    <w:tl2br w:val="nil"/>
                    <w:tr2bl w:val="nil"/>
                  </w:tcBorders>
                  <w:shd w:val="clear" w:color="auto" w:fill="auto"/>
                  <w:vAlign w:val="center"/>
                </w:tcPr>
                <w:p w14:paraId="1E490167">
                  <w:pPr>
                    <w:snapToGrid w:val="0"/>
                    <w:jc w:val="center"/>
                    <w:textAlignment w:val="baseline"/>
                    <w:rPr>
                      <w:rFonts w:hint="eastAsia" w:cs="Times New Roman"/>
                      <w:color w:val="auto"/>
                      <w:kern w:val="2"/>
                      <w:sz w:val="18"/>
                      <w:szCs w:val="18"/>
                      <w:lang w:val="en-US" w:eastAsia="zh-CN" w:bidi="ar-SA"/>
                    </w:rPr>
                  </w:pPr>
                  <w:r>
                    <w:rPr>
                      <w:rFonts w:hint="eastAsia" w:cs="Times New Roman"/>
                      <w:color w:val="auto"/>
                      <w:kern w:val="2"/>
                      <w:sz w:val="18"/>
                      <w:szCs w:val="18"/>
                      <w:lang w:val="en-US" w:eastAsia="zh-CN" w:bidi="ar-SA"/>
                    </w:rPr>
                    <w:t>33.93</w:t>
                  </w:r>
                </w:p>
              </w:tc>
              <w:tc>
                <w:tcPr>
                  <w:tcW w:w="830" w:type="dxa"/>
                  <w:tcBorders>
                    <w:tl2br w:val="nil"/>
                    <w:tr2bl w:val="nil"/>
                  </w:tcBorders>
                  <w:shd w:val="clear" w:color="auto" w:fill="auto"/>
                  <w:vAlign w:val="center"/>
                </w:tcPr>
                <w:p w14:paraId="6287256A">
                  <w:pPr>
                    <w:snapToGrid w:val="0"/>
                    <w:jc w:val="center"/>
                    <w:textAlignment w:val="baseline"/>
                    <w:rPr>
                      <w:rFonts w:ascii="Arial" w:hAnsi="Arial" w:eastAsia="宋体" w:cs="Arial"/>
                      <w:color w:val="auto"/>
                      <w:kern w:val="2"/>
                      <w:sz w:val="18"/>
                      <w:szCs w:val="18"/>
                      <w:lang w:val="en-US" w:eastAsia="zh-CN" w:bidi="ar-SA"/>
                    </w:rPr>
                  </w:pPr>
                  <w:r>
                    <w:rPr>
                      <w:rFonts w:ascii="Arial" w:hAnsi="Arial" w:cs="Arial"/>
                      <w:color w:val="auto"/>
                      <w:sz w:val="18"/>
                      <w:szCs w:val="18"/>
                    </w:rPr>
                    <w:t>√</w:t>
                  </w:r>
                </w:p>
              </w:tc>
              <w:tc>
                <w:tcPr>
                  <w:tcW w:w="709" w:type="dxa"/>
                  <w:tcBorders>
                    <w:tl2br w:val="nil"/>
                    <w:tr2bl w:val="nil"/>
                  </w:tcBorders>
                  <w:shd w:val="clear" w:color="auto" w:fill="auto"/>
                  <w:vAlign w:val="center"/>
                </w:tcPr>
                <w:p w14:paraId="1789AAD4">
                  <w:pPr>
                    <w:snapToGrid w:val="0"/>
                    <w:jc w:val="center"/>
                    <w:textAlignment w:val="baseline"/>
                    <w:rPr>
                      <w:rFonts w:ascii="Times New Roman" w:hAnsi="Times New Roman" w:eastAsia="宋体" w:cs="Times New Roman"/>
                      <w:color w:val="auto"/>
                      <w:kern w:val="2"/>
                      <w:sz w:val="18"/>
                      <w:szCs w:val="18"/>
                      <w:lang w:val="en-US" w:eastAsia="zh-CN" w:bidi="ar-SA"/>
                    </w:rPr>
                  </w:pPr>
                  <w:r>
                    <w:rPr>
                      <w:color w:val="auto"/>
                      <w:sz w:val="18"/>
                      <w:szCs w:val="18"/>
                    </w:rPr>
                    <w:t>/</w:t>
                  </w:r>
                </w:p>
              </w:tc>
            </w:tr>
            <w:tr w14:paraId="122F09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409" w:type="dxa"/>
                  <w:tcBorders>
                    <w:tl2br w:val="nil"/>
                    <w:tr2bl w:val="nil"/>
                  </w:tcBorders>
                  <w:shd w:val="clear" w:color="auto" w:fill="auto"/>
                  <w:vAlign w:val="center"/>
                </w:tcPr>
                <w:p w14:paraId="2FBF88E7">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12</w:t>
                  </w:r>
                </w:p>
              </w:tc>
              <w:tc>
                <w:tcPr>
                  <w:tcW w:w="1275" w:type="dxa"/>
                  <w:tcBorders>
                    <w:tl2br w:val="nil"/>
                    <w:tr2bl w:val="nil"/>
                  </w:tcBorders>
                  <w:shd w:val="clear" w:color="auto" w:fill="auto"/>
                  <w:vAlign w:val="center"/>
                </w:tcPr>
                <w:p w14:paraId="59590FB6">
                  <w:pPr>
                    <w:snapToGrid w:val="0"/>
                    <w:jc w:val="center"/>
                    <w:textAlignment w:val="baseline"/>
                    <w:rPr>
                      <w:rFonts w:hint="default"/>
                      <w:color w:val="auto"/>
                      <w:sz w:val="18"/>
                      <w:szCs w:val="18"/>
                      <w:lang w:val="en-US" w:eastAsia="zh-CN"/>
                    </w:rPr>
                  </w:pPr>
                  <w:r>
                    <w:rPr>
                      <w:rFonts w:hint="eastAsia"/>
                      <w:color w:val="auto"/>
                      <w:sz w:val="18"/>
                      <w:szCs w:val="18"/>
                      <w:lang w:val="en-US" w:eastAsia="zh-CN"/>
                    </w:rPr>
                    <w:t>生活垃圾</w:t>
                  </w:r>
                </w:p>
              </w:tc>
              <w:tc>
                <w:tcPr>
                  <w:tcW w:w="1742" w:type="dxa"/>
                  <w:tcBorders>
                    <w:tl2br w:val="nil"/>
                    <w:tr2bl w:val="nil"/>
                  </w:tcBorders>
                  <w:shd w:val="clear" w:color="auto" w:fill="auto"/>
                  <w:vAlign w:val="center"/>
                </w:tcPr>
                <w:p w14:paraId="21CA808D">
                  <w:pPr>
                    <w:snapToGrid w:val="0"/>
                    <w:jc w:val="center"/>
                    <w:textAlignment w:val="baseline"/>
                    <w:rPr>
                      <w:rFonts w:hint="default"/>
                      <w:color w:val="auto"/>
                      <w:sz w:val="18"/>
                      <w:szCs w:val="18"/>
                      <w:lang w:val="en-US" w:eastAsia="zh-CN"/>
                    </w:rPr>
                  </w:pPr>
                  <w:r>
                    <w:rPr>
                      <w:rFonts w:hint="eastAsia"/>
                      <w:color w:val="auto"/>
                      <w:sz w:val="18"/>
                      <w:szCs w:val="18"/>
                      <w:lang w:val="en-US" w:eastAsia="zh-CN"/>
                    </w:rPr>
                    <w:t>员工生活</w:t>
                  </w:r>
                </w:p>
              </w:tc>
              <w:tc>
                <w:tcPr>
                  <w:tcW w:w="780" w:type="dxa"/>
                  <w:tcBorders>
                    <w:tl2br w:val="nil"/>
                    <w:tr2bl w:val="nil"/>
                  </w:tcBorders>
                  <w:shd w:val="clear" w:color="auto" w:fill="auto"/>
                  <w:vAlign w:val="center"/>
                </w:tcPr>
                <w:p w14:paraId="67CEFA43">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固态</w:t>
                  </w:r>
                </w:p>
              </w:tc>
              <w:tc>
                <w:tcPr>
                  <w:tcW w:w="1333" w:type="dxa"/>
                  <w:tcBorders>
                    <w:tl2br w:val="nil"/>
                    <w:tr2bl w:val="nil"/>
                  </w:tcBorders>
                  <w:shd w:val="clear" w:color="auto" w:fill="auto"/>
                  <w:vAlign w:val="center"/>
                </w:tcPr>
                <w:p w14:paraId="0C4E447A">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垃圾</w:t>
                  </w:r>
                </w:p>
              </w:tc>
              <w:tc>
                <w:tcPr>
                  <w:tcW w:w="980" w:type="dxa"/>
                  <w:tcBorders>
                    <w:tl2br w:val="nil"/>
                    <w:tr2bl w:val="nil"/>
                  </w:tcBorders>
                  <w:shd w:val="clear" w:color="auto" w:fill="auto"/>
                  <w:vAlign w:val="center"/>
                </w:tcPr>
                <w:p w14:paraId="31C1EB47">
                  <w:pPr>
                    <w:snapToGrid w:val="0"/>
                    <w:jc w:val="center"/>
                    <w:textAlignment w:val="baseline"/>
                    <w:rPr>
                      <w:rFonts w:hint="default" w:cs="Times New Roman"/>
                      <w:color w:val="auto"/>
                      <w:kern w:val="2"/>
                      <w:sz w:val="18"/>
                      <w:szCs w:val="18"/>
                      <w:lang w:val="en-US" w:eastAsia="zh-CN" w:bidi="ar-SA"/>
                    </w:rPr>
                  </w:pPr>
                  <w:r>
                    <w:rPr>
                      <w:rFonts w:hint="eastAsia" w:cs="Times New Roman"/>
                      <w:color w:val="auto"/>
                      <w:kern w:val="2"/>
                      <w:sz w:val="18"/>
                      <w:szCs w:val="18"/>
                      <w:lang w:val="en-US" w:eastAsia="zh-CN" w:bidi="ar-SA"/>
                    </w:rPr>
                    <w:t>4.6</w:t>
                  </w:r>
                </w:p>
              </w:tc>
              <w:tc>
                <w:tcPr>
                  <w:tcW w:w="830" w:type="dxa"/>
                  <w:tcBorders>
                    <w:tl2br w:val="nil"/>
                    <w:tr2bl w:val="nil"/>
                  </w:tcBorders>
                  <w:shd w:val="clear" w:color="auto" w:fill="auto"/>
                  <w:vAlign w:val="center"/>
                </w:tcPr>
                <w:p w14:paraId="207EE980">
                  <w:pPr>
                    <w:snapToGrid w:val="0"/>
                    <w:jc w:val="center"/>
                    <w:textAlignment w:val="baseline"/>
                    <w:rPr>
                      <w:rFonts w:ascii="Arial" w:hAnsi="Arial" w:eastAsia="宋体" w:cs="Arial"/>
                      <w:color w:val="auto"/>
                      <w:kern w:val="2"/>
                      <w:sz w:val="18"/>
                      <w:szCs w:val="18"/>
                      <w:lang w:val="en-US" w:eastAsia="zh-CN" w:bidi="ar-SA"/>
                    </w:rPr>
                  </w:pPr>
                  <w:r>
                    <w:rPr>
                      <w:rFonts w:ascii="Arial" w:hAnsi="Arial" w:cs="Arial"/>
                      <w:color w:val="auto"/>
                      <w:sz w:val="18"/>
                      <w:szCs w:val="18"/>
                    </w:rPr>
                    <w:t>√</w:t>
                  </w:r>
                </w:p>
              </w:tc>
              <w:tc>
                <w:tcPr>
                  <w:tcW w:w="709" w:type="dxa"/>
                  <w:tcBorders>
                    <w:tl2br w:val="nil"/>
                    <w:tr2bl w:val="nil"/>
                  </w:tcBorders>
                  <w:shd w:val="clear" w:color="auto" w:fill="auto"/>
                  <w:vAlign w:val="center"/>
                </w:tcPr>
                <w:p w14:paraId="65762CAE">
                  <w:pPr>
                    <w:snapToGrid w:val="0"/>
                    <w:jc w:val="center"/>
                    <w:textAlignment w:val="baseline"/>
                    <w:rPr>
                      <w:rFonts w:ascii="Times New Roman" w:hAnsi="Times New Roman" w:eastAsia="宋体" w:cs="Times New Roman"/>
                      <w:color w:val="auto"/>
                      <w:kern w:val="2"/>
                      <w:sz w:val="18"/>
                      <w:szCs w:val="18"/>
                      <w:lang w:val="en-US" w:eastAsia="zh-CN" w:bidi="ar-SA"/>
                    </w:rPr>
                  </w:pPr>
                  <w:r>
                    <w:rPr>
                      <w:color w:val="auto"/>
                      <w:sz w:val="18"/>
                      <w:szCs w:val="18"/>
                    </w:rPr>
                    <w:t>/</w:t>
                  </w:r>
                </w:p>
              </w:tc>
            </w:tr>
          </w:tbl>
          <w:p w14:paraId="267C97E6">
            <w:pPr>
              <w:pStyle w:val="76"/>
              <w:ind w:firstLine="31680"/>
              <w:rPr>
                <w:color w:val="auto"/>
                <w:sz w:val="21"/>
                <w:szCs w:val="21"/>
              </w:rPr>
            </w:pPr>
            <w:r>
              <w:rPr>
                <w:rFonts w:hint="eastAsia"/>
                <w:color w:val="auto"/>
                <w:sz w:val="21"/>
                <w:szCs w:val="21"/>
              </w:rPr>
              <w:t>危险废物根据《国家危险废物名录》（202</w:t>
            </w:r>
            <w:r>
              <w:rPr>
                <w:rFonts w:hint="eastAsia"/>
                <w:color w:val="auto"/>
                <w:sz w:val="21"/>
                <w:szCs w:val="21"/>
                <w:lang w:val="en-US" w:eastAsia="zh-CN"/>
              </w:rPr>
              <w:t>5</w:t>
            </w:r>
            <w:r>
              <w:rPr>
                <w:rFonts w:hint="eastAsia"/>
                <w:color w:val="auto"/>
                <w:sz w:val="21"/>
                <w:szCs w:val="21"/>
              </w:rPr>
              <w:t>年版）、《危险废物鉴别标准 通则》（GB 5085.7-2019）、《固体废物分类与代码</w:t>
            </w:r>
            <w:r>
              <w:rPr>
                <w:rFonts w:hint="eastAsia"/>
                <w:color w:val="auto"/>
                <w:sz w:val="21"/>
                <w:szCs w:val="21"/>
                <w:lang w:val="en-US" w:eastAsia="zh-CN"/>
              </w:rPr>
              <w:t>目录</w:t>
            </w:r>
            <w:r>
              <w:rPr>
                <w:rFonts w:hint="eastAsia"/>
                <w:color w:val="auto"/>
                <w:sz w:val="21"/>
                <w:szCs w:val="21"/>
              </w:rPr>
              <w:t>》以及《危险废物鉴别技术规范》（HJ 298-2019）进行判定，本项目固体废物的类别判定见下表。</w:t>
            </w:r>
          </w:p>
          <w:p w14:paraId="68F41DB7">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4-</w:t>
            </w:r>
            <w:r>
              <w:rPr>
                <w:rFonts w:hint="eastAsia"/>
                <w:b/>
                <w:snapToGrid w:val="0"/>
                <w:color w:val="auto"/>
                <w:szCs w:val="21"/>
                <w:lang w:val="en-US" w:eastAsia="zh-CN"/>
              </w:rPr>
              <w:t>17</w:t>
            </w:r>
            <w:r>
              <w:rPr>
                <w:b/>
                <w:snapToGrid w:val="0"/>
                <w:color w:val="auto"/>
                <w:szCs w:val="21"/>
              </w:rPr>
              <w:t xml:space="preserve">  </w:t>
            </w:r>
            <w:r>
              <w:rPr>
                <w:rFonts w:hint="eastAsia"/>
                <w:b/>
                <w:snapToGrid w:val="0"/>
                <w:color w:val="auto"/>
                <w:szCs w:val="21"/>
                <w:lang w:val="en-US" w:eastAsia="zh-CN"/>
              </w:rPr>
              <w:t>本项目</w:t>
            </w:r>
            <w:r>
              <w:rPr>
                <w:rFonts w:hint="eastAsia"/>
                <w:b/>
                <w:snapToGrid w:val="0"/>
                <w:color w:val="auto"/>
                <w:szCs w:val="21"/>
              </w:rPr>
              <w:t>固体废物属性判别汇总表</w:t>
            </w:r>
          </w:p>
          <w:tbl>
            <w:tblPr>
              <w:tblStyle w:val="26"/>
              <w:tblW w:w="8073"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367"/>
              <w:gridCol w:w="693"/>
              <w:gridCol w:w="878"/>
              <w:gridCol w:w="1181"/>
              <w:gridCol w:w="450"/>
              <w:gridCol w:w="855"/>
              <w:gridCol w:w="780"/>
              <w:gridCol w:w="645"/>
              <w:gridCol w:w="585"/>
              <w:gridCol w:w="1050"/>
              <w:gridCol w:w="589"/>
            </w:tblGrid>
            <w:tr w14:paraId="3A3CBD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681" w:hRule="atLeast"/>
                <w:tblHeader/>
                <w:jc w:val="center"/>
              </w:trPr>
              <w:tc>
                <w:tcPr>
                  <w:tcW w:w="367" w:type="dxa"/>
                  <w:tcBorders>
                    <w:tl2br w:val="nil"/>
                    <w:tr2bl w:val="nil"/>
                  </w:tcBorders>
                  <w:vAlign w:val="center"/>
                </w:tcPr>
                <w:p w14:paraId="55FD2AEC">
                  <w:pPr>
                    <w:snapToGrid w:val="0"/>
                    <w:jc w:val="center"/>
                    <w:textAlignment w:val="baseline"/>
                    <w:rPr>
                      <w:color w:val="auto"/>
                      <w:sz w:val="18"/>
                      <w:szCs w:val="18"/>
                    </w:rPr>
                  </w:pPr>
                  <w:r>
                    <w:rPr>
                      <w:rFonts w:hint="eastAsia"/>
                      <w:color w:val="auto"/>
                      <w:sz w:val="18"/>
                      <w:szCs w:val="18"/>
                    </w:rPr>
                    <w:t>序号</w:t>
                  </w:r>
                </w:p>
              </w:tc>
              <w:tc>
                <w:tcPr>
                  <w:tcW w:w="693" w:type="dxa"/>
                  <w:tcBorders>
                    <w:tl2br w:val="nil"/>
                    <w:tr2bl w:val="nil"/>
                  </w:tcBorders>
                  <w:vAlign w:val="center"/>
                </w:tcPr>
                <w:p w14:paraId="1954EF4C">
                  <w:pPr>
                    <w:snapToGrid w:val="0"/>
                    <w:jc w:val="center"/>
                    <w:textAlignment w:val="baseline"/>
                    <w:rPr>
                      <w:color w:val="auto"/>
                      <w:sz w:val="18"/>
                      <w:szCs w:val="18"/>
                    </w:rPr>
                  </w:pPr>
                  <w:r>
                    <w:rPr>
                      <w:rFonts w:hint="eastAsia"/>
                      <w:color w:val="auto"/>
                      <w:sz w:val="18"/>
                      <w:szCs w:val="18"/>
                    </w:rPr>
                    <w:t>固废名称</w:t>
                  </w:r>
                </w:p>
              </w:tc>
              <w:tc>
                <w:tcPr>
                  <w:tcW w:w="878" w:type="dxa"/>
                  <w:tcBorders>
                    <w:tl2br w:val="nil"/>
                    <w:tr2bl w:val="nil"/>
                  </w:tcBorders>
                  <w:vAlign w:val="center"/>
                </w:tcPr>
                <w:p w14:paraId="41E72399">
                  <w:pPr>
                    <w:snapToGrid w:val="0"/>
                    <w:jc w:val="center"/>
                    <w:textAlignment w:val="baseline"/>
                    <w:rPr>
                      <w:color w:val="auto"/>
                      <w:sz w:val="18"/>
                      <w:szCs w:val="18"/>
                    </w:rPr>
                  </w:pPr>
                  <w:r>
                    <w:rPr>
                      <w:rFonts w:hint="eastAsia"/>
                      <w:color w:val="auto"/>
                      <w:sz w:val="18"/>
                      <w:szCs w:val="18"/>
                    </w:rPr>
                    <w:t>属性</w:t>
                  </w:r>
                </w:p>
              </w:tc>
              <w:tc>
                <w:tcPr>
                  <w:tcW w:w="1181" w:type="dxa"/>
                  <w:tcBorders>
                    <w:tl2br w:val="nil"/>
                    <w:tr2bl w:val="nil"/>
                  </w:tcBorders>
                  <w:vAlign w:val="center"/>
                </w:tcPr>
                <w:p w14:paraId="23F3DD89">
                  <w:pPr>
                    <w:snapToGrid w:val="0"/>
                    <w:jc w:val="center"/>
                    <w:textAlignment w:val="baseline"/>
                    <w:rPr>
                      <w:color w:val="auto"/>
                      <w:sz w:val="18"/>
                      <w:szCs w:val="18"/>
                    </w:rPr>
                  </w:pPr>
                  <w:r>
                    <w:rPr>
                      <w:rFonts w:hint="eastAsia"/>
                      <w:color w:val="auto"/>
                      <w:sz w:val="18"/>
                      <w:szCs w:val="18"/>
                    </w:rPr>
                    <w:t>产生工序</w:t>
                  </w:r>
                </w:p>
              </w:tc>
              <w:tc>
                <w:tcPr>
                  <w:tcW w:w="450" w:type="dxa"/>
                  <w:tcBorders>
                    <w:tl2br w:val="nil"/>
                    <w:tr2bl w:val="nil"/>
                  </w:tcBorders>
                  <w:vAlign w:val="center"/>
                </w:tcPr>
                <w:p w14:paraId="0A59CA0E">
                  <w:pPr>
                    <w:snapToGrid w:val="0"/>
                    <w:jc w:val="center"/>
                    <w:textAlignment w:val="baseline"/>
                    <w:rPr>
                      <w:color w:val="auto"/>
                      <w:sz w:val="18"/>
                      <w:szCs w:val="18"/>
                    </w:rPr>
                  </w:pPr>
                  <w:r>
                    <w:rPr>
                      <w:rFonts w:hint="eastAsia"/>
                      <w:color w:val="auto"/>
                      <w:sz w:val="18"/>
                      <w:szCs w:val="18"/>
                    </w:rPr>
                    <w:t>形态</w:t>
                  </w:r>
                </w:p>
              </w:tc>
              <w:tc>
                <w:tcPr>
                  <w:tcW w:w="855" w:type="dxa"/>
                  <w:tcBorders>
                    <w:tl2br w:val="nil"/>
                    <w:tr2bl w:val="nil"/>
                  </w:tcBorders>
                  <w:vAlign w:val="center"/>
                </w:tcPr>
                <w:p w14:paraId="7DF1024A">
                  <w:pPr>
                    <w:snapToGrid w:val="0"/>
                    <w:jc w:val="center"/>
                    <w:textAlignment w:val="baseline"/>
                    <w:rPr>
                      <w:color w:val="auto"/>
                      <w:sz w:val="18"/>
                      <w:szCs w:val="18"/>
                    </w:rPr>
                  </w:pPr>
                  <w:r>
                    <w:rPr>
                      <w:rFonts w:hint="eastAsia"/>
                      <w:color w:val="auto"/>
                      <w:sz w:val="18"/>
                      <w:szCs w:val="18"/>
                    </w:rPr>
                    <w:t>主要成分</w:t>
                  </w:r>
                </w:p>
              </w:tc>
              <w:tc>
                <w:tcPr>
                  <w:tcW w:w="780" w:type="dxa"/>
                  <w:tcBorders>
                    <w:tl2br w:val="nil"/>
                    <w:tr2bl w:val="nil"/>
                  </w:tcBorders>
                  <w:vAlign w:val="center"/>
                </w:tcPr>
                <w:p w14:paraId="645BC091">
                  <w:pPr>
                    <w:snapToGrid w:val="0"/>
                    <w:jc w:val="center"/>
                    <w:textAlignment w:val="baseline"/>
                    <w:rPr>
                      <w:color w:val="auto"/>
                      <w:sz w:val="18"/>
                      <w:szCs w:val="18"/>
                    </w:rPr>
                  </w:pPr>
                  <w:r>
                    <w:rPr>
                      <w:rFonts w:hint="eastAsia"/>
                      <w:color w:val="auto"/>
                      <w:sz w:val="18"/>
                      <w:szCs w:val="18"/>
                    </w:rPr>
                    <w:t>危险特性鉴别方法</w:t>
                  </w:r>
                </w:p>
              </w:tc>
              <w:tc>
                <w:tcPr>
                  <w:tcW w:w="645" w:type="dxa"/>
                  <w:tcBorders>
                    <w:tl2br w:val="nil"/>
                    <w:tr2bl w:val="nil"/>
                  </w:tcBorders>
                  <w:vAlign w:val="center"/>
                </w:tcPr>
                <w:p w14:paraId="2BD53AAF">
                  <w:pPr>
                    <w:snapToGrid w:val="0"/>
                    <w:jc w:val="center"/>
                    <w:textAlignment w:val="baseline"/>
                    <w:rPr>
                      <w:color w:val="auto"/>
                      <w:sz w:val="18"/>
                      <w:szCs w:val="18"/>
                    </w:rPr>
                  </w:pPr>
                  <w:r>
                    <w:rPr>
                      <w:rFonts w:hint="eastAsia"/>
                      <w:color w:val="auto"/>
                      <w:sz w:val="18"/>
                      <w:szCs w:val="18"/>
                    </w:rPr>
                    <w:t>危险特性</w:t>
                  </w:r>
                </w:p>
              </w:tc>
              <w:tc>
                <w:tcPr>
                  <w:tcW w:w="585" w:type="dxa"/>
                  <w:tcBorders>
                    <w:tl2br w:val="nil"/>
                    <w:tr2bl w:val="nil"/>
                  </w:tcBorders>
                  <w:vAlign w:val="center"/>
                </w:tcPr>
                <w:p w14:paraId="76647EF4">
                  <w:pPr>
                    <w:snapToGrid w:val="0"/>
                    <w:jc w:val="center"/>
                    <w:textAlignment w:val="baseline"/>
                    <w:rPr>
                      <w:color w:val="auto"/>
                      <w:sz w:val="18"/>
                      <w:szCs w:val="18"/>
                    </w:rPr>
                  </w:pPr>
                  <w:r>
                    <w:rPr>
                      <w:rFonts w:hint="eastAsia"/>
                      <w:color w:val="auto"/>
                      <w:sz w:val="18"/>
                      <w:szCs w:val="18"/>
                    </w:rPr>
                    <w:t>废物类别</w:t>
                  </w:r>
                </w:p>
              </w:tc>
              <w:tc>
                <w:tcPr>
                  <w:tcW w:w="1050" w:type="dxa"/>
                  <w:tcBorders>
                    <w:tl2br w:val="nil"/>
                    <w:tr2bl w:val="nil"/>
                  </w:tcBorders>
                  <w:vAlign w:val="center"/>
                </w:tcPr>
                <w:p w14:paraId="50822F47">
                  <w:pPr>
                    <w:snapToGrid w:val="0"/>
                    <w:jc w:val="center"/>
                    <w:textAlignment w:val="baseline"/>
                    <w:rPr>
                      <w:color w:val="auto"/>
                      <w:sz w:val="18"/>
                      <w:szCs w:val="18"/>
                    </w:rPr>
                  </w:pPr>
                  <w:r>
                    <w:rPr>
                      <w:rFonts w:hint="eastAsia"/>
                      <w:color w:val="auto"/>
                      <w:sz w:val="18"/>
                      <w:szCs w:val="18"/>
                    </w:rPr>
                    <w:t>废物代码</w:t>
                  </w:r>
                </w:p>
              </w:tc>
              <w:tc>
                <w:tcPr>
                  <w:tcW w:w="589" w:type="dxa"/>
                  <w:tcBorders>
                    <w:tl2br w:val="nil"/>
                    <w:tr2bl w:val="nil"/>
                  </w:tcBorders>
                  <w:vAlign w:val="center"/>
                </w:tcPr>
                <w:p w14:paraId="2FFE0E44">
                  <w:pPr>
                    <w:snapToGrid w:val="0"/>
                    <w:jc w:val="center"/>
                    <w:textAlignment w:val="baseline"/>
                    <w:rPr>
                      <w:color w:val="auto"/>
                      <w:sz w:val="18"/>
                      <w:szCs w:val="18"/>
                    </w:rPr>
                  </w:pPr>
                  <w:r>
                    <w:rPr>
                      <w:rFonts w:hint="eastAsia"/>
                      <w:color w:val="auto"/>
                      <w:sz w:val="18"/>
                      <w:szCs w:val="18"/>
                    </w:rPr>
                    <w:t>预测产生量</w:t>
                  </w:r>
                </w:p>
                <w:p w14:paraId="06D85535">
                  <w:pPr>
                    <w:snapToGrid w:val="0"/>
                    <w:jc w:val="center"/>
                    <w:textAlignment w:val="baseline"/>
                    <w:rPr>
                      <w:color w:val="auto"/>
                      <w:sz w:val="18"/>
                      <w:szCs w:val="18"/>
                    </w:rPr>
                  </w:pPr>
                  <w:r>
                    <w:rPr>
                      <w:rFonts w:hint="eastAsia"/>
                      <w:color w:val="auto"/>
                      <w:sz w:val="18"/>
                      <w:szCs w:val="18"/>
                    </w:rPr>
                    <w:t>（</w:t>
                  </w:r>
                  <w:r>
                    <w:rPr>
                      <w:color w:val="auto"/>
                      <w:sz w:val="18"/>
                      <w:szCs w:val="18"/>
                    </w:rPr>
                    <w:t>t/a</w:t>
                  </w:r>
                  <w:r>
                    <w:rPr>
                      <w:rFonts w:hint="eastAsia"/>
                      <w:color w:val="auto"/>
                      <w:sz w:val="18"/>
                      <w:szCs w:val="18"/>
                    </w:rPr>
                    <w:t>）</w:t>
                  </w:r>
                </w:p>
              </w:tc>
            </w:tr>
            <w:tr w14:paraId="328ED1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367" w:type="dxa"/>
                  <w:tcBorders>
                    <w:tl2br w:val="nil"/>
                    <w:tr2bl w:val="nil"/>
                  </w:tcBorders>
                  <w:vAlign w:val="center"/>
                </w:tcPr>
                <w:p w14:paraId="68094657">
                  <w:pPr>
                    <w:snapToGrid w:val="0"/>
                    <w:jc w:val="center"/>
                    <w:textAlignment w:val="baseline"/>
                    <w:rPr>
                      <w:color w:val="auto"/>
                      <w:sz w:val="18"/>
                      <w:szCs w:val="18"/>
                    </w:rPr>
                  </w:pPr>
                  <w:r>
                    <w:rPr>
                      <w:color w:val="auto"/>
                      <w:sz w:val="18"/>
                      <w:szCs w:val="18"/>
                    </w:rPr>
                    <w:t>1</w:t>
                  </w:r>
                </w:p>
              </w:tc>
              <w:tc>
                <w:tcPr>
                  <w:tcW w:w="693" w:type="dxa"/>
                  <w:tcBorders>
                    <w:tl2br w:val="nil"/>
                    <w:tr2bl w:val="nil"/>
                  </w:tcBorders>
                  <w:vAlign w:val="center"/>
                </w:tcPr>
                <w:p w14:paraId="108D5F02">
                  <w:pPr>
                    <w:snapToGrid w:val="0"/>
                    <w:jc w:val="center"/>
                    <w:textAlignment w:val="baseline"/>
                    <w:rPr>
                      <w:color w:val="auto"/>
                      <w:sz w:val="18"/>
                      <w:szCs w:val="18"/>
                    </w:rPr>
                  </w:pPr>
                  <w:r>
                    <w:rPr>
                      <w:rFonts w:hint="eastAsia"/>
                      <w:color w:val="auto"/>
                      <w:sz w:val="18"/>
                      <w:szCs w:val="18"/>
                    </w:rPr>
                    <w:t>废丝</w:t>
                  </w:r>
                </w:p>
              </w:tc>
              <w:tc>
                <w:tcPr>
                  <w:tcW w:w="878" w:type="dxa"/>
                  <w:tcBorders>
                    <w:tl2br w:val="nil"/>
                    <w:tr2bl w:val="nil"/>
                  </w:tcBorders>
                  <w:vAlign w:val="center"/>
                </w:tcPr>
                <w:p w14:paraId="23191C7A">
                  <w:pPr>
                    <w:snapToGrid w:val="0"/>
                    <w:jc w:val="center"/>
                    <w:textAlignment w:val="baseline"/>
                    <w:rPr>
                      <w:color w:val="auto"/>
                      <w:sz w:val="18"/>
                      <w:szCs w:val="18"/>
                    </w:rPr>
                  </w:pPr>
                  <w:r>
                    <w:rPr>
                      <w:rFonts w:hint="eastAsia"/>
                      <w:color w:val="auto"/>
                      <w:sz w:val="18"/>
                      <w:szCs w:val="18"/>
                    </w:rPr>
                    <w:t>一般固废</w:t>
                  </w:r>
                </w:p>
              </w:tc>
              <w:tc>
                <w:tcPr>
                  <w:tcW w:w="1181" w:type="dxa"/>
                  <w:tcBorders>
                    <w:tl2br w:val="nil"/>
                    <w:tr2bl w:val="nil"/>
                  </w:tcBorders>
                  <w:vAlign w:val="center"/>
                </w:tcPr>
                <w:p w14:paraId="2B4F09BD">
                  <w:pPr>
                    <w:snapToGrid w:val="0"/>
                    <w:jc w:val="center"/>
                    <w:textAlignment w:val="baseline"/>
                    <w:rPr>
                      <w:color w:val="auto"/>
                      <w:sz w:val="18"/>
                      <w:szCs w:val="18"/>
                    </w:rPr>
                  </w:pPr>
                  <w:r>
                    <w:rPr>
                      <w:rFonts w:hint="eastAsia"/>
                      <w:color w:val="auto"/>
                      <w:sz w:val="18"/>
                      <w:szCs w:val="18"/>
                      <w:lang w:val="en-US" w:eastAsia="zh-CN"/>
                    </w:rPr>
                    <w:t>整经、穿综扒筘、喷气织造、喷水织造</w:t>
                  </w:r>
                </w:p>
              </w:tc>
              <w:tc>
                <w:tcPr>
                  <w:tcW w:w="450" w:type="dxa"/>
                  <w:tcBorders>
                    <w:tl2br w:val="nil"/>
                    <w:tr2bl w:val="nil"/>
                  </w:tcBorders>
                  <w:vAlign w:val="center"/>
                </w:tcPr>
                <w:p w14:paraId="6FE9E24B">
                  <w:pPr>
                    <w:snapToGrid w:val="0"/>
                    <w:jc w:val="center"/>
                    <w:textAlignment w:val="baseline"/>
                    <w:rPr>
                      <w:color w:val="auto"/>
                      <w:sz w:val="18"/>
                      <w:szCs w:val="18"/>
                    </w:rPr>
                  </w:pPr>
                  <w:r>
                    <w:rPr>
                      <w:rFonts w:hint="eastAsia"/>
                      <w:color w:val="auto"/>
                      <w:sz w:val="18"/>
                      <w:szCs w:val="18"/>
                    </w:rPr>
                    <w:t>固态</w:t>
                  </w:r>
                </w:p>
              </w:tc>
              <w:tc>
                <w:tcPr>
                  <w:tcW w:w="855" w:type="dxa"/>
                  <w:tcBorders>
                    <w:tl2br w:val="nil"/>
                    <w:tr2bl w:val="nil"/>
                  </w:tcBorders>
                  <w:vAlign w:val="center"/>
                </w:tcPr>
                <w:p w14:paraId="38C7BD19">
                  <w:pPr>
                    <w:snapToGrid w:val="0"/>
                    <w:jc w:val="center"/>
                    <w:textAlignment w:val="baseline"/>
                    <w:rPr>
                      <w:color w:val="auto"/>
                      <w:sz w:val="18"/>
                      <w:szCs w:val="18"/>
                    </w:rPr>
                  </w:pPr>
                  <w:r>
                    <w:rPr>
                      <w:rFonts w:hint="eastAsia"/>
                      <w:color w:val="auto"/>
                      <w:sz w:val="18"/>
                      <w:szCs w:val="18"/>
                    </w:rPr>
                    <w:t>化纤丝</w:t>
                  </w:r>
                </w:p>
              </w:tc>
              <w:tc>
                <w:tcPr>
                  <w:tcW w:w="780" w:type="dxa"/>
                  <w:tcBorders>
                    <w:tl2br w:val="nil"/>
                    <w:tr2bl w:val="nil"/>
                  </w:tcBorders>
                  <w:vAlign w:val="center"/>
                </w:tcPr>
                <w:p w14:paraId="74A23F97">
                  <w:pPr>
                    <w:snapToGrid w:val="0"/>
                    <w:jc w:val="center"/>
                    <w:textAlignment w:val="baseline"/>
                    <w:rPr>
                      <w:color w:val="auto"/>
                      <w:sz w:val="18"/>
                      <w:szCs w:val="18"/>
                    </w:rPr>
                  </w:pPr>
                  <w:r>
                    <w:rPr>
                      <w:color w:val="auto"/>
                      <w:sz w:val="18"/>
                      <w:szCs w:val="18"/>
                    </w:rPr>
                    <w:t>/</w:t>
                  </w:r>
                </w:p>
              </w:tc>
              <w:tc>
                <w:tcPr>
                  <w:tcW w:w="645" w:type="dxa"/>
                  <w:tcBorders>
                    <w:tl2br w:val="nil"/>
                    <w:tr2bl w:val="nil"/>
                  </w:tcBorders>
                  <w:vAlign w:val="center"/>
                </w:tcPr>
                <w:p w14:paraId="29515768">
                  <w:pPr>
                    <w:snapToGrid w:val="0"/>
                    <w:jc w:val="center"/>
                    <w:textAlignment w:val="baseline"/>
                    <w:rPr>
                      <w:color w:val="auto"/>
                      <w:sz w:val="18"/>
                      <w:szCs w:val="18"/>
                    </w:rPr>
                  </w:pPr>
                  <w:r>
                    <w:rPr>
                      <w:color w:val="auto"/>
                      <w:sz w:val="18"/>
                      <w:szCs w:val="18"/>
                    </w:rPr>
                    <w:t>/</w:t>
                  </w:r>
                </w:p>
              </w:tc>
              <w:tc>
                <w:tcPr>
                  <w:tcW w:w="585" w:type="dxa"/>
                  <w:tcBorders>
                    <w:tl2br w:val="nil"/>
                    <w:tr2bl w:val="nil"/>
                  </w:tcBorders>
                  <w:vAlign w:val="center"/>
                </w:tcPr>
                <w:p w14:paraId="339064AB">
                  <w:pPr>
                    <w:snapToGrid w:val="0"/>
                    <w:jc w:val="center"/>
                    <w:textAlignment w:val="baseline"/>
                    <w:rPr>
                      <w:color w:val="auto"/>
                      <w:sz w:val="18"/>
                      <w:szCs w:val="18"/>
                    </w:rPr>
                  </w:pPr>
                  <w:r>
                    <w:rPr>
                      <w:color w:val="auto"/>
                      <w:sz w:val="18"/>
                      <w:szCs w:val="18"/>
                    </w:rPr>
                    <w:t>S14</w:t>
                  </w:r>
                </w:p>
              </w:tc>
              <w:tc>
                <w:tcPr>
                  <w:tcW w:w="1050" w:type="dxa"/>
                  <w:tcBorders>
                    <w:tl2br w:val="nil"/>
                    <w:tr2bl w:val="nil"/>
                  </w:tcBorders>
                  <w:vAlign w:val="center"/>
                </w:tcPr>
                <w:p w14:paraId="7F754338">
                  <w:pPr>
                    <w:snapToGrid w:val="0"/>
                    <w:jc w:val="center"/>
                    <w:textAlignment w:val="baseline"/>
                    <w:rPr>
                      <w:color w:val="auto"/>
                      <w:sz w:val="18"/>
                      <w:szCs w:val="18"/>
                    </w:rPr>
                  </w:pPr>
                  <w:r>
                    <w:rPr>
                      <w:color w:val="auto"/>
                      <w:sz w:val="18"/>
                      <w:szCs w:val="18"/>
                    </w:rPr>
                    <w:t>900-099-S14</w:t>
                  </w:r>
                </w:p>
              </w:tc>
              <w:tc>
                <w:tcPr>
                  <w:tcW w:w="589" w:type="dxa"/>
                  <w:tcBorders>
                    <w:tl2br w:val="nil"/>
                    <w:tr2bl w:val="nil"/>
                  </w:tcBorders>
                  <w:shd w:val="clear" w:color="auto" w:fill="auto"/>
                  <w:vAlign w:val="center"/>
                </w:tcPr>
                <w:p w14:paraId="1CD0AE52">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57</w:t>
                  </w:r>
                </w:p>
              </w:tc>
            </w:tr>
            <w:tr w14:paraId="15B8F0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367" w:type="dxa"/>
                  <w:tcBorders>
                    <w:tl2br w:val="nil"/>
                    <w:tr2bl w:val="nil"/>
                  </w:tcBorders>
                  <w:vAlign w:val="center"/>
                </w:tcPr>
                <w:p w14:paraId="6138E11A">
                  <w:pPr>
                    <w:snapToGrid w:val="0"/>
                    <w:jc w:val="center"/>
                    <w:textAlignment w:val="baseline"/>
                    <w:rPr>
                      <w:color w:val="auto"/>
                      <w:sz w:val="18"/>
                      <w:szCs w:val="18"/>
                    </w:rPr>
                  </w:pPr>
                  <w:r>
                    <w:rPr>
                      <w:rFonts w:hint="eastAsia"/>
                      <w:color w:val="auto"/>
                      <w:sz w:val="18"/>
                      <w:szCs w:val="18"/>
                      <w:lang w:val="en-US" w:eastAsia="zh-CN"/>
                    </w:rPr>
                    <w:t>2</w:t>
                  </w:r>
                </w:p>
              </w:tc>
              <w:tc>
                <w:tcPr>
                  <w:tcW w:w="693" w:type="dxa"/>
                  <w:tcBorders>
                    <w:tl2br w:val="nil"/>
                    <w:tr2bl w:val="nil"/>
                  </w:tcBorders>
                  <w:shd w:val="clear" w:color="auto" w:fill="auto"/>
                  <w:vAlign w:val="center"/>
                </w:tcPr>
                <w:p w14:paraId="78B6E94D">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废纺丝油剂包装</w:t>
                  </w:r>
                </w:p>
              </w:tc>
              <w:tc>
                <w:tcPr>
                  <w:tcW w:w="878" w:type="dxa"/>
                  <w:tcBorders>
                    <w:tl2br w:val="nil"/>
                    <w:tr2bl w:val="nil"/>
                  </w:tcBorders>
                  <w:vAlign w:val="center"/>
                </w:tcPr>
                <w:p w14:paraId="378FB519">
                  <w:pPr>
                    <w:snapToGrid w:val="0"/>
                    <w:jc w:val="center"/>
                    <w:textAlignment w:val="baseline"/>
                    <w:rPr>
                      <w:rFonts w:hint="eastAsia"/>
                      <w:color w:val="auto"/>
                      <w:sz w:val="18"/>
                      <w:szCs w:val="18"/>
                    </w:rPr>
                  </w:pPr>
                  <w:r>
                    <w:rPr>
                      <w:rFonts w:hint="eastAsia"/>
                      <w:color w:val="auto"/>
                      <w:sz w:val="18"/>
                      <w:szCs w:val="18"/>
                    </w:rPr>
                    <w:t>危险废物</w:t>
                  </w:r>
                </w:p>
              </w:tc>
              <w:tc>
                <w:tcPr>
                  <w:tcW w:w="1181" w:type="dxa"/>
                  <w:tcBorders>
                    <w:tl2br w:val="nil"/>
                    <w:tr2bl w:val="nil"/>
                  </w:tcBorders>
                  <w:vAlign w:val="center"/>
                </w:tcPr>
                <w:p w14:paraId="37528137">
                  <w:pPr>
                    <w:snapToGrid w:val="0"/>
                    <w:jc w:val="center"/>
                    <w:textAlignment w:val="baseline"/>
                    <w:rPr>
                      <w:rFonts w:hint="eastAsia"/>
                      <w:color w:val="auto"/>
                      <w:sz w:val="18"/>
                      <w:szCs w:val="18"/>
                    </w:rPr>
                  </w:pPr>
                  <w:r>
                    <w:rPr>
                      <w:rFonts w:hint="eastAsia"/>
                      <w:color w:val="auto"/>
                      <w:sz w:val="18"/>
                      <w:szCs w:val="18"/>
                      <w:lang w:val="en-US" w:eastAsia="zh-CN"/>
                    </w:rPr>
                    <w:t>加弹</w:t>
                  </w:r>
                </w:p>
              </w:tc>
              <w:tc>
                <w:tcPr>
                  <w:tcW w:w="450" w:type="dxa"/>
                  <w:tcBorders>
                    <w:tl2br w:val="nil"/>
                    <w:tr2bl w:val="nil"/>
                  </w:tcBorders>
                  <w:vAlign w:val="center"/>
                </w:tcPr>
                <w:p w14:paraId="7A989A25">
                  <w:pPr>
                    <w:snapToGrid w:val="0"/>
                    <w:jc w:val="center"/>
                    <w:textAlignment w:val="baseline"/>
                    <w:rPr>
                      <w:rFonts w:hint="eastAsia"/>
                      <w:color w:val="auto"/>
                      <w:sz w:val="18"/>
                      <w:szCs w:val="18"/>
                    </w:rPr>
                  </w:pPr>
                  <w:r>
                    <w:rPr>
                      <w:rFonts w:hint="eastAsia"/>
                      <w:color w:val="auto"/>
                      <w:sz w:val="18"/>
                      <w:szCs w:val="18"/>
                    </w:rPr>
                    <w:t>固态</w:t>
                  </w:r>
                </w:p>
              </w:tc>
              <w:tc>
                <w:tcPr>
                  <w:tcW w:w="855" w:type="dxa"/>
                  <w:tcBorders>
                    <w:tl2br w:val="nil"/>
                    <w:tr2bl w:val="nil"/>
                  </w:tcBorders>
                  <w:vAlign w:val="center"/>
                </w:tcPr>
                <w:p w14:paraId="4D9E47D2">
                  <w:pPr>
                    <w:snapToGrid w:val="0"/>
                    <w:jc w:val="center"/>
                    <w:textAlignment w:val="baseline"/>
                    <w:rPr>
                      <w:rFonts w:hint="eastAsia"/>
                      <w:color w:val="auto"/>
                      <w:sz w:val="18"/>
                      <w:szCs w:val="18"/>
                    </w:rPr>
                  </w:pPr>
                  <w:r>
                    <w:rPr>
                      <w:rFonts w:hint="eastAsia"/>
                      <w:color w:val="auto"/>
                      <w:sz w:val="18"/>
                      <w:szCs w:val="18"/>
                      <w:lang w:val="en-US" w:eastAsia="zh-CN"/>
                    </w:rPr>
                    <w:t>塑料、废油剂</w:t>
                  </w:r>
                </w:p>
              </w:tc>
              <w:tc>
                <w:tcPr>
                  <w:tcW w:w="780" w:type="dxa"/>
                  <w:tcBorders>
                    <w:tl2br w:val="nil"/>
                    <w:tr2bl w:val="nil"/>
                  </w:tcBorders>
                  <w:vAlign w:val="center"/>
                </w:tcPr>
                <w:p w14:paraId="6D65049C">
                  <w:pPr>
                    <w:snapToGrid w:val="0"/>
                    <w:jc w:val="center"/>
                    <w:textAlignment w:val="baseline"/>
                    <w:rPr>
                      <w:color w:val="auto"/>
                      <w:sz w:val="18"/>
                      <w:szCs w:val="18"/>
                    </w:rPr>
                  </w:pPr>
                  <w:r>
                    <w:rPr>
                      <w:rFonts w:hint="eastAsia"/>
                      <w:color w:val="auto"/>
                      <w:sz w:val="18"/>
                      <w:szCs w:val="18"/>
                    </w:rPr>
                    <w:t>《国家危险废物名录》（</w:t>
                  </w:r>
                  <w:r>
                    <w:rPr>
                      <w:color w:val="auto"/>
                      <w:sz w:val="18"/>
                      <w:szCs w:val="18"/>
                    </w:rPr>
                    <w:t>202</w:t>
                  </w:r>
                  <w:r>
                    <w:rPr>
                      <w:rFonts w:hint="eastAsia"/>
                      <w:color w:val="auto"/>
                      <w:sz w:val="18"/>
                      <w:szCs w:val="18"/>
                      <w:lang w:val="en-US" w:eastAsia="zh-CN"/>
                    </w:rPr>
                    <w:t>5</w:t>
                  </w:r>
                  <w:r>
                    <w:rPr>
                      <w:rFonts w:hint="eastAsia"/>
                      <w:color w:val="auto"/>
                      <w:sz w:val="18"/>
                      <w:szCs w:val="18"/>
                    </w:rPr>
                    <w:t>年版）</w:t>
                  </w:r>
                </w:p>
              </w:tc>
              <w:tc>
                <w:tcPr>
                  <w:tcW w:w="645" w:type="dxa"/>
                  <w:tcBorders>
                    <w:tl2br w:val="nil"/>
                    <w:tr2bl w:val="nil"/>
                  </w:tcBorders>
                  <w:vAlign w:val="center"/>
                </w:tcPr>
                <w:p w14:paraId="4ECBDEDF">
                  <w:pPr>
                    <w:snapToGrid w:val="0"/>
                    <w:jc w:val="center"/>
                    <w:textAlignment w:val="baseline"/>
                    <w:rPr>
                      <w:color w:val="auto"/>
                      <w:sz w:val="18"/>
                      <w:szCs w:val="18"/>
                    </w:rPr>
                  </w:pPr>
                  <w:r>
                    <w:rPr>
                      <w:color w:val="auto"/>
                      <w:sz w:val="18"/>
                      <w:szCs w:val="18"/>
                    </w:rPr>
                    <w:t>T</w:t>
                  </w:r>
                  <w:r>
                    <w:rPr>
                      <w:rFonts w:hint="eastAsia"/>
                      <w:color w:val="auto"/>
                      <w:sz w:val="18"/>
                      <w:szCs w:val="18"/>
                      <w:lang w:val="en-US" w:eastAsia="zh-CN"/>
                    </w:rPr>
                    <w:t>,I</w:t>
                  </w:r>
                </w:p>
              </w:tc>
              <w:tc>
                <w:tcPr>
                  <w:tcW w:w="585" w:type="dxa"/>
                  <w:tcBorders>
                    <w:tl2br w:val="nil"/>
                    <w:tr2bl w:val="nil"/>
                  </w:tcBorders>
                  <w:vAlign w:val="center"/>
                </w:tcPr>
                <w:p w14:paraId="02BC5CAC">
                  <w:pPr>
                    <w:snapToGrid w:val="0"/>
                    <w:jc w:val="center"/>
                    <w:textAlignment w:val="baseline"/>
                    <w:rPr>
                      <w:color w:val="auto"/>
                      <w:sz w:val="18"/>
                      <w:szCs w:val="18"/>
                    </w:rPr>
                  </w:pPr>
                  <w:r>
                    <w:rPr>
                      <w:color w:val="auto"/>
                      <w:sz w:val="18"/>
                      <w:szCs w:val="18"/>
                    </w:rPr>
                    <w:t>HW08</w:t>
                  </w:r>
                </w:p>
              </w:tc>
              <w:tc>
                <w:tcPr>
                  <w:tcW w:w="1050" w:type="dxa"/>
                  <w:tcBorders>
                    <w:tl2br w:val="nil"/>
                    <w:tr2bl w:val="nil"/>
                  </w:tcBorders>
                  <w:vAlign w:val="center"/>
                </w:tcPr>
                <w:p w14:paraId="5DB5D058">
                  <w:pPr>
                    <w:snapToGrid w:val="0"/>
                    <w:jc w:val="center"/>
                    <w:textAlignment w:val="baseline"/>
                    <w:rPr>
                      <w:color w:val="auto"/>
                      <w:sz w:val="18"/>
                      <w:szCs w:val="18"/>
                    </w:rPr>
                  </w:pPr>
                  <w:r>
                    <w:rPr>
                      <w:rFonts w:hint="eastAsia"/>
                      <w:color w:val="auto"/>
                      <w:sz w:val="18"/>
                      <w:szCs w:val="18"/>
                      <w:lang w:val="en-US" w:eastAsia="zh-CN"/>
                    </w:rPr>
                    <w:t>900-249-08</w:t>
                  </w:r>
                </w:p>
              </w:tc>
              <w:tc>
                <w:tcPr>
                  <w:tcW w:w="589" w:type="dxa"/>
                  <w:tcBorders>
                    <w:tl2br w:val="nil"/>
                    <w:tr2bl w:val="nil"/>
                  </w:tcBorders>
                  <w:shd w:val="clear" w:color="auto" w:fill="auto"/>
                  <w:vAlign w:val="center"/>
                </w:tcPr>
                <w:p w14:paraId="2E6E476F">
                  <w:pPr>
                    <w:snapToGrid w:val="0"/>
                    <w:jc w:val="center"/>
                    <w:textAlignment w:val="baseline"/>
                    <w:rPr>
                      <w:rFonts w:hint="eastAsia" w:cs="Times New Roman"/>
                      <w:color w:val="auto"/>
                      <w:kern w:val="2"/>
                      <w:sz w:val="18"/>
                      <w:szCs w:val="18"/>
                      <w:lang w:val="en-US" w:eastAsia="zh-CN" w:bidi="ar-SA"/>
                    </w:rPr>
                  </w:pPr>
                  <w:r>
                    <w:rPr>
                      <w:rFonts w:hint="eastAsia"/>
                      <w:color w:val="auto"/>
                      <w:sz w:val="18"/>
                      <w:szCs w:val="18"/>
                      <w:lang w:val="en-US" w:eastAsia="zh-CN"/>
                    </w:rPr>
                    <w:t>1.2</w:t>
                  </w:r>
                </w:p>
              </w:tc>
            </w:tr>
            <w:tr w14:paraId="535E41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367" w:type="dxa"/>
                  <w:tcBorders>
                    <w:tl2br w:val="nil"/>
                    <w:tr2bl w:val="nil"/>
                  </w:tcBorders>
                  <w:vAlign w:val="center"/>
                </w:tcPr>
                <w:p w14:paraId="4748BC51">
                  <w:pPr>
                    <w:snapToGrid w:val="0"/>
                    <w:jc w:val="center"/>
                    <w:textAlignment w:val="baseline"/>
                    <w:rPr>
                      <w:color w:val="auto"/>
                      <w:sz w:val="18"/>
                      <w:szCs w:val="18"/>
                    </w:rPr>
                  </w:pPr>
                  <w:r>
                    <w:rPr>
                      <w:rFonts w:hint="eastAsia"/>
                      <w:color w:val="auto"/>
                      <w:sz w:val="18"/>
                      <w:szCs w:val="18"/>
                      <w:lang w:val="en-US" w:eastAsia="zh-CN"/>
                    </w:rPr>
                    <w:t>3</w:t>
                  </w:r>
                </w:p>
              </w:tc>
              <w:tc>
                <w:tcPr>
                  <w:tcW w:w="693" w:type="dxa"/>
                  <w:tcBorders>
                    <w:tl2br w:val="nil"/>
                    <w:tr2bl w:val="nil"/>
                  </w:tcBorders>
                  <w:shd w:val="clear" w:color="auto" w:fill="auto"/>
                  <w:vAlign w:val="center"/>
                </w:tcPr>
                <w:p w14:paraId="3AE28AF6">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废胶水</w:t>
                  </w:r>
                </w:p>
              </w:tc>
              <w:tc>
                <w:tcPr>
                  <w:tcW w:w="878" w:type="dxa"/>
                  <w:tcBorders>
                    <w:tl2br w:val="nil"/>
                    <w:tr2bl w:val="nil"/>
                  </w:tcBorders>
                  <w:vAlign w:val="center"/>
                </w:tcPr>
                <w:p w14:paraId="507BC796">
                  <w:pPr>
                    <w:snapToGrid w:val="0"/>
                    <w:jc w:val="center"/>
                    <w:textAlignment w:val="baseline"/>
                    <w:rPr>
                      <w:rFonts w:hint="eastAsia"/>
                      <w:color w:val="auto"/>
                      <w:sz w:val="18"/>
                      <w:szCs w:val="18"/>
                    </w:rPr>
                  </w:pPr>
                  <w:r>
                    <w:rPr>
                      <w:rFonts w:hint="eastAsia"/>
                      <w:color w:val="auto"/>
                      <w:sz w:val="18"/>
                      <w:szCs w:val="18"/>
                    </w:rPr>
                    <w:t>危险废物</w:t>
                  </w:r>
                </w:p>
              </w:tc>
              <w:tc>
                <w:tcPr>
                  <w:tcW w:w="1181" w:type="dxa"/>
                  <w:tcBorders>
                    <w:tl2br w:val="nil"/>
                    <w:tr2bl w:val="nil"/>
                  </w:tcBorders>
                  <w:vAlign w:val="center"/>
                </w:tcPr>
                <w:p w14:paraId="230AA600">
                  <w:pPr>
                    <w:snapToGrid w:val="0"/>
                    <w:jc w:val="center"/>
                    <w:textAlignment w:val="baseline"/>
                    <w:rPr>
                      <w:rFonts w:hint="eastAsia"/>
                      <w:color w:val="auto"/>
                      <w:sz w:val="18"/>
                      <w:szCs w:val="18"/>
                    </w:rPr>
                  </w:pPr>
                  <w:r>
                    <w:rPr>
                      <w:rFonts w:hint="eastAsia"/>
                      <w:color w:val="auto"/>
                      <w:sz w:val="18"/>
                      <w:szCs w:val="18"/>
                      <w:lang w:val="en-US" w:eastAsia="zh-CN"/>
                    </w:rPr>
                    <w:t>复合</w:t>
                  </w:r>
                </w:p>
              </w:tc>
              <w:tc>
                <w:tcPr>
                  <w:tcW w:w="450" w:type="dxa"/>
                  <w:tcBorders>
                    <w:tl2br w:val="nil"/>
                    <w:tr2bl w:val="nil"/>
                  </w:tcBorders>
                  <w:vAlign w:val="center"/>
                </w:tcPr>
                <w:p w14:paraId="5D1CCA90">
                  <w:pPr>
                    <w:snapToGrid w:val="0"/>
                    <w:jc w:val="center"/>
                    <w:textAlignment w:val="baseline"/>
                    <w:rPr>
                      <w:rFonts w:hint="eastAsia"/>
                      <w:color w:val="auto"/>
                      <w:sz w:val="18"/>
                      <w:szCs w:val="18"/>
                    </w:rPr>
                  </w:pPr>
                  <w:r>
                    <w:rPr>
                      <w:rFonts w:hint="eastAsia"/>
                      <w:color w:val="auto"/>
                      <w:sz w:val="18"/>
                      <w:szCs w:val="18"/>
                    </w:rPr>
                    <w:t>液态</w:t>
                  </w:r>
                </w:p>
              </w:tc>
              <w:tc>
                <w:tcPr>
                  <w:tcW w:w="855" w:type="dxa"/>
                  <w:tcBorders>
                    <w:tl2br w:val="nil"/>
                    <w:tr2bl w:val="nil"/>
                  </w:tcBorders>
                  <w:vAlign w:val="center"/>
                </w:tcPr>
                <w:p w14:paraId="74D8632F">
                  <w:pPr>
                    <w:snapToGrid w:val="0"/>
                    <w:jc w:val="center"/>
                    <w:textAlignment w:val="baseline"/>
                    <w:rPr>
                      <w:rFonts w:hint="eastAsia"/>
                      <w:color w:val="auto"/>
                      <w:sz w:val="18"/>
                      <w:szCs w:val="18"/>
                    </w:rPr>
                  </w:pPr>
                  <w:r>
                    <w:rPr>
                      <w:rFonts w:hint="eastAsia"/>
                      <w:color w:val="auto"/>
                      <w:sz w:val="18"/>
                      <w:szCs w:val="18"/>
                      <w:lang w:val="en-US" w:eastAsia="zh-CN"/>
                    </w:rPr>
                    <w:t>废胶水</w:t>
                  </w:r>
                </w:p>
              </w:tc>
              <w:tc>
                <w:tcPr>
                  <w:tcW w:w="780" w:type="dxa"/>
                  <w:tcBorders>
                    <w:tl2br w:val="nil"/>
                    <w:tr2bl w:val="nil"/>
                  </w:tcBorders>
                  <w:vAlign w:val="center"/>
                </w:tcPr>
                <w:p w14:paraId="38236FA7">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w:t>
                  </w:r>
                </w:p>
              </w:tc>
              <w:tc>
                <w:tcPr>
                  <w:tcW w:w="645" w:type="dxa"/>
                  <w:tcBorders>
                    <w:tl2br w:val="nil"/>
                    <w:tr2bl w:val="nil"/>
                  </w:tcBorders>
                  <w:vAlign w:val="center"/>
                </w:tcPr>
                <w:p w14:paraId="266DEE55">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w:t>
                  </w:r>
                </w:p>
              </w:tc>
              <w:tc>
                <w:tcPr>
                  <w:tcW w:w="585" w:type="dxa"/>
                  <w:tcBorders>
                    <w:tl2br w:val="nil"/>
                    <w:tr2bl w:val="nil"/>
                  </w:tcBorders>
                  <w:vAlign w:val="center"/>
                </w:tcPr>
                <w:p w14:paraId="0559D525">
                  <w:pPr>
                    <w:snapToGrid w:val="0"/>
                    <w:jc w:val="center"/>
                    <w:textAlignment w:val="baseline"/>
                    <w:rPr>
                      <w:color w:val="auto"/>
                      <w:sz w:val="18"/>
                      <w:szCs w:val="18"/>
                    </w:rPr>
                  </w:pPr>
                  <w:r>
                    <w:rPr>
                      <w:color w:val="auto"/>
                      <w:sz w:val="18"/>
                      <w:szCs w:val="18"/>
                    </w:rPr>
                    <w:t>S14</w:t>
                  </w:r>
                </w:p>
              </w:tc>
              <w:tc>
                <w:tcPr>
                  <w:tcW w:w="1050" w:type="dxa"/>
                  <w:tcBorders>
                    <w:tl2br w:val="nil"/>
                    <w:tr2bl w:val="nil"/>
                  </w:tcBorders>
                  <w:vAlign w:val="center"/>
                </w:tcPr>
                <w:p w14:paraId="0A6E76D4">
                  <w:pPr>
                    <w:snapToGrid w:val="0"/>
                    <w:jc w:val="center"/>
                    <w:textAlignment w:val="baseline"/>
                    <w:rPr>
                      <w:color w:val="auto"/>
                      <w:sz w:val="18"/>
                      <w:szCs w:val="18"/>
                    </w:rPr>
                  </w:pPr>
                  <w:r>
                    <w:rPr>
                      <w:rFonts w:hint="eastAsia"/>
                      <w:color w:val="auto"/>
                      <w:sz w:val="18"/>
                      <w:szCs w:val="18"/>
                      <w:lang w:val="en-US" w:eastAsia="zh-CN"/>
                    </w:rPr>
                    <w:t>900-099-S14</w:t>
                  </w:r>
                </w:p>
              </w:tc>
              <w:tc>
                <w:tcPr>
                  <w:tcW w:w="589" w:type="dxa"/>
                  <w:tcBorders>
                    <w:tl2br w:val="nil"/>
                    <w:tr2bl w:val="nil"/>
                  </w:tcBorders>
                  <w:shd w:val="clear" w:color="auto" w:fill="auto"/>
                  <w:vAlign w:val="center"/>
                </w:tcPr>
                <w:p w14:paraId="4B76A247">
                  <w:pPr>
                    <w:snapToGrid w:val="0"/>
                    <w:jc w:val="center"/>
                    <w:textAlignment w:val="baseline"/>
                    <w:rPr>
                      <w:rFonts w:hint="eastAsia" w:cs="Times New Roman"/>
                      <w:color w:val="auto"/>
                      <w:kern w:val="2"/>
                      <w:sz w:val="18"/>
                      <w:szCs w:val="18"/>
                      <w:lang w:val="en-US" w:eastAsia="zh-CN" w:bidi="ar-SA"/>
                    </w:rPr>
                  </w:pPr>
                  <w:r>
                    <w:rPr>
                      <w:rFonts w:hint="eastAsia"/>
                      <w:color w:val="auto"/>
                      <w:sz w:val="18"/>
                      <w:szCs w:val="18"/>
                      <w:lang w:val="en-US" w:eastAsia="zh-CN"/>
                    </w:rPr>
                    <w:t>3</w:t>
                  </w:r>
                </w:p>
              </w:tc>
            </w:tr>
            <w:tr w14:paraId="2D6CE16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367" w:type="dxa"/>
                  <w:tcBorders>
                    <w:tl2br w:val="nil"/>
                    <w:tr2bl w:val="nil"/>
                  </w:tcBorders>
                  <w:vAlign w:val="center"/>
                </w:tcPr>
                <w:p w14:paraId="2D6D623C">
                  <w:pPr>
                    <w:snapToGrid w:val="0"/>
                    <w:jc w:val="center"/>
                    <w:textAlignment w:val="baseline"/>
                    <w:rPr>
                      <w:color w:val="auto"/>
                      <w:sz w:val="18"/>
                      <w:szCs w:val="18"/>
                    </w:rPr>
                  </w:pPr>
                  <w:r>
                    <w:rPr>
                      <w:rFonts w:hint="eastAsia"/>
                      <w:color w:val="auto"/>
                      <w:sz w:val="18"/>
                      <w:szCs w:val="18"/>
                      <w:lang w:val="en-US" w:eastAsia="zh-CN"/>
                    </w:rPr>
                    <w:t>4</w:t>
                  </w:r>
                </w:p>
              </w:tc>
              <w:tc>
                <w:tcPr>
                  <w:tcW w:w="693" w:type="dxa"/>
                  <w:tcBorders>
                    <w:tl2br w:val="nil"/>
                    <w:tr2bl w:val="nil"/>
                  </w:tcBorders>
                  <w:shd w:val="clear" w:color="auto" w:fill="auto"/>
                  <w:vAlign w:val="center"/>
                </w:tcPr>
                <w:p w14:paraId="227B7C9F">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废胶水包装</w:t>
                  </w:r>
                </w:p>
              </w:tc>
              <w:tc>
                <w:tcPr>
                  <w:tcW w:w="878" w:type="dxa"/>
                  <w:tcBorders>
                    <w:tl2br w:val="nil"/>
                    <w:tr2bl w:val="nil"/>
                  </w:tcBorders>
                  <w:vAlign w:val="center"/>
                </w:tcPr>
                <w:p w14:paraId="1445A3D7">
                  <w:pPr>
                    <w:snapToGrid w:val="0"/>
                    <w:jc w:val="center"/>
                    <w:textAlignment w:val="baseline"/>
                    <w:rPr>
                      <w:rFonts w:hint="eastAsia"/>
                      <w:color w:val="auto"/>
                      <w:sz w:val="18"/>
                      <w:szCs w:val="18"/>
                    </w:rPr>
                  </w:pPr>
                  <w:r>
                    <w:rPr>
                      <w:rFonts w:hint="eastAsia"/>
                      <w:color w:val="auto"/>
                      <w:sz w:val="18"/>
                      <w:szCs w:val="18"/>
                    </w:rPr>
                    <w:t>危险废物</w:t>
                  </w:r>
                </w:p>
              </w:tc>
              <w:tc>
                <w:tcPr>
                  <w:tcW w:w="1181" w:type="dxa"/>
                  <w:tcBorders>
                    <w:tl2br w:val="nil"/>
                    <w:tr2bl w:val="nil"/>
                  </w:tcBorders>
                  <w:vAlign w:val="center"/>
                </w:tcPr>
                <w:p w14:paraId="3631A37F">
                  <w:pPr>
                    <w:snapToGrid w:val="0"/>
                    <w:jc w:val="center"/>
                    <w:textAlignment w:val="baseline"/>
                    <w:rPr>
                      <w:rFonts w:hint="eastAsia"/>
                      <w:color w:val="auto"/>
                      <w:sz w:val="18"/>
                      <w:szCs w:val="18"/>
                    </w:rPr>
                  </w:pPr>
                  <w:r>
                    <w:rPr>
                      <w:rFonts w:hint="eastAsia"/>
                      <w:color w:val="auto"/>
                      <w:sz w:val="18"/>
                      <w:szCs w:val="18"/>
                      <w:lang w:val="en-US" w:eastAsia="zh-CN"/>
                    </w:rPr>
                    <w:t>复合</w:t>
                  </w:r>
                </w:p>
              </w:tc>
              <w:tc>
                <w:tcPr>
                  <w:tcW w:w="450" w:type="dxa"/>
                  <w:tcBorders>
                    <w:tl2br w:val="nil"/>
                    <w:tr2bl w:val="nil"/>
                  </w:tcBorders>
                  <w:vAlign w:val="center"/>
                </w:tcPr>
                <w:p w14:paraId="19480AEF">
                  <w:pPr>
                    <w:snapToGrid w:val="0"/>
                    <w:jc w:val="center"/>
                    <w:textAlignment w:val="baseline"/>
                    <w:rPr>
                      <w:rFonts w:hint="eastAsia"/>
                      <w:color w:val="auto"/>
                      <w:sz w:val="18"/>
                      <w:szCs w:val="18"/>
                    </w:rPr>
                  </w:pPr>
                  <w:r>
                    <w:rPr>
                      <w:rFonts w:hint="eastAsia"/>
                      <w:color w:val="auto"/>
                      <w:sz w:val="18"/>
                      <w:szCs w:val="18"/>
                    </w:rPr>
                    <w:t>固态</w:t>
                  </w:r>
                </w:p>
              </w:tc>
              <w:tc>
                <w:tcPr>
                  <w:tcW w:w="855" w:type="dxa"/>
                  <w:tcBorders>
                    <w:tl2br w:val="nil"/>
                    <w:tr2bl w:val="nil"/>
                  </w:tcBorders>
                  <w:vAlign w:val="center"/>
                </w:tcPr>
                <w:p w14:paraId="53ED300E">
                  <w:pPr>
                    <w:snapToGrid w:val="0"/>
                    <w:jc w:val="center"/>
                    <w:textAlignment w:val="baseline"/>
                    <w:rPr>
                      <w:rFonts w:hint="eastAsia"/>
                      <w:color w:val="auto"/>
                      <w:sz w:val="18"/>
                      <w:szCs w:val="18"/>
                    </w:rPr>
                  </w:pPr>
                  <w:r>
                    <w:rPr>
                      <w:rFonts w:hint="eastAsia"/>
                      <w:color w:val="auto"/>
                      <w:sz w:val="18"/>
                      <w:szCs w:val="18"/>
                    </w:rPr>
                    <w:t>塑料</w:t>
                  </w:r>
                </w:p>
              </w:tc>
              <w:tc>
                <w:tcPr>
                  <w:tcW w:w="780" w:type="dxa"/>
                  <w:tcBorders>
                    <w:tl2br w:val="nil"/>
                    <w:tr2bl w:val="nil"/>
                  </w:tcBorders>
                  <w:vAlign w:val="center"/>
                </w:tcPr>
                <w:p w14:paraId="6468DA20">
                  <w:pPr>
                    <w:snapToGrid w:val="0"/>
                    <w:jc w:val="center"/>
                    <w:textAlignment w:val="baseline"/>
                    <w:rPr>
                      <w:color w:val="auto"/>
                      <w:sz w:val="18"/>
                      <w:szCs w:val="18"/>
                    </w:rPr>
                  </w:pPr>
                  <w:r>
                    <w:rPr>
                      <w:rFonts w:hint="eastAsia"/>
                      <w:color w:val="auto"/>
                      <w:sz w:val="18"/>
                      <w:szCs w:val="18"/>
                      <w:lang w:val="en-US" w:eastAsia="zh-CN"/>
                    </w:rPr>
                    <w:t>/</w:t>
                  </w:r>
                </w:p>
              </w:tc>
              <w:tc>
                <w:tcPr>
                  <w:tcW w:w="645" w:type="dxa"/>
                  <w:tcBorders>
                    <w:tl2br w:val="nil"/>
                    <w:tr2bl w:val="nil"/>
                  </w:tcBorders>
                  <w:vAlign w:val="center"/>
                </w:tcPr>
                <w:p w14:paraId="18AD354A">
                  <w:pPr>
                    <w:snapToGrid w:val="0"/>
                    <w:jc w:val="center"/>
                    <w:textAlignment w:val="baseline"/>
                    <w:rPr>
                      <w:color w:val="auto"/>
                      <w:sz w:val="18"/>
                      <w:szCs w:val="18"/>
                    </w:rPr>
                  </w:pPr>
                  <w:r>
                    <w:rPr>
                      <w:rFonts w:hint="eastAsia"/>
                      <w:color w:val="auto"/>
                      <w:sz w:val="18"/>
                      <w:szCs w:val="18"/>
                      <w:lang w:val="en-US" w:eastAsia="zh-CN"/>
                    </w:rPr>
                    <w:t>/</w:t>
                  </w:r>
                </w:p>
              </w:tc>
              <w:tc>
                <w:tcPr>
                  <w:tcW w:w="585" w:type="dxa"/>
                  <w:tcBorders>
                    <w:tl2br w:val="nil"/>
                    <w:tr2bl w:val="nil"/>
                  </w:tcBorders>
                  <w:vAlign w:val="center"/>
                </w:tcPr>
                <w:p w14:paraId="1B8F9C1E">
                  <w:pPr>
                    <w:snapToGrid w:val="0"/>
                    <w:jc w:val="center"/>
                    <w:textAlignment w:val="baseline"/>
                    <w:rPr>
                      <w:color w:val="auto"/>
                      <w:sz w:val="18"/>
                      <w:szCs w:val="18"/>
                    </w:rPr>
                  </w:pPr>
                  <w:r>
                    <w:rPr>
                      <w:color w:val="auto"/>
                      <w:sz w:val="18"/>
                      <w:szCs w:val="18"/>
                    </w:rPr>
                    <w:t>S14</w:t>
                  </w:r>
                </w:p>
              </w:tc>
              <w:tc>
                <w:tcPr>
                  <w:tcW w:w="1050" w:type="dxa"/>
                  <w:tcBorders>
                    <w:tl2br w:val="nil"/>
                    <w:tr2bl w:val="nil"/>
                  </w:tcBorders>
                  <w:vAlign w:val="center"/>
                </w:tcPr>
                <w:p w14:paraId="5299957C">
                  <w:pPr>
                    <w:snapToGrid w:val="0"/>
                    <w:jc w:val="center"/>
                    <w:textAlignment w:val="baseline"/>
                    <w:rPr>
                      <w:color w:val="auto"/>
                      <w:sz w:val="18"/>
                      <w:szCs w:val="18"/>
                    </w:rPr>
                  </w:pPr>
                  <w:r>
                    <w:rPr>
                      <w:rFonts w:hint="eastAsia"/>
                      <w:color w:val="auto"/>
                      <w:sz w:val="18"/>
                      <w:szCs w:val="18"/>
                      <w:lang w:val="en-US" w:eastAsia="zh-CN"/>
                    </w:rPr>
                    <w:t>900-099-S14</w:t>
                  </w:r>
                </w:p>
              </w:tc>
              <w:tc>
                <w:tcPr>
                  <w:tcW w:w="589" w:type="dxa"/>
                  <w:tcBorders>
                    <w:tl2br w:val="nil"/>
                    <w:tr2bl w:val="nil"/>
                  </w:tcBorders>
                  <w:shd w:val="clear" w:color="auto" w:fill="auto"/>
                  <w:vAlign w:val="center"/>
                </w:tcPr>
                <w:p w14:paraId="22EB28B4">
                  <w:pPr>
                    <w:snapToGrid w:val="0"/>
                    <w:jc w:val="center"/>
                    <w:textAlignment w:val="baseline"/>
                    <w:rPr>
                      <w:rFonts w:hint="eastAsia" w:cs="Times New Roman"/>
                      <w:color w:val="auto"/>
                      <w:kern w:val="2"/>
                      <w:sz w:val="18"/>
                      <w:szCs w:val="18"/>
                      <w:lang w:val="en-US" w:eastAsia="zh-CN" w:bidi="ar-SA"/>
                    </w:rPr>
                  </w:pPr>
                  <w:r>
                    <w:rPr>
                      <w:rFonts w:hint="eastAsia"/>
                      <w:color w:val="auto"/>
                      <w:sz w:val="18"/>
                      <w:szCs w:val="18"/>
                      <w:lang w:val="en-US" w:eastAsia="zh-CN"/>
                    </w:rPr>
                    <w:t>30</w:t>
                  </w:r>
                </w:p>
              </w:tc>
            </w:tr>
            <w:tr w14:paraId="25E43E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367" w:type="dxa"/>
                  <w:tcBorders>
                    <w:tl2br w:val="nil"/>
                    <w:tr2bl w:val="nil"/>
                  </w:tcBorders>
                  <w:vAlign w:val="center"/>
                </w:tcPr>
                <w:p w14:paraId="48D67F02">
                  <w:pPr>
                    <w:snapToGrid w:val="0"/>
                    <w:jc w:val="center"/>
                    <w:textAlignment w:val="baseline"/>
                    <w:rPr>
                      <w:rFonts w:hint="eastAsia" w:eastAsia="宋体"/>
                      <w:color w:val="auto"/>
                      <w:sz w:val="18"/>
                      <w:szCs w:val="18"/>
                      <w:lang w:eastAsia="zh-CN"/>
                    </w:rPr>
                  </w:pPr>
                  <w:r>
                    <w:rPr>
                      <w:rFonts w:hint="eastAsia"/>
                      <w:color w:val="auto"/>
                      <w:sz w:val="18"/>
                      <w:szCs w:val="18"/>
                      <w:lang w:val="en-US" w:eastAsia="zh-CN"/>
                    </w:rPr>
                    <w:t>5</w:t>
                  </w:r>
                </w:p>
              </w:tc>
              <w:tc>
                <w:tcPr>
                  <w:tcW w:w="693" w:type="dxa"/>
                  <w:tcBorders>
                    <w:tl2br w:val="nil"/>
                    <w:tr2bl w:val="nil"/>
                  </w:tcBorders>
                  <w:shd w:val="clear" w:color="auto" w:fill="auto"/>
                  <w:vAlign w:val="center"/>
                </w:tcPr>
                <w:p w14:paraId="7E1B6183">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废润滑油</w:t>
                  </w:r>
                </w:p>
              </w:tc>
              <w:tc>
                <w:tcPr>
                  <w:tcW w:w="878" w:type="dxa"/>
                  <w:tcBorders>
                    <w:tl2br w:val="nil"/>
                    <w:tr2bl w:val="nil"/>
                  </w:tcBorders>
                  <w:vAlign w:val="center"/>
                </w:tcPr>
                <w:p w14:paraId="503CD46E">
                  <w:pPr>
                    <w:snapToGrid w:val="0"/>
                    <w:jc w:val="center"/>
                    <w:textAlignment w:val="baseline"/>
                    <w:rPr>
                      <w:color w:val="auto"/>
                      <w:sz w:val="18"/>
                      <w:szCs w:val="18"/>
                    </w:rPr>
                  </w:pPr>
                  <w:r>
                    <w:rPr>
                      <w:rFonts w:hint="eastAsia"/>
                      <w:color w:val="auto"/>
                      <w:sz w:val="18"/>
                      <w:szCs w:val="18"/>
                    </w:rPr>
                    <w:t>危险废物</w:t>
                  </w:r>
                </w:p>
              </w:tc>
              <w:tc>
                <w:tcPr>
                  <w:tcW w:w="1181" w:type="dxa"/>
                  <w:tcBorders>
                    <w:tl2br w:val="nil"/>
                    <w:tr2bl w:val="nil"/>
                  </w:tcBorders>
                  <w:shd w:val="clear" w:color="auto" w:fill="auto"/>
                  <w:vAlign w:val="center"/>
                </w:tcPr>
                <w:p w14:paraId="36951333">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设备维护</w:t>
                  </w:r>
                </w:p>
              </w:tc>
              <w:tc>
                <w:tcPr>
                  <w:tcW w:w="450" w:type="dxa"/>
                  <w:tcBorders>
                    <w:tl2br w:val="nil"/>
                    <w:tr2bl w:val="nil"/>
                  </w:tcBorders>
                  <w:shd w:val="clear" w:color="auto" w:fill="auto"/>
                  <w:vAlign w:val="center"/>
                </w:tcPr>
                <w:p w14:paraId="1D0DCC0B">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rPr>
                    <w:t>液态</w:t>
                  </w:r>
                </w:p>
              </w:tc>
              <w:tc>
                <w:tcPr>
                  <w:tcW w:w="855" w:type="dxa"/>
                  <w:tcBorders>
                    <w:tl2br w:val="nil"/>
                    <w:tr2bl w:val="nil"/>
                  </w:tcBorders>
                  <w:vAlign w:val="center"/>
                </w:tcPr>
                <w:p w14:paraId="13A1D69C">
                  <w:pPr>
                    <w:snapToGrid w:val="0"/>
                    <w:jc w:val="center"/>
                    <w:textAlignment w:val="baseline"/>
                    <w:rPr>
                      <w:color w:val="auto"/>
                      <w:sz w:val="18"/>
                      <w:szCs w:val="18"/>
                    </w:rPr>
                  </w:pPr>
                  <w:r>
                    <w:rPr>
                      <w:rFonts w:hint="eastAsia"/>
                      <w:color w:val="auto"/>
                      <w:sz w:val="18"/>
                      <w:szCs w:val="18"/>
                    </w:rPr>
                    <w:t>机油</w:t>
                  </w:r>
                </w:p>
              </w:tc>
              <w:tc>
                <w:tcPr>
                  <w:tcW w:w="780" w:type="dxa"/>
                  <w:vMerge w:val="restart"/>
                  <w:tcBorders>
                    <w:tl2br w:val="nil"/>
                    <w:tr2bl w:val="nil"/>
                  </w:tcBorders>
                  <w:vAlign w:val="center"/>
                </w:tcPr>
                <w:p w14:paraId="15222FA5">
                  <w:pPr>
                    <w:snapToGrid w:val="0"/>
                    <w:jc w:val="center"/>
                    <w:textAlignment w:val="baseline"/>
                    <w:rPr>
                      <w:color w:val="auto"/>
                      <w:sz w:val="18"/>
                      <w:szCs w:val="18"/>
                    </w:rPr>
                  </w:pPr>
                  <w:r>
                    <w:rPr>
                      <w:rFonts w:hint="eastAsia"/>
                      <w:color w:val="auto"/>
                      <w:sz w:val="18"/>
                      <w:szCs w:val="18"/>
                    </w:rPr>
                    <w:t>《国家危险废物名录》（</w:t>
                  </w:r>
                  <w:r>
                    <w:rPr>
                      <w:color w:val="auto"/>
                      <w:sz w:val="18"/>
                      <w:szCs w:val="18"/>
                    </w:rPr>
                    <w:t>202</w:t>
                  </w:r>
                  <w:r>
                    <w:rPr>
                      <w:rFonts w:hint="eastAsia"/>
                      <w:color w:val="auto"/>
                      <w:sz w:val="18"/>
                      <w:szCs w:val="18"/>
                      <w:lang w:val="en-US" w:eastAsia="zh-CN"/>
                    </w:rPr>
                    <w:t>5</w:t>
                  </w:r>
                  <w:r>
                    <w:rPr>
                      <w:rFonts w:hint="eastAsia"/>
                      <w:color w:val="auto"/>
                      <w:sz w:val="18"/>
                      <w:szCs w:val="18"/>
                    </w:rPr>
                    <w:t>年版）</w:t>
                  </w:r>
                </w:p>
              </w:tc>
              <w:tc>
                <w:tcPr>
                  <w:tcW w:w="645" w:type="dxa"/>
                  <w:tcBorders>
                    <w:tl2br w:val="nil"/>
                    <w:tr2bl w:val="nil"/>
                  </w:tcBorders>
                  <w:vAlign w:val="center"/>
                </w:tcPr>
                <w:p w14:paraId="221D48F9">
                  <w:pPr>
                    <w:snapToGrid w:val="0"/>
                    <w:jc w:val="center"/>
                    <w:textAlignment w:val="baseline"/>
                    <w:rPr>
                      <w:rFonts w:hint="default" w:eastAsia="宋体"/>
                      <w:color w:val="auto"/>
                      <w:sz w:val="18"/>
                      <w:szCs w:val="18"/>
                      <w:lang w:val="en-US" w:eastAsia="zh-CN"/>
                    </w:rPr>
                  </w:pPr>
                  <w:r>
                    <w:rPr>
                      <w:color w:val="auto"/>
                      <w:sz w:val="18"/>
                      <w:szCs w:val="18"/>
                    </w:rPr>
                    <w:t>T</w:t>
                  </w:r>
                  <w:r>
                    <w:rPr>
                      <w:rFonts w:hint="eastAsia"/>
                      <w:color w:val="auto"/>
                      <w:sz w:val="18"/>
                      <w:szCs w:val="18"/>
                      <w:lang w:val="en-US" w:eastAsia="zh-CN"/>
                    </w:rPr>
                    <w:t>,I</w:t>
                  </w:r>
                </w:p>
              </w:tc>
              <w:tc>
                <w:tcPr>
                  <w:tcW w:w="585" w:type="dxa"/>
                  <w:tcBorders>
                    <w:tl2br w:val="nil"/>
                    <w:tr2bl w:val="nil"/>
                  </w:tcBorders>
                  <w:vAlign w:val="center"/>
                </w:tcPr>
                <w:p w14:paraId="19CDCB1F">
                  <w:pPr>
                    <w:snapToGrid w:val="0"/>
                    <w:jc w:val="center"/>
                    <w:textAlignment w:val="baseline"/>
                    <w:rPr>
                      <w:color w:val="auto"/>
                      <w:sz w:val="18"/>
                      <w:szCs w:val="18"/>
                    </w:rPr>
                  </w:pPr>
                  <w:r>
                    <w:rPr>
                      <w:color w:val="auto"/>
                      <w:sz w:val="18"/>
                      <w:szCs w:val="18"/>
                    </w:rPr>
                    <w:t>HW08</w:t>
                  </w:r>
                </w:p>
              </w:tc>
              <w:tc>
                <w:tcPr>
                  <w:tcW w:w="1050" w:type="dxa"/>
                  <w:tcBorders>
                    <w:tl2br w:val="nil"/>
                    <w:tr2bl w:val="nil"/>
                  </w:tcBorders>
                  <w:vAlign w:val="center"/>
                </w:tcPr>
                <w:p w14:paraId="5546F156">
                  <w:pPr>
                    <w:snapToGrid w:val="0"/>
                    <w:jc w:val="center"/>
                    <w:textAlignment w:val="baseline"/>
                    <w:rPr>
                      <w:color w:val="auto"/>
                      <w:sz w:val="18"/>
                      <w:szCs w:val="18"/>
                    </w:rPr>
                  </w:pPr>
                  <w:r>
                    <w:rPr>
                      <w:color w:val="auto"/>
                      <w:sz w:val="18"/>
                      <w:szCs w:val="18"/>
                    </w:rPr>
                    <w:t>900-214-08</w:t>
                  </w:r>
                </w:p>
              </w:tc>
              <w:tc>
                <w:tcPr>
                  <w:tcW w:w="589" w:type="dxa"/>
                  <w:tcBorders>
                    <w:tl2br w:val="nil"/>
                    <w:tr2bl w:val="nil"/>
                  </w:tcBorders>
                  <w:shd w:val="clear" w:color="auto" w:fill="auto"/>
                  <w:vAlign w:val="center"/>
                </w:tcPr>
                <w:p w14:paraId="255F5295">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0.2</w:t>
                  </w:r>
                </w:p>
              </w:tc>
            </w:tr>
            <w:tr w14:paraId="735526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367" w:type="dxa"/>
                  <w:tcBorders>
                    <w:tl2br w:val="nil"/>
                    <w:tr2bl w:val="nil"/>
                  </w:tcBorders>
                  <w:vAlign w:val="center"/>
                </w:tcPr>
                <w:p w14:paraId="43F4BCA3">
                  <w:pPr>
                    <w:snapToGrid w:val="0"/>
                    <w:jc w:val="center"/>
                    <w:textAlignment w:val="baseline"/>
                    <w:rPr>
                      <w:rFonts w:hint="eastAsia" w:eastAsia="宋体"/>
                      <w:color w:val="auto"/>
                      <w:sz w:val="18"/>
                      <w:szCs w:val="18"/>
                      <w:lang w:eastAsia="zh-CN"/>
                    </w:rPr>
                  </w:pPr>
                  <w:r>
                    <w:rPr>
                      <w:rFonts w:hint="eastAsia"/>
                      <w:color w:val="auto"/>
                      <w:sz w:val="18"/>
                      <w:szCs w:val="18"/>
                      <w:lang w:val="en-US" w:eastAsia="zh-CN"/>
                    </w:rPr>
                    <w:t>6</w:t>
                  </w:r>
                </w:p>
              </w:tc>
              <w:tc>
                <w:tcPr>
                  <w:tcW w:w="693" w:type="dxa"/>
                  <w:tcBorders>
                    <w:tl2br w:val="nil"/>
                    <w:tr2bl w:val="nil"/>
                  </w:tcBorders>
                  <w:shd w:val="clear" w:color="auto" w:fill="auto"/>
                  <w:vAlign w:val="center"/>
                </w:tcPr>
                <w:p w14:paraId="66A1C861">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eastAsia="zh-CN"/>
                    </w:rPr>
                    <w:t>废润滑油包装</w:t>
                  </w:r>
                </w:p>
              </w:tc>
              <w:tc>
                <w:tcPr>
                  <w:tcW w:w="878" w:type="dxa"/>
                  <w:tcBorders>
                    <w:tl2br w:val="nil"/>
                    <w:tr2bl w:val="nil"/>
                  </w:tcBorders>
                  <w:vAlign w:val="center"/>
                </w:tcPr>
                <w:p w14:paraId="0BD8E0CC">
                  <w:pPr>
                    <w:snapToGrid w:val="0"/>
                    <w:jc w:val="center"/>
                    <w:textAlignment w:val="baseline"/>
                    <w:rPr>
                      <w:color w:val="auto"/>
                      <w:sz w:val="18"/>
                      <w:szCs w:val="18"/>
                    </w:rPr>
                  </w:pPr>
                  <w:r>
                    <w:rPr>
                      <w:rFonts w:hint="eastAsia"/>
                      <w:color w:val="auto"/>
                      <w:sz w:val="18"/>
                      <w:szCs w:val="18"/>
                    </w:rPr>
                    <w:t>危险废物</w:t>
                  </w:r>
                </w:p>
              </w:tc>
              <w:tc>
                <w:tcPr>
                  <w:tcW w:w="1181" w:type="dxa"/>
                  <w:tcBorders>
                    <w:tl2br w:val="nil"/>
                    <w:tr2bl w:val="nil"/>
                  </w:tcBorders>
                  <w:shd w:val="clear" w:color="auto" w:fill="auto"/>
                  <w:vAlign w:val="center"/>
                </w:tcPr>
                <w:p w14:paraId="43AA8F65">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设备维护</w:t>
                  </w:r>
                </w:p>
              </w:tc>
              <w:tc>
                <w:tcPr>
                  <w:tcW w:w="450" w:type="dxa"/>
                  <w:tcBorders>
                    <w:tl2br w:val="nil"/>
                    <w:tr2bl w:val="nil"/>
                  </w:tcBorders>
                  <w:shd w:val="clear" w:color="auto" w:fill="auto"/>
                  <w:vAlign w:val="center"/>
                </w:tcPr>
                <w:p w14:paraId="7BDA07B3">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rPr>
                    <w:t>固态</w:t>
                  </w:r>
                </w:p>
              </w:tc>
              <w:tc>
                <w:tcPr>
                  <w:tcW w:w="855" w:type="dxa"/>
                  <w:tcBorders>
                    <w:tl2br w:val="nil"/>
                    <w:tr2bl w:val="nil"/>
                  </w:tcBorders>
                  <w:vAlign w:val="center"/>
                </w:tcPr>
                <w:p w14:paraId="65825F62">
                  <w:pPr>
                    <w:snapToGrid w:val="0"/>
                    <w:jc w:val="center"/>
                    <w:textAlignment w:val="baseline"/>
                    <w:rPr>
                      <w:color w:val="auto"/>
                      <w:sz w:val="18"/>
                      <w:szCs w:val="18"/>
                    </w:rPr>
                  </w:pPr>
                  <w:r>
                    <w:rPr>
                      <w:rFonts w:hint="eastAsia"/>
                      <w:color w:val="auto"/>
                      <w:sz w:val="18"/>
                      <w:szCs w:val="18"/>
                    </w:rPr>
                    <w:t>塑料、残油</w:t>
                  </w:r>
                </w:p>
              </w:tc>
              <w:tc>
                <w:tcPr>
                  <w:tcW w:w="780" w:type="dxa"/>
                  <w:vMerge w:val="continue"/>
                  <w:tcBorders>
                    <w:tl2br w:val="nil"/>
                    <w:tr2bl w:val="nil"/>
                  </w:tcBorders>
                  <w:vAlign w:val="center"/>
                </w:tcPr>
                <w:p w14:paraId="4EFCEBE1">
                  <w:pPr>
                    <w:snapToGrid w:val="0"/>
                    <w:jc w:val="center"/>
                    <w:textAlignment w:val="baseline"/>
                    <w:rPr>
                      <w:color w:val="auto"/>
                      <w:sz w:val="18"/>
                      <w:szCs w:val="18"/>
                    </w:rPr>
                  </w:pPr>
                </w:p>
              </w:tc>
              <w:tc>
                <w:tcPr>
                  <w:tcW w:w="645" w:type="dxa"/>
                  <w:tcBorders>
                    <w:tl2br w:val="nil"/>
                    <w:tr2bl w:val="nil"/>
                  </w:tcBorders>
                  <w:vAlign w:val="center"/>
                </w:tcPr>
                <w:p w14:paraId="19425477">
                  <w:pPr>
                    <w:snapToGrid w:val="0"/>
                    <w:jc w:val="center"/>
                    <w:textAlignment w:val="baseline"/>
                    <w:rPr>
                      <w:rFonts w:hint="eastAsia" w:eastAsia="宋体"/>
                      <w:color w:val="auto"/>
                      <w:sz w:val="18"/>
                      <w:szCs w:val="18"/>
                      <w:lang w:val="en-US" w:eastAsia="zh-CN"/>
                    </w:rPr>
                  </w:pPr>
                  <w:r>
                    <w:rPr>
                      <w:color w:val="auto"/>
                      <w:sz w:val="18"/>
                      <w:szCs w:val="18"/>
                    </w:rPr>
                    <w:t>T</w:t>
                  </w:r>
                  <w:r>
                    <w:rPr>
                      <w:rFonts w:hint="eastAsia"/>
                      <w:color w:val="auto"/>
                      <w:sz w:val="18"/>
                      <w:szCs w:val="18"/>
                      <w:lang w:val="en-US" w:eastAsia="zh-CN"/>
                    </w:rPr>
                    <w:t>,I</w:t>
                  </w:r>
                </w:p>
              </w:tc>
              <w:tc>
                <w:tcPr>
                  <w:tcW w:w="585" w:type="dxa"/>
                  <w:tcBorders>
                    <w:tl2br w:val="nil"/>
                    <w:tr2bl w:val="nil"/>
                  </w:tcBorders>
                  <w:vAlign w:val="center"/>
                </w:tcPr>
                <w:p w14:paraId="1061A455">
                  <w:pPr>
                    <w:snapToGrid w:val="0"/>
                    <w:jc w:val="center"/>
                    <w:textAlignment w:val="baseline"/>
                    <w:rPr>
                      <w:rFonts w:hint="default" w:eastAsia="宋体"/>
                      <w:color w:val="auto"/>
                      <w:sz w:val="18"/>
                      <w:szCs w:val="18"/>
                      <w:lang w:val="en-US" w:eastAsia="zh-CN"/>
                    </w:rPr>
                  </w:pPr>
                  <w:r>
                    <w:rPr>
                      <w:color w:val="auto"/>
                      <w:sz w:val="18"/>
                      <w:szCs w:val="18"/>
                    </w:rPr>
                    <w:t>HW</w:t>
                  </w:r>
                  <w:r>
                    <w:rPr>
                      <w:rFonts w:hint="eastAsia"/>
                      <w:color w:val="auto"/>
                      <w:sz w:val="18"/>
                      <w:szCs w:val="18"/>
                      <w:lang w:val="en-US" w:eastAsia="zh-CN"/>
                    </w:rPr>
                    <w:t>08</w:t>
                  </w:r>
                </w:p>
              </w:tc>
              <w:tc>
                <w:tcPr>
                  <w:tcW w:w="1050" w:type="dxa"/>
                  <w:tcBorders>
                    <w:tl2br w:val="nil"/>
                    <w:tr2bl w:val="nil"/>
                  </w:tcBorders>
                  <w:vAlign w:val="center"/>
                </w:tcPr>
                <w:p w14:paraId="436C90A2">
                  <w:pPr>
                    <w:snapToGrid w:val="0"/>
                    <w:jc w:val="center"/>
                    <w:textAlignment w:val="baseline"/>
                    <w:rPr>
                      <w:color w:val="auto"/>
                      <w:sz w:val="18"/>
                      <w:szCs w:val="18"/>
                    </w:rPr>
                  </w:pPr>
                  <w:r>
                    <w:rPr>
                      <w:rFonts w:hint="eastAsia"/>
                      <w:color w:val="auto"/>
                      <w:sz w:val="18"/>
                      <w:szCs w:val="18"/>
                      <w:lang w:val="en-US" w:eastAsia="zh-CN"/>
                    </w:rPr>
                    <w:t>900-249-08</w:t>
                  </w:r>
                </w:p>
              </w:tc>
              <w:tc>
                <w:tcPr>
                  <w:tcW w:w="589" w:type="dxa"/>
                  <w:tcBorders>
                    <w:tl2br w:val="nil"/>
                    <w:tr2bl w:val="nil"/>
                  </w:tcBorders>
                  <w:shd w:val="clear" w:color="auto" w:fill="auto"/>
                  <w:vAlign w:val="center"/>
                </w:tcPr>
                <w:p w14:paraId="062E6D85">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0.02</w:t>
                  </w:r>
                </w:p>
              </w:tc>
            </w:tr>
            <w:tr w14:paraId="03BFE9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367" w:type="dxa"/>
                  <w:tcBorders>
                    <w:tl2br w:val="nil"/>
                    <w:tr2bl w:val="nil"/>
                  </w:tcBorders>
                  <w:vAlign w:val="center"/>
                </w:tcPr>
                <w:p w14:paraId="546FCE8E">
                  <w:pPr>
                    <w:snapToGrid w:val="0"/>
                    <w:jc w:val="center"/>
                    <w:textAlignment w:val="baseline"/>
                    <w:rPr>
                      <w:rFonts w:hint="default"/>
                      <w:color w:val="auto"/>
                      <w:sz w:val="18"/>
                      <w:szCs w:val="18"/>
                      <w:lang w:val="en-US" w:eastAsia="zh-CN"/>
                    </w:rPr>
                  </w:pPr>
                  <w:r>
                    <w:rPr>
                      <w:rFonts w:hint="eastAsia"/>
                      <w:color w:val="auto"/>
                      <w:sz w:val="18"/>
                      <w:szCs w:val="18"/>
                      <w:lang w:val="en-US" w:eastAsia="zh-CN"/>
                    </w:rPr>
                    <w:t>7</w:t>
                  </w:r>
                </w:p>
              </w:tc>
              <w:tc>
                <w:tcPr>
                  <w:tcW w:w="693" w:type="dxa"/>
                  <w:tcBorders>
                    <w:tl2br w:val="nil"/>
                    <w:tr2bl w:val="nil"/>
                  </w:tcBorders>
                  <w:shd w:val="clear" w:color="auto" w:fill="auto"/>
                  <w:vAlign w:val="center"/>
                </w:tcPr>
                <w:p w14:paraId="3344B6FF">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在线仪废液</w:t>
                  </w:r>
                </w:p>
              </w:tc>
              <w:tc>
                <w:tcPr>
                  <w:tcW w:w="878" w:type="dxa"/>
                  <w:tcBorders>
                    <w:tl2br w:val="nil"/>
                    <w:tr2bl w:val="nil"/>
                  </w:tcBorders>
                  <w:vAlign w:val="center"/>
                </w:tcPr>
                <w:p w14:paraId="7DB2728E">
                  <w:pPr>
                    <w:snapToGrid w:val="0"/>
                    <w:jc w:val="center"/>
                    <w:textAlignment w:val="baseline"/>
                    <w:rPr>
                      <w:rFonts w:hint="eastAsia"/>
                      <w:color w:val="auto"/>
                      <w:sz w:val="18"/>
                      <w:szCs w:val="18"/>
                    </w:rPr>
                  </w:pPr>
                  <w:r>
                    <w:rPr>
                      <w:rFonts w:hint="eastAsia"/>
                      <w:color w:val="auto"/>
                      <w:sz w:val="18"/>
                      <w:szCs w:val="18"/>
                    </w:rPr>
                    <w:t>危险废物</w:t>
                  </w:r>
                </w:p>
              </w:tc>
              <w:tc>
                <w:tcPr>
                  <w:tcW w:w="1181" w:type="dxa"/>
                  <w:tcBorders>
                    <w:tl2br w:val="nil"/>
                    <w:tr2bl w:val="nil"/>
                  </w:tcBorders>
                  <w:shd w:val="clear" w:color="auto" w:fill="auto"/>
                  <w:vAlign w:val="center"/>
                </w:tcPr>
                <w:p w14:paraId="3B637E8D">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污水在线监测</w:t>
                  </w:r>
                </w:p>
              </w:tc>
              <w:tc>
                <w:tcPr>
                  <w:tcW w:w="450" w:type="dxa"/>
                  <w:tcBorders>
                    <w:tl2br w:val="nil"/>
                    <w:tr2bl w:val="nil"/>
                  </w:tcBorders>
                  <w:shd w:val="clear" w:color="auto" w:fill="auto"/>
                  <w:vAlign w:val="center"/>
                </w:tcPr>
                <w:p w14:paraId="7384450F">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液态</w:t>
                  </w:r>
                </w:p>
              </w:tc>
              <w:tc>
                <w:tcPr>
                  <w:tcW w:w="855" w:type="dxa"/>
                  <w:tcBorders>
                    <w:tl2br w:val="nil"/>
                    <w:tr2bl w:val="nil"/>
                  </w:tcBorders>
                  <w:vAlign w:val="center"/>
                </w:tcPr>
                <w:p w14:paraId="7C682C9D">
                  <w:pPr>
                    <w:snapToGrid w:val="0"/>
                    <w:jc w:val="center"/>
                    <w:textAlignment w:val="baseline"/>
                    <w:rPr>
                      <w:rFonts w:hint="eastAsia"/>
                      <w:color w:val="auto"/>
                      <w:sz w:val="18"/>
                      <w:szCs w:val="18"/>
                    </w:rPr>
                  </w:pPr>
                  <w:r>
                    <w:rPr>
                      <w:rFonts w:hint="eastAsia"/>
                      <w:color w:val="auto"/>
                      <w:sz w:val="18"/>
                      <w:szCs w:val="18"/>
                    </w:rPr>
                    <w:t>硫酸汞等</w:t>
                  </w:r>
                </w:p>
              </w:tc>
              <w:tc>
                <w:tcPr>
                  <w:tcW w:w="780" w:type="dxa"/>
                  <w:vMerge w:val="continue"/>
                  <w:tcBorders>
                    <w:tl2br w:val="nil"/>
                    <w:tr2bl w:val="nil"/>
                  </w:tcBorders>
                  <w:vAlign w:val="center"/>
                </w:tcPr>
                <w:p w14:paraId="6677E40B">
                  <w:pPr>
                    <w:snapToGrid w:val="0"/>
                    <w:jc w:val="center"/>
                    <w:textAlignment w:val="baseline"/>
                    <w:rPr>
                      <w:color w:val="auto"/>
                      <w:sz w:val="18"/>
                      <w:szCs w:val="18"/>
                    </w:rPr>
                  </w:pPr>
                </w:p>
              </w:tc>
              <w:tc>
                <w:tcPr>
                  <w:tcW w:w="645" w:type="dxa"/>
                  <w:tcBorders>
                    <w:tl2br w:val="nil"/>
                    <w:tr2bl w:val="nil"/>
                  </w:tcBorders>
                  <w:shd w:val="clear" w:color="auto" w:fill="auto"/>
                  <w:vAlign w:val="center"/>
                </w:tcPr>
                <w:p w14:paraId="11CA9D66">
                  <w:pPr>
                    <w:snapToGrid w:val="0"/>
                    <w:jc w:val="center"/>
                    <w:textAlignment w:val="baseline"/>
                    <w:rPr>
                      <w:rFonts w:ascii="Times New Roman" w:hAnsi="Times New Roman" w:eastAsia="宋体" w:cs="Times New Roman"/>
                      <w:color w:val="000000"/>
                      <w:kern w:val="2"/>
                      <w:sz w:val="18"/>
                      <w:szCs w:val="18"/>
                      <w:lang w:val="en-US" w:eastAsia="zh-CN" w:bidi="ar-SA"/>
                    </w:rPr>
                  </w:pPr>
                  <w:r>
                    <w:rPr>
                      <w:rFonts w:hint="eastAsia"/>
                      <w:color w:val="000000"/>
                      <w:sz w:val="18"/>
                      <w:szCs w:val="18"/>
                      <w:lang w:val="en-US" w:eastAsia="zh-CN"/>
                    </w:rPr>
                    <w:t>T/C/I/R</w:t>
                  </w:r>
                </w:p>
              </w:tc>
              <w:tc>
                <w:tcPr>
                  <w:tcW w:w="585" w:type="dxa"/>
                  <w:tcBorders>
                    <w:tl2br w:val="nil"/>
                    <w:tr2bl w:val="nil"/>
                  </w:tcBorders>
                  <w:shd w:val="clear" w:color="auto" w:fill="auto"/>
                  <w:vAlign w:val="center"/>
                </w:tcPr>
                <w:p w14:paraId="100CBB4A">
                  <w:pPr>
                    <w:snapToGrid w:val="0"/>
                    <w:jc w:val="center"/>
                    <w:textAlignment w:val="baseline"/>
                    <w:rPr>
                      <w:rFonts w:ascii="Times New Roman" w:hAnsi="Times New Roman" w:eastAsia="宋体" w:cs="Times New Roman"/>
                      <w:color w:val="000000"/>
                      <w:kern w:val="2"/>
                      <w:sz w:val="18"/>
                      <w:szCs w:val="18"/>
                      <w:lang w:val="en-US" w:eastAsia="zh-CN" w:bidi="ar-SA"/>
                    </w:rPr>
                  </w:pPr>
                  <w:r>
                    <w:rPr>
                      <w:color w:val="000000"/>
                      <w:sz w:val="18"/>
                      <w:szCs w:val="18"/>
                    </w:rPr>
                    <w:t>HW49</w:t>
                  </w:r>
                </w:p>
              </w:tc>
              <w:tc>
                <w:tcPr>
                  <w:tcW w:w="1050" w:type="dxa"/>
                  <w:tcBorders>
                    <w:tl2br w:val="nil"/>
                    <w:tr2bl w:val="nil"/>
                  </w:tcBorders>
                  <w:shd w:val="clear" w:color="auto" w:fill="auto"/>
                  <w:vAlign w:val="center"/>
                </w:tcPr>
                <w:p w14:paraId="2F81C783">
                  <w:pPr>
                    <w:snapToGrid w:val="0"/>
                    <w:jc w:val="center"/>
                    <w:textAlignment w:val="baseline"/>
                    <w:rPr>
                      <w:rFonts w:ascii="Times New Roman" w:hAnsi="Times New Roman" w:eastAsia="宋体" w:cs="Times New Roman"/>
                      <w:color w:val="000000"/>
                      <w:kern w:val="2"/>
                      <w:sz w:val="18"/>
                      <w:szCs w:val="18"/>
                      <w:lang w:val="en-US" w:eastAsia="zh-CN" w:bidi="ar-SA"/>
                    </w:rPr>
                  </w:pPr>
                  <w:r>
                    <w:rPr>
                      <w:color w:val="000000"/>
                      <w:sz w:val="18"/>
                      <w:szCs w:val="18"/>
                    </w:rPr>
                    <w:t>900-047-49</w:t>
                  </w:r>
                </w:p>
              </w:tc>
              <w:tc>
                <w:tcPr>
                  <w:tcW w:w="589" w:type="dxa"/>
                  <w:tcBorders>
                    <w:tl2br w:val="nil"/>
                    <w:tr2bl w:val="nil"/>
                  </w:tcBorders>
                  <w:shd w:val="clear" w:color="auto" w:fill="auto"/>
                  <w:vAlign w:val="center"/>
                </w:tcPr>
                <w:p w14:paraId="2A64AA09">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0.006</w:t>
                  </w:r>
                </w:p>
              </w:tc>
            </w:tr>
            <w:tr w14:paraId="372408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367" w:type="dxa"/>
                  <w:tcBorders>
                    <w:tl2br w:val="nil"/>
                    <w:tr2bl w:val="nil"/>
                  </w:tcBorders>
                  <w:shd w:val="clear" w:color="auto" w:fill="auto"/>
                  <w:vAlign w:val="center"/>
                </w:tcPr>
                <w:p w14:paraId="0AB1F2EB">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8</w:t>
                  </w:r>
                </w:p>
              </w:tc>
              <w:tc>
                <w:tcPr>
                  <w:tcW w:w="693" w:type="dxa"/>
                  <w:tcBorders>
                    <w:tl2br w:val="nil"/>
                    <w:tr2bl w:val="nil"/>
                  </w:tcBorders>
                  <w:shd w:val="clear" w:color="auto" w:fill="auto"/>
                  <w:vAlign w:val="center"/>
                </w:tcPr>
                <w:p w14:paraId="4D0520F9">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废试剂包装</w:t>
                  </w:r>
                </w:p>
              </w:tc>
              <w:tc>
                <w:tcPr>
                  <w:tcW w:w="878" w:type="dxa"/>
                  <w:tcBorders>
                    <w:tl2br w:val="nil"/>
                    <w:tr2bl w:val="nil"/>
                  </w:tcBorders>
                  <w:shd w:val="clear" w:color="auto" w:fill="auto"/>
                  <w:vAlign w:val="center"/>
                </w:tcPr>
                <w:p w14:paraId="13A92764">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危险废物</w:t>
                  </w:r>
                </w:p>
              </w:tc>
              <w:tc>
                <w:tcPr>
                  <w:tcW w:w="1181" w:type="dxa"/>
                  <w:tcBorders>
                    <w:tl2br w:val="nil"/>
                    <w:tr2bl w:val="nil"/>
                  </w:tcBorders>
                  <w:shd w:val="clear" w:color="auto" w:fill="auto"/>
                  <w:vAlign w:val="center"/>
                </w:tcPr>
                <w:p w14:paraId="47ABBD85">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污水在线监测</w:t>
                  </w:r>
                </w:p>
              </w:tc>
              <w:tc>
                <w:tcPr>
                  <w:tcW w:w="450" w:type="dxa"/>
                  <w:tcBorders>
                    <w:tl2br w:val="nil"/>
                    <w:tr2bl w:val="nil"/>
                  </w:tcBorders>
                  <w:shd w:val="clear" w:color="auto" w:fill="auto"/>
                  <w:vAlign w:val="center"/>
                </w:tcPr>
                <w:p w14:paraId="3BE2D3DC">
                  <w:pPr>
                    <w:snapToGrid w:val="0"/>
                    <w:jc w:val="center"/>
                    <w:textAlignment w:val="baseline"/>
                    <w:rPr>
                      <w:rFonts w:hint="eastAsia"/>
                      <w:color w:val="auto"/>
                      <w:sz w:val="18"/>
                      <w:szCs w:val="18"/>
                    </w:rPr>
                  </w:pPr>
                  <w:r>
                    <w:rPr>
                      <w:rFonts w:hint="eastAsia"/>
                      <w:color w:val="auto"/>
                      <w:sz w:val="18"/>
                      <w:szCs w:val="18"/>
                      <w:lang w:val="en-US" w:eastAsia="zh-CN"/>
                    </w:rPr>
                    <w:t>固态</w:t>
                  </w:r>
                </w:p>
              </w:tc>
              <w:tc>
                <w:tcPr>
                  <w:tcW w:w="855" w:type="dxa"/>
                  <w:tcBorders>
                    <w:tl2br w:val="nil"/>
                    <w:tr2bl w:val="nil"/>
                  </w:tcBorders>
                  <w:vAlign w:val="center"/>
                </w:tcPr>
                <w:p w14:paraId="0EAC127F">
                  <w:pPr>
                    <w:snapToGrid w:val="0"/>
                    <w:jc w:val="center"/>
                    <w:textAlignment w:val="baseline"/>
                    <w:rPr>
                      <w:rFonts w:hint="eastAsia"/>
                      <w:color w:val="auto"/>
                      <w:sz w:val="18"/>
                      <w:szCs w:val="18"/>
                    </w:rPr>
                  </w:pPr>
                  <w:r>
                    <w:rPr>
                      <w:rFonts w:hint="eastAsia"/>
                      <w:color w:val="auto"/>
                      <w:sz w:val="18"/>
                      <w:szCs w:val="18"/>
                      <w:lang w:val="en-US" w:eastAsia="zh-CN"/>
                    </w:rPr>
                    <w:t>塑料</w:t>
                  </w:r>
                </w:p>
              </w:tc>
              <w:tc>
                <w:tcPr>
                  <w:tcW w:w="780" w:type="dxa"/>
                  <w:vMerge w:val="continue"/>
                  <w:tcBorders>
                    <w:tl2br w:val="nil"/>
                    <w:tr2bl w:val="nil"/>
                  </w:tcBorders>
                  <w:vAlign w:val="center"/>
                </w:tcPr>
                <w:p w14:paraId="798EE073">
                  <w:pPr>
                    <w:snapToGrid w:val="0"/>
                    <w:jc w:val="center"/>
                    <w:textAlignment w:val="baseline"/>
                    <w:rPr>
                      <w:color w:val="auto"/>
                      <w:sz w:val="18"/>
                      <w:szCs w:val="18"/>
                    </w:rPr>
                  </w:pPr>
                </w:p>
              </w:tc>
              <w:tc>
                <w:tcPr>
                  <w:tcW w:w="645" w:type="dxa"/>
                  <w:tcBorders>
                    <w:tl2br w:val="nil"/>
                    <w:tr2bl w:val="nil"/>
                  </w:tcBorders>
                  <w:shd w:val="clear" w:color="auto" w:fill="auto"/>
                  <w:vAlign w:val="center"/>
                </w:tcPr>
                <w:p w14:paraId="06D42BD9">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000000"/>
                      <w:sz w:val="18"/>
                      <w:szCs w:val="18"/>
                      <w:lang w:val="en-US" w:eastAsia="zh-CN"/>
                    </w:rPr>
                    <w:t>T/C/I/R</w:t>
                  </w:r>
                </w:p>
              </w:tc>
              <w:tc>
                <w:tcPr>
                  <w:tcW w:w="585" w:type="dxa"/>
                  <w:tcBorders>
                    <w:tl2br w:val="nil"/>
                    <w:tr2bl w:val="nil"/>
                  </w:tcBorders>
                  <w:shd w:val="clear" w:color="auto" w:fill="auto"/>
                  <w:vAlign w:val="center"/>
                </w:tcPr>
                <w:p w14:paraId="288F70E9">
                  <w:pPr>
                    <w:snapToGrid w:val="0"/>
                    <w:jc w:val="center"/>
                    <w:textAlignment w:val="baseline"/>
                    <w:rPr>
                      <w:rFonts w:ascii="Times New Roman" w:hAnsi="Times New Roman" w:eastAsia="宋体" w:cs="Times New Roman"/>
                      <w:color w:val="auto"/>
                      <w:kern w:val="2"/>
                      <w:sz w:val="18"/>
                      <w:szCs w:val="18"/>
                      <w:lang w:val="en-US" w:eastAsia="zh-CN" w:bidi="ar-SA"/>
                    </w:rPr>
                  </w:pPr>
                  <w:r>
                    <w:rPr>
                      <w:color w:val="auto"/>
                      <w:sz w:val="18"/>
                      <w:szCs w:val="18"/>
                    </w:rPr>
                    <w:t>HW49</w:t>
                  </w:r>
                </w:p>
              </w:tc>
              <w:tc>
                <w:tcPr>
                  <w:tcW w:w="1050" w:type="dxa"/>
                  <w:tcBorders>
                    <w:tl2br w:val="nil"/>
                    <w:tr2bl w:val="nil"/>
                  </w:tcBorders>
                  <w:shd w:val="clear" w:color="auto" w:fill="auto"/>
                  <w:vAlign w:val="center"/>
                </w:tcPr>
                <w:p w14:paraId="7E5E8203">
                  <w:pPr>
                    <w:snapToGrid w:val="0"/>
                    <w:jc w:val="center"/>
                    <w:textAlignment w:val="baseline"/>
                    <w:rPr>
                      <w:rFonts w:ascii="Times New Roman" w:hAnsi="Times New Roman" w:eastAsia="宋体" w:cs="Times New Roman"/>
                      <w:color w:val="auto"/>
                      <w:kern w:val="2"/>
                      <w:sz w:val="18"/>
                      <w:szCs w:val="18"/>
                      <w:lang w:val="en-US" w:eastAsia="zh-CN" w:bidi="ar-SA"/>
                    </w:rPr>
                  </w:pPr>
                  <w:r>
                    <w:rPr>
                      <w:color w:val="auto"/>
                      <w:sz w:val="18"/>
                      <w:szCs w:val="18"/>
                    </w:rPr>
                    <w:t>900-04</w:t>
                  </w:r>
                  <w:r>
                    <w:rPr>
                      <w:rFonts w:hint="eastAsia"/>
                      <w:color w:val="auto"/>
                      <w:sz w:val="18"/>
                      <w:szCs w:val="18"/>
                      <w:lang w:val="en-US" w:eastAsia="zh-CN"/>
                    </w:rPr>
                    <w:t>1</w:t>
                  </w:r>
                  <w:r>
                    <w:rPr>
                      <w:color w:val="auto"/>
                      <w:sz w:val="18"/>
                      <w:szCs w:val="18"/>
                    </w:rPr>
                    <w:t>-49</w:t>
                  </w:r>
                </w:p>
              </w:tc>
              <w:tc>
                <w:tcPr>
                  <w:tcW w:w="589" w:type="dxa"/>
                  <w:tcBorders>
                    <w:tl2br w:val="nil"/>
                    <w:tr2bl w:val="nil"/>
                  </w:tcBorders>
                  <w:shd w:val="clear" w:color="auto" w:fill="auto"/>
                  <w:vAlign w:val="center"/>
                </w:tcPr>
                <w:p w14:paraId="4CAF1F9C">
                  <w:pPr>
                    <w:snapToGrid w:val="0"/>
                    <w:jc w:val="center"/>
                    <w:textAlignment w:val="baseline"/>
                    <w:rPr>
                      <w:rFonts w:hint="eastAsia" w:cs="Times New Roman"/>
                      <w:color w:val="auto"/>
                      <w:kern w:val="2"/>
                      <w:sz w:val="18"/>
                      <w:szCs w:val="18"/>
                      <w:lang w:val="en-US" w:eastAsia="zh-CN" w:bidi="ar-SA"/>
                    </w:rPr>
                  </w:pPr>
                  <w:r>
                    <w:rPr>
                      <w:rFonts w:hint="eastAsia" w:cs="Times New Roman"/>
                      <w:color w:val="auto"/>
                      <w:kern w:val="2"/>
                      <w:sz w:val="18"/>
                      <w:szCs w:val="18"/>
                      <w:lang w:val="en-US" w:eastAsia="zh-CN" w:bidi="ar-SA"/>
                    </w:rPr>
                    <w:t>0.001</w:t>
                  </w:r>
                </w:p>
              </w:tc>
            </w:tr>
            <w:tr w14:paraId="5F34317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367" w:type="dxa"/>
                  <w:tcBorders>
                    <w:tl2br w:val="nil"/>
                    <w:tr2bl w:val="nil"/>
                  </w:tcBorders>
                  <w:shd w:val="clear" w:color="auto" w:fill="auto"/>
                  <w:vAlign w:val="center"/>
                </w:tcPr>
                <w:p w14:paraId="18C66C8C">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9</w:t>
                  </w:r>
                </w:p>
              </w:tc>
              <w:tc>
                <w:tcPr>
                  <w:tcW w:w="693" w:type="dxa"/>
                  <w:tcBorders>
                    <w:tl2br w:val="nil"/>
                    <w:tr2bl w:val="nil"/>
                  </w:tcBorders>
                  <w:shd w:val="clear" w:color="auto" w:fill="auto"/>
                  <w:vAlign w:val="center"/>
                </w:tcPr>
                <w:p w14:paraId="05450656">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废草酸包装</w:t>
                  </w:r>
                </w:p>
              </w:tc>
              <w:tc>
                <w:tcPr>
                  <w:tcW w:w="878" w:type="dxa"/>
                  <w:tcBorders>
                    <w:tl2br w:val="nil"/>
                    <w:tr2bl w:val="nil"/>
                  </w:tcBorders>
                  <w:vAlign w:val="center"/>
                </w:tcPr>
                <w:p w14:paraId="05281C40">
                  <w:pPr>
                    <w:snapToGrid w:val="0"/>
                    <w:jc w:val="center"/>
                    <w:textAlignment w:val="baseline"/>
                    <w:rPr>
                      <w:rFonts w:hint="eastAsia"/>
                      <w:color w:val="auto"/>
                      <w:sz w:val="18"/>
                      <w:szCs w:val="18"/>
                    </w:rPr>
                  </w:pPr>
                  <w:r>
                    <w:rPr>
                      <w:rFonts w:hint="eastAsia"/>
                      <w:color w:val="auto"/>
                      <w:sz w:val="18"/>
                      <w:szCs w:val="18"/>
                    </w:rPr>
                    <w:t>危险废物</w:t>
                  </w:r>
                </w:p>
              </w:tc>
              <w:tc>
                <w:tcPr>
                  <w:tcW w:w="1181" w:type="dxa"/>
                  <w:tcBorders>
                    <w:tl2br w:val="nil"/>
                    <w:tr2bl w:val="nil"/>
                  </w:tcBorders>
                  <w:shd w:val="clear" w:color="auto" w:fill="auto"/>
                  <w:vAlign w:val="center"/>
                </w:tcPr>
                <w:p w14:paraId="785BACAB">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洗综</w:t>
                  </w:r>
                </w:p>
              </w:tc>
              <w:tc>
                <w:tcPr>
                  <w:tcW w:w="450" w:type="dxa"/>
                  <w:tcBorders>
                    <w:tl2br w:val="nil"/>
                    <w:tr2bl w:val="nil"/>
                  </w:tcBorders>
                  <w:shd w:val="clear" w:color="auto" w:fill="auto"/>
                  <w:vAlign w:val="center"/>
                </w:tcPr>
                <w:p w14:paraId="6F8B8D82">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固态</w:t>
                  </w:r>
                </w:p>
              </w:tc>
              <w:tc>
                <w:tcPr>
                  <w:tcW w:w="855" w:type="dxa"/>
                  <w:tcBorders>
                    <w:tl2br w:val="nil"/>
                    <w:tr2bl w:val="nil"/>
                  </w:tcBorders>
                  <w:vAlign w:val="center"/>
                </w:tcPr>
                <w:p w14:paraId="558E6B51">
                  <w:pPr>
                    <w:snapToGrid w:val="0"/>
                    <w:jc w:val="center"/>
                    <w:textAlignment w:val="baseline"/>
                    <w:rPr>
                      <w:rFonts w:hint="eastAsia"/>
                      <w:color w:val="auto"/>
                      <w:sz w:val="18"/>
                      <w:szCs w:val="18"/>
                    </w:rPr>
                  </w:pPr>
                  <w:r>
                    <w:rPr>
                      <w:rFonts w:hint="eastAsia"/>
                      <w:color w:val="auto"/>
                      <w:sz w:val="18"/>
                      <w:szCs w:val="18"/>
                    </w:rPr>
                    <w:t>塑料</w:t>
                  </w:r>
                </w:p>
              </w:tc>
              <w:tc>
                <w:tcPr>
                  <w:tcW w:w="780" w:type="dxa"/>
                  <w:vMerge w:val="continue"/>
                  <w:tcBorders>
                    <w:tl2br w:val="nil"/>
                    <w:tr2bl w:val="nil"/>
                  </w:tcBorders>
                  <w:vAlign w:val="center"/>
                </w:tcPr>
                <w:p w14:paraId="30EE86B8">
                  <w:pPr>
                    <w:snapToGrid w:val="0"/>
                    <w:jc w:val="center"/>
                    <w:textAlignment w:val="baseline"/>
                    <w:rPr>
                      <w:color w:val="auto"/>
                      <w:sz w:val="18"/>
                      <w:szCs w:val="18"/>
                    </w:rPr>
                  </w:pPr>
                </w:p>
              </w:tc>
              <w:tc>
                <w:tcPr>
                  <w:tcW w:w="645" w:type="dxa"/>
                  <w:tcBorders>
                    <w:tl2br w:val="nil"/>
                    <w:tr2bl w:val="nil"/>
                  </w:tcBorders>
                  <w:vAlign w:val="center"/>
                </w:tcPr>
                <w:p w14:paraId="6A7D4A8F">
                  <w:pPr>
                    <w:snapToGrid w:val="0"/>
                    <w:jc w:val="center"/>
                    <w:textAlignment w:val="baseline"/>
                    <w:rPr>
                      <w:color w:val="auto"/>
                      <w:sz w:val="18"/>
                      <w:szCs w:val="18"/>
                    </w:rPr>
                  </w:pPr>
                  <w:r>
                    <w:rPr>
                      <w:rFonts w:hint="eastAsia"/>
                      <w:color w:val="000000"/>
                      <w:sz w:val="18"/>
                      <w:szCs w:val="18"/>
                      <w:lang w:val="en-US" w:eastAsia="zh-CN"/>
                    </w:rPr>
                    <w:t>T/C/I/R</w:t>
                  </w:r>
                </w:p>
              </w:tc>
              <w:tc>
                <w:tcPr>
                  <w:tcW w:w="585" w:type="dxa"/>
                  <w:tcBorders>
                    <w:tl2br w:val="nil"/>
                    <w:tr2bl w:val="nil"/>
                  </w:tcBorders>
                  <w:vAlign w:val="center"/>
                </w:tcPr>
                <w:p w14:paraId="780B4C2D">
                  <w:pPr>
                    <w:snapToGrid w:val="0"/>
                    <w:jc w:val="center"/>
                    <w:textAlignment w:val="baseline"/>
                    <w:rPr>
                      <w:color w:val="auto"/>
                      <w:sz w:val="18"/>
                      <w:szCs w:val="18"/>
                    </w:rPr>
                  </w:pPr>
                  <w:r>
                    <w:rPr>
                      <w:color w:val="auto"/>
                      <w:sz w:val="18"/>
                      <w:szCs w:val="18"/>
                    </w:rPr>
                    <w:t>HW49</w:t>
                  </w:r>
                </w:p>
              </w:tc>
              <w:tc>
                <w:tcPr>
                  <w:tcW w:w="1050" w:type="dxa"/>
                  <w:tcBorders>
                    <w:tl2br w:val="nil"/>
                    <w:tr2bl w:val="nil"/>
                  </w:tcBorders>
                  <w:vAlign w:val="center"/>
                </w:tcPr>
                <w:p w14:paraId="54C16AC1">
                  <w:pPr>
                    <w:snapToGrid w:val="0"/>
                    <w:jc w:val="center"/>
                    <w:textAlignment w:val="baseline"/>
                    <w:rPr>
                      <w:color w:val="auto"/>
                      <w:sz w:val="18"/>
                      <w:szCs w:val="18"/>
                    </w:rPr>
                  </w:pPr>
                  <w:r>
                    <w:rPr>
                      <w:color w:val="auto"/>
                      <w:sz w:val="18"/>
                      <w:szCs w:val="18"/>
                    </w:rPr>
                    <w:t>900-04</w:t>
                  </w:r>
                  <w:r>
                    <w:rPr>
                      <w:rFonts w:hint="eastAsia"/>
                      <w:color w:val="auto"/>
                      <w:sz w:val="18"/>
                      <w:szCs w:val="18"/>
                      <w:lang w:val="en-US" w:eastAsia="zh-CN"/>
                    </w:rPr>
                    <w:t>1</w:t>
                  </w:r>
                  <w:r>
                    <w:rPr>
                      <w:color w:val="auto"/>
                      <w:sz w:val="18"/>
                      <w:szCs w:val="18"/>
                    </w:rPr>
                    <w:t>-49</w:t>
                  </w:r>
                </w:p>
              </w:tc>
              <w:tc>
                <w:tcPr>
                  <w:tcW w:w="589" w:type="dxa"/>
                  <w:tcBorders>
                    <w:tl2br w:val="nil"/>
                    <w:tr2bl w:val="nil"/>
                  </w:tcBorders>
                  <w:shd w:val="clear" w:color="auto" w:fill="auto"/>
                  <w:vAlign w:val="center"/>
                </w:tcPr>
                <w:p w14:paraId="1254E598">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0.0032</w:t>
                  </w:r>
                </w:p>
              </w:tc>
            </w:tr>
            <w:tr w14:paraId="7C436C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367" w:type="dxa"/>
                  <w:tcBorders>
                    <w:tl2br w:val="nil"/>
                    <w:tr2bl w:val="nil"/>
                  </w:tcBorders>
                  <w:shd w:val="clear" w:color="auto" w:fill="auto"/>
                  <w:vAlign w:val="center"/>
                </w:tcPr>
                <w:p w14:paraId="57A51578">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10</w:t>
                  </w:r>
                </w:p>
              </w:tc>
              <w:tc>
                <w:tcPr>
                  <w:tcW w:w="693" w:type="dxa"/>
                  <w:tcBorders>
                    <w:tl2br w:val="nil"/>
                    <w:tr2bl w:val="nil"/>
                  </w:tcBorders>
                  <w:shd w:val="clear" w:color="auto" w:fill="auto"/>
                  <w:vAlign w:val="center"/>
                </w:tcPr>
                <w:p w14:paraId="37B45133">
                  <w:pPr>
                    <w:snapToGrid w:val="0"/>
                    <w:jc w:val="center"/>
                    <w:textAlignment w:val="baseline"/>
                    <w:rPr>
                      <w:rFonts w:hint="eastAsia"/>
                      <w:color w:val="auto"/>
                      <w:sz w:val="18"/>
                      <w:szCs w:val="18"/>
                      <w:lang w:val="en-US" w:eastAsia="zh-CN"/>
                    </w:rPr>
                  </w:pPr>
                  <w:r>
                    <w:rPr>
                      <w:rFonts w:hint="eastAsia"/>
                      <w:color w:val="auto"/>
                      <w:sz w:val="18"/>
                      <w:szCs w:val="18"/>
                      <w:lang w:val="en-US" w:eastAsia="zh-CN"/>
                    </w:rPr>
                    <w:t>静电除油废油</w:t>
                  </w:r>
                </w:p>
              </w:tc>
              <w:tc>
                <w:tcPr>
                  <w:tcW w:w="878" w:type="dxa"/>
                  <w:tcBorders>
                    <w:tl2br w:val="nil"/>
                    <w:tr2bl w:val="nil"/>
                  </w:tcBorders>
                  <w:vAlign w:val="center"/>
                </w:tcPr>
                <w:p w14:paraId="668A9AFD">
                  <w:pPr>
                    <w:snapToGrid w:val="0"/>
                    <w:jc w:val="center"/>
                    <w:textAlignment w:val="baseline"/>
                    <w:rPr>
                      <w:rFonts w:hint="eastAsia"/>
                      <w:color w:val="auto"/>
                      <w:sz w:val="18"/>
                      <w:szCs w:val="18"/>
                    </w:rPr>
                  </w:pPr>
                  <w:r>
                    <w:rPr>
                      <w:rFonts w:hint="eastAsia"/>
                      <w:color w:val="auto"/>
                      <w:sz w:val="18"/>
                      <w:szCs w:val="18"/>
                    </w:rPr>
                    <w:t>危险废物</w:t>
                  </w:r>
                </w:p>
              </w:tc>
              <w:tc>
                <w:tcPr>
                  <w:tcW w:w="1181" w:type="dxa"/>
                  <w:tcBorders>
                    <w:tl2br w:val="nil"/>
                    <w:tr2bl w:val="nil"/>
                  </w:tcBorders>
                  <w:shd w:val="clear" w:color="auto" w:fill="auto"/>
                  <w:vAlign w:val="center"/>
                </w:tcPr>
                <w:p w14:paraId="060F1F7D">
                  <w:pPr>
                    <w:snapToGrid w:val="0"/>
                    <w:jc w:val="center"/>
                    <w:textAlignment w:val="baseline"/>
                    <w:rPr>
                      <w:rFonts w:hint="eastAsia"/>
                      <w:color w:val="auto"/>
                      <w:sz w:val="18"/>
                      <w:szCs w:val="18"/>
                      <w:lang w:val="en-US" w:eastAsia="zh-CN"/>
                    </w:rPr>
                  </w:pPr>
                  <w:r>
                    <w:rPr>
                      <w:rFonts w:hint="eastAsia"/>
                      <w:color w:val="auto"/>
                      <w:sz w:val="18"/>
                      <w:szCs w:val="18"/>
                      <w:lang w:val="en-US" w:eastAsia="zh-CN"/>
                    </w:rPr>
                    <w:t>废气处理</w:t>
                  </w:r>
                </w:p>
              </w:tc>
              <w:tc>
                <w:tcPr>
                  <w:tcW w:w="450" w:type="dxa"/>
                  <w:tcBorders>
                    <w:tl2br w:val="nil"/>
                    <w:tr2bl w:val="nil"/>
                  </w:tcBorders>
                  <w:shd w:val="clear" w:color="auto" w:fill="auto"/>
                  <w:vAlign w:val="center"/>
                </w:tcPr>
                <w:p w14:paraId="7D2C84C7">
                  <w:pPr>
                    <w:snapToGrid w:val="0"/>
                    <w:jc w:val="center"/>
                    <w:textAlignment w:val="baseline"/>
                    <w:rPr>
                      <w:rFonts w:hint="eastAsia"/>
                      <w:color w:val="auto"/>
                      <w:sz w:val="18"/>
                      <w:szCs w:val="18"/>
                    </w:rPr>
                  </w:pPr>
                  <w:r>
                    <w:rPr>
                      <w:rFonts w:hint="eastAsia"/>
                      <w:color w:val="auto"/>
                      <w:sz w:val="18"/>
                      <w:szCs w:val="18"/>
                    </w:rPr>
                    <w:t>液态</w:t>
                  </w:r>
                </w:p>
              </w:tc>
              <w:tc>
                <w:tcPr>
                  <w:tcW w:w="855" w:type="dxa"/>
                  <w:tcBorders>
                    <w:tl2br w:val="nil"/>
                    <w:tr2bl w:val="nil"/>
                  </w:tcBorders>
                  <w:vAlign w:val="center"/>
                </w:tcPr>
                <w:p w14:paraId="6F9FC686">
                  <w:pPr>
                    <w:snapToGrid w:val="0"/>
                    <w:jc w:val="center"/>
                    <w:textAlignment w:val="baseline"/>
                    <w:rPr>
                      <w:rFonts w:hint="eastAsia"/>
                      <w:color w:val="auto"/>
                      <w:sz w:val="18"/>
                      <w:szCs w:val="18"/>
                    </w:rPr>
                  </w:pPr>
                  <w:r>
                    <w:rPr>
                      <w:rFonts w:hint="eastAsia"/>
                      <w:color w:val="auto"/>
                      <w:sz w:val="18"/>
                      <w:szCs w:val="18"/>
                      <w:lang w:val="en-US" w:eastAsia="zh-CN"/>
                    </w:rPr>
                    <w:t>废油</w:t>
                  </w:r>
                </w:p>
              </w:tc>
              <w:tc>
                <w:tcPr>
                  <w:tcW w:w="780" w:type="dxa"/>
                  <w:vMerge w:val="continue"/>
                  <w:tcBorders>
                    <w:tl2br w:val="nil"/>
                    <w:tr2bl w:val="nil"/>
                  </w:tcBorders>
                  <w:vAlign w:val="center"/>
                </w:tcPr>
                <w:p w14:paraId="3CCDA4A0">
                  <w:pPr>
                    <w:snapToGrid w:val="0"/>
                    <w:jc w:val="center"/>
                    <w:textAlignment w:val="baseline"/>
                    <w:rPr>
                      <w:color w:val="auto"/>
                      <w:sz w:val="18"/>
                      <w:szCs w:val="18"/>
                    </w:rPr>
                  </w:pPr>
                </w:p>
              </w:tc>
              <w:tc>
                <w:tcPr>
                  <w:tcW w:w="645" w:type="dxa"/>
                  <w:tcBorders>
                    <w:tl2br w:val="nil"/>
                    <w:tr2bl w:val="nil"/>
                  </w:tcBorders>
                  <w:shd w:val="clear" w:color="auto" w:fill="auto"/>
                  <w:vAlign w:val="center"/>
                </w:tcPr>
                <w:p w14:paraId="5E528A5B">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color w:val="auto"/>
                      <w:sz w:val="18"/>
                      <w:szCs w:val="18"/>
                    </w:rPr>
                    <w:t>T</w:t>
                  </w:r>
                  <w:r>
                    <w:rPr>
                      <w:rFonts w:hint="eastAsia"/>
                      <w:color w:val="auto"/>
                      <w:sz w:val="18"/>
                      <w:szCs w:val="18"/>
                      <w:lang w:val="en-US" w:eastAsia="zh-CN"/>
                    </w:rPr>
                    <w:t>,I</w:t>
                  </w:r>
                </w:p>
              </w:tc>
              <w:tc>
                <w:tcPr>
                  <w:tcW w:w="585" w:type="dxa"/>
                  <w:tcBorders>
                    <w:tl2br w:val="nil"/>
                    <w:tr2bl w:val="nil"/>
                  </w:tcBorders>
                  <w:shd w:val="clear" w:color="auto" w:fill="auto"/>
                  <w:vAlign w:val="center"/>
                </w:tcPr>
                <w:p w14:paraId="2518C0BB">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color w:val="auto"/>
                      <w:sz w:val="18"/>
                      <w:szCs w:val="18"/>
                    </w:rPr>
                    <w:t>HW</w:t>
                  </w:r>
                  <w:r>
                    <w:rPr>
                      <w:rFonts w:hint="eastAsia"/>
                      <w:color w:val="auto"/>
                      <w:sz w:val="18"/>
                      <w:szCs w:val="18"/>
                      <w:lang w:val="en-US" w:eastAsia="zh-CN"/>
                    </w:rPr>
                    <w:t>08</w:t>
                  </w:r>
                </w:p>
              </w:tc>
              <w:tc>
                <w:tcPr>
                  <w:tcW w:w="1050" w:type="dxa"/>
                  <w:tcBorders>
                    <w:tl2br w:val="nil"/>
                    <w:tr2bl w:val="nil"/>
                  </w:tcBorders>
                  <w:shd w:val="clear" w:color="auto" w:fill="auto"/>
                  <w:vAlign w:val="center"/>
                </w:tcPr>
                <w:p w14:paraId="344D3DC8">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900-249-08</w:t>
                  </w:r>
                </w:p>
              </w:tc>
              <w:tc>
                <w:tcPr>
                  <w:tcW w:w="589" w:type="dxa"/>
                  <w:tcBorders>
                    <w:tl2br w:val="nil"/>
                    <w:tr2bl w:val="nil"/>
                  </w:tcBorders>
                  <w:shd w:val="clear" w:color="auto" w:fill="auto"/>
                  <w:vAlign w:val="center"/>
                </w:tcPr>
                <w:p w14:paraId="5F191A90">
                  <w:pPr>
                    <w:snapToGrid w:val="0"/>
                    <w:jc w:val="center"/>
                    <w:textAlignment w:val="baseline"/>
                    <w:rPr>
                      <w:rFonts w:hint="eastAsia" w:cs="Times New Roman"/>
                      <w:color w:val="auto"/>
                      <w:kern w:val="2"/>
                      <w:sz w:val="18"/>
                      <w:szCs w:val="18"/>
                      <w:lang w:val="en-US" w:eastAsia="zh-CN" w:bidi="ar-SA"/>
                    </w:rPr>
                  </w:pPr>
                  <w:r>
                    <w:rPr>
                      <w:rFonts w:hint="eastAsia" w:cs="Times New Roman"/>
                      <w:color w:val="auto"/>
                      <w:kern w:val="2"/>
                      <w:sz w:val="18"/>
                      <w:szCs w:val="18"/>
                      <w:lang w:val="en-US" w:eastAsia="zh-CN" w:bidi="ar-SA"/>
                    </w:rPr>
                    <w:t>3.079</w:t>
                  </w:r>
                </w:p>
              </w:tc>
            </w:tr>
            <w:tr w14:paraId="78EB3F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367" w:type="dxa"/>
                  <w:tcBorders>
                    <w:tl2br w:val="nil"/>
                    <w:tr2bl w:val="nil"/>
                  </w:tcBorders>
                  <w:shd w:val="clear" w:color="auto" w:fill="auto"/>
                  <w:vAlign w:val="center"/>
                </w:tcPr>
                <w:p w14:paraId="1F06D3F1">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11</w:t>
                  </w:r>
                </w:p>
              </w:tc>
              <w:tc>
                <w:tcPr>
                  <w:tcW w:w="693" w:type="dxa"/>
                  <w:tcBorders>
                    <w:tl2br w:val="nil"/>
                    <w:tr2bl w:val="nil"/>
                  </w:tcBorders>
                  <w:shd w:val="clear" w:color="auto" w:fill="auto"/>
                  <w:vAlign w:val="center"/>
                </w:tcPr>
                <w:p w14:paraId="5399939B">
                  <w:pPr>
                    <w:snapToGrid w:val="0"/>
                    <w:jc w:val="center"/>
                    <w:textAlignment w:val="baseline"/>
                    <w:rPr>
                      <w:rFonts w:hint="default"/>
                      <w:color w:val="auto"/>
                      <w:sz w:val="18"/>
                      <w:szCs w:val="18"/>
                      <w:lang w:val="en-US" w:eastAsia="zh-CN"/>
                    </w:rPr>
                  </w:pPr>
                  <w:r>
                    <w:rPr>
                      <w:rFonts w:hint="eastAsia"/>
                      <w:color w:val="auto"/>
                      <w:sz w:val="18"/>
                      <w:szCs w:val="18"/>
                      <w:lang w:val="en-US" w:eastAsia="zh-CN"/>
                    </w:rPr>
                    <w:t>废活性炭</w:t>
                  </w:r>
                </w:p>
              </w:tc>
              <w:tc>
                <w:tcPr>
                  <w:tcW w:w="878" w:type="dxa"/>
                  <w:tcBorders>
                    <w:tl2br w:val="nil"/>
                    <w:tr2bl w:val="nil"/>
                  </w:tcBorders>
                  <w:vAlign w:val="center"/>
                </w:tcPr>
                <w:p w14:paraId="30C2252B">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危险废物</w:t>
                  </w:r>
                </w:p>
              </w:tc>
              <w:tc>
                <w:tcPr>
                  <w:tcW w:w="1181" w:type="dxa"/>
                  <w:tcBorders>
                    <w:tl2br w:val="nil"/>
                    <w:tr2bl w:val="nil"/>
                  </w:tcBorders>
                  <w:shd w:val="clear" w:color="auto" w:fill="auto"/>
                  <w:vAlign w:val="center"/>
                </w:tcPr>
                <w:p w14:paraId="3367F9AD">
                  <w:pPr>
                    <w:snapToGrid w:val="0"/>
                    <w:jc w:val="center"/>
                    <w:textAlignment w:val="baseline"/>
                    <w:rPr>
                      <w:rFonts w:hint="default"/>
                      <w:color w:val="auto"/>
                      <w:sz w:val="18"/>
                      <w:szCs w:val="18"/>
                      <w:lang w:val="en-US" w:eastAsia="zh-CN"/>
                    </w:rPr>
                  </w:pPr>
                  <w:r>
                    <w:rPr>
                      <w:rFonts w:hint="eastAsia"/>
                      <w:color w:val="auto"/>
                      <w:sz w:val="18"/>
                      <w:szCs w:val="18"/>
                      <w:lang w:val="en-US" w:eastAsia="zh-CN"/>
                    </w:rPr>
                    <w:t>废气处理</w:t>
                  </w:r>
                </w:p>
              </w:tc>
              <w:tc>
                <w:tcPr>
                  <w:tcW w:w="450" w:type="dxa"/>
                  <w:tcBorders>
                    <w:tl2br w:val="nil"/>
                    <w:tr2bl w:val="nil"/>
                  </w:tcBorders>
                  <w:shd w:val="clear" w:color="auto" w:fill="auto"/>
                  <w:vAlign w:val="center"/>
                </w:tcPr>
                <w:p w14:paraId="0EE8C36F">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固态</w:t>
                  </w:r>
                </w:p>
              </w:tc>
              <w:tc>
                <w:tcPr>
                  <w:tcW w:w="855" w:type="dxa"/>
                  <w:tcBorders>
                    <w:tl2br w:val="nil"/>
                    <w:tr2bl w:val="nil"/>
                  </w:tcBorders>
                  <w:vAlign w:val="center"/>
                </w:tcPr>
                <w:p w14:paraId="7C2CF8B9">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废活性炭</w:t>
                  </w:r>
                </w:p>
              </w:tc>
              <w:tc>
                <w:tcPr>
                  <w:tcW w:w="780" w:type="dxa"/>
                  <w:vMerge w:val="continue"/>
                  <w:tcBorders>
                    <w:tl2br w:val="nil"/>
                    <w:tr2bl w:val="nil"/>
                  </w:tcBorders>
                  <w:vAlign w:val="center"/>
                </w:tcPr>
                <w:p w14:paraId="2FC80696">
                  <w:pPr>
                    <w:snapToGrid w:val="0"/>
                    <w:jc w:val="center"/>
                    <w:textAlignment w:val="baseline"/>
                    <w:rPr>
                      <w:color w:val="auto"/>
                      <w:sz w:val="18"/>
                      <w:szCs w:val="18"/>
                    </w:rPr>
                  </w:pPr>
                </w:p>
              </w:tc>
              <w:tc>
                <w:tcPr>
                  <w:tcW w:w="645" w:type="dxa"/>
                  <w:tcBorders>
                    <w:tl2br w:val="nil"/>
                    <w:tr2bl w:val="nil"/>
                  </w:tcBorders>
                  <w:vAlign w:val="center"/>
                </w:tcPr>
                <w:p w14:paraId="26CA4407">
                  <w:pPr>
                    <w:snapToGrid w:val="0"/>
                    <w:jc w:val="center"/>
                    <w:textAlignment w:val="baseline"/>
                    <w:rPr>
                      <w:rFonts w:hint="default"/>
                      <w:color w:val="000000"/>
                      <w:sz w:val="18"/>
                      <w:szCs w:val="18"/>
                      <w:lang w:val="en-US" w:eastAsia="zh-CN"/>
                    </w:rPr>
                  </w:pPr>
                  <w:r>
                    <w:rPr>
                      <w:rFonts w:hint="eastAsia"/>
                      <w:color w:val="000000"/>
                      <w:sz w:val="18"/>
                      <w:szCs w:val="18"/>
                      <w:lang w:val="en-US" w:eastAsia="zh-CN"/>
                    </w:rPr>
                    <w:t>T</w:t>
                  </w:r>
                </w:p>
              </w:tc>
              <w:tc>
                <w:tcPr>
                  <w:tcW w:w="585" w:type="dxa"/>
                  <w:tcBorders>
                    <w:tl2br w:val="nil"/>
                    <w:tr2bl w:val="nil"/>
                  </w:tcBorders>
                  <w:vAlign w:val="center"/>
                </w:tcPr>
                <w:p w14:paraId="31BF5E44">
                  <w:pPr>
                    <w:snapToGrid w:val="0"/>
                    <w:jc w:val="center"/>
                    <w:textAlignment w:val="baseline"/>
                    <w:rPr>
                      <w:color w:val="auto"/>
                      <w:sz w:val="18"/>
                      <w:szCs w:val="18"/>
                    </w:rPr>
                  </w:pPr>
                  <w:r>
                    <w:rPr>
                      <w:color w:val="auto"/>
                      <w:sz w:val="18"/>
                      <w:szCs w:val="18"/>
                    </w:rPr>
                    <w:t>HW49</w:t>
                  </w:r>
                </w:p>
              </w:tc>
              <w:tc>
                <w:tcPr>
                  <w:tcW w:w="1050" w:type="dxa"/>
                  <w:tcBorders>
                    <w:tl2br w:val="nil"/>
                    <w:tr2bl w:val="nil"/>
                  </w:tcBorders>
                  <w:vAlign w:val="center"/>
                </w:tcPr>
                <w:p w14:paraId="6186EC30">
                  <w:pPr>
                    <w:snapToGrid w:val="0"/>
                    <w:jc w:val="center"/>
                    <w:textAlignment w:val="baseline"/>
                    <w:rPr>
                      <w:color w:val="auto"/>
                      <w:sz w:val="18"/>
                      <w:szCs w:val="18"/>
                    </w:rPr>
                  </w:pPr>
                  <w:r>
                    <w:rPr>
                      <w:rFonts w:hint="eastAsia"/>
                      <w:color w:val="auto"/>
                      <w:sz w:val="18"/>
                      <w:szCs w:val="18"/>
                      <w:lang w:val="en-US" w:eastAsia="zh-CN"/>
                    </w:rPr>
                    <w:t>900-039-49</w:t>
                  </w:r>
                </w:p>
              </w:tc>
              <w:tc>
                <w:tcPr>
                  <w:tcW w:w="589" w:type="dxa"/>
                  <w:tcBorders>
                    <w:tl2br w:val="nil"/>
                    <w:tr2bl w:val="nil"/>
                  </w:tcBorders>
                  <w:shd w:val="clear" w:color="auto" w:fill="auto"/>
                  <w:vAlign w:val="center"/>
                </w:tcPr>
                <w:p w14:paraId="7CE6D124">
                  <w:pPr>
                    <w:snapToGrid w:val="0"/>
                    <w:jc w:val="center"/>
                    <w:textAlignment w:val="baseline"/>
                    <w:rPr>
                      <w:rFonts w:hint="eastAsia" w:cs="Times New Roman"/>
                      <w:color w:val="auto"/>
                      <w:kern w:val="2"/>
                      <w:sz w:val="18"/>
                      <w:szCs w:val="18"/>
                      <w:lang w:val="en-US" w:eastAsia="zh-CN" w:bidi="ar-SA"/>
                    </w:rPr>
                  </w:pPr>
                  <w:r>
                    <w:rPr>
                      <w:rFonts w:hint="eastAsia" w:cs="Times New Roman"/>
                      <w:color w:val="auto"/>
                      <w:kern w:val="2"/>
                      <w:sz w:val="18"/>
                      <w:szCs w:val="18"/>
                      <w:lang w:val="en-US" w:eastAsia="zh-CN" w:bidi="ar-SA"/>
                    </w:rPr>
                    <w:t>33.93</w:t>
                  </w:r>
                </w:p>
              </w:tc>
            </w:tr>
            <w:tr w14:paraId="4B0455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367" w:type="dxa"/>
                  <w:tcBorders>
                    <w:tl2br w:val="nil"/>
                    <w:tr2bl w:val="nil"/>
                  </w:tcBorders>
                  <w:vAlign w:val="center"/>
                </w:tcPr>
                <w:p w14:paraId="620DD3A5">
                  <w:pPr>
                    <w:snapToGrid w:val="0"/>
                    <w:jc w:val="center"/>
                    <w:textAlignment w:val="baseline"/>
                    <w:rPr>
                      <w:rFonts w:hint="default"/>
                      <w:color w:val="auto"/>
                      <w:sz w:val="18"/>
                      <w:szCs w:val="18"/>
                      <w:lang w:val="en-US" w:eastAsia="zh-CN"/>
                    </w:rPr>
                  </w:pPr>
                  <w:r>
                    <w:rPr>
                      <w:rFonts w:hint="eastAsia"/>
                      <w:color w:val="auto"/>
                      <w:sz w:val="18"/>
                      <w:szCs w:val="18"/>
                      <w:lang w:val="en-US" w:eastAsia="zh-CN"/>
                    </w:rPr>
                    <w:t>12</w:t>
                  </w:r>
                </w:p>
              </w:tc>
              <w:tc>
                <w:tcPr>
                  <w:tcW w:w="693" w:type="dxa"/>
                  <w:tcBorders>
                    <w:tl2br w:val="nil"/>
                    <w:tr2bl w:val="nil"/>
                  </w:tcBorders>
                  <w:shd w:val="clear" w:color="auto" w:fill="auto"/>
                  <w:vAlign w:val="center"/>
                </w:tcPr>
                <w:p w14:paraId="1B9424B5">
                  <w:pPr>
                    <w:snapToGrid w:val="0"/>
                    <w:jc w:val="center"/>
                    <w:textAlignment w:val="baseline"/>
                    <w:rPr>
                      <w:rFonts w:hint="default"/>
                      <w:color w:val="auto"/>
                      <w:sz w:val="18"/>
                      <w:szCs w:val="18"/>
                      <w:lang w:val="en-US" w:eastAsia="zh-CN"/>
                    </w:rPr>
                  </w:pPr>
                  <w:r>
                    <w:rPr>
                      <w:rFonts w:hint="eastAsia"/>
                      <w:color w:val="auto"/>
                      <w:sz w:val="18"/>
                      <w:szCs w:val="18"/>
                      <w:lang w:val="en-US" w:eastAsia="zh-CN"/>
                    </w:rPr>
                    <w:t>生活垃圾</w:t>
                  </w:r>
                </w:p>
              </w:tc>
              <w:tc>
                <w:tcPr>
                  <w:tcW w:w="878" w:type="dxa"/>
                  <w:tcBorders>
                    <w:tl2br w:val="nil"/>
                    <w:tr2bl w:val="nil"/>
                  </w:tcBorders>
                  <w:vAlign w:val="center"/>
                </w:tcPr>
                <w:p w14:paraId="605BB66A">
                  <w:pPr>
                    <w:snapToGrid w:val="0"/>
                    <w:jc w:val="center"/>
                    <w:textAlignment w:val="baseline"/>
                    <w:rPr>
                      <w:rFonts w:hint="eastAsia" w:eastAsia="宋体"/>
                      <w:color w:val="auto"/>
                      <w:sz w:val="18"/>
                      <w:szCs w:val="18"/>
                      <w:lang w:eastAsia="zh-CN"/>
                    </w:rPr>
                  </w:pPr>
                  <w:r>
                    <w:rPr>
                      <w:rFonts w:hint="eastAsia"/>
                      <w:color w:val="auto"/>
                      <w:sz w:val="18"/>
                      <w:szCs w:val="18"/>
                      <w:lang w:val="en-US" w:eastAsia="zh-CN"/>
                    </w:rPr>
                    <w:t>一般固废</w:t>
                  </w:r>
                </w:p>
              </w:tc>
              <w:tc>
                <w:tcPr>
                  <w:tcW w:w="1181" w:type="dxa"/>
                  <w:tcBorders>
                    <w:tl2br w:val="nil"/>
                    <w:tr2bl w:val="nil"/>
                  </w:tcBorders>
                  <w:shd w:val="clear" w:color="auto" w:fill="auto"/>
                  <w:vAlign w:val="center"/>
                </w:tcPr>
                <w:p w14:paraId="3590C78C">
                  <w:pPr>
                    <w:snapToGrid w:val="0"/>
                    <w:jc w:val="center"/>
                    <w:textAlignment w:val="baseline"/>
                    <w:rPr>
                      <w:rFonts w:hint="default"/>
                      <w:color w:val="auto"/>
                      <w:sz w:val="18"/>
                      <w:szCs w:val="18"/>
                      <w:lang w:val="en-US" w:eastAsia="zh-CN"/>
                    </w:rPr>
                  </w:pPr>
                  <w:r>
                    <w:rPr>
                      <w:rFonts w:hint="eastAsia"/>
                      <w:color w:val="auto"/>
                      <w:sz w:val="18"/>
                      <w:szCs w:val="18"/>
                      <w:lang w:val="en-US" w:eastAsia="zh-CN"/>
                    </w:rPr>
                    <w:t>员工生活</w:t>
                  </w:r>
                </w:p>
              </w:tc>
              <w:tc>
                <w:tcPr>
                  <w:tcW w:w="450" w:type="dxa"/>
                  <w:tcBorders>
                    <w:tl2br w:val="nil"/>
                    <w:tr2bl w:val="nil"/>
                  </w:tcBorders>
                  <w:shd w:val="clear" w:color="auto" w:fill="auto"/>
                  <w:vAlign w:val="center"/>
                </w:tcPr>
                <w:p w14:paraId="2ACADECE">
                  <w:pPr>
                    <w:snapToGrid w:val="0"/>
                    <w:jc w:val="center"/>
                    <w:textAlignment w:val="baseline"/>
                    <w:rPr>
                      <w:rFonts w:hint="eastAsia"/>
                      <w:color w:val="auto"/>
                      <w:sz w:val="18"/>
                      <w:szCs w:val="18"/>
                    </w:rPr>
                  </w:pPr>
                  <w:r>
                    <w:rPr>
                      <w:rFonts w:hint="eastAsia"/>
                      <w:color w:val="auto"/>
                      <w:sz w:val="18"/>
                      <w:szCs w:val="18"/>
                      <w:lang w:val="en-US" w:eastAsia="zh-CN"/>
                    </w:rPr>
                    <w:t>固态</w:t>
                  </w:r>
                </w:p>
              </w:tc>
              <w:tc>
                <w:tcPr>
                  <w:tcW w:w="855" w:type="dxa"/>
                  <w:tcBorders>
                    <w:tl2br w:val="nil"/>
                    <w:tr2bl w:val="nil"/>
                  </w:tcBorders>
                  <w:vAlign w:val="center"/>
                </w:tcPr>
                <w:p w14:paraId="239D1FB7">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垃圾</w:t>
                  </w:r>
                </w:p>
              </w:tc>
              <w:tc>
                <w:tcPr>
                  <w:tcW w:w="780" w:type="dxa"/>
                  <w:tcBorders>
                    <w:tl2br w:val="nil"/>
                    <w:tr2bl w:val="nil"/>
                  </w:tcBorders>
                  <w:vAlign w:val="center"/>
                </w:tcPr>
                <w:p w14:paraId="3673F31B">
                  <w:pPr>
                    <w:snapToGrid w:val="0"/>
                    <w:jc w:val="center"/>
                    <w:textAlignment w:val="baseline"/>
                    <w:rPr>
                      <w:color w:val="auto"/>
                      <w:sz w:val="18"/>
                      <w:szCs w:val="18"/>
                    </w:rPr>
                  </w:pPr>
                  <w:r>
                    <w:rPr>
                      <w:color w:val="auto"/>
                      <w:sz w:val="18"/>
                      <w:szCs w:val="18"/>
                    </w:rPr>
                    <w:t>/</w:t>
                  </w:r>
                </w:p>
              </w:tc>
              <w:tc>
                <w:tcPr>
                  <w:tcW w:w="645" w:type="dxa"/>
                  <w:tcBorders>
                    <w:tl2br w:val="nil"/>
                    <w:tr2bl w:val="nil"/>
                  </w:tcBorders>
                  <w:vAlign w:val="center"/>
                </w:tcPr>
                <w:p w14:paraId="7FA04C6E">
                  <w:pPr>
                    <w:snapToGrid w:val="0"/>
                    <w:jc w:val="center"/>
                    <w:textAlignment w:val="baseline"/>
                    <w:rPr>
                      <w:rFonts w:hint="eastAsia"/>
                      <w:color w:val="000000"/>
                      <w:sz w:val="18"/>
                      <w:szCs w:val="18"/>
                      <w:lang w:val="en-US" w:eastAsia="zh-CN"/>
                    </w:rPr>
                  </w:pPr>
                  <w:r>
                    <w:rPr>
                      <w:rFonts w:hint="eastAsia"/>
                      <w:color w:val="000000"/>
                      <w:sz w:val="18"/>
                      <w:szCs w:val="18"/>
                      <w:lang w:val="en-US" w:eastAsia="zh-CN"/>
                    </w:rPr>
                    <w:t>/</w:t>
                  </w:r>
                </w:p>
              </w:tc>
              <w:tc>
                <w:tcPr>
                  <w:tcW w:w="585" w:type="dxa"/>
                  <w:tcBorders>
                    <w:tl2br w:val="nil"/>
                    <w:tr2bl w:val="nil"/>
                  </w:tcBorders>
                  <w:vAlign w:val="center"/>
                </w:tcPr>
                <w:p w14:paraId="02D55927">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S62</w:t>
                  </w:r>
                </w:p>
              </w:tc>
              <w:tc>
                <w:tcPr>
                  <w:tcW w:w="1050" w:type="dxa"/>
                  <w:tcBorders>
                    <w:tl2br w:val="nil"/>
                    <w:tr2bl w:val="nil"/>
                  </w:tcBorders>
                  <w:vAlign w:val="center"/>
                </w:tcPr>
                <w:p w14:paraId="7369AE8B">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900-001-S62</w:t>
                  </w:r>
                </w:p>
              </w:tc>
              <w:tc>
                <w:tcPr>
                  <w:tcW w:w="589" w:type="dxa"/>
                  <w:tcBorders>
                    <w:tl2br w:val="nil"/>
                    <w:tr2bl w:val="nil"/>
                  </w:tcBorders>
                  <w:shd w:val="clear" w:color="auto" w:fill="auto"/>
                  <w:vAlign w:val="center"/>
                </w:tcPr>
                <w:p w14:paraId="2DF143CB">
                  <w:pPr>
                    <w:snapToGrid w:val="0"/>
                    <w:jc w:val="center"/>
                    <w:textAlignment w:val="baseline"/>
                    <w:rPr>
                      <w:rFonts w:hint="default" w:cs="Times New Roman"/>
                      <w:color w:val="auto"/>
                      <w:kern w:val="2"/>
                      <w:sz w:val="18"/>
                      <w:szCs w:val="18"/>
                      <w:lang w:val="en-US" w:eastAsia="zh-CN" w:bidi="ar-SA"/>
                    </w:rPr>
                  </w:pPr>
                  <w:r>
                    <w:rPr>
                      <w:rFonts w:hint="eastAsia" w:cs="Times New Roman"/>
                      <w:color w:val="auto"/>
                      <w:kern w:val="2"/>
                      <w:sz w:val="18"/>
                      <w:szCs w:val="18"/>
                      <w:lang w:val="en-US" w:eastAsia="zh-CN" w:bidi="ar-SA"/>
                    </w:rPr>
                    <w:t>4.6</w:t>
                  </w:r>
                </w:p>
              </w:tc>
            </w:tr>
          </w:tbl>
          <w:p w14:paraId="2C49EC88">
            <w:pPr>
              <w:overflowPunct w:val="0"/>
              <w:adjustRightInd w:val="0"/>
              <w:snapToGrid w:val="0"/>
              <w:spacing w:line="360" w:lineRule="auto"/>
              <w:jc w:val="left"/>
              <w:rPr>
                <w:rFonts w:hint="default"/>
                <w:b/>
                <w:bCs/>
                <w:snapToGrid w:val="0"/>
                <w:color w:val="auto"/>
                <w:spacing w:val="-2"/>
                <w:kern w:val="0"/>
                <w:szCs w:val="21"/>
                <w:lang w:val="en-US" w:eastAsia="zh-CN"/>
              </w:rPr>
            </w:pPr>
          </w:p>
          <w:p w14:paraId="52AE622C">
            <w:pPr>
              <w:overflowPunct w:val="0"/>
              <w:adjustRightInd w:val="0"/>
              <w:snapToGrid w:val="0"/>
              <w:spacing w:line="360" w:lineRule="auto"/>
              <w:jc w:val="left"/>
              <w:rPr>
                <w:b/>
                <w:bCs/>
                <w:snapToGrid w:val="0"/>
                <w:color w:val="auto"/>
                <w:spacing w:val="-2"/>
                <w:kern w:val="0"/>
                <w:szCs w:val="21"/>
              </w:rPr>
            </w:pPr>
            <w:r>
              <w:rPr>
                <w:rFonts w:hint="eastAsia"/>
                <w:b/>
                <w:bCs/>
                <w:snapToGrid w:val="0"/>
                <w:color w:val="auto"/>
                <w:spacing w:val="-2"/>
                <w:kern w:val="0"/>
                <w:szCs w:val="21"/>
                <w:lang w:val="en-US" w:eastAsia="zh-CN"/>
              </w:rPr>
              <w:t>4</w:t>
            </w:r>
            <w:r>
              <w:rPr>
                <w:b/>
                <w:bCs/>
                <w:snapToGrid w:val="0"/>
                <w:color w:val="auto"/>
                <w:spacing w:val="-2"/>
                <w:kern w:val="0"/>
                <w:szCs w:val="21"/>
              </w:rPr>
              <w:t>.3</w:t>
            </w:r>
            <w:r>
              <w:rPr>
                <w:rFonts w:hint="eastAsia"/>
                <w:b/>
                <w:bCs/>
                <w:snapToGrid w:val="0"/>
                <w:color w:val="auto"/>
                <w:spacing w:val="-2"/>
                <w:kern w:val="0"/>
                <w:szCs w:val="21"/>
              </w:rPr>
              <w:t>固废处置情况</w:t>
            </w:r>
          </w:p>
          <w:p w14:paraId="0E57D7C4">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4-</w:t>
            </w:r>
            <w:r>
              <w:rPr>
                <w:rFonts w:hint="eastAsia"/>
                <w:b/>
                <w:snapToGrid w:val="0"/>
                <w:color w:val="auto"/>
                <w:szCs w:val="21"/>
                <w:lang w:val="en-US" w:eastAsia="zh-CN"/>
              </w:rPr>
              <w:t>18</w:t>
            </w:r>
            <w:r>
              <w:rPr>
                <w:b/>
                <w:snapToGrid w:val="0"/>
                <w:color w:val="auto"/>
                <w:szCs w:val="21"/>
              </w:rPr>
              <w:t xml:space="preserve">  </w:t>
            </w:r>
            <w:r>
              <w:rPr>
                <w:rFonts w:hint="eastAsia"/>
                <w:b/>
                <w:snapToGrid w:val="0"/>
                <w:color w:val="auto"/>
                <w:szCs w:val="21"/>
                <w:lang w:val="en-US" w:eastAsia="zh-CN"/>
              </w:rPr>
              <w:t>本项目</w:t>
            </w:r>
            <w:r>
              <w:rPr>
                <w:rFonts w:hint="eastAsia"/>
                <w:b/>
                <w:snapToGrid w:val="0"/>
                <w:color w:val="auto"/>
                <w:szCs w:val="21"/>
              </w:rPr>
              <w:t>固体废物处置方式表</w:t>
            </w:r>
          </w:p>
          <w:tbl>
            <w:tblPr>
              <w:tblStyle w:val="26"/>
              <w:tblW w:w="8058"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240"/>
              <w:gridCol w:w="942"/>
              <w:gridCol w:w="1195"/>
              <w:gridCol w:w="1604"/>
              <w:gridCol w:w="615"/>
              <w:gridCol w:w="960"/>
              <w:gridCol w:w="767"/>
              <w:gridCol w:w="1735"/>
            </w:tblGrid>
            <w:tr w14:paraId="6C360D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681" w:hRule="atLeast"/>
                <w:tblHeader/>
              </w:trPr>
              <w:tc>
                <w:tcPr>
                  <w:tcW w:w="240" w:type="dxa"/>
                  <w:tcBorders>
                    <w:tl2br w:val="nil"/>
                    <w:tr2bl w:val="nil"/>
                  </w:tcBorders>
                  <w:vAlign w:val="center"/>
                </w:tcPr>
                <w:p w14:paraId="5F2FDBBC">
                  <w:pPr>
                    <w:snapToGrid w:val="0"/>
                    <w:jc w:val="center"/>
                    <w:textAlignment w:val="baseline"/>
                    <w:rPr>
                      <w:color w:val="auto"/>
                      <w:sz w:val="18"/>
                      <w:szCs w:val="18"/>
                    </w:rPr>
                  </w:pPr>
                  <w:r>
                    <w:rPr>
                      <w:rFonts w:hint="eastAsia"/>
                      <w:color w:val="auto"/>
                      <w:sz w:val="18"/>
                      <w:szCs w:val="18"/>
                    </w:rPr>
                    <w:t>序号</w:t>
                  </w:r>
                </w:p>
              </w:tc>
              <w:tc>
                <w:tcPr>
                  <w:tcW w:w="942" w:type="dxa"/>
                  <w:tcBorders>
                    <w:tl2br w:val="nil"/>
                    <w:tr2bl w:val="nil"/>
                  </w:tcBorders>
                  <w:vAlign w:val="center"/>
                </w:tcPr>
                <w:p w14:paraId="3812F4D3">
                  <w:pPr>
                    <w:snapToGrid w:val="0"/>
                    <w:jc w:val="center"/>
                    <w:textAlignment w:val="baseline"/>
                    <w:rPr>
                      <w:color w:val="auto"/>
                      <w:sz w:val="18"/>
                      <w:szCs w:val="18"/>
                    </w:rPr>
                  </w:pPr>
                  <w:r>
                    <w:rPr>
                      <w:rFonts w:hint="eastAsia"/>
                      <w:color w:val="auto"/>
                      <w:sz w:val="18"/>
                      <w:szCs w:val="18"/>
                    </w:rPr>
                    <w:t>固废名称</w:t>
                  </w:r>
                </w:p>
              </w:tc>
              <w:tc>
                <w:tcPr>
                  <w:tcW w:w="1195" w:type="dxa"/>
                  <w:tcBorders>
                    <w:tl2br w:val="nil"/>
                    <w:tr2bl w:val="nil"/>
                  </w:tcBorders>
                  <w:vAlign w:val="center"/>
                </w:tcPr>
                <w:p w14:paraId="3F0AD8DF">
                  <w:pPr>
                    <w:snapToGrid w:val="0"/>
                    <w:jc w:val="center"/>
                    <w:textAlignment w:val="baseline"/>
                    <w:rPr>
                      <w:color w:val="auto"/>
                      <w:sz w:val="18"/>
                      <w:szCs w:val="18"/>
                    </w:rPr>
                  </w:pPr>
                  <w:r>
                    <w:rPr>
                      <w:rFonts w:hint="eastAsia"/>
                      <w:color w:val="auto"/>
                      <w:sz w:val="18"/>
                      <w:szCs w:val="18"/>
                    </w:rPr>
                    <w:t>属性</w:t>
                  </w:r>
                </w:p>
              </w:tc>
              <w:tc>
                <w:tcPr>
                  <w:tcW w:w="1604" w:type="dxa"/>
                  <w:tcBorders>
                    <w:tl2br w:val="nil"/>
                    <w:tr2bl w:val="nil"/>
                  </w:tcBorders>
                  <w:vAlign w:val="center"/>
                </w:tcPr>
                <w:p w14:paraId="342AEAB2">
                  <w:pPr>
                    <w:snapToGrid w:val="0"/>
                    <w:jc w:val="center"/>
                    <w:textAlignment w:val="baseline"/>
                    <w:rPr>
                      <w:color w:val="auto"/>
                      <w:sz w:val="18"/>
                      <w:szCs w:val="18"/>
                    </w:rPr>
                  </w:pPr>
                  <w:r>
                    <w:rPr>
                      <w:rFonts w:hint="eastAsia"/>
                      <w:color w:val="auto"/>
                      <w:sz w:val="18"/>
                      <w:szCs w:val="18"/>
                    </w:rPr>
                    <w:t>产生工序</w:t>
                  </w:r>
                </w:p>
              </w:tc>
              <w:tc>
                <w:tcPr>
                  <w:tcW w:w="615" w:type="dxa"/>
                  <w:tcBorders>
                    <w:tl2br w:val="nil"/>
                    <w:tr2bl w:val="nil"/>
                  </w:tcBorders>
                  <w:vAlign w:val="center"/>
                </w:tcPr>
                <w:p w14:paraId="4E3723B9">
                  <w:pPr>
                    <w:snapToGrid w:val="0"/>
                    <w:jc w:val="center"/>
                    <w:textAlignment w:val="baseline"/>
                    <w:rPr>
                      <w:color w:val="auto"/>
                      <w:sz w:val="18"/>
                      <w:szCs w:val="18"/>
                    </w:rPr>
                  </w:pPr>
                  <w:r>
                    <w:rPr>
                      <w:rFonts w:hint="eastAsia"/>
                      <w:color w:val="auto"/>
                      <w:sz w:val="18"/>
                      <w:szCs w:val="18"/>
                    </w:rPr>
                    <w:t>废物类别</w:t>
                  </w:r>
                </w:p>
              </w:tc>
              <w:tc>
                <w:tcPr>
                  <w:tcW w:w="960" w:type="dxa"/>
                  <w:tcBorders>
                    <w:tl2br w:val="nil"/>
                    <w:tr2bl w:val="nil"/>
                  </w:tcBorders>
                  <w:vAlign w:val="center"/>
                </w:tcPr>
                <w:p w14:paraId="13CA11A5">
                  <w:pPr>
                    <w:snapToGrid w:val="0"/>
                    <w:jc w:val="center"/>
                    <w:textAlignment w:val="baseline"/>
                    <w:rPr>
                      <w:color w:val="auto"/>
                      <w:sz w:val="18"/>
                      <w:szCs w:val="18"/>
                    </w:rPr>
                  </w:pPr>
                  <w:r>
                    <w:rPr>
                      <w:rFonts w:hint="eastAsia"/>
                      <w:color w:val="auto"/>
                      <w:sz w:val="18"/>
                      <w:szCs w:val="18"/>
                    </w:rPr>
                    <w:t>废物代码</w:t>
                  </w:r>
                </w:p>
              </w:tc>
              <w:tc>
                <w:tcPr>
                  <w:tcW w:w="767" w:type="dxa"/>
                  <w:tcBorders>
                    <w:tl2br w:val="nil"/>
                    <w:tr2bl w:val="nil"/>
                  </w:tcBorders>
                  <w:vAlign w:val="center"/>
                </w:tcPr>
                <w:p w14:paraId="0E29C45D">
                  <w:pPr>
                    <w:snapToGrid w:val="0"/>
                    <w:jc w:val="center"/>
                    <w:textAlignment w:val="baseline"/>
                    <w:rPr>
                      <w:color w:val="auto"/>
                      <w:sz w:val="18"/>
                      <w:szCs w:val="18"/>
                    </w:rPr>
                  </w:pPr>
                  <w:r>
                    <w:rPr>
                      <w:rFonts w:hint="eastAsia"/>
                      <w:color w:val="auto"/>
                      <w:sz w:val="18"/>
                      <w:szCs w:val="18"/>
                    </w:rPr>
                    <w:t>预测产生量</w:t>
                  </w:r>
                </w:p>
                <w:p w14:paraId="23C714C2">
                  <w:pPr>
                    <w:snapToGrid w:val="0"/>
                    <w:jc w:val="center"/>
                    <w:textAlignment w:val="baseline"/>
                    <w:rPr>
                      <w:color w:val="auto"/>
                      <w:sz w:val="18"/>
                      <w:szCs w:val="18"/>
                    </w:rPr>
                  </w:pPr>
                  <w:r>
                    <w:rPr>
                      <w:rFonts w:hint="eastAsia"/>
                      <w:color w:val="auto"/>
                      <w:sz w:val="18"/>
                      <w:szCs w:val="18"/>
                    </w:rPr>
                    <w:t>（</w:t>
                  </w:r>
                  <w:r>
                    <w:rPr>
                      <w:color w:val="auto"/>
                      <w:sz w:val="18"/>
                      <w:szCs w:val="18"/>
                    </w:rPr>
                    <w:t>t/a</w:t>
                  </w:r>
                  <w:r>
                    <w:rPr>
                      <w:rFonts w:hint="eastAsia"/>
                      <w:color w:val="auto"/>
                      <w:sz w:val="18"/>
                      <w:szCs w:val="18"/>
                    </w:rPr>
                    <w:t>）</w:t>
                  </w:r>
                </w:p>
              </w:tc>
              <w:tc>
                <w:tcPr>
                  <w:tcW w:w="1735" w:type="dxa"/>
                  <w:tcBorders>
                    <w:tl2br w:val="nil"/>
                    <w:tr2bl w:val="nil"/>
                  </w:tcBorders>
                  <w:vAlign w:val="center"/>
                </w:tcPr>
                <w:p w14:paraId="02E87FA1">
                  <w:pPr>
                    <w:snapToGrid w:val="0"/>
                    <w:jc w:val="center"/>
                    <w:textAlignment w:val="baseline"/>
                    <w:rPr>
                      <w:color w:val="auto"/>
                      <w:sz w:val="18"/>
                      <w:szCs w:val="18"/>
                    </w:rPr>
                  </w:pPr>
                  <w:r>
                    <w:rPr>
                      <w:rFonts w:hint="eastAsia"/>
                      <w:color w:val="auto"/>
                      <w:sz w:val="18"/>
                      <w:szCs w:val="18"/>
                    </w:rPr>
                    <w:t>处置方式</w:t>
                  </w:r>
                </w:p>
              </w:tc>
            </w:tr>
            <w:tr w14:paraId="49DF8DA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240" w:type="dxa"/>
                  <w:tcBorders>
                    <w:tl2br w:val="nil"/>
                    <w:tr2bl w:val="nil"/>
                  </w:tcBorders>
                  <w:vAlign w:val="center"/>
                </w:tcPr>
                <w:p w14:paraId="4B1538A7">
                  <w:pPr>
                    <w:snapToGrid w:val="0"/>
                    <w:jc w:val="center"/>
                    <w:textAlignment w:val="baseline"/>
                    <w:rPr>
                      <w:color w:val="auto"/>
                      <w:sz w:val="18"/>
                      <w:szCs w:val="18"/>
                    </w:rPr>
                  </w:pPr>
                  <w:r>
                    <w:rPr>
                      <w:color w:val="auto"/>
                      <w:sz w:val="18"/>
                      <w:szCs w:val="18"/>
                    </w:rPr>
                    <w:t>1</w:t>
                  </w:r>
                </w:p>
              </w:tc>
              <w:tc>
                <w:tcPr>
                  <w:tcW w:w="942" w:type="dxa"/>
                  <w:tcBorders>
                    <w:tl2br w:val="nil"/>
                    <w:tr2bl w:val="nil"/>
                  </w:tcBorders>
                  <w:shd w:val="clear" w:color="auto" w:fill="auto"/>
                  <w:vAlign w:val="center"/>
                </w:tcPr>
                <w:p w14:paraId="2572BDCF">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rPr>
                    <w:t>废丝</w:t>
                  </w:r>
                </w:p>
              </w:tc>
              <w:tc>
                <w:tcPr>
                  <w:tcW w:w="1195" w:type="dxa"/>
                  <w:tcBorders>
                    <w:tl2br w:val="nil"/>
                    <w:tr2bl w:val="nil"/>
                  </w:tcBorders>
                  <w:vAlign w:val="center"/>
                </w:tcPr>
                <w:p w14:paraId="5B04C2E8">
                  <w:pPr>
                    <w:snapToGrid w:val="0"/>
                    <w:jc w:val="center"/>
                    <w:textAlignment w:val="baseline"/>
                    <w:rPr>
                      <w:color w:val="auto"/>
                      <w:sz w:val="18"/>
                      <w:szCs w:val="18"/>
                    </w:rPr>
                  </w:pPr>
                  <w:r>
                    <w:rPr>
                      <w:rFonts w:hint="eastAsia"/>
                      <w:color w:val="auto"/>
                      <w:sz w:val="18"/>
                      <w:szCs w:val="18"/>
                    </w:rPr>
                    <w:t>一般固废</w:t>
                  </w:r>
                </w:p>
              </w:tc>
              <w:tc>
                <w:tcPr>
                  <w:tcW w:w="1604" w:type="dxa"/>
                  <w:tcBorders>
                    <w:tl2br w:val="nil"/>
                    <w:tr2bl w:val="nil"/>
                  </w:tcBorders>
                  <w:vAlign w:val="center"/>
                </w:tcPr>
                <w:p w14:paraId="45F551C6">
                  <w:pPr>
                    <w:snapToGrid w:val="0"/>
                    <w:jc w:val="center"/>
                    <w:textAlignment w:val="baseline"/>
                    <w:rPr>
                      <w:color w:val="auto"/>
                      <w:sz w:val="18"/>
                      <w:szCs w:val="18"/>
                    </w:rPr>
                  </w:pPr>
                  <w:r>
                    <w:rPr>
                      <w:rFonts w:hint="eastAsia"/>
                      <w:color w:val="auto"/>
                      <w:sz w:val="18"/>
                      <w:szCs w:val="18"/>
                      <w:lang w:val="en-US" w:eastAsia="zh-CN"/>
                    </w:rPr>
                    <w:t>整经、穿综扒筘、喷气织造、喷水织造</w:t>
                  </w:r>
                </w:p>
              </w:tc>
              <w:tc>
                <w:tcPr>
                  <w:tcW w:w="615" w:type="dxa"/>
                  <w:tcBorders>
                    <w:tl2br w:val="nil"/>
                    <w:tr2bl w:val="nil"/>
                  </w:tcBorders>
                  <w:vAlign w:val="center"/>
                </w:tcPr>
                <w:p w14:paraId="41CAC178">
                  <w:pPr>
                    <w:snapToGrid w:val="0"/>
                    <w:jc w:val="center"/>
                    <w:textAlignment w:val="baseline"/>
                    <w:rPr>
                      <w:color w:val="auto"/>
                      <w:sz w:val="18"/>
                      <w:szCs w:val="18"/>
                    </w:rPr>
                  </w:pPr>
                  <w:r>
                    <w:rPr>
                      <w:color w:val="auto"/>
                      <w:sz w:val="18"/>
                      <w:szCs w:val="18"/>
                    </w:rPr>
                    <w:t>S14</w:t>
                  </w:r>
                </w:p>
              </w:tc>
              <w:tc>
                <w:tcPr>
                  <w:tcW w:w="960" w:type="dxa"/>
                  <w:tcBorders>
                    <w:tl2br w:val="nil"/>
                    <w:tr2bl w:val="nil"/>
                  </w:tcBorders>
                  <w:vAlign w:val="center"/>
                </w:tcPr>
                <w:p w14:paraId="490EBA7F">
                  <w:pPr>
                    <w:snapToGrid w:val="0"/>
                    <w:jc w:val="center"/>
                    <w:textAlignment w:val="baseline"/>
                    <w:rPr>
                      <w:color w:val="auto"/>
                      <w:sz w:val="18"/>
                      <w:szCs w:val="18"/>
                    </w:rPr>
                  </w:pPr>
                  <w:r>
                    <w:rPr>
                      <w:color w:val="auto"/>
                      <w:sz w:val="18"/>
                      <w:szCs w:val="18"/>
                    </w:rPr>
                    <w:t>900-099-S14</w:t>
                  </w:r>
                </w:p>
              </w:tc>
              <w:tc>
                <w:tcPr>
                  <w:tcW w:w="767" w:type="dxa"/>
                  <w:tcBorders>
                    <w:tl2br w:val="nil"/>
                    <w:tr2bl w:val="nil"/>
                  </w:tcBorders>
                  <w:vAlign w:val="center"/>
                </w:tcPr>
                <w:p w14:paraId="31020DCA">
                  <w:pPr>
                    <w:snapToGrid w:val="0"/>
                    <w:jc w:val="center"/>
                    <w:textAlignment w:val="baseline"/>
                    <w:rPr>
                      <w:color w:val="auto"/>
                      <w:sz w:val="18"/>
                      <w:szCs w:val="18"/>
                    </w:rPr>
                  </w:pPr>
                  <w:r>
                    <w:rPr>
                      <w:rFonts w:hint="eastAsia"/>
                      <w:color w:val="auto"/>
                      <w:sz w:val="18"/>
                      <w:szCs w:val="18"/>
                      <w:lang w:val="en-US" w:eastAsia="zh-CN"/>
                    </w:rPr>
                    <w:t>57</w:t>
                  </w:r>
                </w:p>
              </w:tc>
              <w:tc>
                <w:tcPr>
                  <w:tcW w:w="1735" w:type="dxa"/>
                  <w:tcBorders>
                    <w:tl2br w:val="nil"/>
                    <w:tr2bl w:val="nil"/>
                  </w:tcBorders>
                  <w:vAlign w:val="center"/>
                </w:tcPr>
                <w:p w14:paraId="0BFF084B">
                  <w:pPr>
                    <w:snapToGrid w:val="0"/>
                    <w:jc w:val="center"/>
                    <w:textAlignment w:val="baseline"/>
                    <w:rPr>
                      <w:color w:val="auto"/>
                      <w:sz w:val="18"/>
                      <w:szCs w:val="18"/>
                    </w:rPr>
                  </w:pPr>
                  <w:r>
                    <w:rPr>
                      <w:rFonts w:hint="eastAsia"/>
                      <w:color w:val="auto"/>
                      <w:sz w:val="18"/>
                      <w:szCs w:val="18"/>
                    </w:rPr>
                    <w:t>外售综合利用</w:t>
                  </w:r>
                </w:p>
              </w:tc>
            </w:tr>
            <w:tr w14:paraId="22A87F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240" w:type="dxa"/>
                  <w:tcBorders>
                    <w:tl2br w:val="nil"/>
                    <w:tr2bl w:val="nil"/>
                  </w:tcBorders>
                  <w:vAlign w:val="center"/>
                </w:tcPr>
                <w:p w14:paraId="6E1E1EB6">
                  <w:pPr>
                    <w:snapToGrid w:val="0"/>
                    <w:jc w:val="center"/>
                    <w:textAlignment w:val="baseline"/>
                    <w:rPr>
                      <w:color w:val="auto"/>
                      <w:sz w:val="18"/>
                      <w:szCs w:val="18"/>
                    </w:rPr>
                  </w:pPr>
                  <w:r>
                    <w:rPr>
                      <w:rFonts w:hint="eastAsia"/>
                      <w:color w:val="auto"/>
                      <w:sz w:val="18"/>
                      <w:szCs w:val="18"/>
                      <w:lang w:val="en-US" w:eastAsia="zh-CN"/>
                    </w:rPr>
                    <w:t>2</w:t>
                  </w:r>
                </w:p>
              </w:tc>
              <w:tc>
                <w:tcPr>
                  <w:tcW w:w="942" w:type="dxa"/>
                  <w:tcBorders>
                    <w:tl2br w:val="nil"/>
                    <w:tr2bl w:val="nil"/>
                  </w:tcBorders>
                  <w:shd w:val="clear" w:color="auto" w:fill="auto"/>
                  <w:vAlign w:val="center"/>
                </w:tcPr>
                <w:p w14:paraId="662ABB9F">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废纺丝油剂包装</w:t>
                  </w:r>
                </w:p>
              </w:tc>
              <w:tc>
                <w:tcPr>
                  <w:tcW w:w="1195" w:type="dxa"/>
                  <w:tcBorders>
                    <w:tl2br w:val="nil"/>
                    <w:tr2bl w:val="nil"/>
                  </w:tcBorders>
                  <w:vAlign w:val="center"/>
                </w:tcPr>
                <w:p w14:paraId="083727CD">
                  <w:pPr>
                    <w:snapToGrid w:val="0"/>
                    <w:jc w:val="center"/>
                    <w:textAlignment w:val="baseline"/>
                    <w:rPr>
                      <w:rFonts w:hint="eastAsia"/>
                      <w:color w:val="auto"/>
                      <w:sz w:val="18"/>
                      <w:szCs w:val="18"/>
                    </w:rPr>
                  </w:pPr>
                  <w:r>
                    <w:rPr>
                      <w:rFonts w:hint="eastAsia"/>
                      <w:color w:val="auto"/>
                      <w:sz w:val="18"/>
                      <w:szCs w:val="18"/>
                    </w:rPr>
                    <w:t>危险废物</w:t>
                  </w:r>
                </w:p>
              </w:tc>
              <w:tc>
                <w:tcPr>
                  <w:tcW w:w="1604" w:type="dxa"/>
                  <w:tcBorders>
                    <w:tl2br w:val="nil"/>
                    <w:tr2bl w:val="nil"/>
                  </w:tcBorders>
                  <w:vAlign w:val="center"/>
                </w:tcPr>
                <w:p w14:paraId="5A024C3A">
                  <w:pPr>
                    <w:snapToGrid w:val="0"/>
                    <w:jc w:val="center"/>
                    <w:textAlignment w:val="baseline"/>
                    <w:rPr>
                      <w:rFonts w:hint="eastAsia"/>
                      <w:color w:val="auto"/>
                      <w:sz w:val="18"/>
                      <w:szCs w:val="18"/>
                    </w:rPr>
                  </w:pPr>
                  <w:r>
                    <w:rPr>
                      <w:rFonts w:hint="eastAsia"/>
                      <w:color w:val="auto"/>
                      <w:sz w:val="18"/>
                      <w:szCs w:val="18"/>
                      <w:lang w:val="en-US" w:eastAsia="zh-CN"/>
                    </w:rPr>
                    <w:t>加弹</w:t>
                  </w:r>
                </w:p>
              </w:tc>
              <w:tc>
                <w:tcPr>
                  <w:tcW w:w="615" w:type="dxa"/>
                  <w:tcBorders>
                    <w:tl2br w:val="nil"/>
                    <w:tr2bl w:val="nil"/>
                  </w:tcBorders>
                  <w:shd w:val="clear" w:color="auto" w:fill="auto"/>
                  <w:vAlign w:val="center"/>
                </w:tcPr>
                <w:p w14:paraId="7F26935C">
                  <w:pPr>
                    <w:snapToGrid w:val="0"/>
                    <w:jc w:val="center"/>
                    <w:textAlignment w:val="baseline"/>
                    <w:rPr>
                      <w:rFonts w:ascii="Times New Roman" w:hAnsi="Times New Roman" w:eastAsia="宋体" w:cs="Times New Roman"/>
                      <w:color w:val="auto"/>
                      <w:kern w:val="2"/>
                      <w:sz w:val="18"/>
                      <w:szCs w:val="18"/>
                      <w:lang w:val="en-US" w:eastAsia="zh-CN" w:bidi="ar-SA"/>
                    </w:rPr>
                  </w:pPr>
                  <w:r>
                    <w:rPr>
                      <w:color w:val="auto"/>
                      <w:sz w:val="18"/>
                      <w:szCs w:val="18"/>
                    </w:rPr>
                    <w:t>HW</w:t>
                  </w:r>
                  <w:r>
                    <w:rPr>
                      <w:rFonts w:hint="eastAsia"/>
                      <w:color w:val="auto"/>
                      <w:sz w:val="18"/>
                      <w:szCs w:val="18"/>
                      <w:lang w:val="en-US" w:eastAsia="zh-CN"/>
                    </w:rPr>
                    <w:t>08</w:t>
                  </w:r>
                </w:p>
              </w:tc>
              <w:tc>
                <w:tcPr>
                  <w:tcW w:w="960" w:type="dxa"/>
                  <w:tcBorders>
                    <w:tl2br w:val="nil"/>
                    <w:tr2bl w:val="nil"/>
                  </w:tcBorders>
                  <w:shd w:val="clear" w:color="auto" w:fill="auto"/>
                  <w:vAlign w:val="center"/>
                </w:tcPr>
                <w:p w14:paraId="10B90A34">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900-249-08</w:t>
                  </w:r>
                </w:p>
              </w:tc>
              <w:tc>
                <w:tcPr>
                  <w:tcW w:w="767" w:type="dxa"/>
                  <w:tcBorders>
                    <w:tl2br w:val="nil"/>
                    <w:tr2bl w:val="nil"/>
                  </w:tcBorders>
                  <w:vAlign w:val="center"/>
                </w:tcPr>
                <w:p w14:paraId="26445D04">
                  <w:pPr>
                    <w:snapToGrid w:val="0"/>
                    <w:jc w:val="center"/>
                    <w:textAlignment w:val="baseline"/>
                    <w:rPr>
                      <w:rFonts w:hint="eastAsia" w:cs="Times New Roman"/>
                      <w:color w:val="auto"/>
                      <w:kern w:val="2"/>
                      <w:sz w:val="18"/>
                      <w:szCs w:val="18"/>
                      <w:lang w:val="en-US" w:eastAsia="zh-CN" w:bidi="ar-SA"/>
                    </w:rPr>
                  </w:pPr>
                  <w:r>
                    <w:rPr>
                      <w:rFonts w:hint="eastAsia"/>
                      <w:color w:val="auto"/>
                      <w:sz w:val="18"/>
                      <w:szCs w:val="18"/>
                      <w:lang w:val="en-US" w:eastAsia="zh-CN"/>
                    </w:rPr>
                    <w:t>1.2</w:t>
                  </w:r>
                </w:p>
              </w:tc>
              <w:tc>
                <w:tcPr>
                  <w:tcW w:w="1735" w:type="dxa"/>
                  <w:tcBorders>
                    <w:tl2br w:val="nil"/>
                    <w:tr2bl w:val="nil"/>
                  </w:tcBorders>
                  <w:vAlign w:val="center"/>
                </w:tcPr>
                <w:p w14:paraId="70E2DD63">
                  <w:pPr>
                    <w:snapToGrid w:val="0"/>
                    <w:jc w:val="center"/>
                    <w:textAlignment w:val="baseline"/>
                    <w:rPr>
                      <w:rFonts w:hint="eastAsia"/>
                      <w:color w:val="auto"/>
                      <w:sz w:val="18"/>
                      <w:szCs w:val="18"/>
                    </w:rPr>
                  </w:pPr>
                  <w:r>
                    <w:rPr>
                      <w:rFonts w:hint="eastAsia"/>
                      <w:color w:val="auto"/>
                      <w:sz w:val="18"/>
                      <w:szCs w:val="18"/>
                    </w:rPr>
                    <w:t>委托资质单位处置</w:t>
                  </w:r>
                </w:p>
              </w:tc>
            </w:tr>
            <w:tr w14:paraId="68F219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240" w:type="dxa"/>
                  <w:tcBorders>
                    <w:tl2br w:val="nil"/>
                    <w:tr2bl w:val="nil"/>
                  </w:tcBorders>
                  <w:vAlign w:val="center"/>
                </w:tcPr>
                <w:p w14:paraId="63621A53">
                  <w:pPr>
                    <w:snapToGrid w:val="0"/>
                    <w:jc w:val="center"/>
                    <w:textAlignment w:val="baseline"/>
                    <w:rPr>
                      <w:color w:val="auto"/>
                      <w:sz w:val="18"/>
                      <w:szCs w:val="18"/>
                    </w:rPr>
                  </w:pPr>
                  <w:r>
                    <w:rPr>
                      <w:rFonts w:hint="eastAsia"/>
                      <w:color w:val="auto"/>
                      <w:sz w:val="18"/>
                      <w:szCs w:val="18"/>
                      <w:lang w:val="en-US" w:eastAsia="zh-CN"/>
                    </w:rPr>
                    <w:t>3</w:t>
                  </w:r>
                </w:p>
              </w:tc>
              <w:tc>
                <w:tcPr>
                  <w:tcW w:w="942" w:type="dxa"/>
                  <w:tcBorders>
                    <w:tl2br w:val="nil"/>
                    <w:tr2bl w:val="nil"/>
                  </w:tcBorders>
                  <w:shd w:val="clear" w:color="auto" w:fill="auto"/>
                  <w:vAlign w:val="center"/>
                </w:tcPr>
                <w:p w14:paraId="71276C06">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废胶水</w:t>
                  </w:r>
                </w:p>
              </w:tc>
              <w:tc>
                <w:tcPr>
                  <w:tcW w:w="1195" w:type="dxa"/>
                  <w:tcBorders>
                    <w:tl2br w:val="nil"/>
                    <w:tr2bl w:val="nil"/>
                  </w:tcBorders>
                  <w:vAlign w:val="center"/>
                </w:tcPr>
                <w:p w14:paraId="69B4B394">
                  <w:pPr>
                    <w:snapToGrid w:val="0"/>
                    <w:jc w:val="center"/>
                    <w:textAlignment w:val="baseline"/>
                    <w:rPr>
                      <w:rFonts w:hint="eastAsia"/>
                      <w:color w:val="auto"/>
                      <w:sz w:val="18"/>
                      <w:szCs w:val="18"/>
                    </w:rPr>
                  </w:pPr>
                  <w:r>
                    <w:rPr>
                      <w:rFonts w:hint="eastAsia"/>
                      <w:color w:val="auto"/>
                      <w:sz w:val="18"/>
                      <w:szCs w:val="18"/>
                    </w:rPr>
                    <w:t>一般固废</w:t>
                  </w:r>
                </w:p>
              </w:tc>
              <w:tc>
                <w:tcPr>
                  <w:tcW w:w="1604" w:type="dxa"/>
                  <w:tcBorders>
                    <w:tl2br w:val="nil"/>
                    <w:tr2bl w:val="nil"/>
                  </w:tcBorders>
                  <w:vAlign w:val="center"/>
                </w:tcPr>
                <w:p w14:paraId="09BCFAEF">
                  <w:pPr>
                    <w:snapToGrid w:val="0"/>
                    <w:jc w:val="center"/>
                    <w:textAlignment w:val="baseline"/>
                    <w:rPr>
                      <w:rFonts w:hint="eastAsia"/>
                      <w:color w:val="auto"/>
                      <w:sz w:val="18"/>
                      <w:szCs w:val="18"/>
                    </w:rPr>
                  </w:pPr>
                  <w:r>
                    <w:rPr>
                      <w:rFonts w:hint="eastAsia"/>
                      <w:color w:val="auto"/>
                      <w:sz w:val="18"/>
                      <w:szCs w:val="18"/>
                      <w:lang w:val="en-US" w:eastAsia="zh-CN"/>
                    </w:rPr>
                    <w:t>复合</w:t>
                  </w:r>
                </w:p>
              </w:tc>
              <w:tc>
                <w:tcPr>
                  <w:tcW w:w="615" w:type="dxa"/>
                  <w:tcBorders>
                    <w:tl2br w:val="nil"/>
                    <w:tr2bl w:val="nil"/>
                  </w:tcBorders>
                  <w:vAlign w:val="center"/>
                </w:tcPr>
                <w:p w14:paraId="650C6411">
                  <w:pPr>
                    <w:snapToGrid w:val="0"/>
                    <w:jc w:val="center"/>
                    <w:textAlignment w:val="baseline"/>
                    <w:rPr>
                      <w:color w:val="auto"/>
                      <w:sz w:val="18"/>
                      <w:szCs w:val="18"/>
                    </w:rPr>
                  </w:pPr>
                  <w:r>
                    <w:rPr>
                      <w:color w:val="auto"/>
                      <w:sz w:val="18"/>
                      <w:szCs w:val="18"/>
                    </w:rPr>
                    <w:t>S14</w:t>
                  </w:r>
                </w:p>
              </w:tc>
              <w:tc>
                <w:tcPr>
                  <w:tcW w:w="960" w:type="dxa"/>
                  <w:tcBorders>
                    <w:tl2br w:val="nil"/>
                    <w:tr2bl w:val="nil"/>
                  </w:tcBorders>
                  <w:vAlign w:val="center"/>
                </w:tcPr>
                <w:p w14:paraId="77DEA11C">
                  <w:pPr>
                    <w:snapToGrid w:val="0"/>
                    <w:jc w:val="center"/>
                    <w:textAlignment w:val="baseline"/>
                    <w:rPr>
                      <w:color w:val="auto"/>
                      <w:sz w:val="18"/>
                      <w:szCs w:val="18"/>
                    </w:rPr>
                  </w:pPr>
                  <w:r>
                    <w:rPr>
                      <w:color w:val="auto"/>
                      <w:sz w:val="18"/>
                      <w:szCs w:val="18"/>
                    </w:rPr>
                    <w:t>900-099-S14</w:t>
                  </w:r>
                </w:p>
              </w:tc>
              <w:tc>
                <w:tcPr>
                  <w:tcW w:w="767" w:type="dxa"/>
                  <w:tcBorders>
                    <w:tl2br w:val="nil"/>
                    <w:tr2bl w:val="nil"/>
                  </w:tcBorders>
                  <w:vAlign w:val="center"/>
                </w:tcPr>
                <w:p w14:paraId="553E3EC6">
                  <w:pPr>
                    <w:snapToGrid w:val="0"/>
                    <w:jc w:val="center"/>
                    <w:textAlignment w:val="baseline"/>
                    <w:rPr>
                      <w:rFonts w:hint="eastAsia" w:cs="Times New Roman"/>
                      <w:color w:val="auto"/>
                      <w:kern w:val="2"/>
                      <w:sz w:val="18"/>
                      <w:szCs w:val="18"/>
                      <w:lang w:val="en-US" w:eastAsia="zh-CN" w:bidi="ar-SA"/>
                    </w:rPr>
                  </w:pPr>
                  <w:r>
                    <w:rPr>
                      <w:rFonts w:hint="eastAsia"/>
                      <w:color w:val="auto"/>
                      <w:sz w:val="18"/>
                      <w:szCs w:val="18"/>
                      <w:lang w:val="en-US" w:eastAsia="zh-CN"/>
                    </w:rPr>
                    <w:t>3</w:t>
                  </w:r>
                </w:p>
              </w:tc>
              <w:tc>
                <w:tcPr>
                  <w:tcW w:w="1735" w:type="dxa"/>
                  <w:tcBorders>
                    <w:tl2br w:val="nil"/>
                    <w:tr2bl w:val="nil"/>
                  </w:tcBorders>
                  <w:vAlign w:val="center"/>
                </w:tcPr>
                <w:p w14:paraId="10E32230">
                  <w:pPr>
                    <w:snapToGrid w:val="0"/>
                    <w:jc w:val="center"/>
                    <w:textAlignment w:val="baseline"/>
                    <w:rPr>
                      <w:rFonts w:hint="eastAsia"/>
                      <w:color w:val="auto"/>
                      <w:sz w:val="18"/>
                      <w:szCs w:val="18"/>
                    </w:rPr>
                  </w:pPr>
                  <w:r>
                    <w:rPr>
                      <w:rFonts w:hint="eastAsia"/>
                      <w:color w:val="auto"/>
                      <w:sz w:val="18"/>
                      <w:szCs w:val="18"/>
                    </w:rPr>
                    <w:t>外售综合利用</w:t>
                  </w:r>
                </w:p>
              </w:tc>
            </w:tr>
            <w:tr w14:paraId="0F0255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240" w:type="dxa"/>
                  <w:tcBorders>
                    <w:tl2br w:val="nil"/>
                    <w:tr2bl w:val="nil"/>
                  </w:tcBorders>
                  <w:vAlign w:val="center"/>
                </w:tcPr>
                <w:p w14:paraId="243A493D">
                  <w:pPr>
                    <w:snapToGrid w:val="0"/>
                    <w:jc w:val="center"/>
                    <w:textAlignment w:val="baseline"/>
                    <w:rPr>
                      <w:color w:val="auto"/>
                      <w:sz w:val="18"/>
                      <w:szCs w:val="18"/>
                    </w:rPr>
                  </w:pPr>
                  <w:r>
                    <w:rPr>
                      <w:rFonts w:hint="eastAsia"/>
                      <w:color w:val="auto"/>
                      <w:sz w:val="18"/>
                      <w:szCs w:val="18"/>
                      <w:lang w:val="en-US" w:eastAsia="zh-CN"/>
                    </w:rPr>
                    <w:t>4</w:t>
                  </w:r>
                </w:p>
              </w:tc>
              <w:tc>
                <w:tcPr>
                  <w:tcW w:w="942" w:type="dxa"/>
                  <w:tcBorders>
                    <w:tl2br w:val="nil"/>
                    <w:tr2bl w:val="nil"/>
                  </w:tcBorders>
                  <w:shd w:val="clear" w:color="auto" w:fill="auto"/>
                  <w:vAlign w:val="center"/>
                </w:tcPr>
                <w:p w14:paraId="138F1EA6">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废胶水包装</w:t>
                  </w:r>
                </w:p>
              </w:tc>
              <w:tc>
                <w:tcPr>
                  <w:tcW w:w="1195" w:type="dxa"/>
                  <w:tcBorders>
                    <w:tl2br w:val="nil"/>
                    <w:tr2bl w:val="nil"/>
                  </w:tcBorders>
                  <w:vAlign w:val="center"/>
                </w:tcPr>
                <w:p w14:paraId="67C4E495">
                  <w:pPr>
                    <w:snapToGrid w:val="0"/>
                    <w:jc w:val="center"/>
                    <w:textAlignment w:val="baseline"/>
                    <w:rPr>
                      <w:rFonts w:hint="eastAsia"/>
                      <w:color w:val="auto"/>
                      <w:sz w:val="18"/>
                      <w:szCs w:val="18"/>
                    </w:rPr>
                  </w:pPr>
                  <w:r>
                    <w:rPr>
                      <w:rFonts w:hint="eastAsia"/>
                      <w:color w:val="auto"/>
                      <w:sz w:val="18"/>
                      <w:szCs w:val="18"/>
                    </w:rPr>
                    <w:t>一般固废</w:t>
                  </w:r>
                </w:p>
              </w:tc>
              <w:tc>
                <w:tcPr>
                  <w:tcW w:w="1604" w:type="dxa"/>
                  <w:tcBorders>
                    <w:tl2br w:val="nil"/>
                    <w:tr2bl w:val="nil"/>
                  </w:tcBorders>
                  <w:vAlign w:val="center"/>
                </w:tcPr>
                <w:p w14:paraId="3233C418">
                  <w:pPr>
                    <w:snapToGrid w:val="0"/>
                    <w:jc w:val="center"/>
                    <w:textAlignment w:val="baseline"/>
                    <w:rPr>
                      <w:rFonts w:hint="eastAsia"/>
                      <w:color w:val="auto"/>
                      <w:sz w:val="18"/>
                      <w:szCs w:val="18"/>
                    </w:rPr>
                  </w:pPr>
                  <w:r>
                    <w:rPr>
                      <w:rFonts w:hint="eastAsia"/>
                      <w:color w:val="auto"/>
                      <w:sz w:val="18"/>
                      <w:szCs w:val="18"/>
                      <w:lang w:val="en-US" w:eastAsia="zh-CN"/>
                    </w:rPr>
                    <w:t>复合</w:t>
                  </w:r>
                </w:p>
              </w:tc>
              <w:tc>
                <w:tcPr>
                  <w:tcW w:w="615" w:type="dxa"/>
                  <w:tcBorders>
                    <w:tl2br w:val="nil"/>
                    <w:tr2bl w:val="nil"/>
                  </w:tcBorders>
                  <w:vAlign w:val="center"/>
                </w:tcPr>
                <w:p w14:paraId="2B75D8AF">
                  <w:pPr>
                    <w:snapToGrid w:val="0"/>
                    <w:jc w:val="center"/>
                    <w:textAlignment w:val="baseline"/>
                    <w:rPr>
                      <w:color w:val="auto"/>
                      <w:sz w:val="18"/>
                      <w:szCs w:val="18"/>
                    </w:rPr>
                  </w:pPr>
                  <w:r>
                    <w:rPr>
                      <w:color w:val="auto"/>
                      <w:sz w:val="18"/>
                      <w:szCs w:val="18"/>
                    </w:rPr>
                    <w:t>S14</w:t>
                  </w:r>
                </w:p>
              </w:tc>
              <w:tc>
                <w:tcPr>
                  <w:tcW w:w="960" w:type="dxa"/>
                  <w:tcBorders>
                    <w:tl2br w:val="nil"/>
                    <w:tr2bl w:val="nil"/>
                  </w:tcBorders>
                  <w:vAlign w:val="center"/>
                </w:tcPr>
                <w:p w14:paraId="2CBA1A90">
                  <w:pPr>
                    <w:snapToGrid w:val="0"/>
                    <w:jc w:val="center"/>
                    <w:textAlignment w:val="baseline"/>
                    <w:rPr>
                      <w:color w:val="auto"/>
                      <w:sz w:val="18"/>
                      <w:szCs w:val="18"/>
                    </w:rPr>
                  </w:pPr>
                  <w:r>
                    <w:rPr>
                      <w:color w:val="auto"/>
                      <w:sz w:val="18"/>
                      <w:szCs w:val="18"/>
                    </w:rPr>
                    <w:t>900-099-S14</w:t>
                  </w:r>
                </w:p>
              </w:tc>
              <w:tc>
                <w:tcPr>
                  <w:tcW w:w="767" w:type="dxa"/>
                  <w:tcBorders>
                    <w:tl2br w:val="nil"/>
                    <w:tr2bl w:val="nil"/>
                  </w:tcBorders>
                  <w:vAlign w:val="center"/>
                </w:tcPr>
                <w:p w14:paraId="0309B308">
                  <w:pPr>
                    <w:snapToGrid w:val="0"/>
                    <w:jc w:val="center"/>
                    <w:textAlignment w:val="baseline"/>
                    <w:rPr>
                      <w:rFonts w:hint="eastAsia" w:cs="Times New Roman"/>
                      <w:color w:val="auto"/>
                      <w:kern w:val="2"/>
                      <w:sz w:val="18"/>
                      <w:szCs w:val="18"/>
                      <w:lang w:val="en-US" w:eastAsia="zh-CN" w:bidi="ar-SA"/>
                    </w:rPr>
                  </w:pPr>
                  <w:r>
                    <w:rPr>
                      <w:rFonts w:hint="eastAsia"/>
                      <w:color w:val="auto"/>
                      <w:sz w:val="18"/>
                      <w:szCs w:val="18"/>
                      <w:lang w:val="en-US" w:eastAsia="zh-CN"/>
                    </w:rPr>
                    <w:t>30</w:t>
                  </w:r>
                </w:p>
              </w:tc>
              <w:tc>
                <w:tcPr>
                  <w:tcW w:w="1735" w:type="dxa"/>
                  <w:tcBorders>
                    <w:tl2br w:val="nil"/>
                    <w:tr2bl w:val="nil"/>
                  </w:tcBorders>
                  <w:vAlign w:val="center"/>
                </w:tcPr>
                <w:p w14:paraId="4EF70939">
                  <w:pPr>
                    <w:snapToGrid w:val="0"/>
                    <w:jc w:val="center"/>
                    <w:textAlignment w:val="baseline"/>
                    <w:rPr>
                      <w:rFonts w:hint="eastAsia"/>
                      <w:color w:val="auto"/>
                      <w:sz w:val="18"/>
                      <w:szCs w:val="18"/>
                    </w:rPr>
                  </w:pPr>
                  <w:r>
                    <w:rPr>
                      <w:rFonts w:hint="eastAsia"/>
                      <w:color w:val="auto"/>
                      <w:sz w:val="18"/>
                      <w:szCs w:val="18"/>
                    </w:rPr>
                    <w:t>外售综合利用</w:t>
                  </w:r>
                </w:p>
              </w:tc>
            </w:tr>
            <w:tr w14:paraId="75BF0A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240" w:type="dxa"/>
                  <w:tcBorders>
                    <w:tl2br w:val="nil"/>
                    <w:tr2bl w:val="nil"/>
                  </w:tcBorders>
                  <w:vAlign w:val="center"/>
                </w:tcPr>
                <w:p w14:paraId="49C8D305">
                  <w:pPr>
                    <w:snapToGrid w:val="0"/>
                    <w:jc w:val="center"/>
                    <w:textAlignment w:val="baseline"/>
                    <w:rPr>
                      <w:rFonts w:hint="eastAsia" w:eastAsia="宋体"/>
                      <w:color w:val="auto"/>
                      <w:sz w:val="18"/>
                      <w:szCs w:val="18"/>
                      <w:lang w:eastAsia="zh-CN"/>
                    </w:rPr>
                  </w:pPr>
                  <w:r>
                    <w:rPr>
                      <w:rFonts w:hint="eastAsia"/>
                      <w:color w:val="auto"/>
                      <w:sz w:val="18"/>
                      <w:szCs w:val="18"/>
                      <w:lang w:val="en-US" w:eastAsia="zh-CN"/>
                    </w:rPr>
                    <w:t>5</w:t>
                  </w:r>
                </w:p>
              </w:tc>
              <w:tc>
                <w:tcPr>
                  <w:tcW w:w="942" w:type="dxa"/>
                  <w:tcBorders>
                    <w:tl2br w:val="nil"/>
                    <w:tr2bl w:val="nil"/>
                  </w:tcBorders>
                  <w:shd w:val="clear" w:color="auto" w:fill="auto"/>
                  <w:vAlign w:val="center"/>
                </w:tcPr>
                <w:p w14:paraId="0DE5AFFE">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废润滑油</w:t>
                  </w:r>
                </w:p>
              </w:tc>
              <w:tc>
                <w:tcPr>
                  <w:tcW w:w="1195" w:type="dxa"/>
                  <w:tcBorders>
                    <w:tl2br w:val="nil"/>
                    <w:tr2bl w:val="nil"/>
                  </w:tcBorders>
                  <w:vAlign w:val="center"/>
                </w:tcPr>
                <w:p w14:paraId="1D626D30">
                  <w:pPr>
                    <w:snapToGrid w:val="0"/>
                    <w:jc w:val="center"/>
                    <w:textAlignment w:val="baseline"/>
                    <w:rPr>
                      <w:color w:val="auto"/>
                      <w:sz w:val="18"/>
                      <w:szCs w:val="18"/>
                    </w:rPr>
                  </w:pPr>
                  <w:r>
                    <w:rPr>
                      <w:rFonts w:hint="eastAsia"/>
                      <w:color w:val="auto"/>
                      <w:sz w:val="18"/>
                      <w:szCs w:val="18"/>
                    </w:rPr>
                    <w:t>危险废物</w:t>
                  </w:r>
                </w:p>
              </w:tc>
              <w:tc>
                <w:tcPr>
                  <w:tcW w:w="1604" w:type="dxa"/>
                  <w:tcBorders>
                    <w:tl2br w:val="nil"/>
                    <w:tr2bl w:val="nil"/>
                  </w:tcBorders>
                  <w:vAlign w:val="center"/>
                </w:tcPr>
                <w:p w14:paraId="06A90AF9">
                  <w:pPr>
                    <w:snapToGrid w:val="0"/>
                    <w:jc w:val="center"/>
                    <w:textAlignment w:val="baseline"/>
                    <w:rPr>
                      <w:color w:val="auto"/>
                      <w:sz w:val="18"/>
                      <w:szCs w:val="18"/>
                    </w:rPr>
                  </w:pPr>
                  <w:r>
                    <w:rPr>
                      <w:rFonts w:hint="eastAsia"/>
                      <w:color w:val="auto"/>
                      <w:sz w:val="18"/>
                      <w:szCs w:val="18"/>
                      <w:lang w:val="en-US" w:eastAsia="zh-CN"/>
                    </w:rPr>
                    <w:t>设备维护</w:t>
                  </w:r>
                </w:p>
              </w:tc>
              <w:tc>
                <w:tcPr>
                  <w:tcW w:w="615" w:type="dxa"/>
                  <w:tcBorders>
                    <w:tl2br w:val="nil"/>
                    <w:tr2bl w:val="nil"/>
                  </w:tcBorders>
                  <w:vAlign w:val="center"/>
                </w:tcPr>
                <w:p w14:paraId="060DFB64">
                  <w:pPr>
                    <w:snapToGrid w:val="0"/>
                    <w:jc w:val="center"/>
                    <w:textAlignment w:val="baseline"/>
                    <w:rPr>
                      <w:color w:val="auto"/>
                      <w:sz w:val="18"/>
                      <w:szCs w:val="18"/>
                    </w:rPr>
                  </w:pPr>
                  <w:r>
                    <w:rPr>
                      <w:color w:val="auto"/>
                      <w:sz w:val="18"/>
                      <w:szCs w:val="18"/>
                    </w:rPr>
                    <w:t>HW08</w:t>
                  </w:r>
                </w:p>
              </w:tc>
              <w:tc>
                <w:tcPr>
                  <w:tcW w:w="960" w:type="dxa"/>
                  <w:tcBorders>
                    <w:tl2br w:val="nil"/>
                    <w:tr2bl w:val="nil"/>
                  </w:tcBorders>
                  <w:vAlign w:val="center"/>
                </w:tcPr>
                <w:p w14:paraId="70E89D21">
                  <w:pPr>
                    <w:snapToGrid w:val="0"/>
                    <w:jc w:val="center"/>
                    <w:textAlignment w:val="baseline"/>
                    <w:rPr>
                      <w:color w:val="auto"/>
                      <w:sz w:val="18"/>
                      <w:szCs w:val="18"/>
                    </w:rPr>
                  </w:pPr>
                  <w:r>
                    <w:rPr>
                      <w:color w:val="auto"/>
                      <w:sz w:val="18"/>
                      <w:szCs w:val="18"/>
                    </w:rPr>
                    <w:t>900-214-08</w:t>
                  </w:r>
                </w:p>
              </w:tc>
              <w:tc>
                <w:tcPr>
                  <w:tcW w:w="767" w:type="dxa"/>
                  <w:tcBorders>
                    <w:tl2br w:val="nil"/>
                    <w:tr2bl w:val="nil"/>
                  </w:tcBorders>
                  <w:vAlign w:val="center"/>
                </w:tcPr>
                <w:p w14:paraId="002A5166">
                  <w:pPr>
                    <w:snapToGrid w:val="0"/>
                    <w:jc w:val="center"/>
                    <w:textAlignment w:val="baseline"/>
                    <w:rPr>
                      <w:color w:val="auto"/>
                      <w:sz w:val="18"/>
                      <w:szCs w:val="18"/>
                    </w:rPr>
                  </w:pPr>
                  <w:r>
                    <w:rPr>
                      <w:rFonts w:hint="eastAsia"/>
                      <w:color w:val="auto"/>
                      <w:sz w:val="18"/>
                      <w:szCs w:val="18"/>
                      <w:lang w:val="en-US" w:eastAsia="zh-CN"/>
                    </w:rPr>
                    <w:t>0.2</w:t>
                  </w:r>
                </w:p>
              </w:tc>
              <w:tc>
                <w:tcPr>
                  <w:tcW w:w="1735" w:type="dxa"/>
                  <w:tcBorders>
                    <w:tl2br w:val="nil"/>
                    <w:tr2bl w:val="nil"/>
                  </w:tcBorders>
                  <w:vAlign w:val="center"/>
                </w:tcPr>
                <w:p w14:paraId="1BD64BEA">
                  <w:pPr>
                    <w:snapToGrid w:val="0"/>
                    <w:jc w:val="center"/>
                    <w:textAlignment w:val="baseline"/>
                    <w:rPr>
                      <w:color w:val="auto"/>
                      <w:sz w:val="18"/>
                      <w:szCs w:val="18"/>
                    </w:rPr>
                  </w:pPr>
                  <w:r>
                    <w:rPr>
                      <w:rFonts w:hint="eastAsia"/>
                      <w:color w:val="auto"/>
                      <w:sz w:val="18"/>
                      <w:szCs w:val="18"/>
                    </w:rPr>
                    <w:t>委托资质单位处置</w:t>
                  </w:r>
                </w:p>
              </w:tc>
            </w:tr>
            <w:tr w14:paraId="4ED637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240" w:type="dxa"/>
                  <w:tcBorders>
                    <w:tl2br w:val="nil"/>
                    <w:tr2bl w:val="nil"/>
                  </w:tcBorders>
                  <w:vAlign w:val="center"/>
                </w:tcPr>
                <w:p w14:paraId="7F6AF2D1">
                  <w:pPr>
                    <w:snapToGrid w:val="0"/>
                    <w:jc w:val="center"/>
                    <w:textAlignment w:val="baseline"/>
                    <w:rPr>
                      <w:rFonts w:hint="eastAsia" w:eastAsia="宋体"/>
                      <w:color w:val="auto"/>
                      <w:sz w:val="18"/>
                      <w:szCs w:val="18"/>
                      <w:lang w:eastAsia="zh-CN"/>
                    </w:rPr>
                  </w:pPr>
                  <w:r>
                    <w:rPr>
                      <w:rFonts w:hint="eastAsia"/>
                      <w:color w:val="auto"/>
                      <w:sz w:val="18"/>
                      <w:szCs w:val="18"/>
                      <w:lang w:val="en-US" w:eastAsia="zh-CN"/>
                    </w:rPr>
                    <w:t>6</w:t>
                  </w:r>
                </w:p>
              </w:tc>
              <w:tc>
                <w:tcPr>
                  <w:tcW w:w="942" w:type="dxa"/>
                  <w:tcBorders>
                    <w:tl2br w:val="nil"/>
                    <w:tr2bl w:val="nil"/>
                  </w:tcBorders>
                  <w:shd w:val="clear" w:color="auto" w:fill="auto"/>
                  <w:vAlign w:val="center"/>
                </w:tcPr>
                <w:p w14:paraId="680A8EF1">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eastAsia="zh-CN"/>
                    </w:rPr>
                    <w:t>废润滑油包装</w:t>
                  </w:r>
                </w:p>
              </w:tc>
              <w:tc>
                <w:tcPr>
                  <w:tcW w:w="1195" w:type="dxa"/>
                  <w:tcBorders>
                    <w:tl2br w:val="nil"/>
                    <w:tr2bl w:val="nil"/>
                  </w:tcBorders>
                  <w:vAlign w:val="center"/>
                </w:tcPr>
                <w:p w14:paraId="3BC11F00">
                  <w:pPr>
                    <w:snapToGrid w:val="0"/>
                    <w:jc w:val="center"/>
                    <w:textAlignment w:val="baseline"/>
                    <w:rPr>
                      <w:color w:val="auto"/>
                      <w:sz w:val="18"/>
                      <w:szCs w:val="18"/>
                    </w:rPr>
                  </w:pPr>
                  <w:r>
                    <w:rPr>
                      <w:rFonts w:hint="eastAsia"/>
                      <w:color w:val="auto"/>
                      <w:sz w:val="18"/>
                      <w:szCs w:val="18"/>
                    </w:rPr>
                    <w:t>危险废物</w:t>
                  </w:r>
                </w:p>
              </w:tc>
              <w:tc>
                <w:tcPr>
                  <w:tcW w:w="1604" w:type="dxa"/>
                  <w:tcBorders>
                    <w:tl2br w:val="nil"/>
                    <w:tr2bl w:val="nil"/>
                  </w:tcBorders>
                  <w:vAlign w:val="center"/>
                </w:tcPr>
                <w:p w14:paraId="19FC28EC">
                  <w:pPr>
                    <w:snapToGrid w:val="0"/>
                    <w:jc w:val="center"/>
                    <w:textAlignment w:val="baseline"/>
                    <w:rPr>
                      <w:color w:val="auto"/>
                      <w:sz w:val="18"/>
                      <w:szCs w:val="18"/>
                    </w:rPr>
                  </w:pPr>
                  <w:r>
                    <w:rPr>
                      <w:rFonts w:hint="eastAsia" w:cs="Times New Roman"/>
                      <w:color w:val="auto"/>
                      <w:kern w:val="2"/>
                      <w:sz w:val="18"/>
                      <w:szCs w:val="18"/>
                      <w:lang w:val="en-US" w:eastAsia="zh-CN" w:bidi="ar-SA"/>
                    </w:rPr>
                    <w:t>设备维护</w:t>
                  </w:r>
                </w:p>
              </w:tc>
              <w:tc>
                <w:tcPr>
                  <w:tcW w:w="615" w:type="dxa"/>
                  <w:tcBorders>
                    <w:tl2br w:val="nil"/>
                    <w:tr2bl w:val="nil"/>
                  </w:tcBorders>
                  <w:vAlign w:val="center"/>
                </w:tcPr>
                <w:p w14:paraId="578B1799">
                  <w:pPr>
                    <w:snapToGrid w:val="0"/>
                    <w:jc w:val="center"/>
                    <w:textAlignment w:val="baseline"/>
                    <w:rPr>
                      <w:color w:val="auto"/>
                      <w:sz w:val="18"/>
                      <w:szCs w:val="18"/>
                    </w:rPr>
                  </w:pPr>
                  <w:r>
                    <w:rPr>
                      <w:color w:val="auto"/>
                      <w:sz w:val="18"/>
                      <w:szCs w:val="18"/>
                    </w:rPr>
                    <w:t>HW</w:t>
                  </w:r>
                  <w:r>
                    <w:rPr>
                      <w:rFonts w:hint="eastAsia"/>
                      <w:color w:val="auto"/>
                      <w:sz w:val="18"/>
                      <w:szCs w:val="18"/>
                      <w:lang w:val="en-US" w:eastAsia="zh-CN"/>
                    </w:rPr>
                    <w:t>08</w:t>
                  </w:r>
                </w:p>
              </w:tc>
              <w:tc>
                <w:tcPr>
                  <w:tcW w:w="960" w:type="dxa"/>
                  <w:tcBorders>
                    <w:tl2br w:val="nil"/>
                    <w:tr2bl w:val="nil"/>
                  </w:tcBorders>
                  <w:vAlign w:val="center"/>
                </w:tcPr>
                <w:p w14:paraId="04F08928">
                  <w:pPr>
                    <w:snapToGrid w:val="0"/>
                    <w:jc w:val="center"/>
                    <w:textAlignment w:val="baseline"/>
                    <w:rPr>
                      <w:color w:val="auto"/>
                      <w:sz w:val="18"/>
                      <w:szCs w:val="18"/>
                    </w:rPr>
                  </w:pPr>
                  <w:r>
                    <w:rPr>
                      <w:rFonts w:hint="eastAsia"/>
                      <w:color w:val="auto"/>
                      <w:sz w:val="18"/>
                      <w:szCs w:val="18"/>
                      <w:lang w:val="en-US" w:eastAsia="zh-CN"/>
                    </w:rPr>
                    <w:t>900-249-08</w:t>
                  </w:r>
                </w:p>
              </w:tc>
              <w:tc>
                <w:tcPr>
                  <w:tcW w:w="767" w:type="dxa"/>
                  <w:tcBorders>
                    <w:tl2br w:val="nil"/>
                    <w:tr2bl w:val="nil"/>
                  </w:tcBorders>
                  <w:vAlign w:val="center"/>
                </w:tcPr>
                <w:p w14:paraId="370A05ED">
                  <w:pPr>
                    <w:snapToGrid w:val="0"/>
                    <w:jc w:val="center"/>
                    <w:textAlignment w:val="baseline"/>
                    <w:rPr>
                      <w:color w:val="auto"/>
                      <w:sz w:val="18"/>
                      <w:szCs w:val="18"/>
                    </w:rPr>
                  </w:pPr>
                  <w:r>
                    <w:rPr>
                      <w:rFonts w:hint="eastAsia"/>
                      <w:color w:val="auto"/>
                      <w:sz w:val="18"/>
                      <w:szCs w:val="18"/>
                      <w:lang w:val="en-US" w:eastAsia="zh-CN"/>
                    </w:rPr>
                    <w:t>0.02</w:t>
                  </w:r>
                </w:p>
              </w:tc>
              <w:tc>
                <w:tcPr>
                  <w:tcW w:w="1735" w:type="dxa"/>
                  <w:tcBorders>
                    <w:tl2br w:val="nil"/>
                    <w:tr2bl w:val="nil"/>
                  </w:tcBorders>
                  <w:vAlign w:val="center"/>
                </w:tcPr>
                <w:p w14:paraId="64895D1E">
                  <w:pPr>
                    <w:snapToGrid w:val="0"/>
                    <w:jc w:val="center"/>
                    <w:textAlignment w:val="baseline"/>
                    <w:rPr>
                      <w:color w:val="auto"/>
                      <w:sz w:val="18"/>
                      <w:szCs w:val="18"/>
                    </w:rPr>
                  </w:pPr>
                  <w:r>
                    <w:rPr>
                      <w:rFonts w:hint="eastAsia"/>
                      <w:color w:val="auto"/>
                      <w:sz w:val="18"/>
                      <w:szCs w:val="18"/>
                    </w:rPr>
                    <w:t>委托资质单位处置</w:t>
                  </w:r>
                </w:p>
              </w:tc>
            </w:tr>
            <w:tr w14:paraId="0570C2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240" w:type="dxa"/>
                  <w:tcBorders>
                    <w:tl2br w:val="nil"/>
                    <w:tr2bl w:val="nil"/>
                  </w:tcBorders>
                  <w:vAlign w:val="center"/>
                </w:tcPr>
                <w:p w14:paraId="00BD36D5">
                  <w:pPr>
                    <w:snapToGrid w:val="0"/>
                    <w:jc w:val="center"/>
                    <w:textAlignment w:val="baseline"/>
                    <w:rPr>
                      <w:rFonts w:hint="default"/>
                      <w:color w:val="auto"/>
                      <w:sz w:val="18"/>
                      <w:szCs w:val="18"/>
                      <w:lang w:val="en-US" w:eastAsia="zh-CN"/>
                    </w:rPr>
                  </w:pPr>
                  <w:r>
                    <w:rPr>
                      <w:rFonts w:hint="eastAsia"/>
                      <w:color w:val="auto"/>
                      <w:sz w:val="18"/>
                      <w:szCs w:val="18"/>
                      <w:lang w:val="en-US" w:eastAsia="zh-CN"/>
                    </w:rPr>
                    <w:t>7</w:t>
                  </w:r>
                </w:p>
              </w:tc>
              <w:tc>
                <w:tcPr>
                  <w:tcW w:w="942" w:type="dxa"/>
                  <w:tcBorders>
                    <w:tl2br w:val="nil"/>
                    <w:tr2bl w:val="nil"/>
                  </w:tcBorders>
                  <w:shd w:val="clear" w:color="auto" w:fill="auto"/>
                  <w:vAlign w:val="center"/>
                </w:tcPr>
                <w:p w14:paraId="2EFF920F">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在线仪废液</w:t>
                  </w:r>
                </w:p>
              </w:tc>
              <w:tc>
                <w:tcPr>
                  <w:tcW w:w="1195" w:type="dxa"/>
                  <w:tcBorders>
                    <w:tl2br w:val="nil"/>
                    <w:tr2bl w:val="nil"/>
                  </w:tcBorders>
                  <w:vAlign w:val="center"/>
                </w:tcPr>
                <w:p w14:paraId="1A1F05FD">
                  <w:pPr>
                    <w:snapToGrid w:val="0"/>
                    <w:jc w:val="center"/>
                    <w:textAlignment w:val="baseline"/>
                    <w:rPr>
                      <w:rFonts w:hint="eastAsia"/>
                      <w:color w:val="auto"/>
                      <w:sz w:val="18"/>
                      <w:szCs w:val="18"/>
                    </w:rPr>
                  </w:pPr>
                  <w:r>
                    <w:rPr>
                      <w:rFonts w:hint="eastAsia"/>
                      <w:color w:val="auto"/>
                      <w:sz w:val="18"/>
                      <w:szCs w:val="18"/>
                    </w:rPr>
                    <w:t>危险废物</w:t>
                  </w:r>
                </w:p>
              </w:tc>
              <w:tc>
                <w:tcPr>
                  <w:tcW w:w="1604" w:type="dxa"/>
                  <w:tcBorders>
                    <w:tl2br w:val="nil"/>
                    <w:tr2bl w:val="nil"/>
                  </w:tcBorders>
                  <w:vAlign w:val="center"/>
                </w:tcPr>
                <w:p w14:paraId="289B793C">
                  <w:pPr>
                    <w:snapToGrid w:val="0"/>
                    <w:jc w:val="center"/>
                    <w:textAlignment w:val="baseline"/>
                    <w:rPr>
                      <w:rFonts w:hint="eastAsia"/>
                      <w:color w:val="auto"/>
                      <w:sz w:val="18"/>
                      <w:szCs w:val="18"/>
                    </w:rPr>
                  </w:pPr>
                  <w:r>
                    <w:rPr>
                      <w:rFonts w:hint="eastAsia"/>
                      <w:color w:val="auto"/>
                      <w:sz w:val="18"/>
                      <w:szCs w:val="18"/>
                    </w:rPr>
                    <w:t>污水在线监测</w:t>
                  </w:r>
                </w:p>
              </w:tc>
              <w:tc>
                <w:tcPr>
                  <w:tcW w:w="615" w:type="dxa"/>
                  <w:tcBorders>
                    <w:tl2br w:val="nil"/>
                    <w:tr2bl w:val="nil"/>
                  </w:tcBorders>
                  <w:vAlign w:val="center"/>
                </w:tcPr>
                <w:p w14:paraId="48FAE6FF">
                  <w:pPr>
                    <w:snapToGrid w:val="0"/>
                    <w:jc w:val="center"/>
                    <w:textAlignment w:val="baseline"/>
                    <w:rPr>
                      <w:color w:val="auto"/>
                      <w:sz w:val="18"/>
                      <w:szCs w:val="18"/>
                    </w:rPr>
                  </w:pPr>
                  <w:r>
                    <w:rPr>
                      <w:color w:val="000000"/>
                      <w:sz w:val="18"/>
                      <w:szCs w:val="18"/>
                    </w:rPr>
                    <w:t>HW49</w:t>
                  </w:r>
                </w:p>
              </w:tc>
              <w:tc>
                <w:tcPr>
                  <w:tcW w:w="960" w:type="dxa"/>
                  <w:tcBorders>
                    <w:tl2br w:val="nil"/>
                    <w:tr2bl w:val="nil"/>
                  </w:tcBorders>
                  <w:vAlign w:val="center"/>
                </w:tcPr>
                <w:p w14:paraId="77E0C16E">
                  <w:pPr>
                    <w:snapToGrid w:val="0"/>
                    <w:jc w:val="center"/>
                    <w:textAlignment w:val="baseline"/>
                    <w:rPr>
                      <w:color w:val="auto"/>
                      <w:sz w:val="18"/>
                      <w:szCs w:val="18"/>
                    </w:rPr>
                  </w:pPr>
                  <w:r>
                    <w:rPr>
                      <w:color w:val="000000"/>
                      <w:sz w:val="18"/>
                      <w:szCs w:val="18"/>
                    </w:rPr>
                    <w:t>900-047-49</w:t>
                  </w:r>
                </w:p>
              </w:tc>
              <w:tc>
                <w:tcPr>
                  <w:tcW w:w="767" w:type="dxa"/>
                  <w:tcBorders>
                    <w:tl2br w:val="nil"/>
                    <w:tr2bl w:val="nil"/>
                  </w:tcBorders>
                  <w:vAlign w:val="center"/>
                </w:tcPr>
                <w:p w14:paraId="659D7D88">
                  <w:pPr>
                    <w:snapToGrid w:val="0"/>
                    <w:jc w:val="center"/>
                    <w:textAlignment w:val="baseline"/>
                    <w:rPr>
                      <w:color w:val="auto"/>
                      <w:sz w:val="18"/>
                      <w:szCs w:val="18"/>
                    </w:rPr>
                  </w:pPr>
                  <w:r>
                    <w:rPr>
                      <w:rFonts w:hint="eastAsia" w:cs="Times New Roman"/>
                      <w:color w:val="auto"/>
                      <w:kern w:val="2"/>
                      <w:sz w:val="18"/>
                      <w:szCs w:val="18"/>
                      <w:lang w:val="en-US" w:eastAsia="zh-CN" w:bidi="ar-SA"/>
                    </w:rPr>
                    <w:t>0.006</w:t>
                  </w:r>
                </w:p>
              </w:tc>
              <w:tc>
                <w:tcPr>
                  <w:tcW w:w="1735" w:type="dxa"/>
                  <w:tcBorders>
                    <w:tl2br w:val="nil"/>
                    <w:tr2bl w:val="nil"/>
                  </w:tcBorders>
                  <w:vAlign w:val="center"/>
                </w:tcPr>
                <w:p w14:paraId="15281687">
                  <w:pPr>
                    <w:snapToGrid w:val="0"/>
                    <w:jc w:val="center"/>
                    <w:textAlignment w:val="baseline"/>
                    <w:rPr>
                      <w:rFonts w:hint="eastAsia"/>
                      <w:color w:val="auto"/>
                      <w:sz w:val="18"/>
                      <w:szCs w:val="18"/>
                    </w:rPr>
                  </w:pPr>
                  <w:r>
                    <w:rPr>
                      <w:rFonts w:hint="eastAsia"/>
                      <w:color w:val="auto"/>
                      <w:sz w:val="18"/>
                      <w:szCs w:val="18"/>
                    </w:rPr>
                    <w:t>委托资质单位处置</w:t>
                  </w:r>
                </w:p>
              </w:tc>
            </w:tr>
            <w:tr w14:paraId="402C31F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240" w:type="dxa"/>
                  <w:tcBorders>
                    <w:tl2br w:val="nil"/>
                    <w:tr2bl w:val="nil"/>
                  </w:tcBorders>
                  <w:vAlign w:val="center"/>
                </w:tcPr>
                <w:p w14:paraId="0BB88411">
                  <w:pPr>
                    <w:snapToGrid w:val="0"/>
                    <w:jc w:val="center"/>
                    <w:textAlignment w:val="baseline"/>
                    <w:rPr>
                      <w:rFonts w:hint="default"/>
                      <w:color w:val="auto"/>
                      <w:sz w:val="18"/>
                      <w:szCs w:val="18"/>
                      <w:lang w:val="en-US" w:eastAsia="zh-CN"/>
                    </w:rPr>
                  </w:pPr>
                  <w:r>
                    <w:rPr>
                      <w:rFonts w:hint="eastAsia"/>
                      <w:color w:val="auto"/>
                      <w:sz w:val="18"/>
                      <w:szCs w:val="18"/>
                      <w:lang w:val="en-US" w:eastAsia="zh-CN"/>
                    </w:rPr>
                    <w:t>8</w:t>
                  </w:r>
                </w:p>
              </w:tc>
              <w:tc>
                <w:tcPr>
                  <w:tcW w:w="942" w:type="dxa"/>
                  <w:tcBorders>
                    <w:tl2br w:val="nil"/>
                    <w:tr2bl w:val="nil"/>
                  </w:tcBorders>
                  <w:shd w:val="clear" w:color="auto" w:fill="auto"/>
                  <w:vAlign w:val="center"/>
                </w:tcPr>
                <w:p w14:paraId="140789DF">
                  <w:pPr>
                    <w:snapToGrid w:val="0"/>
                    <w:jc w:val="center"/>
                    <w:textAlignment w:val="baseline"/>
                    <w:rPr>
                      <w:rFonts w:hint="eastAsia"/>
                      <w:color w:val="auto"/>
                      <w:sz w:val="18"/>
                      <w:szCs w:val="18"/>
                    </w:rPr>
                  </w:pPr>
                  <w:r>
                    <w:rPr>
                      <w:rFonts w:hint="eastAsia"/>
                      <w:color w:val="auto"/>
                      <w:sz w:val="18"/>
                      <w:szCs w:val="18"/>
                      <w:lang w:val="en-US" w:eastAsia="zh-CN"/>
                    </w:rPr>
                    <w:t>废试剂包装</w:t>
                  </w:r>
                </w:p>
              </w:tc>
              <w:tc>
                <w:tcPr>
                  <w:tcW w:w="1195" w:type="dxa"/>
                  <w:tcBorders>
                    <w:tl2br w:val="nil"/>
                    <w:tr2bl w:val="nil"/>
                  </w:tcBorders>
                  <w:vAlign w:val="center"/>
                </w:tcPr>
                <w:p w14:paraId="223229D2">
                  <w:pPr>
                    <w:snapToGrid w:val="0"/>
                    <w:jc w:val="center"/>
                    <w:textAlignment w:val="baseline"/>
                    <w:rPr>
                      <w:rFonts w:hint="eastAsia"/>
                      <w:color w:val="auto"/>
                      <w:sz w:val="18"/>
                      <w:szCs w:val="18"/>
                    </w:rPr>
                  </w:pPr>
                  <w:r>
                    <w:rPr>
                      <w:rFonts w:hint="eastAsia"/>
                      <w:color w:val="auto"/>
                      <w:sz w:val="18"/>
                      <w:szCs w:val="18"/>
                    </w:rPr>
                    <w:t>危险废物</w:t>
                  </w:r>
                </w:p>
              </w:tc>
              <w:tc>
                <w:tcPr>
                  <w:tcW w:w="1604" w:type="dxa"/>
                  <w:tcBorders>
                    <w:tl2br w:val="nil"/>
                    <w:tr2bl w:val="nil"/>
                  </w:tcBorders>
                  <w:vAlign w:val="center"/>
                </w:tcPr>
                <w:p w14:paraId="7DCA7A30">
                  <w:pPr>
                    <w:snapToGrid w:val="0"/>
                    <w:jc w:val="center"/>
                    <w:textAlignment w:val="baseline"/>
                    <w:rPr>
                      <w:rFonts w:hint="eastAsia"/>
                      <w:color w:val="auto"/>
                      <w:sz w:val="18"/>
                      <w:szCs w:val="18"/>
                    </w:rPr>
                  </w:pPr>
                  <w:r>
                    <w:rPr>
                      <w:rFonts w:hint="eastAsia"/>
                      <w:color w:val="auto"/>
                      <w:sz w:val="18"/>
                      <w:szCs w:val="18"/>
                    </w:rPr>
                    <w:t>污水在线监测</w:t>
                  </w:r>
                </w:p>
              </w:tc>
              <w:tc>
                <w:tcPr>
                  <w:tcW w:w="615" w:type="dxa"/>
                  <w:tcBorders>
                    <w:tl2br w:val="nil"/>
                    <w:tr2bl w:val="nil"/>
                  </w:tcBorders>
                  <w:shd w:val="clear" w:color="auto" w:fill="auto"/>
                  <w:vAlign w:val="center"/>
                </w:tcPr>
                <w:p w14:paraId="5FE743D8">
                  <w:pPr>
                    <w:snapToGrid w:val="0"/>
                    <w:jc w:val="center"/>
                    <w:textAlignment w:val="baseline"/>
                    <w:rPr>
                      <w:rFonts w:ascii="Times New Roman" w:hAnsi="Times New Roman" w:eastAsia="宋体" w:cs="Times New Roman"/>
                      <w:color w:val="auto"/>
                      <w:kern w:val="2"/>
                      <w:sz w:val="18"/>
                      <w:szCs w:val="18"/>
                      <w:lang w:val="en-US" w:eastAsia="zh-CN" w:bidi="ar-SA"/>
                    </w:rPr>
                  </w:pPr>
                  <w:r>
                    <w:rPr>
                      <w:color w:val="auto"/>
                      <w:sz w:val="18"/>
                      <w:szCs w:val="18"/>
                    </w:rPr>
                    <w:t>HW49</w:t>
                  </w:r>
                </w:p>
              </w:tc>
              <w:tc>
                <w:tcPr>
                  <w:tcW w:w="960" w:type="dxa"/>
                  <w:tcBorders>
                    <w:tl2br w:val="nil"/>
                    <w:tr2bl w:val="nil"/>
                  </w:tcBorders>
                  <w:shd w:val="clear" w:color="auto" w:fill="auto"/>
                  <w:vAlign w:val="center"/>
                </w:tcPr>
                <w:p w14:paraId="199EC839">
                  <w:pPr>
                    <w:snapToGrid w:val="0"/>
                    <w:jc w:val="center"/>
                    <w:textAlignment w:val="baseline"/>
                    <w:rPr>
                      <w:rFonts w:ascii="Times New Roman" w:hAnsi="Times New Roman" w:eastAsia="宋体" w:cs="Times New Roman"/>
                      <w:color w:val="auto"/>
                      <w:kern w:val="2"/>
                      <w:sz w:val="18"/>
                      <w:szCs w:val="18"/>
                      <w:lang w:val="en-US" w:eastAsia="zh-CN" w:bidi="ar-SA"/>
                    </w:rPr>
                  </w:pPr>
                  <w:r>
                    <w:rPr>
                      <w:color w:val="auto"/>
                      <w:sz w:val="18"/>
                      <w:szCs w:val="18"/>
                    </w:rPr>
                    <w:t>900-04</w:t>
                  </w:r>
                  <w:r>
                    <w:rPr>
                      <w:rFonts w:hint="eastAsia"/>
                      <w:color w:val="auto"/>
                      <w:sz w:val="18"/>
                      <w:szCs w:val="18"/>
                      <w:lang w:val="en-US" w:eastAsia="zh-CN"/>
                    </w:rPr>
                    <w:t>1</w:t>
                  </w:r>
                  <w:r>
                    <w:rPr>
                      <w:color w:val="auto"/>
                      <w:sz w:val="18"/>
                      <w:szCs w:val="18"/>
                    </w:rPr>
                    <w:t>-49</w:t>
                  </w:r>
                </w:p>
              </w:tc>
              <w:tc>
                <w:tcPr>
                  <w:tcW w:w="767" w:type="dxa"/>
                  <w:tcBorders>
                    <w:tl2br w:val="nil"/>
                    <w:tr2bl w:val="nil"/>
                  </w:tcBorders>
                  <w:shd w:val="clear" w:color="auto" w:fill="auto"/>
                  <w:vAlign w:val="center"/>
                </w:tcPr>
                <w:p w14:paraId="2989AB55">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0.001</w:t>
                  </w:r>
                </w:p>
              </w:tc>
              <w:tc>
                <w:tcPr>
                  <w:tcW w:w="1735" w:type="dxa"/>
                  <w:tcBorders>
                    <w:tl2br w:val="nil"/>
                    <w:tr2bl w:val="nil"/>
                  </w:tcBorders>
                  <w:vAlign w:val="center"/>
                </w:tcPr>
                <w:p w14:paraId="420BB9EF">
                  <w:pPr>
                    <w:snapToGrid w:val="0"/>
                    <w:jc w:val="center"/>
                    <w:textAlignment w:val="baseline"/>
                    <w:rPr>
                      <w:rFonts w:hint="eastAsia"/>
                      <w:color w:val="auto"/>
                      <w:sz w:val="18"/>
                      <w:szCs w:val="18"/>
                    </w:rPr>
                  </w:pPr>
                  <w:r>
                    <w:rPr>
                      <w:rFonts w:hint="eastAsia"/>
                      <w:color w:val="auto"/>
                      <w:sz w:val="18"/>
                      <w:szCs w:val="18"/>
                    </w:rPr>
                    <w:t>委托资质单位处置</w:t>
                  </w:r>
                </w:p>
              </w:tc>
            </w:tr>
            <w:tr w14:paraId="516924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240" w:type="dxa"/>
                  <w:tcBorders>
                    <w:tl2br w:val="nil"/>
                    <w:tr2bl w:val="nil"/>
                  </w:tcBorders>
                  <w:vAlign w:val="center"/>
                </w:tcPr>
                <w:p w14:paraId="5AB04584">
                  <w:pPr>
                    <w:snapToGrid w:val="0"/>
                    <w:jc w:val="center"/>
                    <w:textAlignment w:val="baseline"/>
                    <w:rPr>
                      <w:rFonts w:hint="default"/>
                      <w:color w:val="auto"/>
                      <w:sz w:val="18"/>
                      <w:szCs w:val="18"/>
                      <w:lang w:val="en-US" w:eastAsia="zh-CN"/>
                    </w:rPr>
                  </w:pPr>
                  <w:r>
                    <w:rPr>
                      <w:rFonts w:hint="eastAsia"/>
                      <w:color w:val="auto"/>
                      <w:sz w:val="18"/>
                      <w:szCs w:val="18"/>
                      <w:lang w:val="en-US" w:eastAsia="zh-CN"/>
                    </w:rPr>
                    <w:t>9</w:t>
                  </w:r>
                </w:p>
              </w:tc>
              <w:tc>
                <w:tcPr>
                  <w:tcW w:w="942" w:type="dxa"/>
                  <w:tcBorders>
                    <w:tl2br w:val="nil"/>
                    <w:tr2bl w:val="nil"/>
                  </w:tcBorders>
                  <w:shd w:val="clear" w:color="auto" w:fill="auto"/>
                  <w:vAlign w:val="center"/>
                </w:tcPr>
                <w:p w14:paraId="5C4CAE64">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废草酸包装</w:t>
                  </w:r>
                </w:p>
              </w:tc>
              <w:tc>
                <w:tcPr>
                  <w:tcW w:w="1195" w:type="dxa"/>
                  <w:tcBorders>
                    <w:tl2br w:val="nil"/>
                    <w:tr2bl w:val="nil"/>
                  </w:tcBorders>
                  <w:vAlign w:val="center"/>
                </w:tcPr>
                <w:p w14:paraId="196547B2">
                  <w:pPr>
                    <w:snapToGrid w:val="0"/>
                    <w:jc w:val="center"/>
                    <w:textAlignment w:val="baseline"/>
                    <w:rPr>
                      <w:rFonts w:hint="eastAsia"/>
                      <w:color w:val="auto"/>
                      <w:sz w:val="18"/>
                      <w:szCs w:val="18"/>
                    </w:rPr>
                  </w:pPr>
                  <w:r>
                    <w:rPr>
                      <w:rFonts w:hint="eastAsia"/>
                      <w:color w:val="auto"/>
                      <w:sz w:val="18"/>
                      <w:szCs w:val="18"/>
                    </w:rPr>
                    <w:t>危险废物</w:t>
                  </w:r>
                </w:p>
              </w:tc>
              <w:tc>
                <w:tcPr>
                  <w:tcW w:w="1604" w:type="dxa"/>
                  <w:tcBorders>
                    <w:tl2br w:val="nil"/>
                    <w:tr2bl w:val="nil"/>
                  </w:tcBorders>
                  <w:vAlign w:val="center"/>
                </w:tcPr>
                <w:p w14:paraId="18139B01">
                  <w:pPr>
                    <w:snapToGrid w:val="0"/>
                    <w:jc w:val="center"/>
                    <w:textAlignment w:val="baseline"/>
                    <w:rPr>
                      <w:rFonts w:hint="eastAsia"/>
                      <w:color w:val="auto"/>
                      <w:sz w:val="18"/>
                      <w:szCs w:val="18"/>
                    </w:rPr>
                  </w:pPr>
                  <w:r>
                    <w:rPr>
                      <w:rFonts w:hint="eastAsia"/>
                      <w:color w:val="auto"/>
                      <w:sz w:val="18"/>
                      <w:szCs w:val="18"/>
                      <w:lang w:val="en-US" w:eastAsia="zh-CN"/>
                    </w:rPr>
                    <w:t>洗综</w:t>
                  </w:r>
                </w:p>
              </w:tc>
              <w:tc>
                <w:tcPr>
                  <w:tcW w:w="615" w:type="dxa"/>
                  <w:tcBorders>
                    <w:tl2br w:val="nil"/>
                    <w:tr2bl w:val="nil"/>
                  </w:tcBorders>
                  <w:vAlign w:val="center"/>
                </w:tcPr>
                <w:p w14:paraId="5738269A">
                  <w:pPr>
                    <w:snapToGrid w:val="0"/>
                    <w:jc w:val="center"/>
                    <w:textAlignment w:val="baseline"/>
                    <w:rPr>
                      <w:color w:val="auto"/>
                      <w:sz w:val="18"/>
                      <w:szCs w:val="18"/>
                    </w:rPr>
                  </w:pPr>
                  <w:r>
                    <w:rPr>
                      <w:color w:val="auto"/>
                      <w:sz w:val="18"/>
                      <w:szCs w:val="18"/>
                    </w:rPr>
                    <w:t>HW49</w:t>
                  </w:r>
                </w:p>
              </w:tc>
              <w:tc>
                <w:tcPr>
                  <w:tcW w:w="960" w:type="dxa"/>
                  <w:tcBorders>
                    <w:tl2br w:val="nil"/>
                    <w:tr2bl w:val="nil"/>
                  </w:tcBorders>
                  <w:vAlign w:val="center"/>
                </w:tcPr>
                <w:p w14:paraId="23BB842C">
                  <w:pPr>
                    <w:snapToGrid w:val="0"/>
                    <w:jc w:val="center"/>
                    <w:textAlignment w:val="baseline"/>
                    <w:rPr>
                      <w:color w:val="auto"/>
                      <w:sz w:val="18"/>
                      <w:szCs w:val="18"/>
                    </w:rPr>
                  </w:pPr>
                  <w:r>
                    <w:rPr>
                      <w:color w:val="auto"/>
                      <w:sz w:val="18"/>
                      <w:szCs w:val="18"/>
                    </w:rPr>
                    <w:t>900-04</w:t>
                  </w:r>
                  <w:r>
                    <w:rPr>
                      <w:rFonts w:hint="eastAsia"/>
                      <w:color w:val="auto"/>
                      <w:sz w:val="18"/>
                      <w:szCs w:val="18"/>
                      <w:lang w:val="en-US" w:eastAsia="zh-CN"/>
                    </w:rPr>
                    <w:t>1</w:t>
                  </w:r>
                  <w:r>
                    <w:rPr>
                      <w:color w:val="auto"/>
                      <w:sz w:val="18"/>
                      <w:szCs w:val="18"/>
                    </w:rPr>
                    <w:t>-49</w:t>
                  </w:r>
                </w:p>
              </w:tc>
              <w:tc>
                <w:tcPr>
                  <w:tcW w:w="767" w:type="dxa"/>
                  <w:tcBorders>
                    <w:tl2br w:val="nil"/>
                    <w:tr2bl w:val="nil"/>
                  </w:tcBorders>
                  <w:vAlign w:val="center"/>
                </w:tcPr>
                <w:p w14:paraId="647520E8">
                  <w:pPr>
                    <w:snapToGrid w:val="0"/>
                    <w:jc w:val="center"/>
                    <w:textAlignment w:val="baseline"/>
                    <w:rPr>
                      <w:color w:val="auto"/>
                      <w:sz w:val="18"/>
                      <w:szCs w:val="18"/>
                    </w:rPr>
                  </w:pPr>
                  <w:r>
                    <w:rPr>
                      <w:rFonts w:hint="eastAsia" w:cs="Times New Roman"/>
                      <w:color w:val="auto"/>
                      <w:kern w:val="2"/>
                      <w:sz w:val="18"/>
                      <w:szCs w:val="18"/>
                      <w:lang w:val="en-US" w:eastAsia="zh-CN" w:bidi="ar-SA"/>
                    </w:rPr>
                    <w:t>0.0032</w:t>
                  </w:r>
                </w:p>
              </w:tc>
              <w:tc>
                <w:tcPr>
                  <w:tcW w:w="1735" w:type="dxa"/>
                  <w:tcBorders>
                    <w:tl2br w:val="nil"/>
                    <w:tr2bl w:val="nil"/>
                  </w:tcBorders>
                  <w:vAlign w:val="center"/>
                </w:tcPr>
                <w:p w14:paraId="58CD0CBB">
                  <w:pPr>
                    <w:snapToGrid w:val="0"/>
                    <w:jc w:val="center"/>
                    <w:textAlignment w:val="baseline"/>
                    <w:rPr>
                      <w:rFonts w:hint="eastAsia"/>
                      <w:color w:val="auto"/>
                      <w:sz w:val="18"/>
                      <w:szCs w:val="18"/>
                    </w:rPr>
                  </w:pPr>
                  <w:r>
                    <w:rPr>
                      <w:rFonts w:hint="eastAsia"/>
                      <w:color w:val="auto"/>
                      <w:sz w:val="18"/>
                      <w:szCs w:val="18"/>
                    </w:rPr>
                    <w:t>委托资质单位处置</w:t>
                  </w:r>
                </w:p>
              </w:tc>
            </w:tr>
            <w:tr w14:paraId="5F4FC2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240" w:type="dxa"/>
                  <w:tcBorders>
                    <w:tl2br w:val="nil"/>
                    <w:tr2bl w:val="nil"/>
                  </w:tcBorders>
                  <w:shd w:val="clear" w:color="auto" w:fill="auto"/>
                  <w:vAlign w:val="center"/>
                </w:tcPr>
                <w:p w14:paraId="49372035">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10</w:t>
                  </w:r>
                </w:p>
              </w:tc>
              <w:tc>
                <w:tcPr>
                  <w:tcW w:w="942" w:type="dxa"/>
                  <w:tcBorders>
                    <w:tl2br w:val="nil"/>
                    <w:tr2bl w:val="nil"/>
                  </w:tcBorders>
                  <w:shd w:val="clear" w:color="auto" w:fill="auto"/>
                  <w:vAlign w:val="center"/>
                </w:tcPr>
                <w:p w14:paraId="27D299B9">
                  <w:pPr>
                    <w:snapToGrid w:val="0"/>
                    <w:jc w:val="center"/>
                    <w:textAlignment w:val="baseline"/>
                    <w:rPr>
                      <w:rFonts w:hint="eastAsia"/>
                      <w:color w:val="auto"/>
                      <w:sz w:val="18"/>
                      <w:szCs w:val="18"/>
                      <w:lang w:val="en-US" w:eastAsia="zh-CN"/>
                    </w:rPr>
                  </w:pPr>
                  <w:r>
                    <w:rPr>
                      <w:rFonts w:hint="eastAsia"/>
                      <w:color w:val="auto"/>
                      <w:sz w:val="18"/>
                      <w:szCs w:val="18"/>
                      <w:lang w:val="en-US" w:eastAsia="zh-CN"/>
                    </w:rPr>
                    <w:t>静电除油废油</w:t>
                  </w:r>
                </w:p>
              </w:tc>
              <w:tc>
                <w:tcPr>
                  <w:tcW w:w="1195" w:type="dxa"/>
                  <w:tcBorders>
                    <w:tl2br w:val="nil"/>
                    <w:tr2bl w:val="nil"/>
                  </w:tcBorders>
                  <w:vAlign w:val="center"/>
                </w:tcPr>
                <w:p w14:paraId="201DDCFF">
                  <w:pPr>
                    <w:snapToGrid w:val="0"/>
                    <w:jc w:val="center"/>
                    <w:textAlignment w:val="baseline"/>
                    <w:rPr>
                      <w:rFonts w:hint="eastAsia"/>
                      <w:color w:val="auto"/>
                      <w:sz w:val="18"/>
                      <w:szCs w:val="18"/>
                    </w:rPr>
                  </w:pPr>
                  <w:r>
                    <w:rPr>
                      <w:rFonts w:hint="eastAsia"/>
                      <w:color w:val="auto"/>
                      <w:sz w:val="18"/>
                      <w:szCs w:val="18"/>
                    </w:rPr>
                    <w:t>危险废物</w:t>
                  </w:r>
                </w:p>
              </w:tc>
              <w:tc>
                <w:tcPr>
                  <w:tcW w:w="1604" w:type="dxa"/>
                  <w:tcBorders>
                    <w:tl2br w:val="nil"/>
                    <w:tr2bl w:val="nil"/>
                  </w:tcBorders>
                  <w:vAlign w:val="center"/>
                </w:tcPr>
                <w:p w14:paraId="21448BE2">
                  <w:pPr>
                    <w:snapToGrid w:val="0"/>
                    <w:jc w:val="center"/>
                    <w:textAlignment w:val="baseline"/>
                    <w:rPr>
                      <w:rFonts w:hint="eastAsia"/>
                      <w:color w:val="auto"/>
                      <w:sz w:val="18"/>
                      <w:szCs w:val="18"/>
                      <w:lang w:val="en-US" w:eastAsia="zh-CN"/>
                    </w:rPr>
                  </w:pPr>
                  <w:r>
                    <w:rPr>
                      <w:rFonts w:hint="eastAsia"/>
                      <w:color w:val="auto"/>
                      <w:sz w:val="18"/>
                      <w:szCs w:val="18"/>
                      <w:lang w:val="en-US" w:eastAsia="zh-CN"/>
                    </w:rPr>
                    <w:t>废气处理</w:t>
                  </w:r>
                </w:p>
              </w:tc>
              <w:tc>
                <w:tcPr>
                  <w:tcW w:w="615" w:type="dxa"/>
                  <w:tcBorders>
                    <w:tl2br w:val="nil"/>
                    <w:tr2bl w:val="nil"/>
                  </w:tcBorders>
                  <w:shd w:val="clear" w:color="auto" w:fill="auto"/>
                  <w:vAlign w:val="center"/>
                </w:tcPr>
                <w:p w14:paraId="2CA44241">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color w:val="auto"/>
                      <w:sz w:val="18"/>
                      <w:szCs w:val="18"/>
                    </w:rPr>
                    <w:t>HW</w:t>
                  </w:r>
                  <w:r>
                    <w:rPr>
                      <w:rFonts w:hint="eastAsia"/>
                      <w:color w:val="auto"/>
                      <w:sz w:val="18"/>
                      <w:szCs w:val="18"/>
                      <w:lang w:val="en-US" w:eastAsia="zh-CN"/>
                    </w:rPr>
                    <w:t>08</w:t>
                  </w:r>
                </w:p>
              </w:tc>
              <w:tc>
                <w:tcPr>
                  <w:tcW w:w="960" w:type="dxa"/>
                  <w:tcBorders>
                    <w:tl2br w:val="nil"/>
                    <w:tr2bl w:val="nil"/>
                  </w:tcBorders>
                  <w:shd w:val="clear" w:color="auto" w:fill="auto"/>
                  <w:vAlign w:val="center"/>
                </w:tcPr>
                <w:p w14:paraId="3BD20259">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900-249-08</w:t>
                  </w:r>
                </w:p>
              </w:tc>
              <w:tc>
                <w:tcPr>
                  <w:tcW w:w="767" w:type="dxa"/>
                  <w:tcBorders>
                    <w:tl2br w:val="nil"/>
                    <w:tr2bl w:val="nil"/>
                  </w:tcBorders>
                  <w:vAlign w:val="center"/>
                </w:tcPr>
                <w:p w14:paraId="34F829BE">
                  <w:pPr>
                    <w:snapToGrid w:val="0"/>
                    <w:jc w:val="center"/>
                    <w:textAlignment w:val="baseline"/>
                    <w:rPr>
                      <w:rFonts w:hint="eastAsia" w:cs="Times New Roman"/>
                      <w:color w:val="auto"/>
                      <w:kern w:val="2"/>
                      <w:sz w:val="18"/>
                      <w:szCs w:val="18"/>
                      <w:lang w:val="en-US" w:eastAsia="zh-CN" w:bidi="ar-SA"/>
                    </w:rPr>
                  </w:pPr>
                  <w:r>
                    <w:rPr>
                      <w:rFonts w:hint="eastAsia" w:cs="Times New Roman"/>
                      <w:color w:val="auto"/>
                      <w:kern w:val="2"/>
                      <w:sz w:val="18"/>
                      <w:szCs w:val="18"/>
                      <w:lang w:val="en-US" w:eastAsia="zh-CN" w:bidi="ar-SA"/>
                    </w:rPr>
                    <w:t>3.079</w:t>
                  </w:r>
                </w:p>
              </w:tc>
              <w:tc>
                <w:tcPr>
                  <w:tcW w:w="1735" w:type="dxa"/>
                  <w:tcBorders>
                    <w:tl2br w:val="nil"/>
                    <w:tr2bl w:val="nil"/>
                  </w:tcBorders>
                  <w:vAlign w:val="center"/>
                </w:tcPr>
                <w:p w14:paraId="6ADC6B3F">
                  <w:pPr>
                    <w:snapToGrid w:val="0"/>
                    <w:jc w:val="center"/>
                    <w:textAlignment w:val="baseline"/>
                    <w:rPr>
                      <w:rFonts w:hint="eastAsia"/>
                      <w:color w:val="auto"/>
                      <w:sz w:val="18"/>
                      <w:szCs w:val="18"/>
                    </w:rPr>
                  </w:pPr>
                  <w:r>
                    <w:rPr>
                      <w:rFonts w:hint="eastAsia"/>
                      <w:color w:val="auto"/>
                      <w:sz w:val="18"/>
                      <w:szCs w:val="18"/>
                    </w:rPr>
                    <w:t>委托资质单位处置</w:t>
                  </w:r>
                </w:p>
              </w:tc>
            </w:tr>
            <w:tr w14:paraId="234A675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240" w:type="dxa"/>
                  <w:tcBorders>
                    <w:tl2br w:val="nil"/>
                    <w:tr2bl w:val="nil"/>
                  </w:tcBorders>
                  <w:shd w:val="clear" w:color="auto" w:fill="auto"/>
                  <w:vAlign w:val="center"/>
                </w:tcPr>
                <w:p w14:paraId="17218C7C">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11</w:t>
                  </w:r>
                </w:p>
              </w:tc>
              <w:tc>
                <w:tcPr>
                  <w:tcW w:w="942" w:type="dxa"/>
                  <w:tcBorders>
                    <w:tl2br w:val="nil"/>
                    <w:tr2bl w:val="nil"/>
                  </w:tcBorders>
                  <w:shd w:val="clear" w:color="auto" w:fill="auto"/>
                  <w:vAlign w:val="center"/>
                </w:tcPr>
                <w:p w14:paraId="31CBAF90">
                  <w:pPr>
                    <w:snapToGrid w:val="0"/>
                    <w:jc w:val="center"/>
                    <w:textAlignment w:val="baseline"/>
                    <w:rPr>
                      <w:rFonts w:hint="default"/>
                      <w:color w:val="auto"/>
                      <w:sz w:val="18"/>
                      <w:szCs w:val="18"/>
                      <w:lang w:val="en-US" w:eastAsia="zh-CN"/>
                    </w:rPr>
                  </w:pPr>
                  <w:r>
                    <w:rPr>
                      <w:rFonts w:hint="eastAsia"/>
                      <w:color w:val="auto"/>
                      <w:sz w:val="18"/>
                      <w:szCs w:val="18"/>
                      <w:lang w:val="en-US" w:eastAsia="zh-CN"/>
                    </w:rPr>
                    <w:t>废活性炭</w:t>
                  </w:r>
                </w:p>
              </w:tc>
              <w:tc>
                <w:tcPr>
                  <w:tcW w:w="1195" w:type="dxa"/>
                  <w:tcBorders>
                    <w:tl2br w:val="nil"/>
                    <w:tr2bl w:val="nil"/>
                  </w:tcBorders>
                  <w:vAlign w:val="center"/>
                </w:tcPr>
                <w:p w14:paraId="0F46F2CE">
                  <w:pPr>
                    <w:snapToGrid w:val="0"/>
                    <w:jc w:val="center"/>
                    <w:textAlignment w:val="baseline"/>
                    <w:rPr>
                      <w:rFonts w:hint="eastAsia" w:eastAsia="宋体"/>
                      <w:color w:val="auto"/>
                      <w:sz w:val="18"/>
                      <w:szCs w:val="18"/>
                      <w:lang w:val="en-US" w:eastAsia="zh-CN"/>
                    </w:rPr>
                  </w:pPr>
                  <w:r>
                    <w:rPr>
                      <w:rFonts w:hint="eastAsia"/>
                      <w:color w:val="auto"/>
                      <w:sz w:val="18"/>
                      <w:szCs w:val="18"/>
                      <w:lang w:val="en-US" w:eastAsia="zh-CN"/>
                    </w:rPr>
                    <w:t>危险废物</w:t>
                  </w:r>
                </w:p>
              </w:tc>
              <w:tc>
                <w:tcPr>
                  <w:tcW w:w="1604" w:type="dxa"/>
                  <w:tcBorders>
                    <w:tl2br w:val="nil"/>
                    <w:tr2bl w:val="nil"/>
                  </w:tcBorders>
                  <w:vAlign w:val="center"/>
                </w:tcPr>
                <w:p w14:paraId="004EEA97">
                  <w:pPr>
                    <w:snapToGrid w:val="0"/>
                    <w:jc w:val="center"/>
                    <w:textAlignment w:val="baseline"/>
                    <w:rPr>
                      <w:rFonts w:hint="default"/>
                      <w:color w:val="auto"/>
                      <w:sz w:val="18"/>
                      <w:szCs w:val="18"/>
                      <w:lang w:val="en-US" w:eastAsia="zh-CN"/>
                    </w:rPr>
                  </w:pPr>
                  <w:r>
                    <w:rPr>
                      <w:rFonts w:hint="eastAsia"/>
                      <w:color w:val="auto"/>
                      <w:sz w:val="18"/>
                      <w:szCs w:val="18"/>
                      <w:lang w:val="en-US" w:eastAsia="zh-CN"/>
                    </w:rPr>
                    <w:t>废气处理</w:t>
                  </w:r>
                </w:p>
              </w:tc>
              <w:tc>
                <w:tcPr>
                  <w:tcW w:w="615" w:type="dxa"/>
                  <w:tcBorders>
                    <w:tl2br w:val="nil"/>
                    <w:tr2bl w:val="nil"/>
                  </w:tcBorders>
                  <w:shd w:val="clear" w:color="auto" w:fill="auto"/>
                  <w:vAlign w:val="center"/>
                </w:tcPr>
                <w:p w14:paraId="4BD6C84C">
                  <w:pPr>
                    <w:snapToGrid w:val="0"/>
                    <w:jc w:val="center"/>
                    <w:textAlignment w:val="baseline"/>
                    <w:rPr>
                      <w:rFonts w:ascii="Times New Roman" w:hAnsi="Times New Roman" w:eastAsia="宋体" w:cs="Times New Roman"/>
                      <w:color w:val="auto"/>
                      <w:kern w:val="2"/>
                      <w:sz w:val="18"/>
                      <w:szCs w:val="18"/>
                      <w:lang w:val="en-US" w:eastAsia="zh-CN" w:bidi="ar-SA"/>
                    </w:rPr>
                  </w:pPr>
                  <w:r>
                    <w:rPr>
                      <w:color w:val="auto"/>
                      <w:sz w:val="18"/>
                      <w:szCs w:val="18"/>
                    </w:rPr>
                    <w:t>HW49</w:t>
                  </w:r>
                </w:p>
              </w:tc>
              <w:tc>
                <w:tcPr>
                  <w:tcW w:w="960" w:type="dxa"/>
                  <w:tcBorders>
                    <w:tl2br w:val="nil"/>
                    <w:tr2bl w:val="nil"/>
                  </w:tcBorders>
                  <w:shd w:val="clear" w:color="auto" w:fill="auto"/>
                  <w:vAlign w:val="center"/>
                </w:tcPr>
                <w:p w14:paraId="68068A6C">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900-039-49</w:t>
                  </w:r>
                </w:p>
              </w:tc>
              <w:tc>
                <w:tcPr>
                  <w:tcW w:w="767" w:type="dxa"/>
                  <w:tcBorders>
                    <w:tl2br w:val="nil"/>
                    <w:tr2bl w:val="nil"/>
                  </w:tcBorders>
                  <w:vAlign w:val="center"/>
                </w:tcPr>
                <w:p w14:paraId="3AB196F3">
                  <w:pPr>
                    <w:snapToGrid w:val="0"/>
                    <w:jc w:val="center"/>
                    <w:textAlignment w:val="baseline"/>
                    <w:rPr>
                      <w:rFonts w:hint="eastAsia" w:cs="Times New Roman"/>
                      <w:color w:val="auto"/>
                      <w:kern w:val="2"/>
                      <w:sz w:val="18"/>
                      <w:szCs w:val="18"/>
                      <w:lang w:val="en-US" w:eastAsia="zh-CN" w:bidi="ar-SA"/>
                    </w:rPr>
                  </w:pPr>
                  <w:r>
                    <w:rPr>
                      <w:rFonts w:hint="eastAsia" w:cs="Times New Roman"/>
                      <w:color w:val="auto"/>
                      <w:kern w:val="2"/>
                      <w:sz w:val="18"/>
                      <w:szCs w:val="18"/>
                      <w:lang w:val="en-US" w:eastAsia="zh-CN" w:bidi="ar-SA"/>
                    </w:rPr>
                    <w:t>33.93</w:t>
                  </w:r>
                </w:p>
              </w:tc>
              <w:tc>
                <w:tcPr>
                  <w:tcW w:w="1735" w:type="dxa"/>
                  <w:tcBorders>
                    <w:tl2br w:val="nil"/>
                    <w:tr2bl w:val="nil"/>
                  </w:tcBorders>
                  <w:vAlign w:val="center"/>
                </w:tcPr>
                <w:p w14:paraId="700E425E">
                  <w:pPr>
                    <w:snapToGrid w:val="0"/>
                    <w:jc w:val="center"/>
                    <w:textAlignment w:val="baseline"/>
                    <w:rPr>
                      <w:rFonts w:hint="eastAsia"/>
                      <w:color w:val="auto"/>
                      <w:sz w:val="18"/>
                      <w:szCs w:val="18"/>
                    </w:rPr>
                  </w:pPr>
                  <w:r>
                    <w:rPr>
                      <w:rFonts w:hint="eastAsia"/>
                      <w:color w:val="auto"/>
                      <w:sz w:val="18"/>
                      <w:szCs w:val="18"/>
                    </w:rPr>
                    <w:t>委托资质单位处置</w:t>
                  </w:r>
                </w:p>
              </w:tc>
            </w:tr>
            <w:tr w14:paraId="3174C1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trPr>
              <w:tc>
                <w:tcPr>
                  <w:tcW w:w="240" w:type="dxa"/>
                  <w:tcBorders>
                    <w:tl2br w:val="nil"/>
                    <w:tr2bl w:val="nil"/>
                  </w:tcBorders>
                  <w:vAlign w:val="center"/>
                </w:tcPr>
                <w:p w14:paraId="5010F26A">
                  <w:pPr>
                    <w:snapToGrid w:val="0"/>
                    <w:jc w:val="center"/>
                    <w:textAlignment w:val="baseline"/>
                    <w:rPr>
                      <w:rFonts w:hint="default"/>
                      <w:color w:val="auto"/>
                      <w:sz w:val="18"/>
                      <w:szCs w:val="18"/>
                      <w:lang w:val="en-US" w:eastAsia="zh-CN"/>
                    </w:rPr>
                  </w:pPr>
                  <w:r>
                    <w:rPr>
                      <w:rFonts w:hint="eastAsia"/>
                      <w:color w:val="auto"/>
                      <w:sz w:val="18"/>
                      <w:szCs w:val="18"/>
                      <w:lang w:val="en-US" w:eastAsia="zh-CN"/>
                    </w:rPr>
                    <w:t>12</w:t>
                  </w:r>
                </w:p>
              </w:tc>
              <w:tc>
                <w:tcPr>
                  <w:tcW w:w="942" w:type="dxa"/>
                  <w:tcBorders>
                    <w:tl2br w:val="nil"/>
                    <w:tr2bl w:val="nil"/>
                  </w:tcBorders>
                  <w:shd w:val="clear" w:color="auto" w:fill="auto"/>
                  <w:vAlign w:val="center"/>
                </w:tcPr>
                <w:p w14:paraId="4F3D7C73">
                  <w:pPr>
                    <w:snapToGrid w:val="0"/>
                    <w:jc w:val="center"/>
                    <w:textAlignment w:val="baseline"/>
                    <w:rPr>
                      <w:rFonts w:hint="default"/>
                      <w:color w:val="auto"/>
                      <w:sz w:val="18"/>
                      <w:szCs w:val="18"/>
                      <w:lang w:val="en-US" w:eastAsia="zh-CN"/>
                    </w:rPr>
                  </w:pPr>
                  <w:r>
                    <w:rPr>
                      <w:rFonts w:hint="eastAsia"/>
                      <w:color w:val="auto"/>
                      <w:sz w:val="18"/>
                      <w:szCs w:val="18"/>
                      <w:lang w:val="en-US" w:eastAsia="zh-CN"/>
                    </w:rPr>
                    <w:t>生活垃圾</w:t>
                  </w:r>
                </w:p>
              </w:tc>
              <w:tc>
                <w:tcPr>
                  <w:tcW w:w="1195" w:type="dxa"/>
                  <w:tcBorders>
                    <w:tl2br w:val="nil"/>
                    <w:tr2bl w:val="nil"/>
                  </w:tcBorders>
                  <w:vAlign w:val="center"/>
                </w:tcPr>
                <w:p w14:paraId="7664B346">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一般固废</w:t>
                  </w:r>
                </w:p>
              </w:tc>
              <w:tc>
                <w:tcPr>
                  <w:tcW w:w="1604" w:type="dxa"/>
                  <w:tcBorders>
                    <w:tl2br w:val="nil"/>
                    <w:tr2bl w:val="nil"/>
                  </w:tcBorders>
                  <w:vAlign w:val="center"/>
                </w:tcPr>
                <w:p w14:paraId="4C11077F">
                  <w:pPr>
                    <w:snapToGrid w:val="0"/>
                    <w:jc w:val="center"/>
                    <w:textAlignment w:val="baseline"/>
                    <w:rPr>
                      <w:rFonts w:hint="default"/>
                      <w:color w:val="auto"/>
                      <w:sz w:val="18"/>
                      <w:szCs w:val="18"/>
                      <w:lang w:val="en-US" w:eastAsia="zh-CN"/>
                    </w:rPr>
                  </w:pPr>
                  <w:r>
                    <w:rPr>
                      <w:rFonts w:hint="eastAsia"/>
                      <w:color w:val="auto"/>
                      <w:sz w:val="18"/>
                      <w:szCs w:val="18"/>
                      <w:lang w:val="en-US" w:eastAsia="zh-CN"/>
                    </w:rPr>
                    <w:t>员工生活</w:t>
                  </w:r>
                </w:p>
              </w:tc>
              <w:tc>
                <w:tcPr>
                  <w:tcW w:w="615" w:type="dxa"/>
                  <w:tcBorders>
                    <w:tl2br w:val="nil"/>
                    <w:tr2bl w:val="nil"/>
                  </w:tcBorders>
                  <w:vAlign w:val="center"/>
                </w:tcPr>
                <w:p w14:paraId="555FE6FB">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S62</w:t>
                  </w:r>
                </w:p>
              </w:tc>
              <w:tc>
                <w:tcPr>
                  <w:tcW w:w="960" w:type="dxa"/>
                  <w:tcBorders>
                    <w:tl2br w:val="nil"/>
                    <w:tr2bl w:val="nil"/>
                  </w:tcBorders>
                  <w:vAlign w:val="center"/>
                </w:tcPr>
                <w:p w14:paraId="4E37B15F">
                  <w:pPr>
                    <w:snapToGrid w:val="0"/>
                    <w:jc w:val="center"/>
                    <w:textAlignment w:val="baseline"/>
                    <w:rPr>
                      <w:color w:val="auto"/>
                      <w:sz w:val="18"/>
                      <w:szCs w:val="18"/>
                    </w:rPr>
                  </w:pPr>
                  <w:r>
                    <w:rPr>
                      <w:rFonts w:hint="eastAsia"/>
                      <w:color w:val="auto"/>
                      <w:sz w:val="18"/>
                      <w:szCs w:val="18"/>
                      <w:lang w:val="en-US" w:eastAsia="zh-CN"/>
                    </w:rPr>
                    <w:t>900-001-S62</w:t>
                  </w:r>
                </w:p>
              </w:tc>
              <w:tc>
                <w:tcPr>
                  <w:tcW w:w="767" w:type="dxa"/>
                  <w:tcBorders>
                    <w:tl2br w:val="nil"/>
                    <w:tr2bl w:val="nil"/>
                  </w:tcBorders>
                  <w:vAlign w:val="center"/>
                </w:tcPr>
                <w:p w14:paraId="16AF9ED5">
                  <w:pPr>
                    <w:snapToGrid w:val="0"/>
                    <w:jc w:val="center"/>
                    <w:textAlignment w:val="baseline"/>
                    <w:rPr>
                      <w:rFonts w:hint="default" w:cs="Times New Roman"/>
                      <w:color w:val="auto"/>
                      <w:kern w:val="2"/>
                      <w:sz w:val="18"/>
                      <w:szCs w:val="18"/>
                      <w:lang w:val="en-US" w:eastAsia="zh-CN" w:bidi="ar-SA"/>
                    </w:rPr>
                  </w:pPr>
                  <w:r>
                    <w:rPr>
                      <w:rFonts w:hint="eastAsia" w:cs="Times New Roman"/>
                      <w:color w:val="auto"/>
                      <w:kern w:val="2"/>
                      <w:sz w:val="18"/>
                      <w:szCs w:val="18"/>
                      <w:lang w:val="en-US" w:eastAsia="zh-CN" w:bidi="ar-SA"/>
                    </w:rPr>
                    <w:t>4.6</w:t>
                  </w:r>
                </w:p>
              </w:tc>
              <w:tc>
                <w:tcPr>
                  <w:tcW w:w="1735" w:type="dxa"/>
                  <w:tcBorders>
                    <w:tl2br w:val="nil"/>
                    <w:tr2bl w:val="nil"/>
                  </w:tcBorders>
                  <w:vAlign w:val="center"/>
                </w:tcPr>
                <w:p w14:paraId="371A1939">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环卫部门处理</w:t>
                  </w:r>
                </w:p>
              </w:tc>
            </w:tr>
          </w:tbl>
          <w:p w14:paraId="04BB83C9">
            <w:pPr>
              <w:overflowPunct w:val="0"/>
              <w:adjustRightInd w:val="0"/>
              <w:snapToGrid w:val="0"/>
              <w:spacing w:line="360" w:lineRule="auto"/>
              <w:jc w:val="left"/>
              <w:rPr>
                <w:b/>
                <w:bCs/>
                <w:snapToGrid w:val="0"/>
                <w:color w:val="auto"/>
                <w:spacing w:val="-2"/>
                <w:kern w:val="0"/>
                <w:szCs w:val="21"/>
              </w:rPr>
            </w:pPr>
            <w:r>
              <w:rPr>
                <w:rFonts w:hint="eastAsia"/>
                <w:b/>
                <w:bCs/>
                <w:snapToGrid w:val="0"/>
                <w:color w:val="auto"/>
                <w:spacing w:val="-2"/>
                <w:kern w:val="0"/>
                <w:szCs w:val="21"/>
                <w:lang w:val="en-US" w:eastAsia="zh-CN"/>
              </w:rPr>
              <w:t>4</w:t>
            </w:r>
            <w:r>
              <w:rPr>
                <w:b/>
                <w:bCs/>
                <w:snapToGrid w:val="0"/>
                <w:color w:val="auto"/>
                <w:spacing w:val="-2"/>
                <w:kern w:val="0"/>
                <w:szCs w:val="21"/>
              </w:rPr>
              <w:t>.4</w:t>
            </w:r>
            <w:r>
              <w:rPr>
                <w:rFonts w:hint="eastAsia"/>
                <w:b/>
                <w:bCs/>
                <w:snapToGrid w:val="0"/>
                <w:color w:val="auto"/>
                <w:spacing w:val="-2"/>
                <w:kern w:val="0"/>
                <w:szCs w:val="21"/>
              </w:rPr>
              <w:t>固废污染防治措施</w:t>
            </w:r>
          </w:p>
          <w:p w14:paraId="5AAD8098">
            <w:pPr>
              <w:pStyle w:val="76"/>
              <w:ind w:firstLine="31680"/>
              <w:rPr>
                <w:color w:val="auto"/>
                <w:sz w:val="21"/>
                <w:szCs w:val="21"/>
              </w:rPr>
            </w:pPr>
            <w:r>
              <w:rPr>
                <w:rFonts w:hint="eastAsia"/>
                <w:color w:val="auto"/>
                <w:sz w:val="21"/>
                <w:szCs w:val="21"/>
              </w:rPr>
              <w:t>（</w:t>
            </w:r>
            <w:r>
              <w:rPr>
                <w:color w:val="auto"/>
                <w:sz w:val="21"/>
                <w:szCs w:val="21"/>
              </w:rPr>
              <w:t>1</w:t>
            </w:r>
            <w:r>
              <w:rPr>
                <w:rFonts w:hint="eastAsia"/>
                <w:color w:val="auto"/>
                <w:sz w:val="21"/>
                <w:szCs w:val="21"/>
              </w:rPr>
              <w:t>）一般固体废物</w:t>
            </w:r>
          </w:p>
          <w:p w14:paraId="10463876">
            <w:pPr>
              <w:pStyle w:val="76"/>
              <w:ind w:firstLine="31680"/>
              <w:rPr>
                <w:rFonts w:hint="default" w:eastAsia="宋体"/>
                <w:color w:val="auto"/>
                <w:sz w:val="21"/>
                <w:szCs w:val="21"/>
                <w:lang w:val="en-US" w:eastAsia="zh-CN"/>
              </w:rPr>
            </w:pPr>
            <w:r>
              <w:rPr>
                <w:rFonts w:hint="eastAsia"/>
                <w:color w:val="auto"/>
                <w:sz w:val="21"/>
                <w:szCs w:val="21"/>
              </w:rPr>
              <w:t>本项目产生的废丝属于一般工业固废，废丝收集后暂存一般固废仓库，定期外售给相关回收单位进行综合利用。本项目</w:t>
            </w:r>
            <w:r>
              <w:rPr>
                <w:rFonts w:hint="eastAsia"/>
                <w:color w:val="auto"/>
                <w:sz w:val="21"/>
                <w:szCs w:val="21"/>
                <w:lang w:val="en-US" w:eastAsia="zh-CN"/>
              </w:rPr>
              <w:t>拟建</w:t>
            </w:r>
            <w:r>
              <w:rPr>
                <w:rFonts w:hint="eastAsia"/>
                <w:color w:val="auto"/>
                <w:sz w:val="21"/>
                <w:szCs w:val="21"/>
              </w:rPr>
              <w:t>一般固废仓库面积约</w:t>
            </w:r>
            <w:r>
              <w:rPr>
                <w:rFonts w:hint="eastAsia"/>
                <w:color w:val="auto"/>
                <w:sz w:val="21"/>
                <w:szCs w:val="21"/>
                <w:lang w:val="en-US" w:eastAsia="zh-CN"/>
              </w:rPr>
              <w:t>2</w:t>
            </w:r>
            <w:r>
              <w:rPr>
                <w:color w:val="auto"/>
                <w:sz w:val="21"/>
                <w:szCs w:val="21"/>
              </w:rPr>
              <w:t>0m</w:t>
            </w:r>
            <w:r>
              <w:rPr>
                <w:color w:val="auto"/>
                <w:sz w:val="21"/>
                <w:szCs w:val="21"/>
                <w:vertAlign w:val="superscript"/>
              </w:rPr>
              <w:t>2</w:t>
            </w:r>
            <w:r>
              <w:rPr>
                <w:rFonts w:hint="eastAsia"/>
                <w:color w:val="auto"/>
                <w:sz w:val="21"/>
                <w:szCs w:val="21"/>
              </w:rPr>
              <w:t>，废丝约每周清运一次。一般固废仓库</w:t>
            </w:r>
            <w:r>
              <w:rPr>
                <w:rFonts w:hint="eastAsia"/>
                <w:color w:val="auto"/>
                <w:sz w:val="21"/>
                <w:szCs w:val="21"/>
                <w:lang w:val="en-US" w:eastAsia="zh-CN"/>
              </w:rPr>
              <w:t>应当</w:t>
            </w:r>
            <w:r>
              <w:rPr>
                <w:rFonts w:hint="eastAsia"/>
                <w:color w:val="auto"/>
                <w:sz w:val="21"/>
                <w:szCs w:val="21"/>
              </w:rPr>
              <w:t>按照《一般工业固体废物贮存和填埋污染控制标准》（</w:t>
            </w:r>
            <w:r>
              <w:rPr>
                <w:color w:val="auto"/>
                <w:sz w:val="21"/>
                <w:szCs w:val="21"/>
              </w:rPr>
              <w:t>GB 18599-2020</w:t>
            </w:r>
            <w:r>
              <w:rPr>
                <w:rFonts w:hint="eastAsia"/>
                <w:color w:val="auto"/>
                <w:sz w:val="21"/>
                <w:szCs w:val="21"/>
              </w:rPr>
              <w:t>）中的要求设置。</w:t>
            </w:r>
            <w:r>
              <w:rPr>
                <w:rFonts w:hint="eastAsia"/>
                <w:color w:val="auto"/>
                <w:sz w:val="21"/>
                <w:szCs w:val="21"/>
                <w:lang w:val="en-US" w:eastAsia="zh-CN"/>
              </w:rPr>
              <w:t>生活垃圾由环卫部门清理。</w:t>
            </w:r>
          </w:p>
          <w:p w14:paraId="203635AE">
            <w:pPr>
              <w:pStyle w:val="76"/>
              <w:ind w:firstLine="31680"/>
              <w:rPr>
                <w:color w:val="auto"/>
                <w:sz w:val="21"/>
                <w:szCs w:val="21"/>
              </w:rPr>
            </w:pPr>
            <w:r>
              <w:rPr>
                <w:rFonts w:hint="eastAsia"/>
                <w:color w:val="auto"/>
                <w:sz w:val="21"/>
                <w:szCs w:val="21"/>
              </w:rPr>
              <w:t>（</w:t>
            </w:r>
            <w:r>
              <w:rPr>
                <w:color w:val="auto"/>
                <w:sz w:val="21"/>
                <w:szCs w:val="21"/>
              </w:rPr>
              <w:t>2</w:t>
            </w:r>
            <w:r>
              <w:rPr>
                <w:rFonts w:hint="eastAsia"/>
                <w:color w:val="auto"/>
                <w:sz w:val="21"/>
                <w:szCs w:val="21"/>
              </w:rPr>
              <w:t>）危险废物</w:t>
            </w:r>
          </w:p>
          <w:p w14:paraId="58F71713">
            <w:pPr>
              <w:pStyle w:val="76"/>
              <w:ind w:firstLine="31680"/>
              <w:rPr>
                <w:color w:val="auto"/>
                <w:sz w:val="21"/>
                <w:szCs w:val="21"/>
              </w:rPr>
            </w:pPr>
            <w:r>
              <w:rPr>
                <w:rFonts w:hint="eastAsia"/>
                <w:color w:val="auto"/>
                <w:sz w:val="21"/>
                <w:szCs w:val="21"/>
              </w:rPr>
              <w:t>本项目产生的危险废物，收集后暂存于危废仓库，委托资质单位定期处置。本项目</w:t>
            </w:r>
            <w:r>
              <w:rPr>
                <w:rFonts w:hint="eastAsia"/>
                <w:color w:val="auto"/>
                <w:sz w:val="21"/>
                <w:szCs w:val="21"/>
                <w:lang w:val="en-US" w:eastAsia="zh-CN"/>
              </w:rPr>
              <w:t>拟建</w:t>
            </w:r>
            <w:r>
              <w:rPr>
                <w:rFonts w:hint="eastAsia"/>
                <w:color w:val="auto"/>
                <w:sz w:val="21"/>
                <w:szCs w:val="21"/>
              </w:rPr>
              <w:t>危废仓库面积约</w:t>
            </w:r>
            <w:r>
              <w:rPr>
                <w:rFonts w:hint="eastAsia"/>
                <w:color w:val="auto"/>
                <w:sz w:val="21"/>
                <w:szCs w:val="21"/>
                <w:lang w:val="en-US" w:eastAsia="zh-CN"/>
              </w:rPr>
              <w:t>20</w:t>
            </w:r>
            <w:r>
              <w:rPr>
                <w:color w:val="auto"/>
                <w:sz w:val="21"/>
                <w:szCs w:val="21"/>
              </w:rPr>
              <w:t>m</w:t>
            </w:r>
            <w:r>
              <w:rPr>
                <w:color w:val="auto"/>
                <w:sz w:val="21"/>
                <w:szCs w:val="21"/>
                <w:vertAlign w:val="superscript"/>
              </w:rPr>
              <w:t>2</w:t>
            </w:r>
            <w:r>
              <w:rPr>
                <w:rFonts w:hint="eastAsia"/>
                <w:color w:val="auto"/>
                <w:sz w:val="21"/>
                <w:szCs w:val="21"/>
              </w:rPr>
              <w:t>，按照《危险废物贮存污染控制标准》（</w:t>
            </w:r>
            <w:r>
              <w:rPr>
                <w:color w:val="auto"/>
                <w:sz w:val="21"/>
                <w:szCs w:val="21"/>
              </w:rPr>
              <w:t>GB 18597-2023</w:t>
            </w:r>
            <w:r>
              <w:rPr>
                <w:rFonts w:hint="eastAsia"/>
                <w:color w:val="auto"/>
                <w:sz w:val="21"/>
                <w:szCs w:val="21"/>
              </w:rPr>
              <w:t>）中危废仓库要求设置。危险废物贮存场所基本情况见下表。</w:t>
            </w:r>
          </w:p>
          <w:p w14:paraId="71B72D6A">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4-1</w:t>
            </w:r>
            <w:r>
              <w:rPr>
                <w:rFonts w:hint="eastAsia"/>
                <w:b/>
                <w:snapToGrid w:val="0"/>
                <w:color w:val="auto"/>
                <w:szCs w:val="21"/>
                <w:lang w:val="en-US" w:eastAsia="zh-CN"/>
              </w:rPr>
              <w:t>9</w:t>
            </w:r>
            <w:r>
              <w:rPr>
                <w:b/>
                <w:snapToGrid w:val="0"/>
                <w:color w:val="auto"/>
                <w:szCs w:val="21"/>
              </w:rPr>
              <w:t xml:space="preserve">  </w:t>
            </w:r>
            <w:r>
              <w:rPr>
                <w:rFonts w:hint="eastAsia"/>
                <w:b/>
                <w:snapToGrid w:val="0"/>
                <w:color w:val="auto"/>
                <w:szCs w:val="21"/>
              </w:rPr>
              <w:t>危险废物贮存场所基本情况</w:t>
            </w:r>
          </w:p>
          <w:tbl>
            <w:tblPr>
              <w:tblStyle w:val="26"/>
              <w:tblW w:w="8031"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464"/>
              <w:gridCol w:w="1294"/>
              <w:gridCol w:w="1522"/>
              <w:gridCol w:w="1050"/>
              <w:gridCol w:w="451"/>
              <w:gridCol w:w="660"/>
              <w:gridCol w:w="900"/>
              <w:gridCol w:w="819"/>
              <w:gridCol w:w="871"/>
            </w:tblGrid>
            <w:tr w14:paraId="358ACE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464" w:type="dxa"/>
                  <w:tcBorders>
                    <w:tl2br w:val="nil"/>
                    <w:tr2bl w:val="nil"/>
                  </w:tcBorders>
                  <w:vAlign w:val="center"/>
                </w:tcPr>
                <w:p w14:paraId="3F46D1B1">
                  <w:pPr>
                    <w:snapToGrid w:val="0"/>
                    <w:jc w:val="center"/>
                    <w:textAlignment w:val="baseline"/>
                    <w:rPr>
                      <w:color w:val="auto"/>
                      <w:sz w:val="18"/>
                      <w:szCs w:val="18"/>
                    </w:rPr>
                  </w:pPr>
                  <w:r>
                    <w:rPr>
                      <w:rFonts w:hint="eastAsia"/>
                      <w:color w:val="auto"/>
                      <w:sz w:val="18"/>
                      <w:szCs w:val="18"/>
                    </w:rPr>
                    <w:t>序号</w:t>
                  </w:r>
                </w:p>
              </w:tc>
              <w:tc>
                <w:tcPr>
                  <w:tcW w:w="1294" w:type="dxa"/>
                  <w:tcBorders>
                    <w:tl2br w:val="nil"/>
                    <w:tr2bl w:val="nil"/>
                  </w:tcBorders>
                  <w:vAlign w:val="center"/>
                </w:tcPr>
                <w:p w14:paraId="3722F30F">
                  <w:pPr>
                    <w:snapToGrid w:val="0"/>
                    <w:jc w:val="center"/>
                    <w:textAlignment w:val="baseline"/>
                    <w:rPr>
                      <w:color w:val="auto"/>
                      <w:sz w:val="18"/>
                      <w:szCs w:val="18"/>
                    </w:rPr>
                  </w:pPr>
                  <w:r>
                    <w:rPr>
                      <w:rFonts w:hint="eastAsia"/>
                      <w:color w:val="auto"/>
                      <w:sz w:val="18"/>
                      <w:szCs w:val="18"/>
                    </w:rPr>
                    <w:t>危废名称</w:t>
                  </w:r>
                </w:p>
              </w:tc>
              <w:tc>
                <w:tcPr>
                  <w:tcW w:w="1522" w:type="dxa"/>
                  <w:tcBorders>
                    <w:tl2br w:val="nil"/>
                    <w:tr2bl w:val="nil"/>
                  </w:tcBorders>
                  <w:vAlign w:val="center"/>
                </w:tcPr>
                <w:p w14:paraId="7EA40034">
                  <w:pPr>
                    <w:snapToGrid w:val="0"/>
                    <w:jc w:val="center"/>
                    <w:textAlignment w:val="baseline"/>
                    <w:rPr>
                      <w:color w:val="auto"/>
                      <w:sz w:val="18"/>
                      <w:szCs w:val="18"/>
                    </w:rPr>
                  </w:pPr>
                  <w:r>
                    <w:rPr>
                      <w:rFonts w:hint="eastAsia"/>
                      <w:color w:val="auto"/>
                      <w:sz w:val="18"/>
                      <w:szCs w:val="18"/>
                    </w:rPr>
                    <w:t>废物类别及代码</w:t>
                  </w:r>
                </w:p>
              </w:tc>
              <w:tc>
                <w:tcPr>
                  <w:tcW w:w="1050" w:type="dxa"/>
                  <w:tcBorders>
                    <w:tl2br w:val="nil"/>
                    <w:tr2bl w:val="nil"/>
                  </w:tcBorders>
                  <w:vAlign w:val="center"/>
                </w:tcPr>
                <w:p w14:paraId="7E0FA810">
                  <w:pPr>
                    <w:snapToGrid w:val="0"/>
                    <w:jc w:val="center"/>
                    <w:textAlignment w:val="baseline"/>
                    <w:rPr>
                      <w:color w:val="auto"/>
                      <w:sz w:val="18"/>
                      <w:szCs w:val="18"/>
                    </w:rPr>
                  </w:pPr>
                  <w:r>
                    <w:rPr>
                      <w:rFonts w:hint="eastAsia"/>
                      <w:color w:val="auto"/>
                      <w:sz w:val="18"/>
                      <w:szCs w:val="18"/>
                    </w:rPr>
                    <w:t>预测产生量</w:t>
                  </w:r>
                </w:p>
                <w:p w14:paraId="5B27BCEC">
                  <w:pPr>
                    <w:snapToGrid w:val="0"/>
                    <w:jc w:val="center"/>
                    <w:textAlignment w:val="baseline"/>
                    <w:rPr>
                      <w:color w:val="auto"/>
                      <w:sz w:val="18"/>
                      <w:szCs w:val="18"/>
                    </w:rPr>
                  </w:pPr>
                  <w:r>
                    <w:rPr>
                      <w:rFonts w:hint="eastAsia"/>
                      <w:color w:val="auto"/>
                      <w:sz w:val="18"/>
                      <w:szCs w:val="18"/>
                    </w:rPr>
                    <w:t>（</w:t>
                  </w:r>
                  <w:r>
                    <w:rPr>
                      <w:color w:val="auto"/>
                      <w:sz w:val="18"/>
                      <w:szCs w:val="18"/>
                    </w:rPr>
                    <w:t>t/a</w:t>
                  </w:r>
                  <w:r>
                    <w:rPr>
                      <w:rFonts w:hint="eastAsia"/>
                      <w:color w:val="auto"/>
                      <w:sz w:val="18"/>
                      <w:szCs w:val="18"/>
                    </w:rPr>
                    <w:t>）</w:t>
                  </w:r>
                </w:p>
              </w:tc>
              <w:tc>
                <w:tcPr>
                  <w:tcW w:w="451" w:type="dxa"/>
                  <w:tcBorders>
                    <w:tl2br w:val="nil"/>
                    <w:tr2bl w:val="nil"/>
                  </w:tcBorders>
                  <w:vAlign w:val="center"/>
                </w:tcPr>
                <w:p w14:paraId="04FF86A0">
                  <w:pPr>
                    <w:snapToGrid w:val="0"/>
                    <w:jc w:val="center"/>
                    <w:textAlignment w:val="baseline"/>
                    <w:rPr>
                      <w:color w:val="auto"/>
                      <w:sz w:val="18"/>
                      <w:szCs w:val="18"/>
                    </w:rPr>
                  </w:pPr>
                  <w:r>
                    <w:rPr>
                      <w:rFonts w:hint="eastAsia"/>
                      <w:color w:val="auto"/>
                      <w:sz w:val="18"/>
                      <w:szCs w:val="18"/>
                    </w:rPr>
                    <w:t>位置</w:t>
                  </w:r>
                </w:p>
              </w:tc>
              <w:tc>
                <w:tcPr>
                  <w:tcW w:w="660" w:type="dxa"/>
                  <w:tcBorders>
                    <w:tl2br w:val="nil"/>
                    <w:tr2bl w:val="nil"/>
                  </w:tcBorders>
                  <w:vAlign w:val="center"/>
                </w:tcPr>
                <w:p w14:paraId="5A34D3BC">
                  <w:pPr>
                    <w:snapToGrid w:val="0"/>
                    <w:jc w:val="center"/>
                    <w:textAlignment w:val="baseline"/>
                    <w:rPr>
                      <w:color w:val="auto"/>
                      <w:sz w:val="18"/>
                      <w:szCs w:val="18"/>
                    </w:rPr>
                  </w:pPr>
                  <w:r>
                    <w:rPr>
                      <w:rFonts w:hint="eastAsia"/>
                      <w:color w:val="auto"/>
                      <w:sz w:val="18"/>
                      <w:szCs w:val="18"/>
                    </w:rPr>
                    <w:t>面积</w:t>
                  </w:r>
                </w:p>
              </w:tc>
              <w:tc>
                <w:tcPr>
                  <w:tcW w:w="900" w:type="dxa"/>
                  <w:tcBorders>
                    <w:tl2br w:val="nil"/>
                    <w:tr2bl w:val="nil"/>
                  </w:tcBorders>
                  <w:vAlign w:val="center"/>
                </w:tcPr>
                <w:p w14:paraId="575131A8">
                  <w:pPr>
                    <w:snapToGrid w:val="0"/>
                    <w:jc w:val="center"/>
                    <w:textAlignment w:val="baseline"/>
                    <w:rPr>
                      <w:color w:val="auto"/>
                      <w:sz w:val="18"/>
                      <w:szCs w:val="18"/>
                    </w:rPr>
                  </w:pPr>
                  <w:r>
                    <w:rPr>
                      <w:rFonts w:hint="eastAsia"/>
                      <w:color w:val="auto"/>
                      <w:sz w:val="18"/>
                      <w:szCs w:val="18"/>
                    </w:rPr>
                    <w:t>贮存方式</w:t>
                  </w:r>
                </w:p>
              </w:tc>
              <w:tc>
                <w:tcPr>
                  <w:tcW w:w="819" w:type="dxa"/>
                  <w:tcBorders>
                    <w:tl2br w:val="nil"/>
                    <w:tr2bl w:val="nil"/>
                  </w:tcBorders>
                  <w:vAlign w:val="center"/>
                </w:tcPr>
                <w:p w14:paraId="7B0548E8">
                  <w:pPr>
                    <w:snapToGrid w:val="0"/>
                    <w:jc w:val="center"/>
                    <w:textAlignment w:val="baseline"/>
                    <w:rPr>
                      <w:color w:val="auto"/>
                      <w:sz w:val="18"/>
                      <w:szCs w:val="18"/>
                    </w:rPr>
                  </w:pPr>
                  <w:r>
                    <w:rPr>
                      <w:rFonts w:hint="eastAsia"/>
                      <w:color w:val="auto"/>
                      <w:sz w:val="18"/>
                      <w:szCs w:val="18"/>
                    </w:rPr>
                    <w:t>贮存能力</w:t>
                  </w:r>
                </w:p>
              </w:tc>
              <w:tc>
                <w:tcPr>
                  <w:tcW w:w="871" w:type="dxa"/>
                  <w:tcBorders>
                    <w:tl2br w:val="nil"/>
                    <w:tr2bl w:val="nil"/>
                  </w:tcBorders>
                  <w:vAlign w:val="center"/>
                </w:tcPr>
                <w:p w14:paraId="1139F360">
                  <w:pPr>
                    <w:snapToGrid w:val="0"/>
                    <w:jc w:val="center"/>
                    <w:textAlignment w:val="baseline"/>
                    <w:rPr>
                      <w:color w:val="auto"/>
                      <w:sz w:val="18"/>
                      <w:szCs w:val="18"/>
                    </w:rPr>
                  </w:pPr>
                  <w:r>
                    <w:rPr>
                      <w:rFonts w:hint="eastAsia"/>
                      <w:color w:val="auto"/>
                      <w:sz w:val="18"/>
                      <w:szCs w:val="18"/>
                    </w:rPr>
                    <w:t>贮存周期</w:t>
                  </w:r>
                </w:p>
              </w:tc>
            </w:tr>
            <w:tr w14:paraId="2AD480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00" w:hRule="atLeast"/>
                <w:tblHeader/>
                <w:jc w:val="center"/>
              </w:trPr>
              <w:tc>
                <w:tcPr>
                  <w:tcW w:w="464" w:type="dxa"/>
                  <w:tcBorders>
                    <w:tl2br w:val="nil"/>
                    <w:tr2bl w:val="nil"/>
                  </w:tcBorders>
                  <w:shd w:val="clear" w:color="auto" w:fill="auto"/>
                  <w:vAlign w:val="center"/>
                </w:tcPr>
                <w:p w14:paraId="7B92B009">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color w:val="auto"/>
                      <w:sz w:val="18"/>
                      <w:szCs w:val="18"/>
                    </w:rPr>
                    <w:t>1</w:t>
                  </w:r>
                </w:p>
              </w:tc>
              <w:tc>
                <w:tcPr>
                  <w:tcW w:w="1294" w:type="dxa"/>
                  <w:tcBorders>
                    <w:tl2br w:val="nil"/>
                    <w:tr2bl w:val="nil"/>
                  </w:tcBorders>
                  <w:vAlign w:val="center"/>
                </w:tcPr>
                <w:p w14:paraId="38554498">
                  <w:pPr>
                    <w:snapToGrid w:val="0"/>
                    <w:jc w:val="center"/>
                    <w:textAlignment w:val="baseline"/>
                    <w:rPr>
                      <w:rFonts w:hint="eastAsia"/>
                      <w:color w:val="auto"/>
                      <w:sz w:val="18"/>
                      <w:szCs w:val="18"/>
                    </w:rPr>
                  </w:pPr>
                  <w:r>
                    <w:rPr>
                      <w:rFonts w:hint="eastAsia"/>
                      <w:color w:val="auto"/>
                      <w:sz w:val="18"/>
                      <w:szCs w:val="18"/>
                      <w:lang w:val="en-US" w:eastAsia="zh-CN"/>
                    </w:rPr>
                    <w:t>废纺丝油剂包装</w:t>
                  </w:r>
                </w:p>
              </w:tc>
              <w:tc>
                <w:tcPr>
                  <w:tcW w:w="1522" w:type="dxa"/>
                  <w:tcBorders>
                    <w:tl2br w:val="nil"/>
                    <w:tr2bl w:val="nil"/>
                  </w:tcBorders>
                  <w:vAlign w:val="center"/>
                </w:tcPr>
                <w:p w14:paraId="78907CC7">
                  <w:pPr>
                    <w:snapToGrid w:val="0"/>
                    <w:jc w:val="center"/>
                    <w:textAlignment w:val="baseline"/>
                    <w:rPr>
                      <w:rFonts w:hint="eastAsia"/>
                      <w:color w:val="auto"/>
                      <w:sz w:val="18"/>
                      <w:szCs w:val="18"/>
                    </w:rPr>
                  </w:pPr>
                  <w:r>
                    <w:rPr>
                      <w:rFonts w:hint="eastAsia"/>
                      <w:color w:val="auto"/>
                      <w:sz w:val="18"/>
                      <w:szCs w:val="18"/>
                      <w:lang w:val="en-US" w:eastAsia="zh-CN"/>
                    </w:rPr>
                    <w:t>HW08 900-249-08</w:t>
                  </w:r>
                </w:p>
              </w:tc>
              <w:tc>
                <w:tcPr>
                  <w:tcW w:w="1050" w:type="dxa"/>
                  <w:tcBorders>
                    <w:tl2br w:val="nil"/>
                    <w:tr2bl w:val="nil"/>
                  </w:tcBorders>
                  <w:vAlign w:val="center"/>
                </w:tcPr>
                <w:p w14:paraId="3D37F91E">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1.2</w:t>
                  </w:r>
                </w:p>
              </w:tc>
              <w:tc>
                <w:tcPr>
                  <w:tcW w:w="451" w:type="dxa"/>
                  <w:vMerge w:val="restart"/>
                  <w:tcBorders>
                    <w:tl2br w:val="nil"/>
                    <w:tr2bl w:val="nil"/>
                  </w:tcBorders>
                  <w:vAlign w:val="center"/>
                </w:tcPr>
                <w:p w14:paraId="108D9917">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拟建厂房2层南侧</w:t>
                  </w:r>
                </w:p>
              </w:tc>
              <w:tc>
                <w:tcPr>
                  <w:tcW w:w="660" w:type="dxa"/>
                  <w:vMerge w:val="restart"/>
                  <w:tcBorders>
                    <w:tl2br w:val="nil"/>
                    <w:tr2bl w:val="nil"/>
                  </w:tcBorders>
                  <w:vAlign w:val="center"/>
                </w:tcPr>
                <w:p w14:paraId="2EDC8BBA">
                  <w:pPr>
                    <w:snapToGrid w:val="0"/>
                    <w:jc w:val="center"/>
                    <w:textAlignment w:val="baseline"/>
                    <w:rPr>
                      <w:color w:val="auto"/>
                      <w:sz w:val="18"/>
                      <w:szCs w:val="18"/>
                    </w:rPr>
                  </w:pPr>
                  <w:r>
                    <w:rPr>
                      <w:rFonts w:hint="eastAsia"/>
                      <w:color w:val="auto"/>
                      <w:sz w:val="18"/>
                      <w:szCs w:val="18"/>
                      <w:lang w:val="en-US" w:eastAsia="zh-CN"/>
                    </w:rPr>
                    <w:t>20</w:t>
                  </w:r>
                  <w:r>
                    <w:rPr>
                      <w:color w:val="auto"/>
                      <w:sz w:val="18"/>
                      <w:szCs w:val="18"/>
                    </w:rPr>
                    <w:t>m</w:t>
                  </w:r>
                  <w:r>
                    <w:rPr>
                      <w:color w:val="auto"/>
                      <w:sz w:val="18"/>
                      <w:szCs w:val="18"/>
                      <w:vertAlign w:val="superscript"/>
                    </w:rPr>
                    <w:t>2</w:t>
                  </w:r>
                </w:p>
              </w:tc>
              <w:tc>
                <w:tcPr>
                  <w:tcW w:w="900" w:type="dxa"/>
                  <w:tcBorders>
                    <w:tl2br w:val="nil"/>
                    <w:tr2bl w:val="nil"/>
                  </w:tcBorders>
                  <w:vAlign w:val="center"/>
                </w:tcPr>
                <w:p w14:paraId="58FACDC5">
                  <w:pPr>
                    <w:snapToGrid w:val="0"/>
                    <w:jc w:val="center"/>
                    <w:textAlignment w:val="baseline"/>
                    <w:rPr>
                      <w:rFonts w:hint="eastAsia"/>
                      <w:color w:val="auto"/>
                      <w:sz w:val="18"/>
                      <w:szCs w:val="18"/>
                    </w:rPr>
                  </w:pPr>
                  <w:r>
                    <w:rPr>
                      <w:rFonts w:hint="eastAsia"/>
                      <w:color w:val="auto"/>
                      <w:sz w:val="18"/>
                      <w:szCs w:val="18"/>
                      <w:lang w:val="en-US" w:eastAsia="zh-CN"/>
                    </w:rPr>
                    <w:t>堆放</w:t>
                  </w:r>
                </w:p>
              </w:tc>
              <w:tc>
                <w:tcPr>
                  <w:tcW w:w="819" w:type="dxa"/>
                  <w:vMerge w:val="restart"/>
                  <w:tcBorders>
                    <w:tl2br w:val="nil"/>
                    <w:tr2bl w:val="nil"/>
                  </w:tcBorders>
                  <w:vAlign w:val="center"/>
                </w:tcPr>
                <w:p w14:paraId="1CA602DB">
                  <w:pPr>
                    <w:snapToGrid w:val="0"/>
                    <w:jc w:val="center"/>
                    <w:textAlignment w:val="baseline"/>
                    <w:rPr>
                      <w:color w:val="auto"/>
                      <w:sz w:val="18"/>
                      <w:szCs w:val="18"/>
                    </w:rPr>
                  </w:pPr>
                  <w:r>
                    <w:rPr>
                      <w:rFonts w:hint="eastAsia"/>
                      <w:color w:val="auto"/>
                      <w:sz w:val="18"/>
                      <w:szCs w:val="18"/>
                      <w:lang w:val="en-US" w:eastAsia="zh-CN"/>
                    </w:rPr>
                    <w:t>2</w:t>
                  </w:r>
                  <w:r>
                    <w:rPr>
                      <w:color w:val="auto"/>
                      <w:sz w:val="18"/>
                      <w:szCs w:val="18"/>
                    </w:rPr>
                    <w:t>0t</w:t>
                  </w:r>
                </w:p>
              </w:tc>
              <w:tc>
                <w:tcPr>
                  <w:tcW w:w="871" w:type="dxa"/>
                  <w:tcBorders>
                    <w:tl2br w:val="nil"/>
                    <w:tr2bl w:val="nil"/>
                  </w:tcBorders>
                  <w:vAlign w:val="center"/>
                </w:tcPr>
                <w:p w14:paraId="0DCBAE54">
                  <w:pPr>
                    <w:snapToGrid w:val="0"/>
                    <w:jc w:val="center"/>
                    <w:textAlignment w:val="baseline"/>
                    <w:rPr>
                      <w:rFonts w:hint="eastAsia"/>
                      <w:color w:val="auto"/>
                      <w:sz w:val="18"/>
                      <w:szCs w:val="18"/>
                    </w:rPr>
                  </w:pPr>
                  <w:r>
                    <w:rPr>
                      <w:rFonts w:hint="eastAsia"/>
                      <w:color w:val="auto"/>
                      <w:sz w:val="18"/>
                      <w:szCs w:val="18"/>
                    </w:rPr>
                    <w:t>6个月</w:t>
                  </w:r>
                </w:p>
              </w:tc>
            </w:tr>
            <w:tr w14:paraId="36AB3C8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464" w:type="dxa"/>
                  <w:tcBorders>
                    <w:tl2br w:val="nil"/>
                    <w:tr2bl w:val="nil"/>
                  </w:tcBorders>
                  <w:shd w:val="clear" w:color="auto" w:fill="auto"/>
                  <w:vAlign w:val="center"/>
                </w:tcPr>
                <w:p w14:paraId="29AD2BCF">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2</w:t>
                  </w:r>
                </w:p>
              </w:tc>
              <w:tc>
                <w:tcPr>
                  <w:tcW w:w="1294" w:type="dxa"/>
                  <w:tcBorders>
                    <w:tl2br w:val="nil"/>
                    <w:tr2bl w:val="nil"/>
                  </w:tcBorders>
                  <w:shd w:val="clear" w:color="auto" w:fill="auto"/>
                  <w:vAlign w:val="center"/>
                </w:tcPr>
                <w:p w14:paraId="6CCE1B0E">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废润滑油</w:t>
                  </w:r>
                </w:p>
              </w:tc>
              <w:tc>
                <w:tcPr>
                  <w:tcW w:w="1522" w:type="dxa"/>
                  <w:tcBorders>
                    <w:tl2br w:val="nil"/>
                    <w:tr2bl w:val="nil"/>
                  </w:tcBorders>
                  <w:shd w:val="clear" w:color="auto" w:fill="auto"/>
                  <w:vAlign w:val="center"/>
                </w:tcPr>
                <w:p w14:paraId="73BD41DE">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 xml:space="preserve">HW08 </w:t>
                  </w:r>
                  <w:r>
                    <w:rPr>
                      <w:color w:val="auto"/>
                      <w:sz w:val="18"/>
                      <w:szCs w:val="18"/>
                    </w:rPr>
                    <w:t>900-214-08</w:t>
                  </w:r>
                </w:p>
              </w:tc>
              <w:tc>
                <w:tcPr>
                  <w:tcW w:w="1050" w:type="dxa"/>
                  <w:tcBorders>
                    <w:tl2br w:val="nil"/>
                    <w:tr2bl w:val="nil"/>
                  </w:tcBorders>
                  <w:shd w:val="clear" w:color="auto" w:fill="auto"/>
                  <w:vAlign w:val="center"/>
                </w:tcPr>
                <w:p w14:paraId="1150714B">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0.2</w:t>
                  </w:r>
                </w:p>
              </w:tc>
              <w:tc>
                <w:tcPr>
                  <w:tcW w:w="451" w:type="dxa"/>
                  <w:vMerge w:val="continue"/>
                  <w:tcBorders>
                    <w:tl2br w:val="nil"/>
                    <w:tr2bl w:val="nil"/>
                  </w:tcBorders>
                  <w:vAlign w:val="center"/>
                </w:tcPr>
                <w:p w14:paraId="6C54B811">
                  <w:pPr>
                    <w:snapToGrid w:val="0"/>
                    <w:jc w:val="center"/>
                    <w:textAlignment w:val="baseline"/>
                    <w:rPr>
                      <w:color w:val="auto"/>
                      <w:sz w:val="18"/>
                      <w:szCs w:val="18"/>
                    </w:rPr>
                  </w:pPr>
                </w:p>
              </w:tc>
              <w:tc>
                <w:tcPr>
                  <w:tcW w:w="660" w:type="dxa"/>
                  <w:vMerge w:val="continue"/>
                  <w:tcBorders>
                    <w:tl2br w:val="nil"/>
                    <w:tr2bl w:val="nil"/>
                  </w:tcBorders>
                  <w:vAlign w:val="center"/>
                </w:tcPr>
                <w:p w14:paraId="015E5A20">
                  <w:pPr>
                    <w:snapToGrid w:val="0"/>
                    <w:jc w:val="center"/>
                    <w:textAlignment w:val="baseline"/>
                    <w:rPr>
                      <w:color w:val="auto"/>
                      <w:sz w:val="18"/>
                      <w:szCs w:val="18"/>
                    </w:rPr>
                  </w:pPr>
                </w:p>
              </w:tc>
              <w:tc>
                <w:tcPr>
                  <w:tcW w:w="900" w:type="dxa"/>
                  <w:tcBorders>
                    <w:tl2br w:val="nil"/>
                    <w:tr2bl w:val="nil"/>
                  </w:tcBorders>
                  <w:vAlign w:val="center"/>
                </w:tcPr>
                <w:p w14:paraId="7114F831">
                  <w:pPr>
                    <w:snapToGrid w:val="0"/>
                    <w:jc w:val="center"/>
                    <w:textAlignment w:val="baseline"/>
                    <w:rPr>
                      <w:color w:val="auto"/>
                      <w:sz w:val="18"/>
                      <w:szCs w:val="18"/>
                    </w:rPr>
                  </w:pPr>
                  <w:r>
                    <w:rPr>
                      <w:rFonts w:hint="eastAsia"/>
                      <w:color w:val="auto"/>
                      <w:sz w:val="18"/>
                      <w:szCs w:val="18"/>
                    </w:rPr>
                    <w:t>密闭桶装</w:t>
                  </w:r>
                </w:p>
              </w:tc>
              <w:tc>
                <w:tcPr>
                  <w:tcW w:w="819" w:type="dxa"/>
                  <w:vMerge w:val="continue"/>
                  <w:tcBorders>
                    <w:tl2br w:val="nil"/>
                    <w:tr2bl w:val="nil"/>
                  </w:tcBorders>
                  <w:vAlign w:val="center"/>
                </w:tcPr>
                <w:p w14:paraId="04A22FA1">
                  <w:pPr>
                    <w:snapToGrid w:val="0"/>
                    <w:jc w:val="center"/>
                    <w:textAlignment w:val="baseline"/>
                    <w:rPr>
                      <w:color w:val="auto"/>
                      <w:sz w:val="18"/>
                      <w:szCs w:val="18"/>
                    </w:rPr>
                  </w:pPr>
                </w:p>
              </w:tc>
              <w:tc>
                <w:tcPr>
                  <w:tcW w:w="871" w:type="dxa"/>
                  <w:tcBorders>
                    <w:tl2br w:val="nil"/>
                    <w:tr2bl w:val="nil"/>
                  </w:tcBorders>
                  <w:vAlign w:val="center"/>
                </w:tcPr>
                <w:p w14:paraId="7E84D088">
                  <w:pPr>
                    <w:snapToGrid w:val="0"/>
                    <w:jc w:val="center"/>
                    <w:textAlignment w:val="baseline"/>
                    <w:rPr>
                      <w:color w:val="auto"/>
                      <w:sz w:val="18"/>
                      <w:szCs w:val="18"/>
                    </w:rPr>
                  </w:pPr>
                  <w:r>
                    <w:rPr>
                      <w:color w:val="auto"/>
                      <w:sz w:val="18"/>
                      <w:szCs w:val="18"/>
                    </w:rPr>
                    <w:t>6</w:t>
                  </w:r>
                  <w:r>
                    <w:rPr>
                      <w:rFonts w:hint="eastAsia"/>
                      <w:color w:val="auto"/>
                      <w:sz w:val="18"/>
                      <w:szCs w:val="18"/>
                    </w:rPr>
                    <w:t>个月</w:t>
                  </w:r>
                </w:p>
              </w:tc>
            </w:tr>
            <w:tr w14:paraId="2B85FC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464" w:type="dxa"/>
                  <w:tcBorders>
                    <w:tl2br w:val="nil"/>
                    <w:tr2bl w:val="nil"/>
                  </w:tcBorders>
                  <w:shd w:val="clear" w:color="auto" w:fill="auto"/>
                  <w:vAlign w:val="center"/>
                </w:tcPr>
                <w:p w14:paraId="07A50597">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3</w:t>
                  </w:r>
                </w:p>
              </w:tc>
              <w:tc>
                <w:tcPr>
                  <w:tcW w:w="1294" w:type="dxa"/>
                  <w:tcBorders>
                    <w:tl2br w:val="nil"/>
                    <w:tr2bl w:val="nil"/>
                  </w:tcBorders>
                  <w:shd w:val="clear" w:color="auto" w:fill="auto"/>
                  <w:vAlign w:val="center"/>
                </w:tcPr>
                <w:p w14:paraId="52D313A0">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eastAsia="zh-CN"/>
                    </w:rPr>
                    <w:t>废润滑油包装</w:t>
                  </w:r>
                </w:p>
              </w:tc>
              <w:tc>
                <w:tcPr>
                  <w:tcW w:w="1522" w:type="dxa"/>
                  <w:tcBorders>
                    <w:tl2br w:val="nil"/>
                    <w:tr2bl w:val="nil"/>
                  </w:tcBorders>
                  <w:shd w:val="clear" w:color="auto" w:fill="auto"/>
                  <w:vAlign w:val="center"/>
                </w:tcPr>
                <w:p w14:paraId="2999700A">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HW08 900-249-08</w:t>
                  </w:r>
                </w:p>
              </w:tc>
              <w:tc>
                <w:tcPr>
                  <w:tcW w:w="1050" w:type="dxa"/>
                  <w:tcBorders>
                    <w:tl2br w:val="nil"/>
                    <w:tr2bl w:val="nil"/>
                  </w:tcBorders>
                  <w:shd w:val="clear" w:color="auto" w:fill="auto"/>
                  <w:vAlign w:val="center"/>
                </w:tcPr>
                <w:p w14:paraId="10F3F8C4">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0.02</w:t>
                  </w:r>
                </w:p>
              </w:tc>
              <w:tc>
                <w:tcPr>
                  <w:tcW w:w="451" w:type="dxa"/>
                  <w:vMerge w:val="continue"/>
                  <w:tcBorders>
                    <w:tl2br w:val="nil"/>
                    <w:tr2bl w:val="nil"/>
                  </w:tcBorders>
                  <w:vAlign w:val="center"/>
                </w:tcPr>
                <w:p w14:paraId="5681FE13">
                  <w:pPr>
                    <w:snapToGrid w:val="0"/>
                    <w:jc w:val="center"/>
                    <w:textAlignment w:val="baseline"/>
                    <w:rPr>
                      <w:color w:val="auto"/>
                      <w:sz w:val="18"/>
                      <w:szCs w:val="18"/>
                    </w:rPr>
                  </w:pPr>
                </w:p>
              </w:tc>
              <w:tc>
                <w:tcPr>
                  <w:tcW w:w="660" w:type="dxa"/>
                  <w:vMerge w:val="continue"/>
                  <w:tcBorders>
                    <w:tl2br w:val="nil"/>
                    <w:tr2bl w:val="nil"/>
                  </w:tcBorders>
                  <w:vAlign w:val="center"/>
                </w:tcPr>
                <w:p w14:paraId="7F944C2A">
                  <w:pPr>
                    <w:snapToGrid w:val="0"/>
                    <w:jc w:val="center"/>
                    <w:textAlignment w:val="baseline"/>
                    <w:rPr>
                      <w:color w:val="auto"/>
                      <w:sz w:val="18"/>
                      <w:szCs w:val="18"/>
                    </w:rPr>
                  </w:pPr>
                </w:p>
              </w:tc>
              <w:tc>
                <w:tcPr>
                  <w:tcW w:w="900" w:type="dxa"/>
                  <w:tcBorders>
                    <w:tl2br w:val="nil"/>
                    <w:tr2bl w:val="nil"/>
                  </w:tcBorders>
                  <w:vAlign w:val="center"/>
                </w:tcPr>
                <w:p w14:paraId="22CDF4F5">
                  <w:pPr>
                    <w:snapToGrid w:val="0"/>
                    <w:jc w:val="center"/>
                    <w:textAlignment w:val="baseline"/>
                    <w:rPr>
                      <w:rFonts w:hint="eastAsia" w:eastAsia="宋体"/>
                      <w:color w:val="auto"/>
                      <w:sz w:val="18"/>
                      <w:szCs w:val="18"/>
                      <w:lang w:eastAsia="zh-CN"/>
                    </w:rPr>
                  </w:pPr>
                  <w:r>
                    <w:rPr>
                      <w:rFonts w:hint="eastAsia"/>
                      <w:color w:val="auto"/>
                      <w:sz w:val="18"/>
                      <w:szCs w:val="18"/>
                      <w:lang w:val="en-US" w:eastAsia="zh-CN"/>
                    </w:rPr>
                    <w:t>堆放</w:t>
                  </w:r>
                </w:p>
              </w:tc>
              <w:tc>
                <w:tcPr>
                  <w:tcW w:w="819" w:type="dxa"/>
                  <w:vMerge w:val="continue"/>
                  <w:tcBorders>
                    <w:tl2br w:val="nil"/>
                    <w:tr2bl w:val="nil"/>
                  </w:tcBorders>
                  <w:vAlign w:val="center"/>
                </w:tcPr>
                <w:p w14:paraId="4E9A06F4">
                  <w:pPr>
                    <w:snapToGrid w:val="0"/>
                    <w:jc w:val="center"/>
                    <w:textAlignment w:val="baseline"/>
                    <w:rPr>
                      <w:color w:val="auto"/>
                      <w:sz w:val="18"/>
                      <w:szCs w:val="18"/>
                    </w:rPr>
                  </w:pPr>
                </w:p>
              </w:tc>
              <w:tc>
                <w:tcPr>
                  <w:tcW w:w="871" w:type="dxa"/>
                  <w:tcBorders>
                    <w:tl2br w:val="nil"/>
                    <w:tr2bl w:val="nil"/>
                  </w:tcBorders>
                  <w:vAlign w:val="center"/>
                </w:tcPr>
                <w:p w14:paraId="4E084332">
                  <w:pPr>
                    <w:snapToGrid w:val="0"/>
                    <w:jc w:val="center"/>
                    <w:textAlignment w:val="baseline"/>
                    <w:rPr>
                      <w:color w:val="auto"/>
                      <w:sz w:val="18"/>
                      <w:szCs w:val="18"/>
                    </w:rPr>
                  </w:pPr>
                  <w:r>
                    <w:rPr>
                      <w:color w:val="auto"/>
                      <w:sz w:val="18"/>
                      <w:szCs w:val="18"/>
                    </w:rPr>
                    <w:t>6</w:t>
                  </w:r>
                  <w:r>
                    <w:rPr>
                      <w:rFonts w:hint="eastAsia"/>
                      <w:color w:val="auto"/>
                      <w:sz w:val="18"/>
                      <w:szCs w:val="18"/>
                    </w:rPr>
                    <w:t>个月</w:t>
                  </w:r>
                </w:p>
              </w:tc>
            </w:tr>
            <w:tr w14:paraId="42E76EA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464" w:type="dxa"/>
                  <w:tcBorders>
                    <w:tl2br w:val="nil"/>
                    <w:tr2bl w:val="nil"/>
                  </w:tcBorders>
                  <w:shd w:val="clear" w:color="auto" w:fill="auto"/>
                  <w:vAlign w:val="center"/>
                </w:tcPr>
                <w:p w14:paraId="22A43A1C">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4</w:t>
                  </w:r>
                </w:p>
              </w:tc>
              <w:tc>
                <w:tcPr>
                  <w:tcW w:w="1294" w:type="dxa"/>
                  <w:tcBorders>
                    <w:tl2br w:val="nil"/>
                    <w:tr2bl w:val="nil"/>
                  </w:tcBorders>
                  <w:shd w:val="clear" w:color="auto" w:fill="auto"/>
                  <w:vAlign w:val="center"/>
                </w:tcPr>
                <w:p w14:paraId="139DA705">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rPr>
                    <w:t>在线仪废液</w:t>
                  </w:r>
                </w:p>
              </w:tc>
              <w:tc>
                <w:tcPr>
                  <w:tcW w:w="1522" w:type="dxa"/>
                  <w:tcBorders>
                    <w:tl2br w:val="nil"/>
                    <w:tr2bl w:val="nil"/>
                  </w:tcBorders>
                  <w:shd w:val="clear" w:color="auto" w:fill="auto"/>
                  <w:vAlign w:val="center"/>
                </w:tcPr>
                <w:p w14:paraId="4B05264A">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 xml:space="preserve">HW 49 </w:t>
                  </w:r>
                  <w:r>
                    <w:rPr>
                      <w:color w:val="000000"/>
                      <w:sz w:val="18"/>
                      <w:szCs w:val="18"/>
                    </w:rPr>
                    <w:t>900-047-49</w:t>
                  </w:r>
                </w:p>
              </w:tc>
              <w:tc>
                <w:tcPr>
                  <w:tcW w:w="1050" w:type="dxa"/>
                  <w:tcBorders>
                    <w:tl2br w:val="nil"/>
                    <w:tr2bl w:val="nil"/>
                  </w:tcBorders>
                  <w:shd w:val="clear" w:color="auto" w:fill="auto"/>
                  <w:vAlign w:val="center"/>
                </w:tcPr>
                <w:p w14:paraId="52ACD068">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0.006</w:t>
                  </w:r>
                </w:p>
              </w:tc>
              <w:tc>
                <w:tcPr>
                  <w:tcW w:w="451" w:type="dxa"/>
                  <w:vMerge w:val="continue"/>
                  <w:tcBorders>
                    <w:tl2br w:val="nil"/>
                    <w:tr2bl w:val="nil"/>
                  </w:tcBorders>
                  <w:vAlign w:val="center"/>
                </w:tcPr>
                <w:p w14:paraId="66DCC788">
                  <w:pPr>
                    <w:snapToGrid w:val="0"/>
                    <w:jc w:val="center"/>
                    <w:textAlignment w:val="baseline"/>
                    <w:rPr>
                      <w:color w:val="auto"/>
                      <w:sz w:val="18"/>
                      <w:szCs w:val="18"/>
                    </w:rPr>
                  </w:pPr>
                </w:p>
              </w:tc>
              <w:tc>
                <w:tcPr>
                  <w:tcW w:w="660" w:type="dxa"/>
                  <w:vMerge w:val="continue"/>
                  <w:tcBorders>
                    <w:tl2br w:val="nil"/>
                    <w:tr2bl w:val="nil"/>
                  </w:tcBorders>
                  <w:vAlign w:val="center"/>
                </w:tcPr>
                <w:p w14:paraId="0675958F">
                  <w:pPr>
                    <w:snapToGrid w:val="0"/>
                    <w:jc w:val="center"/>
                    <w:textAlignment w:val="baseline"/>
                    <w:rPr>
                      <w:color w:val="auto"/>
                      <w:sz w:val="18"/>
                      <w:szCs w:val="18"/>
                    </w:rPr>
                  </w:pPr>
                </w:p>
              </w:tc>
              <w:tc>
                <w:tcPr>
                  <w:tcW w:w="900" w:type="dxa"/>
                  <w:tcBorders>
                    <w:tl2br w:val="nil"/>
                    <w:tr2bl w:val="nil"/>
                  </w:tcBorders>
                  <w:vAlign w:val="center"/>
                </w:tcPr>
                <w:p w14:paraId="40E7C68F">
                  <w:pPr>
                    <w:snapToGrid w:val="0"/>
                    <w:jc w:val="center"/>
                    <w:textAlignment w:val="baseline"/>
                    <w:rPr>
                      <w:rFonts w:hint="eastAsia"/>
                      <w:color w:val="auto"/>
                      <w:sz w:val="18"/>
                      <w:szCs w:val="18"/>
                    </w:rPr>
                  </w:pPr>
                  <w:r>
                    <w:rPr>
                      <w:rFonts w:hint="eastAsia"/>
                      <w:color w:val="auto"/>
                      <w:sz w:val="18"/>
                      <w:szCs w:val="18"/>
                    </w:rPr>
                    <w:t>密闭桶装</w:t>
                  </w:r>
                </w:p>
              </w:tc>
              <w:tc>
                <w:tcPr>
                  <w:tcW w:w="819" w:type="dxa"/>
                  <w:vMerge w:val="continue"/>
                  <w:tcBorders>
                    <w:tl2br w:val="nil"/>
                    <w:tr2bl w:val="nil"/>
                  </w:tcBorders>
                  <w:vAlign w:val="center"/>
                </w:tcPr>
                <w:p w14:paraId="1914DDD2">
                  <w:pPr>
                    <w:snapToGrid w:val="0"/>
                    <w:jc w:val="center"/>
                    <w:textAlignment w:val="baseline"/>
                    <w:rPr>
                      <w:color w:val="auto"/>
                      <w:sz w:val="18"/>
                      <w:szCs w:val="18"/>
                    </w:rPr>
                  </w:pPr>
                </w:p>
              </w:tc>
              <w:tc>
                <w:tcPr>
                  <w:tcW w:w="871" w:type="dxa"/>
                  <w:tcBorders>
                    <w:tl2br w:val="nil"/>
                    <w:tr2bl w:val="nil"/>
                  </w:tcBorders>
                  <w:vAlign w:val="center"/>
                </w:tcPr>
                <w:p w14:paraId="7DEF2A92">
                  <w:pPr>
                    <w:snapToGrid w:val="0"/>
                    <w:jc w:val="center"/>
                    <w:textAlignment w:val="baseline"/>
                    <w:rPr>
                      <w:color w:val="auto"/>
                      <w:sz w:val="18"/>
                      <w:szCs w:val="18"/>
                    </w:rPr>
                  </w:pPr>
                  <w:r>
                    <w:rPr>
                      <w:color w:val="auto"/>
                      <w:sz w:val="18"/>
                      <w:szCs w:val="18"/>
                    </w:rPr>
                    <w:t>6</w:t>
                  </w:r>
                  <w:r>
                    <w:rPr>
                      <w:rFonts w:hint="eastAsia"/>
                      <w:color w:val="auto"/>
                      <w:sz w:val="18"/>
                      <w:szCs w:val="18"/>
                    </w:rPr>
                    <w:t>个月</w:t>
                  </w:r>
                </w:p>
              </w:tc>
            </w:tr>
            <w:tr w14:paraId="67BF2D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464" w:type="dxa"/>
                  <w:tcBorders>
                    <w:tl2br w:val="nil"/>
                    <w:tr2bl w:val="nil"/>
                  </w:tcBorders>
                  <w:shd w:val="clear" w:color="auto" w:fill="auto"/>
                  <w:vAlign w:val="center"/>
                </w:tcPr>
                <w:p w14:paraId="184BDE1F">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5</w:t>
                  </w:r>
                </w:p>
              </w:tc>
              <w:tc>
                <w:tcPr>
                  <w:tcW w:w="1294" w:type="dxa"/>
                  <w:tcBorders>
                    <w:tl2br w:val="nil"/>
                    <w:tr2bl w:val="nil"/>
                  </w:tcBorders>
                  <w:shd w:val="clear" w:color="auto" w:fill="auto"/>
                  <w:vAlign w:val="center"/>
                </w:tcPr>
                <w:p w14:paraId="2367D2E3">
                  <w:pPr>
                    <w:snapToGrid w:val="0"/>
                    <w:jc w:val="center"/>
                    <w:textAlignment w:val="baseline"/>
                    <w:rPr>
                      <w:rFonts w:hint="default" w:eastAsia="宋体"/>
                      <w:color w:val="auto"/>
                      <w:sz w:val="18"/>
                      <w:szCs w:val="18"/>
                      <w:lang w:val="en-US" w:eastAsia="zh-CN"/>
                    </w:rPr>
                  </w:pPr>
                  <w:r>
                    <w:rPr>
                      <w:rFonts w:hint="eastAsia"/>
                      <w:color w:val="auto"/>
                      <w:sz w:val="18"/>
                      <w:szCs w:val="18"/>
                      <w:lang w:val="en-US" w:eastAsia="zh-CN"/>
                    </w:rPr>
                    <w:t>废试剂包装</w:t>
                  </w:r>
                </w:p>
              </w:tc>
              <w:tc>
                <w:tcPr>
                  <w:tcW w:w="1522" w:type="dxa"/>
                  <w:tcBorders>
                    <w:tl2br w:val="nil"/>
                    <w:tr2bl w:val="nil"/>
                  </w:tcBorders>
                  <w:shd w:val="clear" w:color="auto" w:fill="auto"/>
                  <w:vAlign w:val="center"/>
                </w:tcPr>
                <w:p w14:paraId="4CD9B19D">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 xml:space="preserve">HW 49 </w:t>
                  </w:r>
                  <w:r>
                    <w:rPr>
                      <w:color w:val="auto"/>
                      <w:sz w:val="18"/>
                      <w:szCs w:val="18"/>
                    </w:rPr>
                    <w:t>900-04</w:t>
                  </w:r>
                  <w:r>
                    <w:rPr>
                      <w:rFonts w:hint="eastAsia"/>
                      <w:color w:val="auto"/>
                      <w:sz w:val="18"/>
                      <w:szCs w:val="18"/>
                      <w:lang w:val="en-US" w:eastAsia="zh-CN"/>
                    </w:rPr>
                    <w:t>1</w:t>
                  </w:r>
                  <w:r>
                    <w:rPr>
                      <w:color w:val="auto"/>
                      <w:sz w:val="18"/>
                      <w:szCs w:val="18"/>
                    </w:rPr>
                    <w:t>-49</w:t>
                  </w:r>
                </w:p>
              </w:tc>
              <w:tc>
                <w:tcPr>
                  <w:tcW w:w="1050" w:type="dxa"/>
                  <w:tcBorders>
                    <w:tl2br w:val="nil"/>
                    <w:tr2bl w:val="nil"/>
                  </w:tcBorders>
                  <w:shd w:val="clear" w:color="auto" w:fill="auto"/>
                  <w:vAlign w:val="center"/>
                </w:tcPr>
                <w:p w14:paraId="25770C88">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0.001</w:t>
                  </w:r>
                </w:p>
              </w:tc>
              <w:tc>
                <w:tcPr>
                  <w:tcW w:w="451" w:type="dxa"/>
                  <w:vMerge w:val="continue"/>
                  <w:tcBorders>
                    <w:tl2br w:val="nil"/>
                    <w:tr2bl w:val="nil"/>
                  </w:tcBorders>
                  <w:vAlign w:val="center"/>
                </w:tcPr>
                <w:p w14:paraId="608C9182">
                  <w:pPr>
                    <w:snapToGrid w:val="0"/>
                    <w:jc w:val="center"/>
                    <w:textAlignment w:val="baseline"/>
                    <w:rPr>
                      <w:color w:val="auto"/>
                      <w:sz w:val="18"/>
                      <w:szCs w:val="18"/>
                    </w:rPr>
                  </w:pPr>
                </w:p>
              </w:tc>
              <w:tc>
                <w:tcPr>
                  <w:tcW w:w="660" w:type="dxa"/>
                  <w:vMerge w:val="continue"/>
                  <w:tcBorders>
                    <w:tl2br w:val="nil"/>
                    <w:tr2bl w:val="nil"/>
                  </w:tcBorders>
                  <w:vAlign w:val="center"/>
                </w:tcPr>
                <w:p w14:paraId="5F135759">
                  <w:pPr>
                    <w:snapToGrid w:val="0"/>
                    <w:jc w:val="center"/>
                    <w:textAlignment w:val="baseline"/>
                    <w:rPr>
                      <w:color w:val="auto"/>
                      <w:sz w:val="18"/>
                      <w:szCs w:val="18"/>
                    </w:rPr>
                  </w:pPr>
                </w:p>
              </w:tc>
              <w:tc>
                <w:tcPr>
                  <w:tcW w:w="900" w:type="dxa"/>
                  <w:tcBorders>
                    <w:tl2br w:val="nil"/>
                    <w:tr2bl w:val="nil"/>
                  </w:tcBorders>
                  <w:vAlign w:val="center"/>
                </w:tcPr>
                <w:p w14:paraId="10167A00">
                  <w:pPr>
                    <w:snapToGrid w:val="0"/>
                    <w:jc w:val="center"/>
                    <w:textAlignment w:val="baseline"/>
                    <w:rPr>
                      <w:rFonts w:hint="eastAsia"/>
                      <w:color w:val="auto"/>
                      <w:sz w:val="18"/>
                      <w:szCs w:val="18"/>
                    </w:rPr>
                  </w:pPr>
                  <w:r>
                    <w:rPr>
                      <w:rFonts w:hint="eastAsia"/>
                      <w:color w:val="auto"/>
                      <w:sz w:val="18"/>
                      <w:szCs w:val="18"/>
                      <w:lang w:val="en-US" w:eastAsia="zh-CN"/>
                    </w:rPr>
                    <w:t>袋装</w:t>
                  </w:r>
                </w:p>
              </w:tc>
              <w:tc>
                <w:tcPr>
                  <w:tcW w:w="819" w:type="dxa"/>
                  <w:vMerge w:val="continue"/>
                  <w:tcBorders>
                    <w:tl2br w:val="nil"/>
                    <w:tr2bl w:val="nil"/>
                  </w:tcBorders>
                  <w:vAlign w:val="center"/>
                </w:tcPr>
                <w:p w14:paraId="059EE4D1">
                  <w:pPr>
                    <w:snapToGrid w:val="0"/>
                    <w:jc w:val="center"/>
                    <w:textAlignment w:val="baseline"/>
                    <w:rPr>
                      <w:color w:val="auto"/>
                      <w:sz w:val="18"/>
                      <w:szCs w:val="18"/>
                    </w:rPr>
                  </w:pPr>
                </w:p>
              </w:tc>
              <w:tc>
                <w:tcPr>
                  <w:tcW w:w="871" w:type="dxa"/>
                  <w:tcBorders>
                    <w:tl2br w:val="nil"/>
                    <w:tr2bl w:val="nil"/>
                  </w:tcBorders>
                  <w:vAlign w:val="center"/>
                </w:tcPr>
                <w:p w14:paraId="761ECA24">
                  <w:pPr>
                    <w:snapToGrid w:val="0"/>
                    <w:jc w:val="center"/>
                    <w:textAlignment w:val="baseline"/>
                    <w:rPr>
                      <w:color w:val="auto"/>
                      <w:sz w:val="18"/>
                      <w:szCs w:val="18"/>
                    </w:rPr>
                  </w:pPr>
                  <w:r>
                    <w:rPr>
                      <w:color w:val="auto"/>
                      <w:sz w:val="18"/>
                      <w:szCs w:val="18"/>
                    </w:rPr>
                    <w:t>6</w:t>
                  </w:r>
                  <w:r>
                    <w:rPr>
                      <w:rFonts w:hint="eastAsia"/>
                      <w:color w:val="auto"/>
                      <w:sz w:val="18"/>
                      <w:szCs w:val="18"/>
                    </w:rPr>
                    <w:t>个月</w:t>
                  </w:r>
                </w:p>
              </w:tc>
            </w:tr>
            <w:tr w14:paraId="2E9529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464" w:type="dxa"/>
                  <w:tcBorders>
                    <w:tl2br w:val="nil"/>
                    <w:tr2bl w:val="nil"/>
                  </w:tcBorders>
                  <w:vAlign w:val="center"/>
                </w:tcPr>
                <w:p w14:paraId="35520F19">
                  <w:pPr>
                    <w:snapToGrid w:val="0"/>
                    <w:jc w:val="center"/>
                    <w:textAlignment w:val="baseline"/>
                    <w:rPr>
                      <w:rFonts w:hint="default"/>
                      <w:color w:val="auto"/>
                      <w:sz w:val="18"/>
                      <w:szCs w:val="18"/>
                      <w:lang w:val="en-US" w:eastAsia="zh-CN"/>
                    </w:rPr>
                  </w:pPr>
                  <w:r>
                    <w:rPr>
                      <w:rFonts w:hint="eastAsia"/>
                      <w:color w:val="auto"/>
                      <w:sz w:val="18"/>
                      <w:szCs w:val="18"/>
                      <w:lang w:val="en-US" w:eastAsia="zh-CN"/>
                    </w:rPr>
                    <w:t>6</w:t>
                  </w:r>
                </w:p>
              </w:tc>
              <w:tc>
                <w:tcPr>
                  <w:tcW w:w="1294" w:type="dxa"/>
                  <w:tcBorders>
                    <w:tl2br w:val="nil"/>
                    <w:tr2bl w:val="nil"/>
                  </w:tcBorders>
                  <w:shd w:val="clear" w:color="auto" w:fill="auto"/>
                  <w:vAlign w:val="center"/>
                </w:tcPr>
                <w:p w14:paraId="3FA5A776">
                  <w:pPr>
                    <w:snapToGrid w:val="0"/>
                    <w:jc w:val="center"/>
                    <w:textAlignment w:val="baseline"/>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废草酸包装</w:t>
                  </w:r>
                </w:p>
              </w:tc>
              <w:tc>
                <w:tcPr>
                  <w:tcW w:w="1522" w:type="dxa"/>
                  <w:tcBorders>
                    <w:tl2br w:val="nil"/>
                    <w:tr2bl w:val="nil"/>
                  </w:tcBorders>
                  <w:shd w:val="clear" w:color="auto" w:fill="auto"/>
                  <w:vAlign w:val="center"/>
                </w:tcPr>
                <w:p w14:paraId="39A63038">
                  <w:pPr>
                    <w:snapToGrid w:val="0"/>
                    <w:jc w:val="center"/>
                    <w:textAlignment w:val="baseline"/>
                    <w:rPr>
                      <w:rFonts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 xml:space="preserve">HW 49 </w:t>
                  </w:r>
                  <w:r>
                    <w:rPr>
                      <w:color w:val="auto"/>
                      <w:sz w:val="18"/>
                      <w:szCs w:val="18"/>
                    </w:rPr>
                    <w:t>900-04</w:t>
                  </w:r>
                  <w:r>
                    <w:rPr>
                      <w:rFonts w:hint="eastAsia"/>
                      <w:color w:val="auto"/>
                      <w:sz w:val="18"/>
                      <w:szCs w:val="18"/>
                      <w:lang w:val="en-US" w:eastAsia="zh-CN"/>
                    </w:rPr>
                    <w:t>1</w:t>
                  </w:r>
                  <w:r>
                    <w:rPr>
                      <w:color w:val="auto"/>
                      <w:sz w:val="18"/>
                      <w:szCs w:val="18"/>
                    </w:rPr>
                    <w:t>-49</w:t>
                  </w:r>
                </w:p>
              </w:tc>
              <w:tc>
                <w:tcPr>
                  <w:tcW w:w="1050" w:type="dxa"/>
                  <w:tcBorders>
                    <w:tl2br w:val="nil"/>
                    <w:tr2bl w:val="nil"/>
                  </w:tcBorders>
                  <w:shd w:val="clear" w:color="auto" w:fill="auto"/>
                  <w:vAlign w:val="center"/>
                </w:tcPr>
                <w:p w14:paraId="65708637">
                  <w:pPr>
                    <w:snapToGrid w:val="0"/>
                    <w:jc w:val="center"/>
                    <w:textAlignment w:val="baseline"/>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0.0032</w:t>
                  </w:r>
                </w:p>
              </w:tc>
              <w:tc>
                <w:tcPr>
                  <w:tcW w:w="451" w:type="dxa"/>
                  <w:vMerge w:val="continue"/>
                  <w:tcBorders>
                    <w:tl2br w:val="nil"/>
                    <w:tr2bl w:val="nil"/>
                  </w:tcBorders>
                  <w:vAlign w:val="center"/>
                </w:tcPr>
                <w:p w14:paraId="060EEA7F">
                  <w:pPr>
                    <w:snapToGrid w:val="0"/>
                    <w:jc w:val="center"/>
                    <w:textAlignment w:val="baseline"/>
                    <w:rPr>
                      <w:color w:val="auto"/>
                      <w:sz w:val="18"/>
                      <w:szCs w:val="18"/>
                    </w:rPr>
                  </w:pPr>
                </w:p>
              </w:tc>
              <w:tc>
                <w:tcPr>
                  <w:tcW w:w="660" w:type="dxa"/>
                  <w:vMerge w:val="continue"/>
                  <w:tcBorders>
                    <w:tl2br w:val="nil"/>
                    <w:tr2bl w:val="nil"/>
                  </w:tcBorders>
                  <w:vAlign w:val="center"/>
                </w:tcPr>
                <w:p w14:paraId="4532FFBF">
                  <w:pPr>
                    <w:snapToGrid w:val="0"/>
                    <w:jc w:val="center"/>
                    <w:textAlignment w:val="baseline"/>
                    <w:rPr>
                      <w:color w:val="auto"/>
                      <w:sz w:val="18"/>
                      <w:szCs w:val="18"/>
                    </w:rPr>
                  </w:pPr>
                </w:p>
              </w:tc>
              <w:tc>
                <w:tcPr>
                  <w:tcW w:w="900" w:type="dxa"/>
                  <w:vMerge w:val="restart"/>
                  <w:tcBorders>
                    <w:tl2br w:val="nil"/>
                    <w:tr2bl w:val="nil"/>
                  </w:tcBorders>
                  <w:vAlign w:val="center"/>
                </w:tcPr>
                <w:p w14:paraId="50D1758E">
                  <w:pPr>
                    <w:snapToGrid w:val="0"/>
                    <w:jc w:val="center"/>
                    <w:textAlignment w:val="baseline"/>
                    <w:rPr>
                      <w:rFonts w:hint="eastAsia"/>
                      <w:color w:val="auto"/>
                      <w:sz w:val="18"/>
                      <w:szCs w:val="18"/>
                    </w:rPr>
                  </w:pPr>
                  <w:r>
                    <w:rPr>
                      <w:rFonts w:hint="eastAsia"/>
                      <w:color w:val="auto"/>
                      <w:sz w:val="18"/>
                      <w:szCs w:val="18"/>
                      <w:lang w:val="en-US" w:eastAsia="zh-CN"/>
                    </w:rPr>
                    <w:t>袋装</w:t>
                  </w:r>
                </w:p>
              </w:tc>
              <w:tc>
                <w:tcPr>
                  <w:tcW w:w="819" w:type="dxa"/>
                  <w:vMerge w:val="continue"/>
                  <w:tcBorders>
                    <w:tl2br w:val="nil"/>
                    <w:tr2bl w:val="nil"/>
                  </w:tcBorders>
                  <w:vAlign w:val="center"/>
                </w:tcPr>
                <w:p w14:paraId="715EB917">
                  <w:pPr>
                    <w:snapToGrid w:val="0"/>
                    <w:jc w:val="center"/>
                    <w:textAlignment w:val="baseline"/>
                    <w:rPr>
                      <w:color w:val="auto"/>
                      <w:sz w:val="18"/>
                      <w:szCs w:val="18"/>
                    </w:rPr>
                  </w:pPr>
                </w:p>
              </w:tc>
              <w:tc>
                <w:tcPr>
                  <w:tcW w:w="871" w:type="dxa"/>
                  <w:tcBorders>
                    <w:tl2br w:val="nil"/>
                    <w:tr2bl w:val="nil"/>
                  </w:tcBorders>
                  <w:vAlign w:val="center"/>
                </w:tcPr>
                <w:p w14:paraId="4C249307">
                  <w:pPr>
                    <w:snapToGrid w:val="0"/>
                    <w:jc w:val="center"/>
                    <w:textAlignment w:val="baseline"/>
                    <w:rPr>
                      <w:color w:val="auto"/>
                      <w:sz w:val="18"/>
                      <w:szCs w:val="18"/>
                    </w:rPr>
                  </w:pPr>
                  <w:r>
                    <w:rPr>
                      <w:color w:val="auto"/>
                      <w:sz w:val="18"/>
                      <w:szCs w:val="18"/>
                    </w:rPr>
                    <w:t>6</w:t>
                  </w:r>
                  <w:r>
                    <w:rPr>
                      <w:rFonts w:hint="eastAsia"/>
                      <w:color w:val="auto"/>
                      <w:sz w:val="18"/>
                      <w:szCs w:val="18"/>
                    </w:rPr>
                    <w:t>个月</w:t>
                  </w:r>
                </w:p>
              </w:tc>
            </w:tr>
            <w:tr w14:paraId="20C74A4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464" w:type="dxa"/>
                  <w:tcBorders>
                    <w:tl2br w:val="nil"/>
                    <w:tr2bl w:val="nil"/>
                  </w:tcBorders>
                  <w:vAlign w:val="center"/>
                </w:tcPr>
                <w:p w14:paraId="0F952121">
                  <w:pPr>
                    <w:snapToGrid w:val="0"/>
                    <w:jc w:val="center"/>
                    <w:textAlignment w:val="baseline"/>
                    <w:rPr>
                      <w:rFonts w:hint="default"/>
                      <w:color w:val="auto"/>
                      <w:sz w:val="18"/>
                      <w:szCs w:val="18"/>
                      <w:lang w:val="en-US" w:eastAsia="zh-CN"/>
                    </w:rPr>
                  </w:pPr>
                  <w:r>
                    <w:rPr>
                      <w:rFonts w:hint="eastAsia"/>
                      <w:color w:val="auto"/>
                      <w:sz w:val="18"/>
                      <w:szCs w:val="18"/>
                      <w:lang w:val="en-US" w:eastAsia="zh-CN"/>
                    </w:rPr>
                    <w:t>7</w:t>
                  </w:r>
                </w:p>
              </w:tc>
              <w:tc>
                <w:tcPr>
                  <w:tcW w:w="1294" w:type="dxa"/>
                  <w:tcBorders>
                    <w:tl2br w:val="nil"/>
                    <w:tr2bl w:val="nil"/>
                  </w:tcBorders>
                  <w:shd w:val="clear" w:color="auto" w:fill="auto"/>
                  <w:vAlign w:val="center"/>
                </w:tcPr>
                <w:p w14:paraId="2F515ED3">
                  <w:pPr>
                    <w:snapToGrid w:val="0"/>
                    <w:jc w:val="center"/>
                    <w:textAlignment w:val="baseline"/>
                    <w:rPr>
                      <w:rFonts w:hint="eastAsia"/>
                      <w:color w:val="auto"/>
                      <w:sz w:val="18"/>
                      <w:szCs w:val="18"/>
                      <w:lang w:val="en-US" w:eastAsia="zh-CN"/>
                    </w:rPr>
                  </w:pPr>
                  <w:r>
                    <w:rPr>
                      <w:rFonts w:hint="eastAsia"/>
                      <w:color w:val="auto"/>
                      <w:sz w:val="18"/>
                      <w:szCs w:val="18"/>
                      <w:lang w:val="en-US" w:eastAsia="zh-CN"/>
                    </w:rPr>
                    <w:t>静电除油废油</w:t>
                  </w:r>
                </w:p>
              </w:tc>
              <w:tc>
                <w:tcPr>
                  <w:tcW w:w="1522" w:type="dxa"/>
                  <w:tcBorders>
                    <w:tl2br w:val="nil"/>
                    <w:tr2bl w:val="nil"/>
                  </w:tcBorders>
                  <w:shd w:val="clear" w:color="auto" w:fill="auto"/>
                  <w:vAlign w:val="center"/>
                </w:tcPr>
                <w:p w14:paraId="6DF5AC3A">
                  <w:pPr>
                    <w:snapToGrid w:val="0"/>
                    <w:jc w:val="center"/>
                    <w:textAlignment w:val="baseline"/>
                    <w:rPr>
                      <w:rFonts w:hint="eastAsia"/>
                      <w:color w:val="auto"/>
                      <w:sz w:val="18"/>
                      <w:szCs w:val="18"/>
                      <w:lang w:val="en-US" w:eastAsia="zh-CN"/>
                    </w:rPr>
                  </w:pPr>
                  <w:r>
                    <w:rPr>
                      <w:rFonts w:hint="eastAsia"/>
                      <w:color w:val="auto"/>
                      <w:sz w:val="18"/>
                      <w:szCs w:val="18"/>
                      <w:lang w:val="en-US" w:eastAsia="zh-CN"/>
                    </w:rPr>
                    <w:t>HW08 900-249-08</w:t>
                  </w:r>
                </w:p>
              </w:tc>
              <w:tc>
                <w:tcPr>
                  <w:tcW w:w="1050" w:type="dxa"/>
                  <w:tcBorders>
                    <w:tl2br w:val="nil"/>
                    <w:tr2bl w:val="nil"/>
                  </w:tcBorders>
                  <w:shd w:val="clear" w:color="auto" w:fill="auto"/>
                  <w:vAlign w:val="center"/>
                </w:tcPr>
                <w:p w14:paraId="69156F42">
                  <w:pPr>
                    <w:snapToGrid w:val="0"/>
                    <w:jc w:val="center"/>
                    <w:textAlignment w:val="baseline"/>
                    <w:rPr>
                      <w:rFonts w:hint="eastAsia" w:cs="Times New Roman"/>
                      <w:color w:val="auto"/>
                      <w:kern w:val="2"/>
                      <w:sz w:val="18"/>
                      <w:szCs w:val="18"/>
                      <w:lang w:val="en-US" w:eastAsia="zh-CN" w:bidi="ar-SA"/>
                    </w:rPr>
                  </w:pPr>
                  <w:r>
                    <w:rPr>
                      <w:rFonts w:hint="eastAsia" w:cs="Times New Roman"/>
                      <w:color w:val="auto"/>
                      <w:kern w:val="2"/>
                      <w:sz w:val="18"/>
                      <w:szCs w:val="18"/>
                      <w:lang w:val="en-US" w:eastAsia="zh-CN" w:bidi="ar-SA"/>
                    </w:rPr>
                    <w:t>3.079</w:t>
                  </w:r>
                </w:p>
              </w:tc>
              <w:tc>
                <w:tcPr>
                  <w:tcW w:w="451" w:type="dxa"/>
                  <w:vMerge w:val="continue"/>
                  <w:tcBorders>
                    <w:tl2br w:val="nil"/>
                    <w:tr2bl w:val="nil"/>
                  </w:tcBorders>
                  <w:vAlign w:val="center"/>
                </w:tcPr>
                <w:p w14:paraId="3C3C19D8">
                  <w:pPr>
                    <w:snapToGrid w:val="0"/>
                    <w:jc w:val="center"/>
                    <w:textAlignment w:val="baseline"/>
                    <w:rPr>
                      <w:color w:val="auto"/>
                      <w:sz w:val="18"/>
                      <w:szCs w:val="18"/>
                    </w:rPr>
                  </w:pPr>
                </w:p>
              </w:tc>
              <w:tc>
                <w:tcPr>
                  <w:tcW w:w="660" w:type="dxa"/>
                  <w:vMerge w:val="continue"/>
                  <w:tcBorders>
                    <w:tl2br w:val="nil"/>
                    <w:tr2bl w:val="nil"/>
                  </w:tcBorders>
                  <w:vAlign w:val="center"/>
                </w:tcPr>
                <w:p w14:paraId="523D94E8">
                  <w:pPr>
                    <w:snapToGrid w:val="0"/>
                    <w:jc w:val="center"/>
                    <w:textAlignment w:val="baseline"/>
                    <w:rPr>
                      <w:color w:val="auto"/>
                      <w:sz w:val="18"/>
                      <w:szCs w:val="18"/>
                    </w:rPr>
                  </w:pPr>
                </w:p>
              </w:tc>
              <w:tc>
                <w:tcPr>
                  <w:tcW w:w="900" w:type="dxa"/>
                  <w:vMerge w:val="continue"/>
                  <w:tcBorders>
                    <w:tl2br w:val="nil"/>
                    <w:tr2bl w:val="nil"/>
                  </w:tcBorders>
                  <w:vAlign w:val="center"/>
                </w:tcPr>
                <w:p w14:paraId="327EE01B">
                  <w:pPr>
                    <w:snapToGrid w:val="0"/>
                    <w:jc w:val="center"/>
                    <w:textAlignment w:val="baseline"/>
                    <w:rPr>
                      <w:rFonts w:hint="eastAsia"/>
                      <w:color w:val="auto"/>
                      <w:sz w:val="18"/>
                      <w:szCs w:val="18"/>
                      <w:lang w:val="en-US" w:eastAsia="zh-CN"/>
                    </w:rPr>
                  </w:pPr>
                </w:p>
              </w:tc>
              <w:tc>
                <w:tcPr>
                  <w:tcW w:w="819" w:type="dxa"/>
                  <w:vMerge w:val="continue"/>
                  <w:tcBorders>
                    <w:tl2br w:val="nil"/>
                    <w:tr2bl w:val="nil"/>
                  </w:tcBorders>
                  <w:vAlign w:val="center"/>
                </w:tcPr>
                <w:p w14:paraId="11216627">
                  <w:pPr>
                    <w:snapToGrid w:val="0"/>
                    <w:jc w:val="center"/>
                    <w:textAlignment w:val="baseline"/>
                    <w:rPr>
                      <w:color w:val="auto"/>
                      <w:sz w:val="18"/>
                      <w:szCs w:val="18"/>
                    </w:rPr>
                  </w:pPr>
                </w:p>
              </w:tc>
              <w:tc>
                <w:tcPr>
                  <w:tcW w:w="871" w:type="dxa"/>
                  <w:tcBorders>
                    <w:tl2br w:val="nil"/>
                    <w:tr2bl w:val="nil"/>
                  </w:tcBorders>
                  <w:vAlign w:val="center"/>
                </w:tcPr>
                <w:p w14:paraId="2F165624">
                  <w:pPr>
                    <w:snapToGrid w:val="0"/>
                    <w:jc w:val="center"/>
                    <w:textAlignment w:val="baseline"/>
                    <w:rPr>
                      <w:color w:val="auto"/>
                      <w:sz w:val="18"/>
                      <w:szCs w:val="18"/>
                    </w:rPr>
                  </w:pPr>
                  <w:r>
                    <w:rPr>
                      <w:color w:val="auto"/>
                      <w:sz w:val="18"/>
                      <w:szCs w:val="18"/>
                    </w:rPr>
                    <w:t>6</w:t>
                  </w:r>
                  <w:r>
                    <w:rPr>
                      <w:rFonts w:hint="eastAsia"/>
                      <w:color w:val="auto"/>
                      <w:sz w:val="18"/>
                      <w:szCs w:val="18"/>
                    </w:rPr>
                    <w:t>个月</w:t>
                  </w:r>
                </w:p>
              </w:tc>
            </w:tr>
            <w:tr w14:paraId="022D77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blHeader/>
                <w:jc w:val="center"/>
              </w:trPr>
              <w:tc>
                <w:tcPr>
                  <w:tcW w:w="464" w:type="dxa"/>
                  <w:tcBorders>
                    <w:tl2br w:val="nil"/>
                    <w:tr2bl w:val="nil"/>
                  </w:tcBorders>
                  <w:vAlign w:val="center"/>
                </w:tcPr>
                <w:p w14:paraId="6E8E070F">
                  <w:pPr>
                    <w:snapToGrid w:val="0"/>
                    <w:jc w:val="center"/>
                    <w:textAlignment w:val="baseline"/>
                    <w:rPr>
                      <w:rFonts w:hint="default"/>
                      <w:color w:val="auto"/>
                      <w:sz w:val="18"/>
                      <w:szCs w:val="18"/>
                      <w:lang w:val="en-US" w:eastAsia="zh-CN"/>
                    </w:rPr>
                  </w:pPr>
                  <w:r>
                    <w:rPr>
                      <w:rFonts w:hint="eastAsia"/>
                      <w:color w:val="auto"/>
                      <w:sz w:val="18"/>
                      <w:szCs w:val="18"/>
                      <w:lang w:val="en-US" w:eastAsia="zh-CN"/>
                    </w:rPr>
                    <w:t>8</w:t>
                  </w:r>
                </w:p>
              </w:tc>
              <w:tc>
                <w:tcPr>
                  <w:tcW w:w="1294" w:type="dxa"/>
                  <w:tcBorders>
                    <w:tl2br w:val="nil"/>
                    <w:tr2bl w:val="nil"/>
                  </w:tcBorders>
                  <w:shd w:val="clear" w:color="auto" w:fill="auto"/>
                  <w:vAlign w:val="center"/>
                </w:tcPr>
                <w:p w14:paraId="4E4D8FAF">
                  <w:pPr>
                    <w:snapToGrid w:val="0"/>
                    <w:jc w:val="center"/>
                    <w:textAlignment w:val="baseline"/>
                    <w:rPr>
                      <w:rFonts w:hint="default"/>
                      <w:color w:val="auto"/>
                      <w:sz w:val="18"/>
                      <w:szCs w:val="18"/>
                      <w:lang w:val="en-US" w:eastAsia="zh-CN"/>
                    </w:rPr>
                  </w:pPr>
                  <w:r>
                    <w:rPr>
                      <w:rFonts w:hint="eastAsia"/>
                      <w:color w:val="auto"/>
                      <w:sz w:val="18"/>
                      <w:szCs w:val="18"/>
                      <w:lang w:val="en-US" w:eastAsia="zh-CN"/>
                    </w:rPr>
                    <w:t>废活性炭</w:t>
                  </w:r>
                </w:p>
              </w:tc>
              <w:tc>
                <w:tcPr>
                  <w:tcW w:w="1522" w:type="dxa"/>
                  <w:tcBorders>
                    <w:tl2br w:val="nil"/>
                    <w:tr2bl w:val="nil"/>
                  </w:tcBorders>
                  <w:shd w:val="clear" w:color="auto" w:fill="auto"/>
                  <w:vAlign w:val="center"/>
                </w:tcPr>
                <w:p w14:paraId="3E733F43">
                  <w:pPr>
                    <w:snapToGrid w:val="0"/>
                    <w:jc w:val="center"/>
                    <w:textAlignment w:val="baseline"/>
                    <w:rPr>
                      <w:rFonts w:hint="eastAsia"/>
                      <w:color w:val="auto"/>
                      <w:sz w:val="18"/>
                      <w:szCs w:val="18"/>
                      <w:lang w:val="en-US" w:eastAsia="zh-CN"/>
                    </w:rPr>
                  </w:pPr>
                  <w:r>
                    <w:rPr>
                      <w:rFonts w:hint="eastAsia"/>
                      <w:color w:val="auto"/>
                      <w:sz w:val="18"/>
                      <w:szCs w:val="18"/>
                      <w:lang w:val="en-US" w:eastAsia="zh-CN"/>
                    </w:rPr>
                    <w:t>HW 49 900-039-49</w:t>
                  </w:r>
                </w:p>
              </w:tc>
              <w:tc>
                <w:tcPr>
                  <w:tcW w:w="1050" w:type="dxa"/>
                  <w:tcBorders>
                    <w:tl2br w:val="nil"/>
                    <w:tr2bl w:val="nil"/>
                  </w:tcBorders>
                  <w:shd w:val="clear" w:color="auto" w:fill="auto"/>
                  <w:vAlign w:val="center"/>
                </w:tcPr>
                <w:p w14:paraId="59E56256">
                  <w:pPr>
                    <w:snapToGrid w:val="0"/>
                    <w:jc w:val="center"/>
                    <w:textAlignment w:val="baseline"/>
                    <w:rPr>
                      <w:rFonts w:hint="eastAsia" w:cs="Times New Roman"/>
                      <w:color w:val="auto"/>
                      <w:kern w:val="2"/>
                      <w:sz w:val="18"/>
                      <w:szCs w:val="18"/>
                      <w:lang w:val="en-US" w:eastAsia="zh-CN" w:bidi="ar-SA"/>
                    </w:rPr>
                  </w:pPr>
                  <w:r>
                    <w:rPr>
                      <w:rFonts w:hint="eastAsia" w:cs="Times New Roman"/>
                      <w:color w:val="auto"/>
                      <w:kern w:val="2"/>
                      <w:sz w:val="18"/>
                      <w:szCs w:val="18"/>
                      <w:lang w:val="en-US" w:eastAsia="zh-CN" w:bidi="ar-SA"/>
                    </w:rPr>
                    <w:t>33.93</w:t>
                  </w:r>
                </w:p>
              </w:tc>
              <w:tc>
                <w:tcPr>
                  <w:tcW w:w="451" w:type="dxa"/>
                  <w:vMerge w:val="continue"/>
                  <w:tcBorders>
                    <w:tl2br w:val="nil"/>
                    <w:tr2bl w:val="nil"/>
                  </w:tcBorders>
                  <w:vAlign w:val="center"/>
                </w:tcPr>
                <w:p w14:paraId="456FA824">
                  <w:pPr>
                    <w:snapToGrid w:val="0"/>
                    <w:jc w:val="center"/>
                    <w:textAlignment w:val="baseline"/>
                    <w:rPr>
                      <w:color w:val="auto"/>
                      <w:sz w:val="18"/>
                      <w:szCs w:val="18"/>
                    </w:rPr>
                  </w:pPr>
                </w:p>
              </w:tc>
              <w:tc>
                <w:tcPr>
                  <w:tcW w:w="660" w:type="dxa"/>
                  <w:vMerge w:val="continue"/>
                  <w:tcBorders>
                    <w:tl2br w:val="nil"/>
                    <w:tr2bl w:val="nil"/>
                  </w:tcBorders>
                  <w:vAlign w:val="center"/>
                </w:tcPr>
                <w:p w14:paraId="56F501CB">
                  <w:pPr>
                    <w:snapToGrid w:val="0"/>
                    <w:jc w:val="center"/>
                    <w:textAlignment w:val="baseline"/>
                    <w:rPr>
                      <w:color w:val="auto"/>
                      <w:sz w:val="18"/>
                      <w:szCs w:val="18"/>
                    </w:rPr>
                  </w:pPr>
                </w:p>
              </w:tc>
              <w:tc>
                <w:tcPr>
                  <w:tcW w:w="900" w:type="dxa"/>
                  <w:vMerge w:val="continue"/>
                  <w:tcBorders>
                    <w:tl2br w:val="nil"/>
                    <w:tr2bl w:val="nil"/>
                  </w:tcBorders>
                  <w:vAlign w:val="center"/>
                </w:tcPr>
                <w:p w14:paraId="427739CD">
                  <w:pPr>
                    <w:snapToGrid w:val="0"/>
                    <w:jc w:val="center"/>
                    <w:textAlignment w:val="baseline"/>
                    <w:rPr>
                      <w:rFonts w:hint="eastAsia"/>
                      <w:color w:val="auto"/>
                      <w:sz w:val="18"/>
                      <w:szCs w:val="18"/>
                      <w:lang w:val="en-US" w:eastAsia="zh-CN"/>
                    </w:rPr>
                  </w:pPr>
                </w:p>
              </w:tc>
              <w:tc>
                <w:tcPr>
                  <w:tcW w:w="819" w:type="dxa"/>
                  <w:vMerge w:val="continue"/>
                  <w:tcBorders>
                    <w:tl2br w:val="nil"/>
                    <w:tr2bl w:val="nil"/>
                  </w:tcBorders>
                  <w:vAlign w:val="center"/>
                </w:tcPr>
                <w:p w14:paraId="01339377">
                  <w:pPr>
                    <w:snapToGrid w:val="0"/>
                    <w:jc w:val="center"/>
                    <w:textAlignment w:val="baseline"/>
                    <w:rPr>
                      <w:color w:val="auto"/>
                      <w:sz w:val="18"/>
                      <w:szCs w:val="18"/>
                    </w:rPr>
                  </w:pPr>
                </w:p>
              </w:tc>
              <w:tc>
                <w:tcPr>
                  <w:tcW w:w="871" w:type="dxa"/>
                  <w:tcBorders>
                    <w:tl2br w:val="nil"/>
                    <w:tr2bl w:val="nil"/>
                  </w:tcBorders>
                  <w:vAlign w:val="center"/>
                </w:tcPr>
                <w:p w14:paraId="09749273">
                  <w:pPr>
                    <w:snapToGrid w:val="0"/>
                    <w:jc w:val="center"/>
                    <w:textAlignment w:val="baseline"/>
                    <w:rPr>
                      <w:color w:val="auto"/>
                      <w:sz w:val="18"/>
                      <w:szCs w:val="18"/>
                    </w:rPr>
                  </w:pPr>
                  <w:r>
                    <w:rPr>
                      <w:color w:val="auto"/>
                      <w:sz w:val="18"/>
                      <w:szCs w:val="18"/>
                    </w:rPr>
                    <w:t>6</w:t>
                  </w:r>
                  <w:r>
                    <w:rPr>
                      <w:rFonts w:hint="eastAsia"/>
                      <w:color w:val="auto"/>
                      <w:sz w:val="18"/>
                      <w:szCs w:val="18"/>
                    </w:rPr>
                    <w:t>个月</w:t>
                  </w:r>
                </w:p>
              </w:tc>
            </w:tr>
          </w:tbl>
          <w:p w14:paraId="4932D060">
            <w:pPr>
              <w:pStyle w:val="60"/>
              <w:ind w:firstLine="31680"/>
              <w:rPr>
                <w:bCs/>
                <w:color w:val="auto"/>
                <w:sz w:val="21"/>
                <w:szCs w:val="21"/>
              </w:rPr>
            </w:pPr>
            <w:r>
              <w:rPr>
                <w:bCs/>
                <w:color w:val="auto"/>
                <w:sz w:val="21"/>
                <w:szCs w:val="21"/>
              </w:rPr>
              <w:t>1</w:t>
            </w:r>
            <w:r>
              <w:rPr>
                <w:rFonts w:hint="eastAsia"/>
                <w:bCs/>
                <w:color w:val="auto"/>
                <w:sz w:val="21"/>
                <w:szCs w:val="21"/>
              </w:rPr>
              <w:t>）危险废物暂存场所环境影响分析</w:t>
            </w:r>
          </w:p>
          <w:p w14:paraId="6C3BEE48">
            <w:pPr>
              <w:pStyle w:val="60"/>
              <w:ind w:firstLine="31680"/>
              <w:rPr>
                <w:bCs/>
                <w:color w:val="auto"/>
                <w:sz w:val="21"/>
                <w:szCs w:val="21"/>
              </w:rPr>
            </w:pPr>
            <w:r>
              <w:rPr>
                <w:rFonts w:hint="eastAsia"/>
                <w:bCs/>
                <w:color w:val="auto"/>
                <w:sz w:val="21"/>
                <w:szCs w:val="21"/>
              </w:rPr>
              <w:t>危废暂存场所应严格按照《危险废物贮存污染控制标准》（</w:t>
            </w:r>
            <w:r>
              <w:rPr>
                <w:bCs/>
                <w:color w:val="auto"/>
                <w:sz w:val="21"/>
                <w:szCs w:val="21"/>
              </w:rPr>
              <w:t>GB18597-2023</w:t>
            </w:r>
            <w:r>
              <w:rPr>
                <w:rFonts w:hint="eastAsia"/>
                <w:bCs/>
                <w:color w:val="auto"/>
                <w:sz w:val="21"/>
                <w:szCs w:val="21"/>
              </w:rPr>
              <w:t>）的要求规范建设和维护使用，贮存设施污染控制要求一般规定如下：</w:t>
            </w:r>
          </w:p>
          <w:p w14:paraId="1018AC86">
            <w:pPr>
              <w:pStyle w:val="60"/>
              <w:ind w:firstLine="31680"/>
              <w:rPr>
                <w:bCs/>
                <w:color w:val="auto"/>
                <w:sz w:val="21"/>
                <w:szCs w:val="21"/>
              </w:rPr>
            </w:pPr>
            <w:r>
              <w:rPr>
                <w:rFonts w:hint="eastAsia"/>
                <w:bCs/>
                <w:color w:val="auto"/>
                <w:sz w:val="21"/>
                <w:szCs w:val="21"/>
              </w:rPr>
              <w:t>①贮存设施应根据危险废物的形态、物理化学性质、包装形式和污染物迁移途径，采取必要的防风、防晒、防雨、防漏、防渗、防腐以及其他环境污染防治措施，不应露天堆放危险废物。</w:t>
            </w:r>
          </w:p>
          <w:p w14:paraId="039C5C03">
            <w:pPr>
              <w:pStyle w:val="60"/>
              <w:ind w:firstLine="31680"/>
              <w:rPr>
                <w:bCs/>
                <w:color w:val="auto"/>
                <w:sz w:val="21"/>
                <w:szCs w:val="21"/>
              </w:rPr>
            </w:pPr>
            <w:r>
              <w:rPr>
                <w:rFonts w:hint="eastAsia"/>
                <w:bCs/>
                <w:color w:val="auto"/>
                <w:sz w:val="21"/>
                <w:szCs w:val="21"/>
              </w:rPr>
              <w:t>②贮存设施应根据危险废物的类别、数量、形态、物理化学性质和污染防治等要求设置必要的贮存分区，避免不相容的危</w:t>
            </w:r>
            <w:r>
              <w:rPr>
                <w:rFonts w:hint="eastAsia"/>
                <w:bCs/>
                <w:color w:val="auto"/>
                <w:sz w:val="21"/>
                <w:szCs w:val="21"/>
                <w:lang w:val="en-US" w:eastAsia="zh-CN"/>
              </w:rPr>
              <w:t>险</w:t>
            </w:r>
            <w:r>
              <w:rPr>
                <w:rFonts w:hint="eastAsia"/>
                <w:bCs/>
                <w:color w:val="auto"/>
                <w:sz w:val="21"/>
                <w:szCs w:val="21"/>
              </w:rPr>
              <w:t>废物接触、混合。</w:t>
            </w:r>
          </w:p>
          <w:p w14:paraId="269D4B0F">
            <w:pPr>
              <w:pStyle w:val="60"/>
              <w:ind w:firstLine="31680"/>
              <w:rPr>
                <w:bCs/>
                <w:color w:val="auto"/>
                <w:sz w:val="21"/>
                <w:szCs w:val="21"/>
              </w:rPr>
            </w:pPr>
            <w:r>
              <w:rPr>
                <w:rFonts w:hint="eastAsia"/>
                <w:bCs/>
                <w:color w:val="auto"/>
                <w:sz w:val="21"/>
                <w:szCs w:val="21"/>
              </w:rPr>
              <w:t>③贮存设施或贮存分区内地面、墙面裙脚、堵截泄漏的围堰、接触危险废物的隔板和墙体等应采用坚固的材料建造，表面无裂缝。</w:t>
            </w:r>
          </w:p>
          <w:p w14:paraId="7CFB9B4E">
            <w:pPr>
              <w:pStyle w:val="60"/>
              <w:ind w:firstLine="31680"/>
              <w:rPr>
                <w:bCs/>
                <w:color w:val="auto"/>
                <w:sz w:val="21"/>
                <w:szCs w:val="21"/>
              </w:rPr>
            </w:pPr>
            <w:r>
              <w:rPr>
                <w:rFonts w:hint="eastAsia"/>
                <w:bCs/>
                <w:color w:val="auto"/>
                <w:sz w:val="21"/>
                <w:szCs w:val="21"/>
              </w:rPr>
              <w:t>④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w:t>
            </w:r>
            <w:r>
              <w:rPr>
                <w:bCs/>
                <w:color w:val="auto"/>
                <w:sz w:val="21"/>
                <w:szCs w:val="21"/>
              </w:rPr>
              <w:t>1m</w:t>
            </w:r>
            <w:r>
              <w:rPr>
                <w:rFonts w:hint="eastAsia"/>
                <w:bCs/>
                <w:color w:val="auto"/>
                <w:sz w:val="21"/>
                <w:szCs w:val="21"/>
              </w:rPr>
              <w:t>厚黏土层（渗透系数不大于</w:t>
            </w:r>
            <w:r>
              <w:rPr>
                <w:bCs/>
                <w:color w:val="auto"/>
                <w:sz w:val="21"/>
                <w:szCs w:val="21"/>
              </w:rPr>
              <w:t>10</w:t>
            </w:r>
            <w:r>
              <w:rPr>
                <w:bCs/>
                <w:color w:val="auto"/>
                <w:sz w:val="21"/>
                <w:szCs w:val="21"/>
                <w:vertAlign w:val="superscript"/>
              </w:rPr>
              <w:t>-7</w:t>
            </w:r>
            <w:r>
              <w:rPr>
                <w:bCs/>
                <w:color w:val="auto"/>
                <w:sz w:val="21"/>
                <w:szCs w:val="21"/>
              </w:rPr>
              <w:t>cm/s)</w:t>
            </w:r>
            <w:r>
              <w:rPr>
                <w:rFonts w:hint="eastAsia"/>
                <w:bCs/>
                <w:color w:val="auto"/>
                <w:sz w:val="21"/>
                <w:szCs w:val="21"/>
              </w:rPr>
              <w:t>，或至少</w:t>
            </w:r>
            <w:r>
              <w:rPr>
                <w:bCs/>
                <w:color w:val="auto"/>
                <w:sz w:val="21"/>
                <w:szCs w:val="21"/>
              </w:rPr>
              <w:t>2mm</w:t>
            </w:r>
            <w:r>
              <w:rPr>
                <w:rFonts w:hint="eastAsia"/>
                <w:bCs/>
                <w:color w:val="auto"/>
                <w:sz w:val="21"/>
                <w:szCs w:val="21"/>
              </w:rPr>
              <w:t>厚高密度聚乙烯膜等人工防渗材料（渗透系数不大于</w:t>
            </w:r>
            <w:r>
              <w:rPr>
                <w:bCs/>
                <w:color w:val="auto"/>
                <w:sz w:val="21"/>
                <w:szCs w:val="21"/>
              </w:rPr>
              <w:t>10</w:t>
            </w:r>
            <w:r>
              <w:rPr>
                <w:bCs/>
                <w:color w:val="auto"/>
                <w:sz w:val="21"/>
                <w:szCs w:val="21"/>
                <w:vertAlign w:val="superscript"/>
              </w:rPr>
              <w:t>-10</w:t>
            </w:r>
            <w:r>
              <w:rPr>
                <w:bCs/>
                <w:color w:val="auto"/>
                <w:sz w:val="21"/>
                <w:szCs w:val="21"/>
              </w:rPr>
              <w:t>cm/s)</w:t>
            </w:r>
            <w:r>
              <w:rPr>
                <w:rFonts w:hint="eastAsia"/>
                <w:bCs/>
                <w:color w:val="auto"/>
                <w:sz w:val="21"/>
                <w:szCs w:val="21"/>
              </w:rPr>
              <w:t>，或其他防渗性能等效的材料。</w:t>
            </w:r>
          </w:p>
          <w:p w14:paraId="0211CBB2">
            <w:pPr>
              <w:pStyle w:val="60"/>
              <w:ind w:firstLine="31680"/>
              <w:rPr>
                <w:bCs/>
                <w:color w:val="auto"/>
                <w:sz w:val="21"/>
                <w:szCs w:val="21"/>
              </w:rPr>
            </w:pPr>
            <w:r>
              <w:rPr>
                <w:rFonts w:hint="eastAsia"/>
                <w:bCs/>
                <w:color w:val="auto"/>
                <w:sz w:val="21"/>
                <w:szCs w:val="21"/>
              </w:rPr>
              <w:t>⑤同一贮存设施宜采用相同的防渗、防腐工艺</w:t>
            </w:r>
            <w:r>
              <w:rPr>
                <w:bCs/>
                <w:color w:val="auto"/>
                <w:sz w:val="21"/>
                <w:szCs w:val="21"/>
              </w:rPr>
              <w:t>(</w:t>
            </w:r>
            <w:r>
              <w:rPr>
                <w:rFonts w:hint="eastAsia"/>
                <w:bCs/>
                <w:color w:val="auto"/>
                <w:sz w:val="21"/>
                <w:szCs w:val="21"/>
              </w:rPr>
              <w:t>包括防渗、防腐结构或材料），防渗、防腐材料应覆盖所有可能与废物及其渗滤液、渗漏液等接触的构筑物表面；采用不同防渗、防腐工艺应分别建设贮存分区。</w:t>
            </w:r>
          </w:p>
          <w:p w14:paraId="7B999D7F">
            <w:pPr>
              <w:pStyle w:val="60"/>
              <w:ind w:firstLine="31680"/>
              <w:rPr>
                <w:bCs/>
                <w:color w:val="auto"/>
                <w:sz w:val="21"/>
                <w:szCs w:val="21"/>
              </w:rPr>
            </w:pPr>
            <w:r>
              <w:rPr>
                <w:rFonts w:hint="eastAsia"/>
                <w:bCs/>
                <w:color w:val="auto"/>
                <w:sz w:val="21"/>
                <w:szCs w:val="21"/>
              </w:rPr>
              <w:t>⑥贮存设施应采取技术和管理措施防止无关人员进入。</w:t>
            </w:r>
          </w:p>
          <w:p w14:paraId="119605B4">
            <w:pPr>
              <w:pStyle w:val="60"/>
              <w:ind w:firstLine="31680"/>
              <w:rPr>
                <w:bCs/>
                <w:color w:val="auto"/>
                <w:sz w:val="21"/>
                <w:szCs w:val="21"/>
              </w:rPr>
            </w:pPr>
            <w:r>
              <w:rPr>
                <w:rFonts w:hint="eastAsia"/>
                <w:bCs/>
                <w:color w:val="auto"/>
                <w:sz w:val="21"/>
                <w:szCs w:val="21"/>
              </w:rPr>
              <w:t>对照《危险废物贮存污染控制标准》（</w:t>
            </w:r>
            <w:r>
              <w:rPr>
                <w:bCs/>
                <w:color w:val="auto"/>
                <w:sz w:val="21"/>
                <w:szCs w:val="21"/>
              </w:rPr>
              <w:t>GB18597-2023</w:t>
            </w:r>
            <w:r>
              <w:rPr>
                <w:rFonts w:hint="eastAsia"/>
                <w:bCs/>
                <w:color w:val="auto"/>
                <w:sz w:val="21"/>
                <w:szCs w:val="21"/>
              </w:rPr>
              <w:t>）可知，本项目危废仓库的贮存设施类别属于贮存库，贮存库污染控制要求如下：</w:t>
            </w:r>
          </w:p>
          <w:p w14:paraId="4EE58797">
            <w:pPr>
              <w:pStyle w:val="60"/>
              <w:ind w:firstLine="31680"/>
              <w:rPr>
                <w:bCs/>
                <w:color w:val="auto"/>
                <w:sz w:val="21"/>
                <w:szCs w:val="21"/>
              </w:rPr>
            </w:pPr>
            <w:r>
              <w:rPr>
                <w:rFonts w:hint="eastAsia"/>
                <w:bCs/>
                <w:color w:val="auto"/>
                <w:sz w:val="21"/>
                <w:szCs w:val="21"/>
              </w:rPr>
              <w:t>①贮存库内不同贮存分区之间应采取隔离措施。隔离措施可根据危险废物特性采用过道、隔板或隔墙等方式。本项目危废仓库不同贮存分区间有过道隔离。</w:t>
            </w:r>
          </w:p>
          <w:p w14:paraId="511972E0">
            <w:pPr>
              <w:pStyle w:val="60"/>
              <w:ind w:firstLine="31680"/>
              <w:rPr>
                <w:bCs/>
                <w:color w:val="auto"/>
                <w:sz w:val="21"/>
                <w:szCs w:val="21"/>
              </w:rPr>
            </w:pPr>
            <w:r>
              <w:rPr>
                <w:rFonts w:hint="eastAsia"/>
                <w:bCs/>
                <w:color w:val="auto"/>
                <w:sz w:val="21"/>
                <w:szCs w:val="21"/>
              </w:rPr>
              <w:t>②在贮存库内或通过贮存分区方式贮存液态危险废物的，应具有液体泄漏堵截设施，堵截设施最小容积不应低于对应贮存区域最大液态废物容器容积或液态废物总储量</w:t>
            </w:r>
            <w:r>
              <w:rPr>
                <w:bCs/>
                <w:color w:val="auto"/>
                <w:sz w:val="21"/>
                <w:szCs w:val="21"/>
              </w:rPr>
              <w:t>1/10(</w:t>
            </w:r>
            <w:r>
              <w:rPr>
                <w:rFonts w:hint="eastAsia"/>
                <w:bCs/>
                <w:color w:val="auto"/>
                <w:sz w:val="21"/>
                <w:szCs w:val="21"/>
              </w:rPr>
              <w:t>二者取较大者</w:t>
            </w:r>
            <w:r>
              <w:rPr>
                <w:bCs/>
                <w:color w:val="auto"/>
                <w:sz w:val="21"/>
                <w:szCs w:val="21"/>
              </w:rPr>
              <w:t>)</w:t>
            </w:r>
            <w:r>
              <w:rPr>
                <w:rFonts w:hint="eastAsia"/>
                <w:bCs/>
                <w:color w:val="auto"/>
                <w:sz w:val="21"/>
                <w:szCs w:val="21"/>
              </w:rPr>
              <w:t>；用于贮存可能产生渗滤液的危险废物的贮存库或贮存分区应设计渗滤液收集设施，收集设施容积应满足渗滤液的收集要求。本项目危废贮存库设有导流沟与收集池，可满足液态危险废物贮存区泄漏堵截设施容积要求。</w:t>
            </w:r>
          </w:p>
          <w:p w14:paraId="3745591A">
            <w:pPr>
              <w:pStyle w:val="60"/>
              <w:ind w:firstLine="31680"/>
              <w:rPr>
                <w:bCs/>
                <w:color w:val="auto"/>
                <w:sz w:val="21"/>
                <w:szCs w:val="21"/>
              </w:rPr>
            </w:pPr>
            <w:r>
              <w:rPr>
                <w:rFonts w:hint="eastAsia"/>
                <w:bCs/>
                <w:color w:val="auto"/>
                <w:sz w:val="21"/>
                <w:szCs w:val="21"/>
              </w:rPr>
              <w:t>③贮存易产生粉尘、</w:t>
            </w:r>
            <w:r>
              <w:rPr>
                <w:bCs/>
                <w:color w:val="auto"/>
                <w:sz w:val="21"/>
                <w:szCs w:val="21"/>
              </w:rPr>
              <w:t>VOCs</w:t>
            </w:r>
            <w:r>
              <w:rPr>
                <w:rFonts w:hint="eastAsia"/>
                <w:bCs/>
                <w:color w:val="auto"/>
                <w:sz w:val="21"/>
                <w:szCs w:val="21"/>
              </w:rPr>
              <w:t>、酸雾、有毒有害大气污染物和刺激性气味气体的危险废物贮存库，应设置气体收集装置和气体净化设施；气体净化设施的排气筒高度应符合</w:t>
            </w:r>
            <w:r>
              <w:rPr>
                <w:bCs/>
                <w:color w:val="auto"/>
                <w:sz w:val="21"/>
                <w:szCs w:val="21"/>
              </w:rPr>
              <w:t>GB 16297</w:t>
            </w:r>
            <w:r>
              <w:rPr>
                <w:rFonts w:hint="eastAsia"/>
                <w:bCs/>
                <w:color w:val="auto"/>
                <w:sz w:val="21"/>
                <w:szCs w:val="21"/>
              </w:rPr>
              <w:t>要求。企业危废均不属于易产生粉尘、</w:t>
            </w:r>
            <w:r>
              <w:rPr>
                <w:bCs/>
                <w:color w:val="auto"/>
                <w:sz w:val="21"/>
                <w:szCs w:val="21"/>
              </w:rPr>
              <w:t>VOCs</w:t>
            </w:r>
            <w:r>
              <w:rPr>
                <w:rFonts w:hint="eastAsia"/>
                <w:bCs/>
                <w:color w:val="auto"/>
                <w:sz w:val="21"/>
                <w:szCs w:val="21"/>
              </w:rPr>
              <w:t>、酸雾、有毒有害大气污染物和刺激性气味气体的危险废物，危废密闭包装贮存。</w:t>
            </w:r>
          </w:p>
          <w:p w14:paraId="0759C520">
            <w:pPr>
              <w:pStyle w:val="60"/>
              <w:ind w:firstLine="31680"/>
              <w:rPr>
                <w:color w:val="auto"/>
                <w:sz w:val="21"/>
                <w:szCs w:val="21"/>
              </w:rPr>
            </w:pPr>
            <w:r>
              <w:rPr>
                <w:rFonts w:hint="eastAsia" w:ascii="宋体" w:hAnsi="宋体" w:cs="宋体"/>
                <w:color w:val="auto"/>
                <w:sz w:val="21"/>
                <w:szCs w:val="21"/>
              </w:rPr>
              <w:t>本项目严格按照以上规范设置危险废物贮存设施，不对周围环境产生影响。</w:t>
            </w:r>
          </w:p>
          <w:p w14:paraId="0D107DF4">
            <w:pPr>
              <w:snapToGrid w:val="0"/>
              <w:spacing w:line="360" w:lineRule="auto"/>
              <w:ind w:firstLine="420" w:firstLineChars="200"/>
              <w:rPr>
                <w:bCs/>
                <w:color w:val="auto"/>
                <w:szCs w:val="21"/>
              </w:rPr>
            </w:pPr>
            <w:r>
              <w:rPr>
                <w:bCs/>
                <w:color w:val="auto"/>
                <w:szCs w:val="21"/>
              </w:rPr>
              <w:t>2</w:t>
            </w:r>
            <w:r>
              <w:rPr>
                <w:rFonts w:hint="eastAsia"/>
                <w:bCs/>
                <w:color w:val="auto"/>
                <w:szCs w:val="21"/>
              </w:rPr>
              <w:t>）危险废物运输过程的环境影响分析</w:t>
            </w:r>
          </w:p>
          <w:p w14:paraId="4DC5BC44">
            <w:pPr>
              <w:snapToGrid w:val="0"/>
              <w:spacing w:line="360" w:lineRule="auto"/>
              <w:ind w:firstLine="420" w:firstLineChars="200"/>
              <w:rPr>
                <w:bCs/>
                <w:color w:val="auto"/>
                <w:szCs w:val="21"/>
              </w:rPr>
            </w:pPr>
            <w:r>
              <w:rPr>
                <w:rFonts w:hint="eastAsia"/>
                <w:bCs/>
                <w:color w:val="auto"/>
                <w:szCs w:val="21"/>
              </w:rPr>
              <w:t>本项目危险废物在厂区内的运输路线较短，且在危废产生点即将危险废物收集包装好，故在厂区内发生散落、</w:t>
            </w:r>
            <w:r>
              <w:rPr>
                <w:rFonts w:hint="eastAsia"/>
                <w:bCs/>
                <w:color w:val="auto"/>
                <w:szCs w:val="21"/>
                <w:lang w:eastAsia="zh-CN"/>
              </w:rPr>
              <w:t>泄漏</w:t>
            </w:r>
            <w:r>
              <w:rPr>
                <w:rFonts w:hint="eastAsia"/>
                <w:bCs/>
                <w:color w:val="auto"/>
                <w:szCs w:val="21"/>
              </w:rPr>
              <w:t>的可能性较小，一旦发生散落、泄露则应立即进行打扫清理，打扫清理产生的杂物全部作为危废进行暂存处置。厂内危险废物出现散落、泄漏的影响具有可控性。</w:t>
            </w:r>
          </w:p>
          <w:p w14:paraId="6BCAE487">
            <w:pPr>
              <w:snapToGrid w:val="0"/>
              <w:spacing w:line="360" w:lineRule="auto"/>
              <w:ind w:firstLine="420" w:firstLineChars="200"/>
              <w:rPr>
                <w:bCs/>
                <w:color w:val="auto"/>
                <w:szCs w:val="21"/>
              </w:rPr>
            </w:pPr>
            <w:r>
              <w:rPr>
                <w:rFonts w:hint="eastAsia"/>
                <w:bCs/>
                <w:color w:val="auto"/>
                <w:szCs w:val="21"/>
              </w:rPr>
              <w:t>危险废物在厂区外的运输线路要避免居民区、学校等人口密集区，也不经过饮用水源保护区、自然保护区等生态敏感区。同时危险废物采用处置方专用车辆进行运输，厂外运输影响具有可控性。</w:t>
            </w:r>
          </w:p>
          <w:p w14:paraId="04C69CED">
            <w:pPr>
              <w:snapToGrid w:val="0"/>
              <w:spacing w:line="360" w:lineRule="auto"/>
              <w:ind w:firstLine="420" w:firstLineChars="200"/>
              <w:rPr>
                <w:bCs/>
                <w:color w:val="auto"/>
                <w:szCs w:val="21"/>
              </w:rPr>
            </w:pPr>
            <w:r>
              <w:rPr>
                <w:rFonts w:hint="eastAsia"/>
                <w:color w:val="auto"/>
              </w:rPr>
              <w:t>本</w:t>
            </w:r>
            <w:r>
              <w:rPr>
                <w:rFonts w:hint="eastAsia"/>
                <w:bCs/>
                <w:color w:val="auto"/>
                <w:szCs w:val="21"/>
              </w:rPr>
              <w:t>项目将严格按照《危险废物收集贮存运输技术规范》（</w:t>
            </w:r>
            <w:r>
              <w:rPr>
                <w:bCs/>
                <w:color w:val="auto"/>
                <w:szCs w:val="21"/>
              </w:rPr>
              <w:t>HJ 2025-2012</w:t>
            </w:r>
            <w:r>
              <w:rPr>
                <w:rFonts w:hint="eastAsia"/>
                <w:bCs/>
                <w:color w:val="auto"/>
                <w:szCs w:val="21"/>
              </w:rPr>
              <w:t>）、《危险废物转移管理办法》（生态环境部、公安部、交通运输部令第</w:t>
            </w:r>
            <w:r>
              <w:rPr>
                <w:bCs/>
                <w:color w:val="auto"/>
                <w:szCs w:val="21"/>
              </w:rPr>
              <w:t>23</w:t>
            </w:r>
            <w:r>
              <w:rPr>
                <w:rFonts w:hint="eastAsia"/>
                <w:bCs/>
                <w:color w:val="auto"/>
                <w:szCs w:val="21"/>
              </w:rPr>
              <w:t>号）等规范的要求进行，运输过程对环境几乎无影响。</w:t>
            </w:r>
          </w:p>
          <w:p w14:paraId="22190C34">
            <w:pPr>
              <w:snapToGrid w:val="0"/>
              <w:spacing w:line="360" w:lineRule="auto"/>
              <w:ind w:left="420"/>
              <w:rPr>
                <w:bCs/>
                <w:color w:val="auto"/>
                <w:szCs w:val="21"/>
              </w:rPr>
            </w:pPr>
            <w:r>
              <w:rPr>
                <w:bCs/>
                <w:color w:val="auto"/>
                <w:szCs w:val="21"/>
              </w:rPr>
              <w:t>3</w:t>
            </w:r>
            <w:r>
              <w:rPr>
                <w:rFonts w:hint="eastAsia"/>
                <w:bCs/>
                <w:color w:val="auto"/>
                <w:szCs w:val="21"/>
              </w:rPr>
              <w:t>）危险废物委托处置的环境影响分析</w:t>
            </w:r>
          </w:p>
          <w:p w14:paraId="05A7ACAA">
            <w:pPr>
              <w:snapToGrid w:val="0"/>
              <w:spacing w:line="360" w:lineRule="auto"/>
              <w:ind w:firstLine="420" w:firstLineChars="200"/>
              <w:rPr>
                <w:bCs/>
                <w:color w:val="auto"/>
                <w:szCs w:val="21"/>
              </w:rPr>
            </w:pPr>
            <w:r>
              <w:rPr>
                <w:rFonts w:hint="eastAsia"/>
                <w:bCs/>
                <w:color w:val="auto"/>
                <w:szCs w:val="21"/>
              </w:rPr>
              <w:t>建设单位需委托危废经营许可证中有</w:t>
            </w:r>
            <w:r>
              <w:rPr>
                <w:rFonts w:hint="eastAsia"/>
                <w:bCs/>
                <w:color w:val="auto"/>
                <w:szCs w:val="21"/>
                <w:lang w:val="en-US" w:eastAsia="zh-CN"/>
              </w:rPr>
              <w:t>相应类别</w:t>
            </w:r>
            <w:r>
              <w:rPr>
                <w:rFonts w:hint="eastAsia"/>
                <w:bCs/>
                <w:color w:val="auto"/>
                <w:szCs w:val="21"/>
              </w:rPr>
              <w:t>的单位进行处置，同时本项目应在投产前与有资质的危废处置单位签订处置协议。</w:t>
            </w:r>
          </w:p>
          <w:p w14:paraId="434446FC">
            <w:pPr>
              <w:pStyle w:val="60"/>
              <w:ind w:firstLine="31680"/>
              <w:rPr>
                <w:color w:val="auto"/>
                <w:sz w:val="21"/>
                <w:szCs w:val="21"/>
              </w:rPr>
            </w:pPr>
            <w:r>
              <w:rPr>
                <w:rFonts w:ascii="宋体" w:hAnsi="宋体" w:cs="宋体"/>
                <w:color w:val="auto"/>
                <w:sz w:val="21"/>
                <w:szCs w:val="21"/>
              </w:rPr>
              <w:t>4</w:t>
            </w:r>
            <w:r>
              <w:rPr>
                <w:rFonts w:hint="eastAsia" w:ascii="宋体" w:hAnsi="宋体" w:cs="宋体"/>
                <w:color w:val="auto"/>
                <w:sz w:val="21"/>
                <w:szCs w:val="21"/>
              </w:rPr>
              <w:t>）危险废物规范化管理</w:t>
            </w:r>
          </w:p>
          <w:p w14:paraId="3FF365FA">
            <w:pPr>
              <w:pStyle w:val="60"/>
              <w:ind w:firstLine="31680"/>
              <w:jc w:val="both"/>
              <w:rPr>
                <w:color w:val="auto"/>
                <w:sz w:val="21"/>
                <w:szCs w:val="21"/>
              </w:rPr>
            </w:pPr>
            <w:r>
              <w:rPr>
                <w:rFonts w:hint="eastAsia" w:ascii="宋体" w:hAnsi="宋体" w:cs="宋体"/>
                <w:color w:val="auto"/>
                <w:sz w:val="21"/>
                <w:szCs w:val="21"/>
              </w:rPr>
              <w:t>建设单位须按照《危险废物规范化管理指标体系》（环办</w:t>
            </w:r>
            <w:r>
              <w:rPr>
                <w:rFonts w:hint="eastAsia"/>
                <w:color w:val="auto"/>
                <w:sz w:val="21"/>
                <w:szCs w:val="21"/>
                <w:lang w:eastAsia="zh-CN"/>
              </w:rPr>
              <w:t>〔</w:t>
            </w:r>
            <w:r>
              <w:rPr>
                <w:color w:val="auto"/>
                <w:sz w:val="21"/>
                <w:szCs w:val="21"/>
              </w:rPr>
              <w:t>2015</w:t>
            </w:r>
            <w:r>
              <w:rPr>
                <w:rFonts w:hint="eastAsia"/>
                <w:color w:val="auto"/>
                <w:sz w:val="21"/>
                <w:szCs w:val="21"/>
                <w:lang w:eastAsia="zh-CN"/>
              </w:rPr>
              <w:t>〕</w:t>
            </w:r>
            <w:r>
              <w:rPr>
                <w:color w:val="auto"/>
                <w:sz w:val="21"/>
                <w:szCs w:val="21"/>
              </w:rPr>
              <w:t>99</w:t>
            </w:r>
            <w:r>
              <w:rPr>
                <w:rFonts w:hint="eastAsia" w:ascii="宋体" w:hAnsi="宋体" w:cs="宋体"/>
                <w:color w:val="auto"/>
                <w:sz w:val="21"/>
                <w:szCs w:val="21"/>
              </w:rPr>
              <w:t>号）进行危险废物规范化管理，主要包括危险废物识别标志设置情况，危险废物管理计划制定情况，危险废物申报登记、转移联单、经营许可、应急预案备案等管理制度执行情况，贮存、利用、处置危险废物是否符合相关标准规范等情况等。建设单位应当建立、健全污染环境防治责任制度，采取防治危险废物污染环境的措施；规范设置危险废物识别标志；按照危废废物特性分类进行收集；建立危险废物处置台账，并如实记录危险废物处置情况等。</w:t>
            </w:r>
          </w:p>
          <w:p w14:paraId="029FE7CE">
            <w:pPr>
              <w:pStyle w:val="60"/>
              <w:ind w:firstLine="31680"/>
              <w:jc w:val="both"/>
              <w:rPr>
                <w:color w:val="auto"/>
                <w:sz w:val="21"/>
                <w:szCs w:val="21"/>
              </w:rPr>
            </w:pPr>
            <w:r>
              <w:rPr>
                <w:rFonts w:hint="eastAsia" w:ascii="宋体" w:hAnsi="宋体" w:cs="宋体"/>
                <w:color w:val="auto"/>
                <w:sz w:val="21"/>
                <w:szCs w:val="21"/>
              </w:rPr>
              <w:t>在管理制度落实方面，应建立规范的危险废物贮存台账，如实记录废物名称、种类、数量、来源、出入库时间、去向、交接人签字等内容，按规定在江苏省危险废物动态管理系统进行申报。</w:t>
            </w:r>
          </w:p>
          <w:p w14:paraId="04407349">
            <w:pPr>
              <w:overflowPunct w:val="0"/>
              <w:adjustRightInd w:val="0"/>
              <w:snapToGrid w:val="0"/>
              <w:spacing w:line="360" w:lineRule="auto"/>
              <w:jc w:val="left"/>
              <w:rPr>
                <w:b/>
                <w:bCs/>
                <w:snapToGrid w:val="0"/>
                <w:color w:val="auto"/>
                <w:spacing w:val="-2"/>
                <w:kern w:val="0"/>
                <w:szCs w:val="21"/>
              </w:rPr>
            </w:pPr>
            <w:r>
              <w:rPr>
                <w:rFonts w:hint="eastAsia"/>
                <w:b/>
                <w:bCs/>
                <w:snapToGrid w:val="0"/>
                <w:color w:val="auto"/>
                <w:spacing w:val="-2"/>
                <w:kern w:val="0"/>
                <w:szCs w:val="21"/>
                <w:lang w:val="en-US" w:eastAsia="zh-CN"/>
              </w:rPr>
              <w:t>4</w:t>
            </w:r>
            <w:r>
              <w:rPr>
                <w:b/>
                <w:bCs/>
                <w:snapToGrid w:val="0"/>
                <w:color w:val="auto"/>
                <w:spacing w:val="-2"/>
                <w:kern w:val="0"/>
                <w:szCs w:val="21"/>
              </w:rPr>
              <w:t>.5</w:t>
            </w:r>
            <w:r>
              <w:rPr>
                <w:rFonts w:hint="eastAsia"/>
                <w:b/>
                <w:bCs/>
                <w:snapToGrid w:val="0"/>
                <w:color w:val="auto"/>
                <w:spacing w:val="-2"/>
                <w:kern w:val="0"/>
                <w:szCs w:val="21"/>
              </w:rPr>
              <w:t>固废环境影响评价结论</w:t>
            </w:r>
          </w:p>
          <w:p w14:paraId="31E6BABF">
            <w:pPr>
              <w:pStyle w:val="76"/>
              <w:ind w:firstLine="31680"/>
              <w:rPr>
                <w:b/>
                <w:bCs/>
                <w:snapToGrid w:val="0"/>
                <w:color w:val="auto"/>
                <w:spacing w:val="-2"/>
                <w:kern w:val="0"/>
                <w:szCs w:val="21"/>
              </w:rPr>
            </w:pPr>
            <w:r>
              <w:rPr>
                <w:rFonts w:hint="eastAsia"/>
                <w:color w:val="auto"/>
                <w:sz w:val="21"/>
                <w:szCs w:val="21"/>
              </w:rPr>
              <w:t>本项目厂区内产生的固体废物临时存放于厂区内的贮存场所，贮存场所按照国家固体废物贮存有关要求设置。危险废物在收集时，所有包装容器应足够安全，并经过周密检查，严防在装载、搬移或运输途中出现渗漏、溢出、抛洒或挥发等情况，避免其对周围环境产生污染。经过上述方法处理处置后，固废对周围环境及人体不会造成影响，亦不会造成二次污染，所采取的治理措施是可行的，不会对周围的环境产生影响。</w:t>
            </w:r>
          </w:p>
          <w:p w14:paraId="22A4F29F">
            <w:pPr>
              <w:pStyle w:val="60"/>
              <w:ind w:firstLine="0" w:firstLineChars="0"/>
              <w:rPr>
                <w:b/>
                <w:color w:val="auto"/>
                <w:sz w:val="21"/>
                <w:szCs w:val="21"/>
              </w:rPr>
            </w:pPr>
            <w:r>
              <w:rPr>
                <w:b/>
                <w:color w:val="auto"/>
                <w:sz w:val="21"/>
                <w:szCs w:val="21"/>
              </w:rPr>
              <w:t>5</w:t>
            </w:r>
            <w:r>
              <w:rPr>
                <w:rFonts w:hint="eastAsia"/>
                <w:b/>
                <w:bCs/>
                <w:color w:val="auto"/>
                <w:spacing w:val="-2"/>
                <w:kern w:val="0"/>
                <w:sz w:val="21"/>
                <w:szCs w:val="21"/>
              </w:rPr>
              <w:t>、地下水、土壤环境影响分析</w:t>
            </w:r>
          </w:p>
          <w:p w14:paraId="3478A0AD">
            <w:pPr>
              <w:overflowPunct w:val="0"/>
              <w:adjustRightInd w:val="0"/>
              <w:snapToGrid w:val="0"/>
              <w:spacing w:line="360" w:lineRule="auto"/>
              <w:ind w:firstLine="412" w:firstLineChars="200"/>
              <w:jc w:val="left"/>
              <w:rPr>
                <w:snapToGrid w:val="0"/>
                <w:color w:val="auto"/>
                <w:spacing w:val="-2"/>
                <w:kern w:val="0"/>
                <w:szCs w:val="21"/>
              </w:rPr>
            </w:pPr>
            <w:r>
              <w:rPr>
                <w:rFonts w:hint="eastAsia"/>
                <w:snapToGrid w:val="0"/>
                <w:color w:val="auto"/>
                <w:spacing w:val="-2"/>
                <w:kern w:val="0"/>
                <w:szCs w:val="21"/>
              </w:rPr>
              <w:t>（</w:t>
            </w:r>
            <w:r>
              <w:rPr>
                <w:snapToGrid w:val="0"/>
                <w:color w:val="auto"/>
                <w:spacing w:val="-2"/>
                <w:kern w:val="0"/>
                <w:szCs w:val="21"/>
              </w:rPr>
              <w:t>1</w:t>
            </w:r>
            <w:r>
              <w:rPr>
                <w:rFonts w:hint="eastAsia"/>
                <w:snapToGrid w:val="0"/>
                <w:color w:val="auto"/>
                <w:spacing w:val="-2"/>
                <w:kern w:val="0"/>
                <w:szCs w:val="21"/>
              </w:rPr>
              <w:t>）地下水、土壤污染情况分析</w:t>
            </w:r>
          </w:p>
          <w:p w14:paraId="1804B37B">
            <w:pPr>
              <w:pStyle w:val="60"/>
              <w:ind w:firstLine="31680"/>
              <w:rPr>
                <w:color w:val="auto"/>
                <w:sz w:val="21"/>
                <w:szCs w:val="21"/>
              </w:rPr>
            </w:pPr>
            <w:r>
              <w:rPr>
                <w:rFonts w:hint="eastAsia"/>
                <w:color w:val="auto"/>
                <w:sz w:val="21"/>
                <w:szCs w:val="21"/>
              </w:rPr>
              <w:t>本项目在苏州市</w:t>
            </w:r>
            <w:r>
              <w:rPr>
                <w:rFonts w:hint="eastAsia"/>
                <w:color w:val="auto"/>
                <w:sz w:val="21"/>
                <w:szCs w:val="21"/>
                <w:lang w:eastAsia="zh-CN"/>
              </w:rPr>
              <w:t>吴江区桃源镇澄源村</w:t>
            </w:r>
            <w:r>
              <w:rPr>
                <w:rFonts w:hint="eastAsia"/>
                <w:color w:val="auto"/>
                <w:sz w:val="21"/>
                <w:szCs w:val="21"/>
              </w:rPr>
              <w:t>厂区已建厂房内进行建设，地面已做好硬化，正常情况下无土壤、地下水污染途径。</w:t>
            </w:r>
          </w:p>
          <w:p w14:paraId="57C5DC4C">
            <w:pPr>
              <w:overflowPunct w:val="0"/>
              <w:adjustRightInd w:val="0"/>
              <w:snapToGrid w:val="0"/>
              <w:spacing w:line="360" w:lineRule="auto"/>
              <w:ind w:firstLine="412" w:firstLineChars="200"/>
              <w:jc w:val="left"/>
              <w:rPr>
                <w:snapToGrid w:val="0"/>
                <w:color w:val="auto"/>
                <w:spacing w:val="-2"/>
                <w:kern w:val="0"/>
                <w:szCs w:val="21"/>
              </w:rPr>
            </w:pPr>
            <w:r>
              <w:rPr>
                <w:rFonts w:hint="eastAsia"/>
                <w:snapToGrid w:val="0"/>
                <w:color w:val="auto"/>
                <w:spacing w:val="-2"/>
                <w:kern w:val="0"/>
                <w:szCs w:val="21"/>
              </w:rPr>
              <w:t>（</w:t>
            </w:r>
            <w:r>
              <w:rPr>
                <w:snapToGrid w:val="0"/>
                <w:color w:val="auto"/>
                <w:spacing w:val="-2"/>
                <w:kern w:val="0"/>
                <w:szCs w:val="21"/>
              </w:rPr>
              <w:t>2</w:t>
            </w:r>
            <w:r>
              <w:rPr>
                <w:rFonts w:hint="eastAsia"/>
                <w:snapToGrid w:val="0"/>
                <w:color w:val="auto"/>
                <w:spacing w:val="-2"/>
                <w:kern w:val="0"/>
                <w:szCs w:val="21"/>
              </w:rPr>
              <w:t>）防控措施</w:t>
            </w:r>
          </w:p>
          <w:p w14:paraId="39ACDB75">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4-</w:t>
            </w:r>
            <w:r>
              <w:rPr>
                <w:rFonts w:hint="eastAsia"/>
                <w:b/>
                <w:snapToGrid w:val="0"/>
                <w:color w:val="auto"/>
                <w:szCs w:val="21"/>
                <w:lang w:val="en-US" w:eastAsia="zh-CN"/>
              </w:rPr>
              <w:t>20</w:t>
            </w:r>
            <w:r>
              <w:rPr>
                <w:b/>
                <w:snapToGrid w:val="0"/>
                <w:color w:val="auto"/>
                <w:szCs w:val="21"/>
              </w:rPr>
              <w:t xml:space="preserve">  </w:t>
            </w:r>
            <w:r>
              <w:rPr>
                <w:rFonts w:hint="eastAsia"/>
                <w:b/>
                <w:snapToGrid w:val="0"/>
                <w:color w:val="auto"/>
                <w:szCs w:val="21"/>
              </w:rPr>
              <w:t>防渗分区及要求表</w:t>
            </w:r>
          </w:p>
          <w:tbl>
            <w:tblPr>
              <w:tblStyle w:val="26"/>
              <w:tblW w:w="805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51"/>
              <w:gridCol w:w="2295"/>
              <w:gridCol w:w="3312"/>
            </w:tblGrid>
            <w:tr w14:paraId="78D73F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51" w:type="dxa"/>
                  <w:tcBorders>
                    <w:top w:val="single" w:color="auto" w:sz="12" w:space="0"/>
                    <w:bottom w:val="single" w:color="auto" w:sz="4" w:space="0"/>
                    <w:right w:val="single" w:color="auto" w:sz="4" w:space="0"/>
                  </w:tcBorders>
                  <w:vAlign w:val="center"/>
                </w:tcPr>
                <w:p w14:paraId="5478F40E">
                  <w:pPr>
                    <w:jc w:val="center"/>
                    <w:rPr>
                      <w:bCs/>
                      <w:color w:val="auto"/>
                      <w:sz w:val="18"/>
                      <w:szCs w:val="18"/>
                    </w:rPr>
                  </w:pPr>
                  <w:r>
                    <w:rPr>
                      <w:rFonts w:hint="eastAsia"/>
                      <w:bCs/>
                      <w:color w:val="auto"/>
                      <w:sz w:val="18"/>
                      <w:szCs w:val="18"/>
                    </w:rPr>
                    <w:t>名称</w:t>
                  </w:r>
                </w:p>
              </w:tc>
              <w:tc>
                <w:tcPr>
                  <w:tcW w:w="2295" w:type="dxa"/>
                  <w:tcBorders>
                    <w:top w:val="single" w:color="auto" w:sz="12" w:space="0"/>
                    <w:left w:val="single" w:color="auto" w:sz="4" w:space="0"/>
                    <w:bottom w:val="single" w:color="auto" w:sz="4" w:space="0"/>
                    <w:right w:val="single" w:color="auto" w:sz="4" w:space="0"/>
                  </w:tcBorders>
                  <w:vAlign w:val="center"/>
                </w:tcPr>
                <w:p w14:paraId="54BC5AF7">
                  <w:pPr>
                    <w:jc w:val="center"/>
                    <w:rPr>
                      <w:bCs/>
                      <w:color w:val="auto"/>
                      <w:sz w:val="18"/>
                      <w:szCs w:val="18"/>
                    </w:rPr>
                  </w:pPr>
                  <w:r>
                    <w:rPr>
                      <w:rFonts w:hint="eastAsia"/>
                      <w:bCs/>
                      <w:color w:val="auto"/>
                      <w:sz w:val="18"/>
                      <w:szCs w:val="18"/>
                    </w:rPr>
                    <w:t>防渗分区</w:t>
                  </w:r>
                </w:p>
              </w:tc>
              <w:tc>
                <w:tcPr>
                  <w:tcW w:w="3312" w:type="dxa"/>
                  <w:tcBorders>
                    <w:top w:val="single" w:color="auto" w:sz="12" w:space="0"/>
                    <w:left w:val="single" w:color="auto" w:sz="4" w:space="0"/>
                    <w:bottom w:val="single" w:color="auto" w:sz="4" w:space="0"/>
                  </w:tcBorders>
                  <w:vAlign w:val="center"/>
                </w:tcPr>
                <w:p w14:paraId="338AF4FB">
                  <w:pPr>
                    <w:jc w:val="center"/>
                    <w:rPr>
                      <w:bCs/>
                      <w:color w:val="auto"/>
                      <w:sz w:val="18"/>
                      <w:szCs w:val="18"/>
                    </w:rPr>
                  </w:pPr>
                  <w:r>
                    <w:rPr>
                      <w:rFonts w:hint="eastAsia"/>
                      <w:bCs/>
                      <w:color w:val="auto"/>
                      <w:sz w:val="18"/>
                      <w:szCs w:val="18"/>
                    </w:rPr>
                    <w:t>防渗要求</w:t>
                  </w:r>
                </w:p>
              </w:tc>
            </w:tr>
            <w:tr w14:paraId="5F8D5A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51" w:type="dxa"/>
                  <w:tcBorders>
                    <w:top w:val="single" w:color="auto" w:sz="4" w:space="0"/>
                    <w:bottom w:val="single" w:color="auto" w:sz="4" w:space="0"/>
                    <w:right w:val="single" w:color="auto" w:sz="4" w:space="0"/>
                  </w:tcBorders>
                  <w:vAlign w:val="center"/>
                </w:tcPr>
                <w:p w14:paraId="052D21E7">
                  <w:pPr>
                    <w:jc w:val="center"/>
                    <w:rPr>
                      <w:bCs/>
                      <w:color w:val="auto"/>
                      <w:sz w:val="18"/>
                      <w:szCs w:val="18"/>
                    </w:rPr>
                  </w:pPr>
                  <w:r>
                    <w:rPr>
                      <w:rFonts w:hint="eastAsia"/>
                      <w:bCs/>
                      <w:color w:val="auto"/>
                      <w:sz w:val="18"/>
                      <w:szCs w:val="18"/>
                    </w:rPr>
                    <w:t>危废仓库</w:t>
                  </w:r>
                </w:p>
              </w:tc>
              <w:tc>
                <w:tcPr>
                  <w:tcW w:w="2295" w:type="dxa"/>
                  <w:tcBorders>
                    <w:top w:val="single" w:color="auto" w:sz="4" w:space="0"/>
                    <w:left w:val="single" w:color="auto" w:sz="4" w:space="0"/>
                    <w:bottom w:val="single" w:color="auto" w:sz="4" w:space="0"/>
                    <w:right w:val="single" w:color="auto" w:sz="4" w:space="0"/>
                  </w:tcBorders>
                  <w:vAlign w:val="center"/>
                </w:tcPr>
                <w:p w14:paraId="1C408DA5">
                  <w:pPr>
                    <w:jc w:val="center"/>
                    <w:rPr>
                      <w:bCs/>
                      <w:color w:val="auto"/>
                      <w:sz w:val="18"/>
                      <w:szCs w:val="18"/>
                    </w:rPr>
                  </w:pPr>
                  <w:r>
                    <w:rPr>
                      <w:rFonts w:hint="eastAsia"/>
                      <w:bCs/>
                      <w:color w:val="auto"/>
                      <w:sz w:val="18"/>
                      <w:szCs w:val="18"/>
                    </w:rPr>
                    <w:t>重点防渗区</w:t>
                  </w:r>
                </w:p>
              </w:tc>
              <w:tc>
                <w:tcPr>
                  <w:tcW w:w="3312" w:type="dxa"/>
                  <w:tcBorders>
                    <w:top w:val="single" w:color="auto" w:sz="4" w:space="0"/>
                    <w:left w:val="single" w:color="auto" w:sz="4" w:space="0"/>
                    <w:bottom w:val="single" w:color="auto" w:sz="4" w:space="0"/>
                  </w:tcBorders>
                  <w:vAlign w:val="center"/>
                </w:tcPr>
                <w:p w14:paraId="19CF1A83">
                  <w:pPr>
                    <w:topLinePunct/>
                    <w:spacing w:before="48" w:after="48"/>
                    <w:jc w:val="center"/>
                    <w:rPr>
                      <w:rFonts w:ascii="Times New Roman" w:hAnsi="Times New Roman" w:eastAsia="宋体" w:cs="Times New Roman"/>
                      <w:snapToGrid w:val="0"/>
                      <w:sz w:val="18"/>
                      <w:szCs w:val="18"/>
                      <w:highlight w:val="none"/>
                    </w:rPr>
                  </w:pPr>
                  <w:r>
                    <w:rPr>
                      <w:rFonts w:ascii="Times New Roman" w:hAnsi="Times New Roman" w:eastAsia="宋体" w:cs="Times New Roman"/>
                      <w:snapToGrid w:val="0"/>
                      <w:sz w:val="18"/>
                      <w:szCs w:val="18"/>
                      <w:highlight w:val="none"/>
                    </w:rPr>
                    <w:t>等效黏土防渗层Mb≥</w:t>
                  </w:r>
                  <w:r>
                    <w:rPr>
                      <w:rFonts w:hint="eastAsia" w:ascii="Times New Roman" w:hAnsi="Times New Roman" w:eastAsia="宋体" w:cs="Times New Roman"/>
                      <w:snapToGrid w:val="0"/>
                      <w:sz w:val="18"/>
                      <w:szCs w:val="18"/>
                      <w:highlight w:val="none"/>
                      <w:lang w:val="en-US" w:eastAsia="zh-CN"/>
                    </w:rPr>
                    <w:t>1</w:t>
                  </w:r>
                  <w:r>
                    <w:rPr>
                      <w:rFonts w:ascii="Times New Roman" w:hAnsi="Times New Roman" w:eastAsia="宋体" w:cs="Times New Roman"/>
                      <w:snapToGrid w:val="0"/>
                      <w:sz w:val="18"/>
                      <w:szCs w:val="18"/>
                      <w:highlight w:val="none"/>
                    </w:rPr>
                    <w:t>m，</w:t>
                  </w:r>
                </w:p>
                <w:p w14:paraId="45A53BDC">
                  <w:pPr>
                    <w:topLinePunct/>
                    <w:spacing w:before="48" w:after="48"/>
                    <w:jc w:val="center"/>
                    <w:rPr>
                      <w:bCs/>
                      <w:color w:val="auto"/>
                      <w:sz w:val="18"/>
                      <w:szCs w:val="18"/>
                    </w:rPr>
                  </w:pPr>
                  <w:r>
                    <w:rPr>
                      <w:rFonts w:ascii="Times New Roman" w:hAnsi="Times New Roman" w:eastAsia="宋体" w:cs="Times New Roman"/>
                      <w:snapToGrid w:val="0"/>
                      <w:sz w:val="18"/>
                      <w:szCs w:val="18"/>
                      <w:highlight w:val="none"/>
                    </w:rPr>
                    <w:t>K≤1×10</w:t>
                  </w:r>
                  <w:r>
                    <w:rPr>
                      <w:rFonts w:ascii="Times New Roman" w:hAnsi="Times New Roman" w:eastAsia="宋体" w:cs="Times New Roman"/>
                      <w:snapToGrid w:val="0"/>
                      <w:sz w:val="18"/>
                      <w:szCs w:val="18"/>
                      <w:highlight w:val="none"/>
                      <w:vertAlign w:val="superscript"/>
                    </w:rPr>
                    <w:t>-7</w:t>
                  </w:r>
                  <w:r>
                    <w:rPr>
                      <w:rFonts w:ascii="Times New Roman" w:hAnsi="Times New Roman" w:eastAsia="宋体" w:cs="Times New Roman"/>
                      <w:snapToGrid w:val="0"/>
                      <w:sz w:val="18"/>
                      <w:szCs w:val="18"/>
                      <w:highlight w:val="none"/>
                    </w:rPr>
                    <w:t>cm/s</w:t>
                  </w:r>
                </w:p>
              </w:tc>
            </w:tr>
            <w:tr w14:paraId="106B4E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51" w:type="dxa"/>
                  <w:tcBorders>
                    <w:top w:val="single" w:color="auto" w:sz="4" w:space="0"/>
                    <w:bottom w:val="single" w:color="auto" w:sz="4" w:space="0"/>
                    <w:right w:val="single" w:color="auto" w:sz="4" w:space="0"/>
                  </w:tcBorders>
                  <w:vAlign w:val="center"/>
                </w:tcPr>
                <w:p w14:paraId="6871FD01">
                  <w:pPr>
                    <w:jc w:val="center"/>
                    <w:rPr>
                      <w:bCs/>
                      <w:color w:val="auto"/>
                      <w:sz w:val="18"/>
                      <w:szCs w:val="18"/>
                    </w:rPr>
                  </w:pPr>
                  <w:r>
                    <w:rPr>
                      <w:rFonts w:hint="eastAsia"/>
                      <w:bCs/>
                      <w:color w:val="auto"/>
                      <w:sz w:val="18"/>
                      <w:szCs w:val="18"/>
                    </w:rPr>
                    <w:t>一般固废仓库、生产车间、原辅料仓库</w:t>
                  </w:r>
                </w:p>
              </w:tc>
              <w:tc>
                <w:tcPr>
                  <w:tcW w:w="2295" w:type="dxa"/>
                  <w:tcBorders>
                    <w:top w:val="single" w:color="auto" w:sz="4" w:space="0"/>
                    <w:left w:val="single" w:color="auto" w:sz="4" w:space="0"/>
                    <w:bottom w:val="single" w:color="auto" w:sz="4" w:space="0"/>
                    <w:right w:val="single" w:color="auto" w:sz="4" w:space="0"/>
                  </w:tcBorders>
                  <w:vAlign w:val="center"/>
                </w:tcPr>
                <w:p w14:paraId="29E9EE64">
                  <w:pPr>
                    <w:jc w:val="center"/>
                    <w:rPr>
                      <w:bCs/>
                      <w:color w:val="auto"/>
                      <w:sz w:val="18"/>
                      <w:szCs w:val="18"/>
                    </w:rPr>
                  </w:pPr>
                  <w:r>
                    <w:rPr>
                      <w:rFonts w:hint="eastAsia"/>
                      <w:bCs/>
                      <w:color w:val="auto"/>
                      <w:sz w:val="18"/>
                      <w:szCs w:val="18"/>
                    </w:rPr>
                    <w:t>一般防渗区</w:t>
                  </w:r>
                </w:p>
              </w:tc>
              <w:tc>
                <w:tcPr>
                  <w:tcW w:w="3312" w:type="dxa"/>
                  <w:tcBorders>
                    <w:top w:val="single" w:color="auto" w:sz="4" w:space="0"/>
                    <w:left w:val="single" w:color="auto" w:sz="4" w:space="0"/>
                    <w:bottom w:val="single" w:color="auto" w:sz="4" w:space="0"/>
                  </w:tcBorders>
                  <w:vAlign w:val="center"/>
                </w:tcPr>
                <w:p w14:paraId="32EB4692">
                  <w:pPr>
                    <w:topLinePunct/>
                    <w:spacing w:before="48" w:after="48"/>
                    <w:jc w:val="center"/>
                    <w:rPr>
                      <w:rFonts w:ascii="Times New Roman" w:hAnsi="Times New Roman" w:eastAsia="宋体" w:cs="Times New Roman"/>
                      <w:snapToGrid w:val="0"/>
                      <w:sz w:val="18"/>
                      <w:szCs w:val="18"/>
                      <w:highlight w:val="none"/>
                    </w:rPr>
                  </w:pPr>
                  <w:r>
                    <w:rPr>
                      <w:rFonts w:ascii="Times New Roman" w:hAnsi="Times New Roman" w:eastAsia="宋体" w:cs="Times New Roman"/>
                      <w:snapToGrid w:val="0"/>
                      <w:sz w:val="18"/>
                      <w:szCs w:val="18"/>
                      <w:highlight w:val="none"/>
                    </w:rPr>
                    <w:t>等效黏土防渗层Mb≥</w:t>
                  </w:r>
                  <w:r>
                    <w:rPr>
                      <w:rFonts w:hint="eastAsia" w:ascii="Times New Roman" w:hAnsi="Times New Roman" w:eastAsia="宋体" w:cs="Times New Roman"/>
                      <w:snapToGrid w:val="0"/>
                      <w:sz w:val="18"/>
                      <w:szCs w:val="18"/>
                      <w:highlight w:val="none"/>
                    </w:rPr>
                    <w:t>0.75</w:t>
                  </w:r>
                  <w:r>
                    <w:rPr>
                      <w:rFonts w:ascii="Times New Roman" w:hAnsi="Times New Roman" w:eastAsia="宋体" w:cs="Times New Roman"/>
                      <w:snapToGrid w:val="0"/>
                      <w:sz w:val="18"/>
                      <w:szCs w:val="18"/>
                      <w:highlight w:val="none"/>
                    </w:rPr>
                    <w:t>m，</w:t>
                  </w:r>
                </w:p>
                <w:p w14:paraId="27CD663A">
                  <w:pPr>
                    <w:topLinePunct/>
                    <w:spacing w:before="48" w:after="48"/>
                    <w:jc w:val="center"/>
                    <w:rPr>
                      <w:bCs/>
                      <w:color w:val="auto"/>
                      <w:sz w:val="18"/>
                      <w:szCs w:val="18"/>
                    </w:rPr>
                  </w:pPr>
                  <w:r>
                    <w:rPr>
                      <w:rFonts w:ascii="Times New Roman" w:hAnsi="Times New Roman" w:eastAsia="宋体" w:cs="Times New Roman"/>
                      <w:snapToGrid w:val="0"/>
                      <w:sz w:val="18"/>
                      <w:szCs w:val="18"/>
                      <w:highlight w:val="none"/>
                    </w:rPr>
                    <w:t>K≤1×10</w:t>
                  </w:r>
                  <w:r>
                    <w:rPr>
                      <w:rFonts w:ascii="Times New Roman" w:hAnsi="Times New Roman" w:eastAsia="宋体" w:cs="Times New Roman"/>
                      <w:snapToGrid w:val="0"/>
                      <w:sz w:val="18"/>
                      <w:szCs w:val="18"/>
                      <w:highlight w:val="none"/>
                      <w:vertAlign w:val="superscript"/>
                    </w:rPr>
                    <w:t>-</w:t>
                  </w:r>
                  <w:r>
                    <w:rPr>
                      <w:rFonts w:hint="eastAsia" w:ascii="Times New Roman" w:hAnsi="Times New Roman" w:eastAsia="宋体" w:cs="Times New Roman"/>
                      <w:snapToGrid w:val="0"/>
                      <w:sz w:val="18"/>
                      <w:szCs w:val="18"/>
                      <w:highlight w:val="none"/>
                      <w:vertAlign w:val="superscript"/>
                      <w:lang w:val="en-US" w:eastAsia="zh-CN"/>
                    </w:rPr>
                    <w:t>5</w:t>
                  </w:r>
                  <w:r>
                    <w:rPr>
                      <w:rFonts w:ascii="Times New Roman" w:hAnsi="Times New Roman" w:eastAsia="宋体" w:cs="Times New Roman"/>
                      <w:snapToGrid w:val="0"/>
                      <w:sz w:val="18"/>
                      <w:szCs w:val="18"/>
                      <w:highlight w:val="none"/>
                    </w:rPr>
                    <w:t>cm/s</w:t>
                  </w:r>
                </w:p>
              </w:tc>
            </w:tr>
            <w:tr w14:paraId="19A617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51" w:type="dxa"/>
                  <w:tcBorders>
                    <w:top w:val="single" w:color="auto" w:sz="4" w:space="0"/>
                    <w:bottom w:val="single" w:color="auto" w:sz="12" w:space="0"/>
                    <w:right w:val="single" w:color="auto" w:sz="4" w:space="0"/>
                  </w:tcBorders>
                  <w:vAlign w:val="center"/>
                </w:tcPr>
                <w:p w14:paraId="60B4E678">
                  <w:pPr>
                    <w:jc w:val="center"/>
                    <w:rPr>
                      <w:bCs/>
                      <w:color w:val="auto"/>
                      <w:sz w:val="18"/>
                      <w:szCs w:val="18"/>
                    </w:rPr>
                  </w:pPr>
                  <w:r>
                    <w:rPr>
                      <w:rFonts w:hint="eastAsia"/>
                      <w:bCs/>
                      <w:color w:val="auto"/>
                      <w:sz w:val="18"/>
                      <w:szCs w:val="18"/>
                    </w:rPr>
                    <w:t>其他区域</w:t>
                  </w:r>
                </w:p>
              </w:tc>
              <w:tc>
                <w:tcPr>
                  <w:tcW w:w="2295" w:type="dxa"/>
                  <w:tcBorders>
                    <w:top w:val="single" w:color="auto" w:sz="4" w:space="0"/>
                    <w:left w:val="single" w:color="auto" w:sz="4" w:space="0"/>
                    <w:bottom w:val="single" w:color="auto" w:sz="12" w:space="0"/>
                    <w:right w:val="single" w:color="auto" w:sz="4" w:space="0"/>
                  </w:tcBorders>
                  <w:vAlign w:val="center"/>
                </w:tcPr>
                <w:p w14:paraId="77FF2B6A">
                  <w:pPr>
                    <w:jc w:val="center"/>
                    <w:rPr>
                      <w:bCs/>
                      <w:color w:val="auto"/>
                      <w:sz w:val="18"/>
                      <w:szCs w:val="18"/>
                    </w:rPr>
                  </w:pPr>
                  <w:r>
                    <w:rPr>
                      <w:rFonts w:hint="eastAsia"/>
                      <w:bCs/>
                      <w:color w:val="auto"/>
                      <w:sz w:val="18"/>
                      <w:szCs w:val="18"/>
                    </w:rPr>
                    <w:t>简单防渗区</w:t>
                  </w:r>
                </w:p>
              </w:tc>
              <w:tc>
                <w:tcPr>
                  <w:tcW w:w="3312" w:type="dxa"/>
                  <w:tcBorders>
                    <w:top w:val="single" w:color="auto" w:sz="4" w:space="0"/>
                    <w:left w:val="single" w:color="auto" w:sz="4" w:space="0"/>
                    <w:bottom w:val="single" w:color="auto" w:sz="12" w:space="0"/>
                  </w:tcBorders>
                  <w:vAlign w:val="center"/>
                </w:tcPr>
                <w:p w14:paraId="11174A42">
                  <w:pPr>
                    <w:jc w:val="center"/>
                    <w:rPr>
                      <w:bCs/>
                      <w:color w:val="auto"/>
                      <w:sz w:val="18"/>
                      <w:szCs w:val="18"/>
                    </w:rPr>
                  </w:pPr>
                  <w:r>
                    <w:rPr>
                      <w:rFonts w:hint="eastAsia"/>
                      <w:color w:val="auto"/>
                      <w:sz w:val="18"/>
                      <w:szCs w:val="18"/>
                    </w:rPr>
                    <w:t>一般地面硬化</w:t>
                  </w:r>
                </w:p>
              </w:tc>
            </w:tr>
          </w:tbl>
          <w:p w14:paraId="5967FFA4">
            <w:pPr>
              <w:pStyle w:val="60"/>
              <w:ind w:firstLine="31680"/>
              <w:rPr>
                <w:color w:val="auto"/>
                <w:sz w:val="21"/>
                <w:szCs w:val="21"/>
              </w:rPr>
            </w:pPr>
            <w:r>
              <w:rPr>
                <w:rFonts w:hint="eastAsia"/>
                <w:color w:val="auto"/>
                <w:sz w:val="21"/>
                <w:szCs w:val="21"/>
              </w:rPr>
              <w:t>为保护地下水及土壤环境，建议企业采取以下污染防治措施及环境管理措施：</w:t>
            </w:r>
          </w:p>
          <w:p w14:paraId="34B7B77E">
            <w:pPr>
              <w:pStyle w:val="60"/>
              <w:ind w:firstLine="31680"/>
              <w:rPr>
                <w:color w:val="auto"/>
                <w:sz w:val="21"/>
                <w:szCs w:val="21"/>
              </w:rPr>
            </w:pPr>
            <w:r>
              <w:rPr>
                <w:rFonts w:hint="eastAsia"/>
                <w:color w:val="auto"/>
                <w:sz w:val="21"/>
                <w:szCs w:val="21"/>
              </w:rPr>
              <w:t>①企业危废仓库地面铺设环氧地坪，危险废物密闭储存，做好防渗、防漏、防腐蚀、防晒、防淋等措施。</w:t>
            </w:r>
          </w:p>
          <w:p w14:paraId="27779D8E">
            <w:pPr>
              <w:pStyle w:val="60"/>
              <w:ind w:firstLine="31680"/>
              <w:rPr>
                <w:color w:val="auto"/>
                <w:sz w:val="21"/>
                <w:szCs w:val="21"/>
              </w:rPr>
            </w:pPr>
            <w:r>
              <w:rPr>
                <w:rFonts w:hint="eastAsia"/>
                <w:color w:val="auto"/>
                <w:sz w:val="21"/>
                <w:szCs w:val="21"/>
              </w:rPr>
              <w:t>②企业生产区、仓库地面做好防渗、防漏、防腐蚀，生产过程严格控制，定期对设备进行检修，防止跑、冒、滴、漏现象发生；污水管网均采用管道输送，清污分流，保证污水能够顺畅排入市政污水管网。</w:t>
            </w:r>
          </w:p>
          <w:p w14:paraId="0B712410">
            <w:pPr>
              <w:pStyle w:val="60"/>
              <w:ind w:firstLine="31680"/>
              <w:rPr>
                <w:color w:val="auto"/>
                <w:sz w:val="21"/>
                <w:szCs w:val="21"/>
              </w:rPr>
            </w:pPr>
            <w:r>
              <w:rPr>
                <w:rFonts w:hint="eastAsia"/>
                <w:color w:val="auto"/>
                <w:sz w:val="21"/>
                <w:szCs w:val="21"/>
              </w:rPr>
              <w:t>在充分落实以上防渗措施及加强环境管理的前提下，项目建设能够达到保护土壤及地下水环境的目的。</w:t>
            </w:r>
          </w:p>
          <w:p w14:paraId="6E15F3BB">
            <w:pPr>
              <w:pStyle w:val="60"/>
              <w:ind w:firstLine="0" w:firstLineChars="0"/>
              <w:rPr>
                <w:b/>
                <w:color w:val="auto"/>
                <w:sz w:val="21"/>
                <w:szCs w:val="21"/>
              </w:rPr>
            </w:pPr>
            <w:r>
              <w:rPr>
                <w:b/>
                <w:color w:val="auto"/>
                <w:sz w:val="21"/>
                <w:szCs w:val="21"/>
              </w:rPr>
              <w:t>6</w:t>
            </w:r>
            <w:r>
              <w:rPr>
                <w:rFonts w:hint="eastAsia"/>
                <w:b/>
                <w:bCs/>
                <w:color w:val="auto"/>
                <w:spacing w:val="-2"/>
                <w:kern w:val="0"/>
                <w:sz w:val="21"/>
                <w:szCs w:val="21"/>
              </w:rPr>
              <w:t>、生态环境影响分析</w:t>
            </w:r>
          </w:p>
          <w:p w14:paraId="2583BB17">
            <w:pPr>
              <w:pStyle w:val="60"/>
              <w:ind w:firstLine="31680"/>
              <w:rPr>
                <w:color w:val="auto"/>
                <w:sz w:val="21"/>
                <w:szCs w:val="21"/>
              </w:rPr>
            </w:pPr>
            <w:r>
              <w:rPr>
                <w:rFonts w:hint="eastAsia"/>
                <w:color w:val="auto"/>
                <w:sz w:val="21"/>
                <w:szCs w:val="21"/>
              </w:rPr>
              <w:t>对照《建设项目环境影响报告表编制技术指南》（污染影响类）（试行），本项目利用厂区已建厂房进行建设，用地性质为工业用地，不涉及生态环境保护目标。因此，不需要进行生态环境影响分析。</w:t>
            </w:r>
          </w:p>
          <w:p w14:paraId="522BC60D">
            <w:pPr>
              <w:pStyle w:val="60"/>
              <w:ind w:firstLine="0" w:firstLineChars="0"/>
              <w:rPr>
                <w:b/>
                <w:bCs/>
                <w:color w:val="auto"/>
                <w:spacing w:val="-2"/>
                <w:kern w:val="0"/>
                <w:sz w:val="21"/>
                <w:szCs w:val="21"/>
              </w:rPr>
            </w:pPr>
            <w:r>
              <w:rPr>
                <w:b/>
                <w:bCs/>
                <w:color w:val="auto"/>
                <w:spacing w:val="-2"/>
                <w:kern w:val="0"/>
                <w:sz w:val="21"/>
                <w:szCs w:val="21"/>
              </w:rPr>
              <w:t>7</w:t>
            </w:r>
            <w:r>
              <w:rPr>
                <w:rFonts w:hint="eastAsia"/>
                <w:b/>
                <w:bCs/>
                <w:color w:val="auto"/>
                <w:spacing w:val="-2"/>
                <w:kern w:val="0"/>
                <w:sz w:val="21"/>
                <w:szCs w:val="21"/>
              </w:rPr>
              <w:t>、环境风险分析</w:t>
            </w:r>
          </w:p>
          <w:p w14:paraId="0D11847A">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7.1</w:t>
            </w:r>
            <w:r>
              <w:rPr>
                <w:rFonts w:hint="eastAsia"/>
                <w:b/>
                <w:bCs/>
                <w:snapToGrid w:val="0"/>
                <w:color w:val="auto"/>
                <w:spacing w:val="-2"/>
                <w:kern w:val="0"/>
                <w:szCs w:val="21"/>
              </w:rPr>
              <w:t>环境风险物质识别</w:t>
            </w:r>
          </w:p>
          <w:p w14:paraId="331FB09A">
            <w:pPr>
              <w:pStyle w:val="60"/>
              <w:ind w:firstLine="31680"/>
              <w:rPr>
                <w:color w:val="auto"/>
                <w:sz w:val="21"/>
                <w:szCs w:val="21"/>
              </w:rPr>
            </w:pPr>
            <w:r>
              <w:rPr>
                <w:rFonts w:hint="eastAsia"/>
                <w:color w:val="auto"/>
                <w:sz w:val="21"/>
                <w:szCs w:val="21"/>
              </w:rPr>
              <w:t>根据《建设项目环境风险评价技术导则》（</w:t>
            </w:r>
            <w:r>
              <w:rPr>
                <w:color w:val="auto"/>
                <w:sz w:val="21"/>
                <w:szCs w:val="21"/>
              </w:rPr>
              <w:t>HJ 169-2018</w:t>
            </w:r>
            <w:r>
              <w:rPr>
                <w:rFonts w:hint="eastAsia"/>
                <w:color w:val="auto"/>
                <w:sz w:val="21"/>
                <w:szCs w:val="21"/>
              </w:rPr>
              <w:t>）附录</w:t>
            </w:r>
            <w:r>
              <w:rPr>
                <w:color w:val="auto"/>
                <w:sz w:val="21"/>
                <w:szCs w:val="21"/>
              </w:rPr>
              <w:t>B</w:t>
            </w:r>
            <w:r>
              <w:rPr>
                <w:rFonts w:hint="eastAsia"/>
                <w:color w:val="auto"/>
                <w:sz w:val="21"/>
                <w:szCs w:val="21"/>
              </w:rPr>
              <w:t>判断本项目生产过程中所涉及的风险物质，并根据风险物质的量计算</w:t>
            </w:r>
            <w:r>
              <w:rPr>
                <w:color w:val="auto"/>
                <w:sz w:val="21"/>
                <w:szCs w:val="21"/>
              </w:rPr>
              <w:t>Q</w:t>
            </w:r>
            <w:r>
              <w:rPr>
                <w:rFonts w:hint="eastAsia"/>
                <w:color w:val="auto"/>
                <w:sz w:val="21"/>
                <w:szCs w:val="21"/>
              </w:rPr>
              <w:t>值。</w:t>
            </w:r>
          </w:p>
          <w:p w14:paraId="49C8D3C9">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4-</w:t>
            </w:r>
            <w:r>
              <w:rPr>
                <w:rFonts w:hint="eastAsia"/>
                <w:b/>
                <w:snapToGrid w:val="0"/>
                <w:color w:val="auto"/>
                <w:szCs w:val="21"/>
                <w:lang w:val="en-US" w:eastAsia="zh-CN"/>
              </w:rPr>
              <w:t>21</w:t>
            </w:r>
            <w:r>
              <w:rPr>
                <w:b/>
                <w:snapToGrid w:val="0"/>
                <w:color w:val="auto"/>
                <w:szCs w:val="21"/>
              </w:rPr>
              <w:t xml:space="preserve">  </w:t>
            </w:r>
            <w:r>
              <w:rPr>
                <w:rFonts w:hint="eastAsia"/>
                <w:b/>
                <w:snapToGrid w:val="0"/>
                <w:color w:val="auto"/>
                <w:szCs w:val="21"/>
              </w:rPr>
              <w:t>项目</w:t>
            </w:r>
            <w:r>
              <w:rPr>
                <w:b/>
                <w:snapToGrid w:val="0"/>
                <w:color w:val="auto"/>
                <w:szCs w:val="21"/>
              </w:rPr>
              <w:t>Q</w:t>
            </w:r>
            <w:r>
              <w:rPr>
                <w:rFonts w:hint="eastAsia"/>
                <w:b/>
                <w:snapToGrid w:val="0"/>
                <w:color w:val="auto"/>
                <w:szCs w:val="21"/>
              </w:rPr>
              <w:t>值确定表</w:t>
            </w:r>
          </w:p>
          <w:tbl>
            <w:tblPr>
              <w:tblStyle w:val="26"/>
              <w:tblW w:w="805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461"/>
              <w:gridCol w:w="1576"/>
              <w:gridCol w:w="1704"/>
              <w:gridCol w:w="1846"/>
              <w:gridCol w:w="1471"/>
            </w:tblGrid>
            <w:tr w14:paraId="7927D9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461" w:type="dxa"/>
                  <w:tcBorders>
                    <w:top w:val="single" w:color="auto" w:sz="12" w:space="0"/>
                    <w:bottom w:val="single" w:color="auto" w:sz="4" w:space="0"/>
                    <w:right w:val="single" w:color="auto" w:sz="4" w:space="0"/>
                  </w:tcBorders>
                  <w:vAlign w:val="center"/>
                </w:tcPr>
                <w:p w14:paraId="52291A30">
                  <w:pPr>
                    <w:jc w:val="center"/>
                    <w:rPr>
                      <w:bCs/>
                      <w:color w:val="auto"/>
                      <w:sz w:val="18"/>
                      <w:szCs w:val="18"/>
                    </w:rPr>
                  </w:pPr>
                  <w:r>
                    <w:rPr>
                      <w:rFonts w:hint="eastAsia"/>
                      <w:bCs/>
                      <w:color w:val="auto"/>
                      <w:sz w:val="18"/>
                      <w:szCs w:val="18"/>
                    </w:rPr>
                    <w:t>风险物质名称</w:t>
                  </w:r>
                </w:p>
              </w:tc>
              <w:tc>
                <w:tcPr>
                  <w:tcW w:w="1576" w:type="dxa"/>
                  <w:tcBorders>
                    <w:top w:val="single" w:color="auto" w:sz="12" w:space="0"/>
                    <w:left w:val="single" w:color="auto" w:sz="4" w:space="0"/>
                    <w:bottom w:val="single" w:color="auto" w:sz="4" w:space="0"/>
                    <w:right w:val="single" w:color="auto" w:sz="4" w:space="0"/>
                  </w:tcBorders>
                  <w:vAlign w:val="center"/>
                </w:tcPr>
                <w:p w14:paraId="744F8C0E">
                  <w:pPr>
                    <w:jc w:val="center"/>
                    <w:rPr>
                      <w:bCs/>
                      <w:color w:val="auto"/>
                      <w:sz w:val="18"/>
                      <w:szCs w:val="18"/>
                    </w:rPr>
                  </w:pPr>
                  <w:r>
                    <w:rPr>
                      <w:bCs/>
                      <w:color w:val="auto"/>
                      <w:sz w:val="18"/>
                      <w:szCs w:val="18"/>
                    </w:rPr>
                    <w:t>CAS</w:t>
                  </w:r>
                  <w:r>
                    <w:rPr>
                      <w:rFonts w:hint="eastAsia"/>
                      <w:bCs/>
                      <w:color w:val="auto"/>
                      <w:sz w:val="18"/>
                      <w:szCs w:val="18"/>
                    </w:rPr>
                    <w:t>号</w:t>
                  </w:r>
                </w:p>
              </w:tc>
              <w:tc>
                <w:tcPr>
                  <w:tcW w:w="1704" w:type="dxa"/>
                  <w:tcBorders>
                    <w:top w:val="single" w:color="auto" w:sz="12" w:space="0"/>
                    <w:left w:val="single" w:color="auto" w:sz="4" w:space="0"/>
                    <w:bottom w:val="single" w:color="auto" w:sz="4" w:space="0"/>
                    <w:right w:val="single" w:color="auto" w:sz="4" w:space="0"/>
                  </w:tcBorders>
                  <w:vAlign w:val="center"/>
                </w:tcPr>
                <w:p w14:paraId="06A9CF1E">
                  <w:pPr>
                    <w:jc w:val="center"/>
                    <w:rPr>
                      <w:bCs/>
                      <w:color w:val="auto"/>
                      <w:sz w:val="18"/>
                      <w:szCs w:val="18"/>
                    </w:rPr>
                  </w:pPr>
                  <w:r>
                    <w:rPr>
                      <w:rFonts w:hint="eastAsia"/>
                      <w:bCs/>
                      <w:color w:val="auto"/>
                      <w:sz w:val="18"/>
                      <w:szCs w:val="18"/>
                    </w:rPr>
                    <w:t>最大存在总量</w:t>
                  </w:r>
                  <w:r>
                    <w:rPr>
                      <w:bCs/>
                      <w:color w:val="auto"/>
                      <w:sz w:val="18"/>
                      <w:szCs w:val="18"/>
                    </w:rPr>
                    <w:t>qn/t</w:t>
                  </w:r>
                </w:p>
              </w:tc>
              <w:tc>
                <w:tcPr>
                  <w:tcW w:w="1846" w:type="dxa"/>
                  <w:tcBorders>
                    <w:top w:val="single" w:color="auto" w:sz="12" w:space="0"/>
                    <w:left w:val="single" w:color="auto" w:sz="4" w:space="0"/>
                    <w:bottom w:val="single" w:color="auto" w:sz="4" w:space="0"/>
                    <w:right w:val="single" w:color="auto" w:sz="4" w:space="0"/>
                  </w:tcBorders>
                  <w:vAlign w:val="center"/>
                </w:tcPr>
                <w:p w14:paraId="4EFE7631">
                  <w:pPr>
                    <w:jc w:val="center"/>
                    <w:rPr>
                      <w:bCs/>
                      <w:color w:val="auto"/>
                      <w:sz w:val="18"/>
                      <w:szCs w:val="18"/>
                    </w:rPr>
                  </w:pPr>
                  <w:r>
                    <w:rPr>
                      <w:rFonts w:hint="eastAsia"/>
                      <w:bCs/>
                      <w:color w:val="auto"/>
                      <w:sz w:val="18"/>
                      <w:szCs w:val="18"/>
                    </w:rPr>
                    <w:t>临界量</w:t>
                  </w:r>
                  <w:r>
                    <w:rPr>
                      <w:bCs/>
                      <w:color w:val="auto"/>
                      <w:sz w:val="18"/>
                      <w:szCs w:val="18"/>
                    </w:rPr>
                    <w:t>Qn/t</w:t>
                  </w:r>
                </w:p>
              </w:tc>
              <w:tc>
                <w:tcPr>
                  <w:tcW w:w="1471" w:type="dxa"/>
                  <w:tcBorders>
                    <w:top w:val="single" w:color="auto" w:sz="12" w:space="0"/>
                    <w:left w:val="single" w:color="auto" w:sz="4" w:space="0"/>
                    <w:bottom w:val="single" w:color="auto" w:sz="4" w:space="0"/>
                  </w:tcBorders>
                  <w:vAlign w:val="center"/>
                </w:tcPr>
                <w:p w14:paraId="6D449F79">
                  <w:pPr>
                    <w:jc w:val="center"/>
                    <w:rPr>
                      <w:bCs/>
                      <w:color w:val="auto"/>
                      <w:sz w:val="18"/>
                      <w:szCs w:val="18"/>
                    </w:rPr>
                  </w:pPr>
                  <w:r>
                    <w:rPr>
                      <w:bCs/>
                      <w:color w:val="auto"/>
                      <w:sz w:val="18"/>
                      <w:szCs w:val="18"/>
                    </w:rPr>
                    <w:t>Q</w:t>
                  </w:r>
                  <w:r>
                    <w:rPr>
                      <w:rFonts w:hint="eastAsia"/>
                      <w:bCs/>
                      <w:color w:val="auto"/>
                      <w:sz w:val="18"/>
                      <w:szCs w:val="18"/>
                    </w:rPr>
                    <w:t>值</w:t>
                  </w:r>
                </w:p>
              </w:tc>
            </w:tr>
            <w:tr w14:paraId="3BE0D0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461" w:type="dxa"/>
                  <w:tcBorders>
                    <w:top w:val="single" w:color="auto" w:sz="4" w:space="0"/>
                    <w:bottom w:val="single" w:color="auto" w:sz="4" w:space="0"/>
                    <w:right w:val="single" w:color="auto" w:sz="4" w:space="0"/>
                  </w:tcBorders>
                  <w:vAlign w:val="center"/>
                </w:tcPr>
                <w:p w14:paraId="067D4D1F">
                  <w:pPr>
                    <w:jc w:val="center"/>
                    <w:rPr>
                      <w:rFonts w:hint="eastAsia" w:eastAsia="宋体"/>
                      <w:color w:val="auto"/>
                      <w:sz w:val="18"/>
                      <w:szCs w:val="18"/>
                      <w:lang w:val="en-US" w:eastAsia="zh-CN"/>
                    </w:rPr>
                  </w:pPr>
                  <w:r>
                    <w:rPr>
                      <w:rFonts w:hint="eastAsia"/>
                      <w:color w:val="auto"/>
                      <w:sz w:val="18"/>
                      <w:szCs w:val="18"/>
                      <w:lang w:val="en-US" w:eastAsia="zh-CN"/>
                    </w:rPr>
                    <w:t>纺丝油剂</w:t>
                  </w:r>
                </w:p>
              </w:tc>
              <w:tc>
                <w:tcPr>
                  <w:tcW w:w="1576" w:type="dxa"/>
                  <w:tcBorders>
                    <w:top w:val="single" w:color="auto" w:sz="4" w:space="0"/>
                    <w:left w:val="single" w:color="auto" w:sz="4" w:space="0"/>
                    <w:bottom w:val="single" w:color="auto" w:sz="4" w:space="0"/>
                    <w:right w:val="single" w:color="auto" w:sz="4" w:space="0"/>
                  </w:tcBorders>
                  <w:vAlign w:val="center"/>
                </w:tcPr>
                <w:p w14:paraId="5BBEE216">
                  <w:pPr>
                    <w:jc w:val="center"/>
                    <w:rPr>
                      <w:color w:val="auto"/>
                      <w:sz w:val="18"/>
                      <w:szCs w:val="18"/>
                    </w:rPr>
                  </w:pPr>
                  <w:r>
                    <w:rPr>
                      <w:color w:val="auto"/>
                      <w:sz w:val="18"/>
                      <w:szCs w:val="18"/>
                    </w:rPr>
                    <w:t>/</w:t>
                  </w:r>
                </w:p>
              </w:tc>
              <w:tc>
                <w:tcPr>
                  <w:tcW w:w="1704" w:type="dxa"/>
                  <w:tcBorders>
                    <w:top w:val="single" w:color="auto" w:sz="4" w:space="0"/>
                    <w:left w:val="single" w:color="auto" w:sz="4" w:space="0"/>
                    <w:bottom w:val="single" w:color="auto" w:sz="4" w:space="0"/>
                    <w:right w:val="single" w:color="auto" w:sz="4" w:space="0"/>
                  </w:tcBorders>
                  <w:vAlign w:val="center"/>
                </w:tcPr>
                <w:p w14:paraId="671A0BFE">
                  <w:pPr>
                    <w:jc w:val="center"/>
                    <w:rPr>
                      <w:rFonts w:hint="default" w:eastAsia="宋体"/>
                      <w:color w:val="auto"/>
                      <w:sz w:val="18"/>
                      <w:szCs w:val="18"/>
                      <w:lang w:val="en-US" w:eastAsia="zh-CN"/>
                    </w:rPr>
                  </w:pPr>
                  <w:r>
                    <w:rPr>
                      <w:rFonts w:hint="eastAsia"/>
                      <w:color w:val="auto"/>
                      <w:sz w:val="18"/>
                      <w:szCs w:val="18"/>
                      <w:lang w:val="en-US" w:eastAsia="zh-CN"/>
                    </w:rPr>
                    <w:t>1.5</w:t>
                  </w:r>
                </w:p>
              </w:tc>
              <w:tc>
                <w:tcPr>
                  <w:tcW w:w="1846" w:type="dxa"/>
                  <w:tcBorders>
                    <w:top w:val="single" w:color="auto" w:sz="4" w:space="0"/>
                    <w:left w:val="single" w:color="auto" w:sz="4" w:space="0"/>
                    <w:bottom w:val="single" w:color="auto" w:sz="4" w:space="0"/>
                    <w:right w:val="single" w:color="auto" w:sz="4" w:space="0"/>
                  </w:tcBorders>
                  <w:vAlign w:val="center"/>
                </w:tcPr>
                <w:p w14:paraId="54204B1D">
                  <w:pPr>
                    <w:jc w:val="center"/>
                    <w:rPr>
                      <w:color w:val="auto"/>
                      <w:sz w:val="18"/>
                      <w:szCs w:val="18"/>
                    </w:rPr>
                  </w:pPr>
                  <w:r>
                    <w:rPr>
                      <w:color w:val="auto"/>
                      <w:sz w:val="18"/>
                      <w:szCs w:val="18"/>
                    </w:rPr>
                    <w:t>2500</w:t>
                  </w:r>
                </w:p>
              </w:tc>
              <w:tc>
                <w:tcPr>
                  <w:tcW w:w="1471" w:type="dxa"/>
                  <w:tcBorders>
                    <w:top w:val="single" w:color="auto" w:sz="4" w:space="0"/>
                    <w:left w:val="single" w:color="auto" w:sz="4" w:space="0"/>
                    <w:bottom w:val="single" w:color="auto" w:sz="4" w:space="0"/>
                  </w:tcBorders>
                  <w:vAlign w:val="center"/>
                </w:tcPr>
                <w:p w14:paraId="519FB732">
                  <w:pPr>
                    <w:jc w:val="center"/>
                    <w:rPr>
                      <w:rFonts w:hint="eastAsia"/>
                      <w:color w:val="auto"/>
                      <w:sz w:val="18"/>
                      <w:szCs w:val="18"/>
                      <w:lang w:val="en-US" w:eastAsia="zh-CN"/>
                    </w:rPr>
                  </w:pPr>
                  <w:r>
                    <w:rPr>
                      <w:rFonts w:hint="eastAsia"/>
                      <w:color w:val="auto"/>
                      <w:sz w:val="18"/>
                      <w:szCs w:val="18"/>
                      <w:lang w:val="en-US" w:eastAsia="zh-CN"/>
                    </w:rPr>
                    <w:t>0.0006</w:t>
                  </w:r>
                </w:p>
              </w:tc>
            </w:tr>
            <w:tr w14:paraId="1A25C5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461" w:type="dxa"/>
                  <w:tcBorders>
                    <w:top w:val="single" w:color="auto" w:sz="4" w:space="0"/>
                    <w:bottom w:val="single" w:color="auto" w:sz="4" w:space="0"/>
                    <w:right w:val="single" w:color="auto" w:sz="4" w:space="0"/>
                  </w:tcBorders>
                  <w:vAlign w:val="center"/>
                </w:tcPr>
                <w:p w14:paraId="241355A3">
                  <w:pPr>
                    <w:jc w:val="center"/>
                    <w:rPr>
                      <w:color w:val="auto"/>
                      <w:sz w:val="18"/>
                      <w:szCs w:val="18"/>
                    </w:rPr>
                  </w:pPr>
                  <w:r>
                    <w:rPr>
                      <w:rFonts w:hint="eastAsia"/>
                      <w:color w:val="auto"/>
                      <w:sz w:val="18"/>
                      <w:szCs w:val="18"/>
                    </w:rPr>
                    <w:t>润滑油</w:t>
                  </w:r>
                </w:p>
              </w:tc>
              <w:tc>
                <w:tcPr>
                  <w:tcW w:w="1576" w:type="dxa"/>
                  <w:tcBorders>
                    <w:top w:val="single" w:color="auto" w:sz="4" w:space="0"/>
                    <w:left w:val="single" w:color="auto" w:sz="4" w:space="0"/>
                    <w:bottom w:val="single" w:color="auto" w:sz="4" w:space="0"/>
                    <w:right w:val="single" w:color="auto" w:sz="4" w:space="0"/>
                  </w:tcBorders>
                  <w:vAlign w:val="center"/>
                </w:tcPr>
                <w:p w14:paraId="72E87FEC">
                  <w:pPr>
                    <w:jc w:val="center"/>
                    <w:rPr>
                      <w:color w:val="auto"/>
                      <w:sz w:val="18"/>
                      <w:szCs w:val="18"/>
                    </w:rPr>
                  </w:pPr>
                  <w:r>
                    <w:rPr>
                      <w:color w:val="auto"/>
                      <w:sz w:val="18"/>
                      <w:szCs w:val="18"/>
                    </w:rPr>
                    <w:t>/</w:t>
                  </w:r>
                </w:p>
              </w:tc>
              <w:tc>
                <w:tcPr>
                  <w:tcW w:w="1704" w:type="dxa"/>
                  <w:tcBorders>
                    <w:top w:val="single" w:color="auto" w:sz="4" w:space="0"/>
                    <w:left w:val="single" w:color="auto" w:sz="4" w:space="0"/>
                    <w:bottom w:val="single" w:color="auto" w:sz="4" w:space="0"/>
                    <w:right w:val="single" w:color="auto" w:sz="4" w:space="0"/>
                  </w:tcBorders>
                  <w:vAlign w:val="center"/>
                </w:tcPr>
                <w:p w14:paraId="3049F61E">
                  <w:pPr>
                    <w:jc w:val="center"/>
                    <w:rPr>
                      <w:rFonts w:hint="eastAsia" w:eastAsia="宋体"/>
                      <w:color w:val="auto"/>
                      <w:sz w:val="18"/>
                      <w:szCs w:val="18"/>
                      <w:lang w:val="en-US" w:eastAsia="zh-CN"/>
                    </w:rPr>
                  </w:pPr>
                  <w:r>
                    <w:rPr>
                      <w:color w:val="auto"/>
                      <w:sz w:val="18"/>
                      <w:szCs w:val="18"/>
                    </w:rPr>
                    <w:t>0.</w:t>
                  </w:r>
                  <w:r>
                    <w:rPr>
                      <w:rFonts w:hint="eastAsia"/>
                      <w:color w:val="auto"/>
                      <w:sz w:val="18"/>
                      <w:szCs w:val="18"/>
                      <w:lang w:val="en-US" w:eastAsia="zh-CN"/>
                    </w:rPr>
                    <w:t>1</w:t>
                  </w:r>
                </w:p>
              </w:tc>
              <w:tc>
                <w:tcPr>
                  <w:tcW w:w="1846" w:type="dxa"/>
                  <w:tcBorders>
                    <w:top w:val="single" w:color="auto" w:sz="4" w:space="0"/>
                    <w:left w:val="single" w:color="auto" w:sz="4" w:space="0"/>
                    <w:bottom w:val="single" w:color="auto" w:sz="4" w:space="0"/>
                    <w:right w:val="single" w:color="auto" w:sz="4" w:space="0"/>
                  </w:tcBorders>
                  <w:vAlign w:val="center"/>
                </w:tcPr>
                <w:p w14:paraId="318ACA92">
                  <w:pPr>
                    <w:jc w:val="center"/>
                    <w:rPr>
                      <w:color w:val="auto"/>
                      <w:sz w:val="18"/>
                      <w:szCs w:val="18"/>
                    </w:rPr>
                  </w:pPr>
                  <w:r>
                    <w:rPr>
                      <w:color w:val="auto"/>
                      <w:sz w:val="18"/>
                      <w:szCs w:val="18"/>
                    </w:rPr>
                    <w:t>2500</w:t>
                  </w:r>
                </w:p>
              </w:tc>
              <w:tc>
                <w:tcPr>
                  <w:tcW w:w="1471" w:type="dxa"/>
                  <w:tcBorders>
                    <w:top w:val="single" w:color="auto" w:sz="4" w:space="0"/>
                    <w:left w:val="single" w:color="auto" w:sz="4" w:space="0"/>
                    <w:bottom w:val="single" w:color="auto" w:sz="4" w:space="0"/>
                  </w:tcBorders>
                  <w:vAlign w:val="center"/>
                </w:tcPr>
                <w:p w14:paraId="2253283C">
                  <w:pPr>
                    <w:jc w:val="center"/>
                    <w:rPr>
                      <w:color w:val="auto"/>
                      <w:sz w:val="18"/>
                      <w:szCs w:val="18"/>
                    </w:rPr>
                  </w:pPr>
                  <w:r>
                    <w:rPr>
                      <w:rFonts w:hint="eastAsia"/>
                      <w:color w:val="auto"/>
                      <w:sz w:val="18"/>
                      <w:szCs w:val="18"/>
                      <w:lang w:val="en-US" w:eastAsia="zh-CN"/>
                    </w:rPr>
                    <w:t>0.00004</w:t>
                  </w:r>
                </w:p>
              </w:tc>
            </w:tr>
            <w:tr w14:paraId="27B285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461" w:type="dxa"/>
                  <w:tcBorders>
                    <w:top w:val="single" w:color="auto" w:sz="4" w:space="0"/>
                    <w:bottom w:val="single" w:color="auto" w:sz="4" w:space="0"/>
                    <w:right w:val="single" w:color="auto" w:sz="4" w:space="0"/>
                  </w:tcBorders>
                  <w:vAlign w:val="center"/>
                </w:tcPr>
                <w:p w14:paraId="7287843B">
                  <w:pPr>
                    <w:jc w:val="center"/>
                    <w:rPr>
                      <w:color w:val="auto"/>
                      <w:sz w:val="18"/>
                      <w:szCs w:val="18"/>
                    </w:rPr>
                  </w:pPr>
                  <w:r>
                    <w:rPr>
                      <w:rFonts w:hint="eastAsia"/>
                      <w:color w:val="auto"/>
                      <w:sz w:val="18"/>
                      <w:szCs w:val="18"/>
                    </w:rPr>
                    <w:t>硫酸银</w:t>
                  </w:r>
                </w:p>
              </w:tc>
              <w:tc>
                <w:tcPr>
                  <w:tcW w:w="1576" w:type="dxa"/>
                  <w:tcBorders>
                    <w:top w:val="single" w:color="auto" w:sz="4" w:space="0"/>
                    <w:left w:val="single" w:color="auto" w:sz="4" w:space="0"/>
                    <w:bottom w:val="single" w:color="auto" w:sz="4" w:space="0"/>
                    <w:right w:val="single" w:color="auto" w:sz="4" w:space="0"/>
                  </w:tcBorders>
                  <w:vAlign w:val="center"/>
                </w:tcPr>
                <w:p w14:paraId="554F5E22">
                  <w:pPr>
                    <w:jc w:val="center"/>
                    <w:rPr>
                      <w:color w:val="auto"/>
                      <w:sz w:val="18"/>
                      <w:szCs w:val="18"/>
                    </w:rPr>
                  </w:pPr>
                  <w:r>
                    <w:rPr>
                      <w:color w:val="auto"/>
                      <w:sz w:val="18"/>
                      <w:szCs w:val="18"/>
                    </w:rPr>
                    <w:t>10294-26-5</w:t>
                  </w:r>
                </w:p>
              </w:tc>
              <w:tc>
                <w:tcPr>
                  <w:tcW w:w="1704" w:type="dxa"/>
                  <w:tcBorders>
                    <w:top w:val="single" w:color="auto" w:sz="4" w:space="0"/>
                    <w:left w:val="single" w:color="auto" w:sz="4" w:space="0"/>
                    <w:bottom w:val="single" w:color="auto" w:sz="4" w:space="0"/>
                    <w:right w:val="single" w:color="auto" w:sz="4" w:space="0"/>
                  </w:tcBorders>
                  <w:vAlign w:val="center"/>
                </w:tcPr>
                <w:p w14:paraId="51F31BE7">
                  <w:pPr>
                    <w:jc w:val="center"/>
                    <w:rPr>
                      <w:rFonts w:hint="default" w:eastAsia="宋体"/>
                      <w:color w:val="auto"/>
                      <w:sz w:val="18"/>
                      <w:szCs w:val="18"/>
                      <w:lang w:val="en-US" w:eastAsia="zh-CN"/>
                    </w:rPr>
                  </w:pPr>
                  <w:r>
                    <w:rPr>
                      <w:rFonts w:hint="eastAsia"/>
                      <w:color w:val="auto"/>
                      <w:sz w:val="18"/>
                      <w:szCs w:val="18"/>
                      <w:lang w:val="en-US" w:eastAsia="zh-CN"/>
                    </w:rPr>
                    <w:t>0.004</w:t>
                  </w:r>
                </w:p>
              </w:tc>
              <w:tc>
                <w:tcPr>
                  <w:tcW w:w="1846" w:type="dxa"/>
                  <w:tcBorders>
                    <w:top w:val="single" w:color="auto" w:sz="4" w:space="0"/>
                    <w:left w:val="single" w:color="auto" w:sz="4" w:space="0"/>
                    <w:bottom w:val="single" w:color="auto" w:sz="4" w:space="0"/>
                    <w:right w:val="single" w:color="auto" w:sz="4" w:space="0"/>
                  </w:tcBorders>
                  <w:vAlign w:val="center"/>
                </w:tcPr>
                <w:p w14:paraId="5A69C3D9">
                  <w:pPr>
                    <w:jc w:val="center"/>
                    <w:rPr>
                      <w:color w:val="auto"/>
                      <w:sz w:val="18"/>
                      <w:szCs w:val="18"/>
                    </w:rPr>
                  </w:pPr>
                  <w:r>
                    <w:rPr>
                      <w:color w:val="auto"/>
                      <w:sz w:val="18"/>
                      <w:szCs w:val="18"/>
                    </w:rPr>
                    <w:t>0.25</w:t>
                  </w:r>
                </w:p>
              </w:tc>
              <w:tc>
                <w:tcPr>
                  <w:tcW w:w="1471" w:type="dxa"/>
                  <w:tcBorders>
                    <w:top w:val="single" w:color="auto" w:sz="4" w:space="0"/>
                    <w:left w:val="single" w:color="auto" w:sz="4" w:space="0"/>
                    <w:bottom w:val="single" w:color="auto" w:sz="4" w:space="0"/>
                  </w:tcBorders>
                  <w:vAlign w:val="center"/>
                </w:tcPr>
                <w:p w14:paraId="474E02EA">
                  <w:pPr>
                    <w:jc w:val="center"/>
                    <w:rPr>
                      <w:rFonts w:hint="default"/>
                      <w:color w:val="auto"/>
                      <w:sz w:val="18"/>
                      <w:szCs w:val="18"/>
                      <w:lang w:val="en-US" w:eastAsia="zh-CN"/>
                    </w:rPr>
                  </w:pPr>
                  <w:r>
                    <w:rPr>
                      <w:rFonts w:hint="eastAsia"/>
                      <w:color w:val="auto"/>
                      <w:sz w:val="18"/>
                      <w:szCs w:val="18"/>
                      <w:lang w:val="en-US" w:eastAsia="zh-CN"/>
                    </w:rPr>
                    <w:t>0.016</w:t>
                  </w:r>
                </w:p>
              </w:tc>
            </w:tr>
            <w:tr w14:paraId="5BD734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461" w:type="dxa"/>
                  <w:tcBorders>
                    <w:top w:val="single" w:color="auto" w:sz="4" w:space="0"/>
                    <w:bottom w:val="single" w:color="auto" w:sz="4" w:space="0"/>
                    <w:right w:val="single" w:color="auto" w:sz="4" w:space="0"/>
                  </w:tcBorders>
                  <w:vAlign w:val="center"/>
                </w:tcPr>
                <w:p w14:paraId="723C80A3">
                  <w:pPr>
                    <w:jc w:val="center"/>
                    <w:rPr>
                      <w:color w:val="auto"/>
                      <w:sz w:val="18"/>
                      <w:szCs w:val="18"/>
                    </w:rPr>
                  </w:pPr>
                  <w:r>
                    <w:rPr>
                      <w:rFonts w:hint="eastAsia"/>
                      <w:color w:val="auto"/>
                      <w:sz w:val="18"/>
                      <w:szCs w:val="18"/>
                    </w:rPr>
                    <w:t>重铬酸钾</w:t>
                  </w:r>
                </w:p>
              </w:tc>
              <w:tc>
                <w:tcPr>
                  <w:tcW w:w="1576" w:type="dxa"/>
                  <w:tcBorders>
                    <w:top w:val="single" w:color="auto" w:sz="4" w:space="0"/>
                    <w:left w:val="single" w:color="auto" w:sz="4" w:space="0"/>
                    <w:bottom w:val="single" w:color="auto" w:sz="4" w:space="0"/>
                    <w:right w:val="single" w:color="auto" w:sz="4" w:space="0"/>
                  </w:tcBorders>
                  <w:vAlign w:val="center"/>
                </w:tcPr>
                <w:p w14:paraId="4A2141A3">
                  <w:pPr>
                    <w:jc w:val="center"/>
                    <w:rPr>
                      <w:color w:val="auto"/>
                      <w:sz w:val="18"/>
                      <w:szCs w:val="18"/>
                    </w:rPr>
                  </w:pPr>
                  <w:r>
                    <w:rPr>
                      <w:color w:val="auto"/>
                      <w:sz w:val="18"/>
                      <w:szCs w:val="18"/>
                    </w:rPr>
                    <w:t>7778-50-9</w:t>
                  </w:r>
                </w:p>
              </w:tc>
              <w:tc>
                <w:tcPr>
                  <w:tcW w:w="1704" w:type="dxa"/>
                  <w:tcBorders>
                    <w:top w:val="single" w:color="auto" w:sz="4" w:space="0"/>
                    <w:left w:val="single" w:color="auto" w:sz="4" w:space="0"/>
                    <w:bottom w:val="single" w:color="auto" w:sz="4" w:space="0"/>
                    <w:right w:val="single" w:color="auto" w:sz="4" w:space="0"/>
                  </w:tcBorders>
                  <w:vAlign w:val="center"/>
                </w:tcPr>
                <w:p w14:paraId="24A1D498">
                  <w:pPr>
                    <w:jc w:val="center"/>
                    <w:rPr>
                      <w:rFonts w:hint="default" w:eastAsia="宋体"/>
                      <w:color w:val="auto"/>
                      <w:sz w:val="18"/>
                      <w:szCs w:val="18"/>
                      <w:lang w:val="en-US" w:eastAsia="zh-CN"/>
                    </w:rPr>
                  </w:pPr>
                  <w:r>
                    <w:rPr>
                      <w:rFonts w:hint="eastAsia"/>
                      <w:color w:val="auto"/>
                      <w:sz w:val="18"/>
                      <w:szCs w:val="18"/>
                      <w:lang w:val="en-US" w:eastAsia="zh-CN"/>
                    </w:rPr>
                    <w:t>0.0016</w:t>
                  </w:r>
                </w:p>
              </w:tc>
              <w:tc>
                <w:tcPr>
                  <w:tcW w:w="1846" w:type="dxa"/>
                  <w:tcBorders>
                    <w:top w:val="single" w:color="auto" w:sz="4" w:space="0"/>
                    <w:left w:val="single" w:color="auto" w:sz="4" w:space="0"/>
                    <w:bottom w:val="single" w:color="auto" w:sz="4" w:space="0"/>
                    <w:right w:val="single" w:color="auto" w:sz="4" w:space="0"/>
                  </w:tcBorders>
                  <w:vAlign w:val="center"/>
                </w:tcPr>
                <w:p w14:paraId="4C202D15">
                  <w:pPr>
                    <w:jc w:val="center"/>
                    <w:rPr>
                      <w:color w:val="auto"/>
                      <w:sz w:val="18"/>
                      <w:szCs w:val="18"/>
                    </w:rPr>
                  </w:pPr>
                  <w:r>
                    <w:rPr>
                      <w:color w:val="auto"/>
                      <w:sz w:val="18"/>
                      <w:szCs w:val="18"/>
                    </w:rPr>
                    <w:t>0.25</w:t>
                  </w:r>
                </w:p>
              </w:tc>
              <w:tc>
                <w:tcPr>
                  <w:tcW w:w="1471" w:type="dxa"/>
                  <w:tcBorders>
                    <w:top w:val="single" w:color="auto" w:sz="4" w:space="0"/>
                    <w:left w:val="single" w:color="auto" w:sz="4" w:space="0"/>
                    <w:bottom w:val="single" w:color="auto" w:sz="4" w:space="0"/>
                  </w:tcBorders>
                  <w:vAlign w:val="center"/>
                </w:tcPr>
                <w:p w14:paraId="1096844B">
                  <w:pPr>
                    <w:jc w:val="center"/>
                    <w:rPr>
                      <w:rFonts w:hint="default"/>
                      <w:color w:val="auto"/>
                      <w:sz w:val="18"/>
                      <w:szCs w:val="18"/>
                      <w:lang w:val="en-US" w:eastAsia="zh-CN"/>
                    </w:rPr>
                  </w:pPr>
                  <w:r>
                    <w:rPr>
                      <w:rFonts w:hint="eastAsia"/>
                      <w:color w:val="auto"/>
                      <w:sz w:val="18"/>
                      <w:szCs w:val="18"/>
                      <w:lang w:val="en-US" w:eastAsia="zh-CN"/>
                    </w:rPr>
                    <w:t>0.0064</w:t>
                  </w:r>
                </w:p>
              </w:tc>
            </w:tr>
            <w:tr w14:paraId="2A9301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461" w:type="dxa"/>
                  <w:tcBorders>
                    <w:top w:val="single" w:color="auto" w:sz="4" w:space="0"/>
                    <w:bottom w:val="single" w:color="auto" w:sz="4" w:space="0"/>
                    <w:right w:val="single" w:color="auto" w:sz="4" w:space="0"/>
                  </w:tcBorders>
                  <w:vAlign w:val="center"/>
                </w:tcPr>
                <w:p w14:paraId="7F6CE960">
                  <w:pPr>
                    <w:jc w:val="center"/>
                    <w:rPr>
                      <w:color w:val="auto"/>
                      <w:sz w:val="18"/>
                      <w:szCs w:val="18"/>
                    </w:rPr>
                  </w:pPr>
                  <w:r>
                    <w:rPr>
                      <w:rFonts w:hint="eastAsia"/>
                      <w:color w:val="auto"/>
                      <w:sz w:val="18"/>
                      <w:szCs w:val="18"/>
                    </w:rPr>
                    <w:t>硫酸汞</w:t>
                  </w:r>
                </w:p>
              </w:tc>
              <w:tc>
                <w:tcPr>
                  <w:tcW w:w="1576" w:type="dxa"/>
                  <w:tcBorders>
                    <w:top w:val="single" w:color="auto" w:sz="4" w:space="0"/>
                    <w:left w:val="single" w:color="auto" w:sz="4" w:space="0"/>
                    <w:bottom w:val="single" w:color="auto" w:sz="4" w:space="0"/>
                    <w:right w:val="single" w:color="auto" w:sz="4" w:space="0"/>
                  </w:tcBorders>
                  <w:vAlign w:val="center"/>
                </w:tcPr>
                <w:p w14:paraId="056F3551">
                  <w:pPr>
                    <w:jc w:val="center"/>
                    <w:rPr>
                      <w:color w:val="auto"/>
                      <w:sz w:val="18"/>
                      <w:szCs w:val="18"/>
                    </w:rPr>
                  </w:pPr>
                  <w:r>
                    <w:rPr>
                      <w:color w:val="auto"/>
                      <w:sz w:val="18"/>
                      <w:szCs w:val="18"/>
                    </w:rPr>
                    <w:t>7783-35-9</w:t>
                  </w:r>
                </w:p>
              </w:tc>
              <w:tc>
                <w:tcPr>
                  <w:tcW w:w="1704" w:type="dxa"/>
                  <w:tcBorders>
                    <w:top w:val="single" w:color="auto" w:sz="4" w:space="0"/>
                    <w:left w:val="single" w:color="auto" w:sz="4" w:space="0"/>
                    <w:bottom w:val="single" w:color="auto" w:sz="4" w:space="0"/>
                    <w:right w:val="single" w:color="auto" w:sz="4" w:space="0"/>
                  </w:tcBorders>
                  <w:vAlign w:val="center"/>
                </w:tcPr>
                <w:p w14:paraId="52D86E99">
                  <w:pPr>
                    <w:jc w:val="center"/>
                    <w:rPr>
                      <w:rFonts w:hint="default" w:eastAsia="宋体"/>
                      <w:color w:val="auto"/>
                      <w:sz w:val="18"/>
                      <w:szCs w:val="18"/>
                      <w:lang w:val="en-US" w:eastAsia="zh-CN"/>
                    </w:rPr>
                  </w:pPr>
                  <w:r>
                    <w:rPr>
                      <w:rFonts w:hint="eastAsia"/>
                      <w:color w:val="auto"/>
                      <w:sz w:val="18"/>
                      <w:szCs w:val="18"/>
                      <w:lang w:val="en-US" w:eastAsia="zh-CN"/>
                    </w:rPr>
                    <w:t>0.0004</w:t>
                  </w:r>
                </w:p>
              </w:tc>
              <w:tc>
                <w:tcPr>
                  <w:tcW w:w="1846" w:type="dxa"/>
                  <w:tcBorders>
                    <w:top w:val="single" w:color="auto" w:sz="4" w:space="0"/>
                    <w:left w:val="single" w:color="auto" w:sz="4" w:space="0"/>
                    <w:bottom w:val="single" w:color="auto" w:sz="4" w:space="0"/>
                    <w:right w:val="single" w:color="auto" w:sz="4" w:space="0"/>
                  </w:tcBorders>
                  <w:vAlign w:val="center"/>
                </w:tcPr>
                <w:p w14:paraId="272E677F">
                  <w:pPr>
                    <w:jc w:val="center"/>
                    <w:rPr>
                      <w:color w:val="auto"/>
                      <w:sz w:val="18"/>
                      <w:szCs w:val="18"/>
                    </w:rPr>
                  </w:pPr>
                  <w:r>
                    <w:rPr>
                      <w:color w:val="auto"/>
                      <w:sz w:val="18"/>
                      <w:szCs w:val="18"/>
                    </w:rPr>
                    <w:t>50</w:t>
                  </w:r>
                </w:p>
              </w:tc>
              <w:tc>
                <w:tcPr>
                  <w:tcW w:w="1471" w:type="dxa"/>
                  <w:tcBorders>
                    <w:top w:val="single" w:color="auto" w:sz="4" w:space="0"/>
                    <w:left w:val="single" w:color="auto" w:sz="4" w:space="0"/>
                    <w:bottom w:val="single" w:color="auto" w:sz="4" w:space="0"/>
                  </w:tcBorders>
                  <w:vAlign w:val="center"/>
                </w:tcPr>
                <w:p w14:paraId="30E37514">
                  <w:pPr>
                    <w:jc w:val="center"/>
                    <w:rPr>
                      <w:rFonts w:hint="default"/>
                      <w:color w:val="auto"/>
                      <w:sz w:val="18"/>
                      <w:szCs w:val="18"/>
                      <w:lang w:val="en-US" w:eastAsia="zh-CN"/>
                    </w:rPr>
                  </w:pPr>
                  <w:r>
                    <w:rPr>
                      <w:rFonts w:hint="eastAsia"/>
                      <w:color w:val="auto"/>
                      <w:sz w:val="18"/>
                      <w:szCs w:val="18"/>
                      <w:lang w:val="en-US" w:eastAsia="zh-CN"/>
                    </w:rPr>
                    <w:t>0.000008</w:t>
                  </w:r>
                </w:p>
              </w:tc>
            </w:tr>
            <w:tr w14:paraId="598543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461" w:type="dxa"/>
                  <w:tcBorders>
                    <w:top w:val="single" w:color="auto" w:sz="4" w:space="0"/>
                    <w:bottom w:val="single" w:color="auto" w:sz="4" w:space="0"/>
                    <w:right w:val="single" w:color="auto" w:sz="4" w:space="0"/>
                  </w:tcBorders>
                  <w:vAlign w:val="center"/>
                </w:tcPr>
                <w:p w14:paraId="2954776F">
                  <w:pPr>
                    <w:jc w:val="center"/>
                    <w:rPr>
                      <w:color w:val="auto"/>
                      <w:sz w:val="18"/>
                      <w:szCs w:val="18"/>
                    </w:rPr>
                  </w:pPr>
                  <w:r>
                    <w:rPr>
                      <w:rFonts w:hint="eastAsia"/>
                      <w:color w:val="auto"/>
                      <w:sz w:val="18"/>
                      <w:szCs w:val="18"/>
                    </w:rPr>
                    <w:t>废润滑油</w:t>
                  </w:r>
                </w:p>
              </w:tc>
              <w:tc>
                <w:tcPr>
                  <w:tcW w:w="1576" w:type="dxa"/>
                  <w:tcBorders>
                    <w:top w:val="single" w:color="auto" w:sz="4" w:space="0"/>
                    <w:left w:val="single" w:color="auto" w:sz="4" w:space="0"/>
                    <w:bottom w:val="single" w:color="auto" w:sz="4" w:space="0"/>
                    <w:right w:val="single" w:color="auto" w:sz="4" w:space="0"/>
                  </w:tcBorders>
                  <w:vAlign w:val="center"/>
                </w:tcPr>
                <w:p w14:paraId="3C47B2E3">
                  <w:pPr>
                    <w:jc w:val="center"/>
                    <w:rPr>
                      <w:color w:val="auto"/>
                      <w:sz w:val="18"/>
                      <w:szCs w:val="18"/>
                    </w:rPr>
                  </w:pPr>
                  <w:r>
                    <w:rPr>
                      <w:color w:val="auto"/>
                      <w:sz w:val="18"/>
                      <w:szCs w:val="18"/>
                    </w:rPr>
                    <w:t>/</w:t>
                  </w:r>
                </w:p>
              </w:tc>
              <w:tc>
                <w:tcPr>
                  <w:tcW w:w="1704" w:type="dxa"/>
                  <w:tcBorders>
                    <w:top w:val="single" w:color="auto" w:sz="4" w:space="0"/>
                    <w:left w:val="single" w:color="auto" w:sz="4" w:space="0"/>
                    <w:bottom w:val="single" w:color="auto" w:sz="4" w:space="0"/>
                    <w:right w:val="single" w:color="auto" w:sz="4" w:space="0"/>
                  </w:tcBorders>
                  <w:vAlign w:val="center"/>
                </w:tcPr>
                <w:p w14:paraId="551F28DE">
                  <w:pPr>
                    <w:jc w:val="center"/>
                    <w:rPr>
                      <w:rFonts w:hint="default" w:eastAsia="宋体"/>
                      <w:color w:val="auto"/>
                      <w:sz w:val="18"/>
                      <w:szCs w:val="18"/>
                      <w:lang w:val="en-US" w:eastAsia="zh-CN"/>
                    </w:rPr>
                  </w:pPr>
                  <w:r>
                    <w:rPr>
                      <w:rFonts w:hint="eastAsia"/>
                      <w:color w:val="auto"/>
                      <w:sz w:val="18"/>
                      <w:szCs w:val="18"/>
                      <w:lang w:val="en-US" w:eastAsia="zh-CN"/>
                    </w:rPr>
                    <w:t>0.1</w:t>
                  </w:r>
                </w:p>
              </w:tc>
              <w:tc>
                <w:tcPr>
                  <w:tcW w:w="1846" w:type="dxa"/>
                  <w:tcBorders>
                    <w:top w:val="single" w:color="auto" w:sz="4" w:space="0"/>
                    <w:left w:val="single" w:color="auto" w:sz="4" w:space="0"/>
                    <w:bottom w:val="single" w:color="auto" w:sz="4" w:space="0"/>
                    <w:right w:val="single" w:color="auto" w:sz="4" w:space="0"/>
                  </w:tcBorders>
                  <w:vAlign w:val="center"/>
                </w:tcPr>
                <w:p w14:paraId="1659C8B5">
                  <w:pPr>
                    <w:jc w:val="center"/>
                    <w:rPr>
                      <w:color w:val="auto"/>
                      <w:sz w:val="18"/>
                      <w:szCs w:val="18"/>
                    </w:rPr>
                  </w:pPr>
                  <w:r>
                    <w:rPr>
                      <w:color w:val="auto"/>
                      <w:sz w:val="18"/>
                      <w:szCs w:val="18"/>
                    </w:rPr>
                    <w:t>2500</w:t>
                  </w:r>
                </w:p>
              </w:tc>
              <w:tc>
                <w:tcPr>
                  <w:tcW w:w="1471" w:type="dxa"/>
                  <w:tcBorders>
                    <w:top w:val="single" w:color="auto" w:sz="4" w:space="0"/>
                    <w:left w:val="single" w:color="auto" w:sz="4" w:space="0"/>
                    <w:bottom w:val="single" w:color="auto" w:sz="4" w:space="0"/>
                  </w:tcBorders>
                  <w:vAlign w:val="center"/>
                </w:tcPr>
                <w:p w14:paraId="4245DD8B">
                  <w:pPr>
                    <w:jc w:val="center"/>
                    <w:rPr>
                      <w:color w:val="auto"/>
                      <w:sz w:val="18"/>
                      <w:szCs w:val="18"/>
                    </w:rPr>
                  </w:pPr>
                  <w:r>
                    <w:rPr>
                      <w:rFonts w:hint="eastAsia"/>
                      <w:color w:val="auto"/>
                      <w:sz w:val="18"/>
                      <w:szCs w:val="18"/>
                      <w:lang w:val="en-US" w:eastAsia="zh-CN"/>
                    </w:rPr>
                    <w:t>0.00004</w:t>
                  </w:r>
                </w:p>
              </w:tc>
            </w:tr>
            <w:tr w14:paraId="4EF924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38" w:hRule="atLeast"/>
                <w:jc w:val="center"/>
              </w:trPr>
              <w:tc>
                <w:tcPr>
                  <w:tcW w:w="1461" w:type="dxa"/>
                  <w:tcBorders>
                    <w:top w:val="single" w:color="auto" w:sz="4" w:space="0"/>
                    <w:bottom w:val="single" w:color="auto" w:sz="4" w:space="0"/>
                    <w:right w:val="single" w:color="auto" w:sz="4" w:space="0"/>
                  </w:tcBorders>
                  <w:vAlign w:val="center"/>
                </w:tcPr>
                <w:p w14:paraId="17CC5A5D">
                  <w:pPr>
                    <w:jc w:val="center"/>
                    <w:rPr>
                      <w:color w:val="auto"/>
                      <w:sz w:val="18"/>
                      <w:szCs w:val="18"/>
                    </w:rPr>
                  </w:pPr>
                  <w:r>
                    <w:rPr>
                      <w:rFonts w:hint="eastAsia"/>
                      <w:color w:val="auto"/>
                      <w:sz w:val="18"/>
                      <w:szCs w:val="18"/>
                    </w:rPr>
                    <w:t>在线仪废液</w:t>
                  </w:r>
                </w:p>
              </w:tc>
              <w:tc>
                <w:tcPr>
                  <w:tcW w:w="1576" w:type="dxa"/>
                  <w:tcBorders>
                    <w:top w:val="single" w:color="auto" w:sz="4" w:space="0"/>
                    <w:left w:val="single" w:color="auto" w:sz="4" w:space="0"/>
                    <w:bottom w:val="single" w:color="auto" w:sz="4" w:space="0"/>
                    <w:right w:val="single" w:color="auto" w:sz="4" w:space="0"/>
                  </w:tcBorders>
                  <w:vAlign w:val="center"/>
                </w:tcPr>
                <w:p w14:paraId="41A8D939">
                  <w:pPr>
                    <w:jc w:val="center"/>
                    <w:rPr>
                      <w:color w:val="auto"/>
                      <w:sz w:val="18"/>
                      <w:szCs w:val="18"/>
                    </w:rPr>
                  </w:pPr>
                  <w:r>
                    <w:rPr>
                      <w:color w:val="auto"/>
                      <w:sz w:val="18"/>
                      <w:szCs w:val="18"/>
                    </w:rPr>
                    <w:t>/</w:t>
                  </w:r>
                </w:p>
              </w:tc>
              <w:tc>
                <w:tcPr>
                  <w:tcW w:w="1704" w:type="dxa"/>
                  <w:tcBorders>
                    <w:top w:val="single" w:color="auto" w:sz="4" w:space="0"/>
                    <w:left w:val="single" w:color="auto" w:sz="4" w:space="0"/>
                    <w:bottom w:val="single" w:color="auto" w:sz="4" w:space="0"/>
                    <w:right w:val="single" w:color="auto" w:sz="4" w:space="0"/>
                  </w:tcBorders>
                  <w:vAlign w:val="center"/>
                </w:tcPr>
                <w:p w14:paraId="05A72BFA">
                  <w:pPr>
                    <w:jc w:val="center"/>
                    <w:rPr>
                      <w:rFonts w:hint="default" w:eastAsia="宋体"/>
                      <w:color w:val="auto"/>
                      <w:sz w:val="18"/>
                      <w:szCs w:val="18"/>
                      <w:lang w:val="en-US" w:eastAsia="zh-CN"/>
                    </w:rPr>
                  </w:pPr>
                  <w:r>
                    <w:rPr>
                      <w:rFonts w:hint="eastAsia"/>
                      <w:color w:val="auto"/>
                      <w:sz w:val="18"/>
                      <w:szCs w:val="18"/>
                      <w:lang w:val="en-US" w:eastAsia="zh-CN"/>
                    </w:rPr>
                    <w:t>0.006</w:t>
                  </w:r>
                </w:p>
              </w:tc>
              <w:tc>
                <w:tcPr>
                  <w:tcW w:w="1846" w:type="dxa"/>
                  <w:tcBorders>
                    <w:top w:val="single" w:color="auto" w:sz="4" w:space="0"/>
                    <w:left w:val="single" w:color="auto" w:sz="4" w:space="0"/>
                    <w:bottom w:val="single" w:color="auto" w:sz="4" w:space="0"/>
                    <w:right w:val="single" w:color="auto" w:sz="4" w:space="0"/>
                  </w:tcBorders>
                  <w:vAlign w:val="center"/>
                </w:tcPr>
                <w:p w14:paraId="465C7F58">
                  <w:pPr>
                    <w:jc w:val="center"/>
                    <w:rPr>
                      <w:color w:val="auto"/>
                      <w:sz w:val="18"/>
                      <w:szCs w:val="18"/>
                    </w:rPr>
                  </w:pPr>
                  <w:r>
                    <w:rPr>
                      <w:color w:val="auto"/>
                      <w:sz w:val="18"/>
                      <w:szCs w:val="18"/>
                    </w:rPr>
                    <w:t>0.25</w:t>
                  </w:r>
                </w:p>
              </w:tc>
              <w:tc>
                <w:tcPr>
                  <w:tcW w:w="1471" w:type="dxa"/>
                  <w:tcBorders>
                    <w:top w:val="single" w:color="auto" w:sz="4" w:space="0"/>
                    <w:left w:val="single" w:color="auto" w:sz="4" w:space="0"/>
                    <w:bottom w:val="single" w:color="auto" w:sz="4" w:space="0"/>
                  </w:tcBorders>
                  <w:vAlign w:val="center"/>
                </w:tcPr>
                <w:p w14:paraId="3796238C">
                  <w:pPr>
                    <w:jc w:val="center"/>
                    <w:rPr>
                      <w:rFonts w:hint="default"/>
                      <w:color w:val="auto"/>
                      <w:sz w:val="18"/>
                      <w:szCs w:val="18"/>
                      <w:lang w:val="en-US" w:eastAsia="zh-CN"/>
                    </w:rPr>
                  </w:pPr>
                  <w:r>
                    <w:rPr>
                      <w:rFonts w:hint="eastAsia"/>
                      <w:color w:val="auto"/>
                      <w:sz w:val="18"/>
                      <w:szCs w:val="18"/>
                      <w:lang w:val="en-US" w:eastAsia="zh-CN"/>
                    </w:rPr>
                    <w:t>0.024</w:t>
                  </w:r>
                </w:p>
              </w:tc>
            </w:tr>
            <w:tr w14:paraId="5BE2C0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38" w:hRule="atLeast"/>
                <w:jc w:val="center"/>
              </w:trPr>
              <w:tc>
                <w:tcPr>
                  <w:tcW w:w="1461" w:type="dxa"/>
                  <w:tcBorders>
                    <w:top w:val="single" w:color="auto" w:sz="4" w:space="0"/>
                    <w:bottom w:val="single" w:color="auto" w:sz="4" w:space="0"/>
                    <w:right w:val="single" w:color="auto" w:sz="4" w:space="0"/>
                  </w:tcBorders>
                  <w:vAlign w:val="center"/>
                </w:tcPr>
                <w:p w14:paraId="4481C5F4">
                  <w:pPr>
                    <w:jc w:val="center"/>
                    <w:rPr>
                      <w:rFonts w:hint="default" w:eastAsia="宋体"/>
                      <w:color w:val="auto"/>
                      <w:sz w:val="18"/>
                      <w:szCs w:val="18"/>
                      <w:lang w:val="en-US" w:eastAsia="zh-CN"/>
                    </w:rPr>
                  </w:pPr>
                  <w:r>
                    <w:rPr>
                      <w:rFonts w:hint="eastAsia"/>
                      <w:color w:val="auto"/>
                      <w:sz w:val="18"/>
                      <w:szCs w:val="18"/>
                      <w:lang w:val="en-US" w:eastAsia="zh-CN"/>
                    </w:rPr>
                    <w:t>静电除油废油</w:t>
                  </w:r>
                </w:p>
              </w:tc>
              <w:tc>
                <w:tcPr>
                  <w:tcW w:w="1576" w:type="dxa"/>
                  <w:tcBorders>
                    <w:top w:val="single" w:color="auto" w:sz="4" w:space="0"/>
                    <w:left w:val="single" w:color="auto" w:sz="4" w:space="0"/>
                    <w:bottom w:val="single" w:color="auto" w:sz="4" w:space="0"/>
                    <w:right w:val="single" w:color="auto" w:sz="4" w:space="0"/>
                  </w:tcBorders>
                  <w:vAlign w:val="center"/>
                </w:tcPr>
                <w:p w14:paraId="3B644244">
                  <w:pPr>
                    <w:jc w:val="center"/>
                    <w:rPr>
                      <w:color w:val="auto"/>
                      <w:sz w:val="18"/>
                      <w:szCs w:val="18"/>
                    </w:rPr>
                  </w:pPr>
                  <w:r>
                    <w:rPr>
                      <w:color w:val="auto"/>
                      <w:sz w:val="18"/>
                      <w:szCs w:val="18"/>
                    </w:rPr>
                    <w:t>/</w:t>
                  </w:r>
                </w:p>
              </w:tc>
              <w:tc>
                <w:tcPr>
                  <w:tcW w:w="1704" w:type="dxa"/>
                  <w:tcBorders>
                    <w:top w:val="single" w:color="auto" w:sz="4" w:space="0"/>
                    <w:left w:val="single" w:color="auto" w:sz="4" w:space="0"/>
                    <w:bottom w:val="single" w:color="auto" w:sz="4" w:space="0"/>
                    <w:right w:val="single" w:color="auto" w:sz="4" w:space="0"/>
                  </w:tcBorders>
                  <w:vAlign w:val="center"/>
                </w:tcPr>
                <w:p w14:paraId="0C3FD79C">
                  <w:pPr>
                    <w:jc w:val="center"/>
                    <w:rPr>
                      <w:rFonts w:hint="default"/>
                      <w:color w:val="auto"/>
                      <w:sz w:val="18"/>
                      <w:szCs w:val="18"/>
                      <w:lang w:val="en-US" w:eastAsia="zh-CN"/>
                    </w:rPr>
                  </w:pPr>
                  <w:r>
                    <w:rPr>
                      <w:rFonts w:hint="eastAsia"/>
                      <w:color w:val="auto"/>
                      <w:sz w:val="18"/>
                      <w:szCs w:val="18"/>
                      <w:lang w:val="en-US" w:eastAsia="zh-CN"/>
                    </w:rPr>
                    <w:t>1.54</w:t>
                  </w:r>
                </w:p>
              </w:tc>
              <w:tc>
                <w:tcPr>
                  <w:tcW w:w="1846" w:type="dxa"/>
                  <w:tcBorders>
                    <w:top w:val="single" w:color="auto" w:sz="4" w:space="0"/>
                    <w:left w:val="single" w:color="auto" w:sz="4" w:space="0"/>
                    <w:bottom w:val="single" w:color="auto" w:sz="4" w:space="0"/>
                    <w:right w:val="single" w:color="auto" w:sz="4" w:space="0"/>
                  </w:tcBorders>
                  <w:vAlign w:val="center"/>
                </w:tcPr>
                <w:p w14:paraId="72B04578">
                  <w:pPr>
                    <w:jc w:val="center"/>
                    <w:rPr>
                      <w:rFonts w:hint="default" w:eastAsia="宋体"/>
                      <w:color w:val="auto"/>
                      <w:sz w:val="18"/>
                      <w:szCs w:val="18"/>
                      <w:lang w:val="en-US" w:eastAsia="zh-CN"/>
                    </w:rPr>
                  </w:pPr>
                  <w:r>
                    <w:rPr>
                      <w:rFonts w:hint="eastAsia"/>
                      <w:color w:val="auto"/>
                      <w:sz w:val="18"/>
                      <w:szCs w:val="18"/>
                      <w:lang w:val="en-US" w:eastAsia="zh-CN"/>
                    </w:rPr>
                    <w:t>2500</w:t>
                  </w:r>
                </w:p>
              </w:tc>
              <w:tc>
                <w:tcPr>
                  <w:tcW w:w="1471" w:type="dxa"/>
                  <w:tcBorders>
                    <w:top w:val="single" w:color="auto" w:sz="4" w:space="0"/>
                    <w:left w:val="single" w:color="auto" w:sz="4" w:space="0"/>
                    <w:bottom w:val="single" w:color="auto" w:sz="4" w:space="0"/>
                  </w:tcBorders>
                  <w:vAlign w:val="center"/>
                </w:tcPr>
                <w:p w14:paraId="37D6B813">
                  <w:pPr>
                    <w:jc w:val="center"/>
                    <w:rPr>
                      <w:rFonts w:hint="eastAsia"/>
                      <w:color w:val="auto"/>
                      <w:sz w:val="18"/>
                      <w:szCs w:val="18"/>
                      <w:lang w:val="en-US" w:eastAsia="zh-CN"/>
                    </w:rPr>
                  </w:pPr>
                  <w:r>
                    <w:rPr>
                      <w:rFonts w:hint="eastAsia"/>
                      <w:color w:val="auto"/>
                      <w:sz w:val="18"/>
                      <w:szCs w:val="18"/>
                      <w:lang w:val="en-US" w:eastAsia="zh-CN"/>
                    </w:rPr>
                    <w:t>0.000616</w:t>
                  </w:r>
                </w:p>
              </w:tc>
            </w:tr>
            <w:tr w14:paraId="596847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587" w:type="dxa"/>
                  <w:gridSpan w:val="4"/>
                  <w:tcBorders>
                    <w:top w:val="single" w:color="auto" w:sz="4" w:space="0"/>
                    <w:bottom w:val="single" w:color="auto" w:sz="12" w:space="0"/>
                    <w:right w:val="single" w:color="auto" w:sz="4" w:space="0"/>
                  </w:tcBorders>
                  <w:vAlign w:val="center"/>
                </w:tcPr>
                <w:p w14:paraId="29174A50">
                  <w:pPr>
                    <w:jc w:val="center"/>
                    <w:rPr>
                      <w:color w:val="auto"/>
                      <w:sz w:val="18"/>
                      <w:szCs w:val="18"/>
                    </w:rPr>
                  </w:pPr>
                  <w:r>
                    <w:rPr>
                      <w:rFonts w:hint="eastAsia"/>
                      <w:color w:val="auto"/>
                      <w:sz w:val="18"/>
                      <w:szCs w:val="18"/>
                    </w:rPr>
                    <w:t>合计</w:t>
                  </w:r>
                </w:p>
              </w:tc>
              <w:tc>
                <w:tcPr>
                  <w:tcW w:w="1471" w:type="dxa"/>
                  <w:tcBorders>
                    <w:top w:val="single" w:color="auto" w:sz="4" w:space="0"/>
                    <w:left w:val="single" w:color="auto" w:sz="4" w:space="0"/>
                    <w:bottom w:val="single" w:color="auto" w:sz="12" w:space="0"/>
                  </w:tcBorders>
                  <w:vAlign w:val="center"/>
                </w:tcPr>
                <w:p w14:paraId="42D29033">
                  <w:pPr>
                    <w:jc w:val="center"/>
                    <w:rPr>
                      <w:rFonts w:hint="default"/>
                      <w:color w:val="auto"/>
                      <w:sz w:val="18"/>
                      <w:szCs w:val="18"/>
                      <w:lang w:val="en-US" w:eastAsia="zh-CN"/>
                    </w:rPr>
                  </w:pPr>
                  <w:r>
                    <w:rPr>
                      <w:rFonts w:hint="eastAsia"/>
                      <w:color w:val="auto"/>
                      <w:sz w:val="18"/>
                      <w:szCs w:val="18"/>
                      <w:lang w:val="en-US" w:eastAsia="zh-CN"/>
                    </w:rPr>
                    <w:t>0.0477</w:t>
                  </w:r>
                </w:p>
              </w:tc>
            </w:tr>
          </w:tbl>
          <w:p w14:paraId="57FC79D1">
            <w:pPr>
              <w:overflowPunct w:val="0"/>
              <w:adjustRightInd w:val="0"/>
              <w:snapToGrid w:val="0"/>
              <w:spacing w:afterLines="50"/>
              <w:ind w:firstLine="352" w:firstLineChars="200"/>
              <w:jc w:val="left"/>
              <w:rPr>
                <w:b/>
                <w:bCs/>
                <w:snapToGrid w:val="0"/>
                <w:color w:val="auto"/>
                <w:spacing w:val="-2"/>
                <w:kern w:val="0"/>
                <w:szCs w:val="21"/>
              </w:rPr>
            </w:pPr>
            <w:r>
              <w:rPr>
                <w:rFonts w:hint="eastAsia"/>
                <w:snapToGrid w:val="0"/>
                <w:color w:val="auto"/>
                <w:spacing w:val="-2"/>
                <w:kern w:val="0"/>
                <w:sz w:val="18"/>
                <w:szCs w:val="18"/>
              </w:rPr>
              <w:t>注：硫酸银以银及其化合物计，临界量为</w:t>
            </w:r>
            <w:r>
              <w:rPr>
                <w:snapToGrid w:val="0"/>
                <w:color w:val="auto"/>
                <w:spacing w:val="-2"/>
                <w:kern w:val="0"/>
                <w:sz w:val="18"/>
                <w:szCs w:val="18"/>
              </w:rPr>
              <w:t>0.25t</w:t>
            </w:r>
            <w:r>
              <w:rPr>
                <w:rFonts w:hint="eastAsia"/>
                <w:snapToGrid w:val="0"/>
                <w:color w:val="auto"/>
                <w:spacing w:val="-2"/>
                <w:kern w:val="0"/>
                <w:sz w:val="18"/>
                <w:szCs w:val="18"/>
              </w:rPr>
              <w:t>；</w:t>
            </w:r>
            <w:r>
              <w:rPr>
                <w:rFonts w:hint="eastAsia"/>
                <w:color w:val="auto"/>
                <w:sz w:val="18"/>
                <w:szCs w:val="18"/>
              </w:rPr>
              <w:t>重铬酸钾以铬及其化合物计，</w:t>
            </w:r>
            <w:r>
              <w:rPr>
                <w:rFonts w:hint="eastAsia"/>
                <w:snapToGrid w:val="0"/>
                <w:color w:val="auto"/>
                <w:spacing w:val="-2"/>
                <w:kern w:val="0"/>
                <w:sz w:val="18"/>
                <w:szCs w:val="18"/>
              </w:rPr>
              <w:t>临界量为</w:t>
            </w:r>
            <w:r>
              <w:rPr>
                <w:snapToGrid w:val="0"/>
                <w:color w:val="auto"/>
                <w:spacing w:val="-2"/>
                <w:kern w:val="0"/>
                <w:sz w:val="18"/>
                <w:szCs w:val="18"/>
              </w:rPr>
              <w:t>0.25t</w:t>
            </w:r>
            <w:r>
              <w:rPr>
                <w:rFonts w:hint="eastAsia"/>
                <w:snapToGrid w:val="0"/>
                <w:color w:val="auto"/>
                <w:spacing w:val="-2"/>
                <w:kern w:val="0"/>
                <w:sz w:val="18"/>
                <w:szCs w:val="18"/>
              </w:rPr>
              <w:t>；硫酸汞急性毒性：</w:t>
            </w:r>
            <w:r>
              <w:rPr>
                <w:snapToGrid w:val="0"/>
                <w:color w:val="auto"/>
                <w:spacing w:val="-2"/>
                <w:kern w:val="0"/>
                <w:sz w:val="18"/>
                <w:szCs w:val="18"/>
              </w:rPr>
              <w:t>LD</w:t>
            </w:r>
            <w:r>
              <w:rPr>
                <w:snapToGrid w:val="0"/>
                <w:color w:val="auto"/>
                <w:spacing w:val="-2"/>
                <w:kern w:val="0"/>
                <w:sz w:val="18"/>
                <w:szCs w:val="18"/>
                <w:vertAlign w:val="subscript"/>
              </w:rPr>
              <w:t>50</w:t>
            </w:r>
            <w:r>
              <w:rPr>
                <w:snapToGrid w:val="0"/>
                <w:color w:val="auto"/>
                <w:spacing w:val="-2"/>
                <w:kern w:val="0"/>
                <w:sz w:val="18"/>
                <w:szCs w:val="18"/>
              </w:rPr>
              <w:t xml:space="preserve"> 57mg/kg</w:t>
            </w:r>
            <w:r>
              <w:rPr>
                <w:rFonts w:hint="eastAsia"/>
                <w:snapToGrid w:val="0"/>
                <w:color w:val="auto"/>
                <w:spacing w:val="-2"/>
                <w:kern w:val="0"/>
                <w:sz w:val="18"/>
                <w:szCs w:val="18"/>
              </w:rPr>
              <w:t>（大鼠经口），以健康危险急性毒性物质（类别</w:t>
            </w:r>
            <w:r>
              <w:rPr>
                <w:snapToGrid w:val="0"/>
                <w:color w:val="auto"/>
                <w:spacing w:val="-2"/>
                <w:kern w:val="0"/>
                <w:sz w:val="18"/>
                <w:szCs w:val="18"/>
              </w:rPr>
              <w:t>2</w:t>
            </w:r>
            <w:r>
              <w:rPr>
                <w:rFonts w:hint="eastAsia"/>
                <w:snapToGrid w:val="0"/>
                <w:color w:val="auto"/>
                <w:spacing w:val="-2"/>
                <w:kern w:val="0"/>
                <w:sz w:val="18"/>
                <w:szCs w:val="18"/>
              </w:rPr>
              <w:t>，类别</w:t>
            </w:r>
            <w:r>
              <w:rPr>
                <w:snapToGrid w:val="0"/>
                <w:color w:val="auto"/>
                <w:spacing w:val="-2"/>
                <w:kern w:val="0"/>
                <w:sz w:val="18"/>
                <w:szCs w:val="18"/>
              </w:rPr>
              <w:t>3</w:t>
            </w:r>
            <w:r>
              <w:rPr>
                <w:rFonts w:hint="eastAsia"/>
                <w:snapToGrid w:val="0"/>
                <w:color w:val="auto"/>
                <w:spacing w:val="-2"/>
                <w:kern w:val="0"/>
                <w:sz w:val="18"/>
                <w:szCs w:val="18"/>
              </w:rPr>
              <w:t>）计，临界量为</w:t>
            </w:r>
            <w:r>
              <w:rPr>
                <w:snapToGrid w:val="0"/>
                <w:color w:val="auto"/>
                <w:spacing w:val="-2"/>
                <w:kern w:val="0"/>
                <w:sz w:val="18"/>
                <w:szCs w:val="18"/>
              </w:rPr>
              <w:t>50t</w:t>
            </w:r>
            <w:r>
              <w:rPr>
                <w:rFonts w:hint="eastAsia"/>
                <w:snapToGrid w:val="0"/>
                <w:color w:val="auto"/>
                <w:spacing w:val="-2"/>
                <w:kern w:val="0"/>
                <w:sz w:val="18"/>
                <w:szCs w:val="18"/>
              </w:rPr>
              <w:t>；在线仪废液中含有硫酸银、重铬酸钾等，按最严临界量</w:t>
            </w:r>
            <w:r>
              <w:rPr>
                <w:snapToGrid w:val="0"/>
                <w:color w:val="auto"/>
                <w:spacing w:val="-2"/>
                <w:kern w:val="0"/>
                <w:sz w:val="18"/>
                <w:szCs w:val="18"/>
              </w:rPr>
              <w:t>0.25t</w:t>
            </w:r>
            <w:r>
              <w:rPr>
                <w:rFonts w:hint="eastAsia"/>
                <w:snapToGrid w:val="0"/>
                <w:color w:val="auto"/>
                <w:spacing w:val="-2"/>
                <w:kern w:val="0"/>
                <w:sz w:val="18"/>
                <w:szCs w:val="18"/>
              </w:rPr>
              <w:t>计</w:t>
            </w:r>
            <w:r>
              <w:rPr>
                <w:rFonts w:hint="eastAsia"/>
                <w:snapToGrid w:val="0"/>
                <w:color w:val="auto"/>
                <w:spacing w:val="-2"/>
                <w:kern w:val="0"/>
                <w:sz w:val="18"/>
                <w:szCs w:val="18"/>
                <w:lang w:eastAsia="zh-CN"/>
              </w:rPr>
              <w:t>，</w:t>
            </w:r>
            <w:r>
              <w:rPr>
                <w:rFonts w:hint="eastAsia"/>
                <w:snapToGrid w:val="0"/>
                <w:color w:val="auto"/>
                <w:spacing w:val="-2"/>
                <w:kern w:val="0"/>
                <w:sz w:val="18"/>
                <w:szCs w:val="18"/>
                <w:lang w:val="en-US" w:eastAsia="zh-CN"/>
              </w:rPr>
              <w:t>静电除油废油半年处置一次，其最大存在量按年产生量的一半</w:t>
            </w:r>
            <w:r>
              <w:rPr>
                <w:rFonts w:hint="eastAsia"/>
                <w:snapToGrid w:val="0"/>
                <w:color w:val="auto"/>
                <w:spacing w:val="-2"/>
                <w:kern w:val="0"/>
                <w:sz w:val="18"/>
                <w:szCs w:val="18"/>
              </w:rPr>
              <w:t>。</w:t>
            </w:r>
          </w:p>
          <w:p w14:paraId="7BDDDD24">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7.2</w:t>
            </w:r>
            <w:r>
              <w:rPr>
                <w:rFonts w:hint="eastAsia"/>
                <w:b/>
                <w:bCs/>
                <w:snapToGrid w:val="0"/>
                <w:color w:val="auto"/>
                <w:spacing w:val="-2"/>
                <w:kern w:val="0"/>
                <w:szCs w:val="21"/>
              </w:rPr>
              <w:t>评价工作等级确定</w:t>
            </w:r>
          </w:p>
          <w:p w14:paraId="499B936E">
            <w:pPr>
              <w:pStyle w:val="60"/>
              <w:ind w:firstLine="31680"/>
              <w:rPr>
                <w:color w:val="auto"/>
                <w:sz w:val="21"/>
                <w:szCs w:val="21"/>
              </w:rPr>
            </w:pPr>
            <w:r>
              <w:rPr>
                <w:rFonts w:hint="eastAsia"/>
                <w:color w:val="auto"/>
                <w:sz w:val="21"/>
                <w:szCs w:val="21"/>
              </w:rPr>
              <w:t>本项目</w:t>
            </w:r>
            <w:r>
              <w:rPr>
                <w:color w:val="auto"/>
                <w:sz w:val="21"/>
                <w:szCs w:val="21"/>
              </w:rPr>
              <w:t>Q</w:t>
            </w:r>
            <w:r>
              <w:rPr>
                <w:rFonts w:hint="eastAsia"/>
                <w:color w:val="auto"/>
                <w:sz w:val="21"/>
                <w:szCs w:val="21"/>
              </w:rPr>
              <w:t>值小于</w:t>
            </w:r>
            <w:r>
              <w:rPr>
                <w:color w:val="auto"/>
                <w:sz w:val="21"/>
                <w:szCs w:val="21"/>
              </w:rPr>
              <w:t>1</w:t>
            </w:r>
            <w:r>
              <w:rPr>
                <w:rFonts w:hint="eastAsia"/>
                <w:color w:val="auto"/>
                <w:sz w:val="21"/>
                <w:szCs w:val="21"/>
              </w:rPr>
              <w:t>，因此风险潜势为</w:t>
            </w:r>
            <w:r>
              <w:rPr>
                <w:color w:val="auto"/>
                <w:sz w:val="21"/>
                <w:szCs w:val="21"/>
              </w:rPr>
              <w:t>I</w:t>
            </w:r>
            <w:r>
              <w:rPr>
                <w:rFonts w:hint="eastAsia"/>
                <w:color w:val="auto"/>
                <w:sz w:val="21"/>
                <w:szCs w:val="21"/>
              </w:rPr>
              <w:t>。</w:t>
            </w:r>
          </w:p>
          <w:p w14:paraId="3777E356">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4-</w:t>
            </w:r>
            <w:r>
              <w:rPr>
                <w:rFonts w:hint="eastAsia"/>
                <w:b/>
                <w:snapToGrid w:val="0"/>
                <w:color w:val="auto"/>
                <w:szCs w:val="21"/>
                <w:lang w:val="en-US" w:eastAsia="zh-CN"/>
              </w:rPr>
              <w:t>22</w:t>
            </w:r>
            <w:r>
              <w:rPr>
                <w:b/>
                <w:snapToGrid w:val="0"/>
                <w:color w:val="auto"/>
                <w:szCs w:val="21"/>
              </w:rPr>
              <w:t xml:space="preserve">  </w:t>
            </w:r>
            <w:r>
              <w:rPr>
                <w:rFonts w:hint="eastAsia"/>
                <w:b/>
                <w:snapToGrid w:val="0"/>
                <w:color w:val="auto"/>
                <w:szCs w:val="21"/>
              </w:rPr>
              <w:t>评价工作等级划分</w:t>
            </w:r>
          </w:p>
          <w:tbl>
            <w:tblPr>
              <w:tblStyle w:val="26"/>
              <w:tblW w:w="805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534"/>
              <w:gridCol w:w="1873"/>
              <w:gridCol w:w="1675"/>
              <w:gridCol w:w="1688"/>
              <w:gridCol w:w="1288"/>
            </w:tblGrid>
            <w:tr w14:paraId="5DCB4B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534" w:type="dxa"/>
                  <w:tcBorders>
                    <w:top w:val="single" w:color="auto" w:sz="12" w:space="0"/>
                    <w:bottom w:val="single" w:color="auto" w:sz="4" w:space="0"/>
                    <w:right w:val="single" w:color="auto" w:sz="4" w:space="0"/>
                  </w:tcBorders>
                  <w:vAlign w:val="center"/>
                </w:tcPr>
                <w:p w14:paraId="53D85596">
                  <w:pPr>
                    <w:jc w:val="center"/>
                    <w:rPr>
                      <w:bCs/>
                      <w:color w:val="auto"/>
                      <w:sz w:val="18"/>
                      <w:szCs w:val="18"/>
                    </w:rPr>
                  </w:pPr>
                  <w:r>
                    <w:rPr>
                      <w:rFonts w:hint="eastAsia"/>
                      <w:bCs/>
                      <w:color w:val="auto"/>
                      <w:sz w:val="18"/>
                      <w:szCs w:val="18"/>
                    </w:rPr>
                    <w:t>环境风险潜势</w:t>
                  </w:r>
                </w:p>
              </w:tc>
              <w:tc>
                <w:tcPr>
                  <w:tcW w:w="1873" w:type="dxa"/>
                  <w:tcBorders>
                    <w:top w:val="single" w:color="auto" w:sz="12" w:space="0"/>
                    <w:left w:val="single" w:color="auto" w:sz="4" w:space="0"/>
                    <w:bottom w:val="single" w:color="auto" w:sz="4" w:space="0"/>
                    <w:right w:val="single" w:color="auto" w:sz="4" w:space="0"/>
                  </w:tcBorders>
                  <w:vAlign w:val="center"/>
                </w:tcPr>
                <w:p w14:paraId="658A719F">
                  <w:pPr>
                    <w:jc w:val="center"/>
                    <w:rPr>
                      <w:bCs/>
                      <w:color w:val="auto"/>
                      <w:sz w:val="18"/>
                      <w:szCs w:val="18"/>
                    </w:rPr>
                  </w:pPr>
                  <w:r>
                    <w:rPr>
                      <w:bCs/>
                      <w:color w:val="auto"/>
                      <w:sz w:val="18"/>
                      <w:szCs w:val="18"/>
                    </w:rPr>
                    <w:t>IV</w:t>
                  </w:r>
                  <w:r>
                    <w:rPr>
                      <w:rFonts w:hint="eastAsia"/>
                      <w:color w:val="auto"/>
                      <w:sz w:val="18"/>
                      <w:szCs w:val="18"/>
                    </w:rPr>
                    <w:t>、</w:t>
                  </w:r>
                  <w:r>
                    <w:rPr>
                      <w:color w:val="auto"/>
                      <w:sz w:val="18"/>
                      <w:szCs w:val="18"/>
                    </w:rPr>
                    <w:t>IV</w:t>
                  </w:r>
                  <w:r>
                    <w:rPr>
                      <w:color w:val="auto"/>
                      <w:sz w:val="18"/>
                      <w:szCs w:val="18"/>
                      <w:vertAlign w:val="superscript"/>
                    </w:rPr>
                    <w:t>+</w:t>
                  </w:r>
                </w:p>
              </w:tc>
              <w:tc>
                <w:tcPr>
                  <w:tcW w:w="1675" w:type="dxa"/>
                  <w:tcBorders>
                    <w:top w:val="single" w:color="auto" w:sz="12" w:space="0"/>
                    <w:left w:val="single" w:color="auto" w:sz="4" w:space="0"/>
                    <w:bottom w:val="single" w:color="auto" w:sz="4" w:space="0"/>
                    <w:right w:val="single" w:color="auto" w:sz="4" w:space="0"/>
                  </w:tcBorders>
                  <w:vAlign w:val="center"/>
                </w:tcPr>
                <w:p w14:paraId="6558AFF4">
                  <w:pPr>
                    <w:jc w:val="center"/>
                    <w:rPr>
                      <w:bCs/>
                      <w:color w:val="auto"/>
                      <w:sz w:val="18"/>
                      <w:szCs w:val="18"/>
                    </w:rPr>
                  </w:pPr>
                  <w:r>
                    <w:rPr>
                      <w:bCs/>
                      <w:color w:val="auto"/>
                      <w:sz w:val="18"/>
                      <w:szCs w:val="18"/>
                    </w:rPr>
                    <w:t>III</w:t>
                  </w:r>
                </w:p>
              </w:tc>
              <w:tc>
                <w:tcPr>
                  <w:tcW w:w="1688" w:type="dxa"/>
                  <w:tcBorders>
                    <w:top w:val="single" w:color="auto" w:sz="12" w:space="0"/>
                    <w:left w:val="single" w:color="auto" w:sz="4" w:space="0"/>
                    <w:bottom w:val="single" w:color="auto" w:sz="4" w:space="0"/>
                    <w:right w:val="single" w:color="auto" w:sz="4" w:space="0"/>
                  </w:tcBorders>
                  <w:vAlign w:val="center"/>
                </w:tcPr>
                <w:p w14:paraId="37278B6C">
                  <w:pPr>
                    <w:jc w:val="center"/>
                    <w:rPr>
                      <w:bCs/>
                      <w:color w:val="auto"/>
                      <w:sz w:val="18"/>
                      <w:szCs w:val="18"/>
                    </w:rPr>
                  </w:pPr>
                  <w:r>
                    <w:rPr>
                      <w:bCs/>
                      <w:color w:val="auto"/>
                      <w:sz w:val="18"/>
                      <w:szCs w:val="18"/>
                    </w:rPr>
                    <w:t>II</w:t>
                  </w:r>
                </w:p>
              </w:tc>
              <w:tc>
                <w:tcPr>
                  <w:tcW w:w="1288" w:type="dxa"/>
                  <w:tcBorders>
                    <w:top w:val="single" w:color="auto" w:sz="12" w:space="0"/>
                    <w:left w:val="single" w:color="auto" w:sz="4" w:space="0"/>
                    <w:bottom w:val="single" w:color="auto" w:sz="4" w:space="0"/>
                  </w:tcBorders>
                  <w:vAlign w:val="center"/>
                </w:tcPr>
                <w:p w14:paraId="6FEED110">
                  <w:pPr>
                    <w:jc w:val="center"/>
                    <w:rPr>
                      <w:bCs/>
                      <w:color w:val="auto"/>
                      <w:sz w:val="18"/>
                      <w:szCs w:val="18"/>
                    </w:rPr>
                  </w:pPr>
                  <w:r>
                    <w:rPr>
                      <w:bCs/>
                      <w:color w:val="auto"/>
                      <w:sz w:val="18"/>
                      <w:szCs w:val="18"/>
                    </w:rPr>
                    <w:t>I</w:t>
                  </w:r>
                </w:p>
              </w:tc>
            </w:tr>
            <w:tr w14:paraId="6E1AC4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534" w:type="dxa"/>
                  <w:tcBorders>
                    <w:top w:val="single" w:color="auto" w:sz="4" w:space="0"/>
                    <w:bottom w:val="single" w:color="auto" w:sz="12" w:space="0"/>
                    <w:right w:val="single" w:color="auto" w:sz="4" w:space="0"/>
                  </w:tcBorders>
                  <w:vAlign w:val="center"/>
                </w:tcPr>
                <w:p w14:paraId="175614C0">
                  <w:pPr>
                    <w:jc w:val="center"/>
                    <w:rPr>
                      <w:color w:val="auto"/>
                      <w:sz w:val="18"/>
                      <w:szCs w:val="18"/>
                    </w:rPr>
                  </w:pPr>
                  <w:r>
                    <w:rPr>
                      <w:rFonts w:hint="eastAsia"/>
                      <w:color w:val="auto"/>
                      <w:sz w:val="18"/>
                      <w:szCs w:val="18"/>
                    </w:rPr>
                    <w:t>评价工作等级</w:t>
                  </w:r>
                </w:p>
              </w:tc>
              <w:tc>
                <w:tcPr>
                  <w:tcW w:w="1873" w:type="dxa"/>
                  <w:tcBorders>
                    <w:top w:val="single" w:color="auto" w:sz="4" w:space="0"/>
                    <w:left w:val="single" w:color="auto" w:sz="4" w:space="0"/>
                    <w:bottom w:val="single" w:color="auto" w:sz="12" w:space="0"/>
                    <w:right w:val="single" w:color="auto" w:sz="4" w:space="0"/>
                  </w:tcBorders>
                  <w:vAlign w:val="center"/>
                </w:tcPr>
                <w:p w14:paraId="66BA2E7C">
                  <w:pPr>
                    <w:jc w:val="center"/>
                    <w:rPr>
                      <w:color w:val="auto"/>
                      <w:sz w:val="18"/>
                      <w:szCs w:val="18"/>
                    </w:rPr>
                  </w:pPr>
                  <w:r>
                    <w:rPr>
                      <w:rFonts w:hint="eastAsia"/>
                      <w:color w:val="auto"/>
                      <w:sz w:val="18"/>
                      <w:szCs w:val="18"/>
                    </w:rPr>
                    <w:t>一</w:t>
                  </w:r>
                </w:p>
              </w:tc>
              <w:tc>
                <w:tcPr>
                  <w:tcW w:w="1675" w:type="dxa"/>
                  <w:tcBorders>
                    <w:top w:val="single" w:color="auto" w:sz="4" w:space="0"/>
                    <w:left w:val="single" w:color="auto" w:sz="4" w:space="0"/>
                    <w:bottom w:val="single" w:color="auto" w:sz="12" w:space="0"/>
                    <w:right w:val="single" w:color="auto" w:sz="4" w:space="0"/>
                  </w:tcBorders>
                  <w:vAlign w:val="center"/>
                </w:tcPr>
                <w:p w14:paraId="0C745689">
                  <w:pPr>
                    <w:jc w:val="center"/>
                    <w:rPr>
                      <w:color w:val="auto"/>
                      <w:sz w:val="18"/>
                      <w:szCs w:val="18"/>
                    </w:rPr>
                  </w:pPr>
                  <w:r>
                    <w:rPr>
                      <w:rFonts w:hint="eastAsia"/>
                      <w:color w:val="auto"/>
                      <w:sz w:val="18"/>
                      <w:szCs w:val="18"/>
                    </w:rPr>
                    <w:t>二</w:t>
                  </w:r>
                </w:p>
              </w:tc>
              <w:tc>
                <w:tcPr>
                  <w:tcW w:w="1688" w:type="dxa"/>
                  <w:tcBorders>
                    <w:top w:val="single" w:color="auto" w:sz="4" w:space="0"/>
                    <w:left w:val="single" w:color="auto" w:sz="4" w:space="0"/>
                    <w:bottom w:val="single" w:color="auto" w:sz="12" w:space="0"/>
                    <w:right w:val="single" w:color="auto" w:sz="4" w:space="0"/>
                  </w:tcBorders>
                  <w:vAlign w:val="center"/>
                </w:tcPr>
                <w:p w14:paraId="6B392824">
                  <w:pPr>
                    <w:jc w:val="center"/>
                    <w:rPr>
                      <w:color w:val="auto"/>
                      <w:sz w:val="18"/>
                      <w:szCs w:val="18"/>
                    </w:rPr>
                  </w:pPr>
                  <w:r>
                    <w:rPr>
                      <w:rFonts w:hint="eastAsia"/>
                      <w:color w:val="auto"/>
                      <w:sz w:val="18"/>
                      <w:szCs w:val="18"/>
                    </w:rPr>
                    <w:t>三</w:t>
                  </w:r>
                </w:p>
              </w:tc>
              <w:tc>
                <w:tcPr>
                  <w:tcW w:w="1288" w:type="dxa"/>
                  <w:tcBorders>
                    <w:top w:val="single" w:color="auto" w:sz="4" w:space="0"/>
                    <w:left w:val="single" w:color="auto" w:sz="4" w:space="0"/>
                    <w:bottom w:val="single" w:color="auto" w:sz="12" w:space="0"/>
                  </w:tcBorders>
                  <w:vAlign w:val="center"/>
                </w:tcPr>
                <w:p w14:paraId="1F6A252F">
                  <w:pPr>
                    <w:jc w:val="center"/>
                    <w:rPr>
                      <w:color w:val="auto"/>
                      <w:sz w:val="18"/>
                      <w:szCs w:val="18"/>
                    </w:rPr>
                  </w:pPr>
                  <w:r>
                    <w:rPr>
                      <w:rFonts w:hint="eastAsia"/>
                      <w:color w:val="auto"/>
                      <w:sz w:val="18"/>
                      <w:szCs w:val="18"/>
                    </w:rPr>
                    <w:t>简单分析</w:t>
                  </w:r>
                </w:p>
              </w:tc>
            </w:tr>
          </w:tbl>
          <w:p w14:paraId="3C7F5959">
            <w:pPr>
              <w:pStyle w:val="60"/>
              <w:ind w:firstLine="31680"/>
              <w:rPr>
                <w:color w:val="auto"/>
                <w:sz w:val="21"/>
                <w:szCs w:val="21"/>
              </w:rPr>
            </w:pPr>
            <w:r>
              <w:rPr>
                <w:rFonts w:hint="eastAsia"/>
                <w:color w:val="auto"/>
                <w:sz w:val="21"/>
                <w:szCs w:val="21"/>
              </w:rPr>
              <w:t>根据环境风险潜势，判定本项目评价工作等级为简单分析。因此，仅需对环境风险开展简单分析。</w:t>
            </w:r>
          </w:p>
          <w:p w14:paraId="0F438A91">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7.3</w:t>
            </w:r>
            <w:r>
              <w:rPr>
                <w:rFonts w:hint="eastAsia"/>
                <w:b/>
                <w:bCs/>
                <w:snapToGrid w:val="0"/>
                <w:color w:val="auto"/>
                <w:spacing w:val="-2"/>
                <w:kern w:val="0"/>
                <w:szCs w:val="21"/>
              </w:rPr>
              <w:t>环境风险简单分析</w:t>
            </w:r>
          </w:p>
          <w:p w14:paraId="2A96162A">
            <w:pPr>
              <w:pStyle w:val="60"/>
              <w:ind w:firstLine="31680"/>
              <w:rPr>
                <w:color w:val="auto"/>
                <w:sz w:val="21"/>
                <w:szCs w:val="21"/>
              </w:rPr>
            </w:pPr>
            <w:r>
              <w:rPr>
                <w:rFonts w:hint="eastAsia"/>
                <w:color w:val="auto"/>
                <w:sz w:val="21"/>
                <w:szCs w:val="21"/>
              </w:rPr>
              <w:t>（</w:t>
            </w:r>
            <w:r>
              <w:rPr>
                <w:color w:val="auto"/>
                <w:sz w:val="21"/>
                <w:szCs w:val="21"/>
              </w:rPr>
              <w:t>1</w:t>
            </w:r>
            <w:r>
              <w:rPr>
                <w:rFonts w:hint="eastAsia"/>
                <w:color w:val="auto"/>
                <w:sz w:val="21"/>
                <w:szCs w:val="21"/>
              </w:rPr>
              <w:t>）风险源识别</w:t>
            </w:r>
          </w:p>
          <w:p w14:paraId="47E9D6EA">
            <w:pPr>
              <w:tabs>
                <w:tab w:val="center" w:pos="4156"/>
                <w:tab w:val="left" w:pos="5964"/>
              </w:tabs>
              <w:adjustRightInd w:val="0"/>
              <w:snapToGrid w:val="0"/>
              <w:jc w:val="center"/>
              <w:rPr>
                <w:b/>
                <w:snapToGrid w:val="0"/>
                <w:color w:val="auto"/>
                <w:szCs w:val="21"/>
              </w:rPr>
            </w:pPr>
            <w:r>
              <w:rPr>
                <w:rFonts w:hint="eastAsia"/>
                <w:b/>
                <w:snapToGrid w:val="0"/>
                <w:color w:val="auto"/>
                <w:szCs w:val="21"/>
              </w:rPr>
              <w:t>表</w:t>
            </w:r>
            <w:r>
              <w:rPr>
                <w:b/>
                <w:snapToGrid w:val="0"/>
                <w:color w:val="auto"/>
                <w:szCs w:val="21"/>
              </w:rPr>
              <w:t>4-</w:t>
            </w:r>
            <w:r>
              <w:rPr>
                <w:rFonts w:hint="eastAsia"/>
                <w:b/>
                <w:snapToGrid w:val="0"/>
                <w:color w:val="auto"/>
                <w:szCs w:val="21"/>
                <w:lang w:val="en-US" w:eastAsia="zh-CN"/>
              </w:rPr>
              <w:t>23</w:t>
            </w:r>
            <w:r>
              <w:rPr>
                <w:b/>
                <w:snapToGrid w:val="0"/>
                <w:color w:val="auto"/>
                <w:szCs w:val="21"/>
              </w:rPr>
              <w:t xml:space="preserve">  </w:t>
            </w:r>
            <w:r>
              <w:rPr>
                <w:rFonts w:hint="eastAsia"/>
                <w:b/>
                <w:snapToGrid w:val="0"/>
                <w:color w:val="auto"/>
                <w:szCs w:val="21"/>
              </w:rPr>
              <w:t>风险源识别</w:t>
            </w:r>
          </w:p>
          <w:tbl>
            <w:tblPr>
              <w:tblStyle w:val="26"/>
              <w:tblW w:w="805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146"/>
              <w:gridCol w:w="2261"/>
              <w:gridCol w:w="4651"/>
            </w:tblGrid>
            <w:tr w14:paraId="3FA448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1146" w:type="dxa"/>
                  <w:tcBorders>
                    <w:top w:val="single" w:color="auto" w:sz="12" w:space="0"/>
                    <w:bottom w:val="single" w:color="auto" w:sz="4" w:space="0"/>
                    <w:right w:val="single" w:color="auto" w:sz="4" w:space="0"/>
                  </w:tcBorders>
                  <w:vAlign w:val="center"/>
                </w:tcPr>
                <w:p w14:paraId="746AF59C">
                  <w:pPr>
                    <w:jc w:val="center"/>
                    <w:rPr>
                      <w:bCs/>
                      <w:color w:val="auto"/>
                      <w:sz w:val="18"/>
                      <w:szCs w:val="18"/>
                    </w:rPr>
                  </w:pPr>
                  <w:r>
                    <w:rPr>
                      <w:rFonts w:hint="eastAsia"/>
                      <w:bCs/>
                      <w:color w:val="auto"/>
                      <w:sz w:val="18"/>
                      <w:szCs w:val="18"/>
                    </w:rPr>
                    <w:t>风险源</w:t>
                  </w:r>
                </w:p>
              </w:tc>
              <w:tc>
                <w:tcPr>
                  <w:tcW w:w="2261" w:type="dxa"/>
                  <w:tcBorders>
                    <w:top w:val="single" w:color="auto" w:sz="12" w:space="0"/>
                    <w:left w:val="single" w:color="auto" w:sz="4" w:space="0"/>
                    <w:bottom w:val="single" w:color="auto" w:sz="4" w:space="0"/>
                    <w:right w:val="single" w:color="auto" w:sz="4" w:space="0"/>
                  </w:tcBorders>
                  <w:vAlign w:val="center"/>
                </w:tcPr>
                <w:p w14:paraId="37C42FBA">
                  <w:pPr>
                    <w:jc w:val="center"/>
                    <w:rPr>
                      <w:bCs/>
                      <w:color w:val="auto"/>
                      <w:sz w:val="18"/>
                      <w:szCs w:val="18"/>
                    </w:rPr>
                  </w:pPr>
                  <w:r>
                    <w:rPr>
                      <w:rFonts w:hint="eastAsia"/>
                      <w:bCs/>
                      <w:color w:val="auto"/>
                      <w:sz w:val="18"/>
                      <w:szCs w:val="18"/>
                    </w:rPr>
                    <w:t>潜在风险</w:t>
                  </w:r>
                </w:p>
              </w:tc>
              <w:tc>
                <w:tcPr>
                  <w:tcW w:w="4651" w:type="dxa"/>
                  <w:tcBorders>
                    <w:top w:val="single" w:color="auto" w:sz="12" w:space="0"/>
                    <w:left w:val="single" w:color="auto" w:sz="4" w:space="0"/>
                    <w:bottom w:val="single" w:color="auto" w:sz="4" w:space="0"/>
                  </w:tcBorders>
                  <w:vAlign w:val="center"/>
                </w:tcPr>
                <w:p w14:paraId="3A9FCC81">
                  <w:pPr>
                    <w:jc w:val="center"/>
                    <w:rPr>
                      <w:bCs/>
                      <w:color w:val="auto"/>
                      <w:sz w:val="18"/>
                      <w:szCs w:val="18"/>
                    </w:rPr>
                  </w:pPr>
                  <w:r>
                    <w:rPr>
                      <w:rFonts w:hint="eastAsia"/>
                      <w:bCs/>
                      <w:color w:val="auto"/>
                      <w:sz w:val="18"/>
                      <w:szCs w:val="18"/>
                    </w:rPr>
                    <w:t>风险描述</w:t>
                  </w:r>
                </w:p>
              </w:tc>
            </w:tr>
            <w:tr w14:paraId="2EC4CA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146" w:type="dxa"/>
                  <w:tcBorders>
                    <w:top w:val="single" w:color="auto" w:sz="4" w:space="0"/>
                    <w:bottom w:val="single" w:color="auto" w:sz="4" w:space="0"/>
                    <w:right w:val="single" w:color="auto" w:sz="4" w:space="0"/>
                  </w:tcBorders>
                  <w:vAlign w:val="center"/>
                </w:tcPr>
                <w:p w14:paraId="68986667">
                  <w:pPr>
                    <w:jc w:val="center"/>
                    <w:rPr>
                      <w:color w:val="auto"/>
                      <w:sz w:val="18"/>
                      <w:szCs w:val="18"/>
                    </w:rPr>
                  </w:pPr>
                  <w:r>
                    <w:rPr>
                      <w:rFonts w:hint="eastAsia"/>
                      <w:color w:val="auto"/>
                      <w:sz w:val="18"/>
                      <w:szCs w:val="18"/>
                    </w:rPr>
                    <w:t>生产车间</w:t>
                  </w:r>
                </w:p>
              </w:tc>
              <w:tc>
                <w:tcPr>
                  <w:tcW w:w="2261" w:type="dxa"/>
                  <w:tcBorders>
                    <w:top w:val="single" w:color="auto" w:sz="4" w:space="0"/>
                    <w:left w:val="single" w:color="auto" w:sz="4" w:space="0"/>
                    <w:bottom w:val="single" w:color="auto" w:sz="4" w:space="0"/>
                    <w:right w:val="single" w:color="auto" w:sz="4" w:space="0"/>
                  </w:tcBorders>
                  <w:vAlign w:val="center"/>
                </w:tcPr>
                <w:p w14:paraId="084DFC12">
                  <w:pPr>
                    <w:jc w:val="center"/>
                    <w:rPr>
                      <w:color w:val="auto"/>
                      <w:sz w:val="18"/>
                      <w:szCs w:val="18"/>
                    </w:rPr>
                  </w:pPr>
                  <w:r>
                    <w:rPr>
                      <w:rFonts w:hint="eastAsia"/>
                      <w:color w:val="auto"/>
                      <w:sz w:val="18"/>
                      <w:szCs w:val="18"/>
                    </w:rPr>
                    <w:t>火灾、泄漏</w:t>
                  </w:r>
                </w:p>
              </w:tc>
              <w:tc>
                <w:tcPr>
                  <w:tcW w:w="4651" w:type="dxa"/>
                  <w:tcBorders>
                    <w:top w:val="single" w:color="auto" w:sz="4" w:space="0"/>
                    <w:left w:val="single" w:color="auto" w:sz="4" w:space="0"/>
                    <w:bottom w:val="single" w:color="auto" w:sz="4" w:space="0"/>
                  </w:tcBorders>
                  <w:vAlign w:val="center"/>
                </w:tcPr>
                <w:p w14:paraId="0E854106">
                  <w:pPr>
                    <w:rPr>
                      <w:rFonts w:hint="default" w:eastAsia="宋体"/>
                      <w:color w:val="auto"/>
                      <w:sz w:val="18"/>
                      <w:szCs w:val="18"/>
                      <w:lang w:val="en-US" w:eastAsia="zh-CN"/>
                    </w:rPr>
                  </w:pPr>
                  <w:r>
                    <w:rPr>
                      <w:rFonts w:hint="eastAsia"/>
                      <w:color w:val="auto"/>
                      <w:sz w:val="18"/>
                      <w:szCs w:val="18"/>
                    </w:rPr>
                    <w:t>原辅材料引发火灾，火灾导致产生消防废水、浓烟等伴生、次生污染物，对厂区及周围环境产生不利影响。主要生产设备受腐蚀或外力后损坏，物料泄漏，对厂区及周围环境产生不利影响。</w:t>
                  </w:r>
                </w:p>
              </w:tc>
            </w:tr>
            <w:tr w14:paraId="7AB6DB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7" w:hRule="atLeast"/>
                <w:jc w:val="center"/>
              </w:trPr>
              <w:tc>
                <w:tcPr>
                  <w:tcW w:w="1146" w:type="dxa"/>
                  <w:tcBorders>
                    <w:top w:val="single" w:color="auto" w:sz="4" w:space="0"/>
                    <w:bottom w:val="single" w:color="auto" w:sz="4" w:space="0"/>
                    <w:right w:val="single" w:color="auto" w:sz="4" w:space="0"/>
                  </w:tcBorders>
                  <w:vAlign w:val="center"/>
                </w:tcPr>
                <w:p w14:paraId="51825A3D">
                  <w:pPr>
                    <w:jc w:val="center"/>
                    <w:rPr>
                      <w:color w:val="auto"/>
                      <w:sz w:val="18"/>
                      <w:szCs w:val="18"/>
                    </w:rPr>
                  </w:pPr>
                  <w:r>
                    <w:rPr>
                      <w:rFonts w:hint="eastAsia"/>
                      <w:color w:val="auto"/>
                      <w:sz w:val="18"/>
                      <w:szCs w:val="18"/>
                    </w:rPr>
                    <w:t>公用工程</w:t>
                  </w:r>
                </w:p>
              </w:tc>
              <w:tc>
                <w:tcPr>
                  <w:tcW w:w="2261" w:type="dxa"/>
                  <w:tcBorders>
                    <w:top w:val="single" w:color="auto" w:sz="4" w:space="0"/>
                    <w:left w:val="single" w:color="auto" w:sz="4" w:space="0"/>
                    <w:bottom w:val="single" w:color="auto" w:sz="4" w:space="0"/>
                    <w:right w:val="single" w:color="auto" w:sz="4" w:space="0"/>
                  </w:tcBorders>
                  <w:vAlign w:val="center"/>
                </w:tcPr>
                <w:p w14:paraId="5FD92CF1">
                  <w:pPr>
                    <w:jc w:val="center"/>
                    <w:rPr>
                      <w:color w:val="auto"/>
                      <w:sz w:val="18"/>
                      <w:szCs w:val="18"/>
                    </w:rPr>
                  </w:pPr>
                  <w:r>
                    <w:rPr>
                      <w:rFonts w:hint="eastAsia"/>
                      <w:color w:val="auto"/>
                      <w:sz w:val="18"/>
                      <w:szCs w:val="18"/>
                    </w:rPr>
                    <w:t>火灾、泄漏</w:t>
                  </w:r>
                </w:p>
              </w:tc>
              <w:tc>
                <w:tcPr>
                  <w:tcW w:w="4651" w:type="dxa"/>
                  <w:tcBorders>
                    <w:top w:val="single" w:color="auto" w:sz="4" w:space="0"/>
                    <w:left w:val="single" w:color="auto" w:sz="4" w:space="0"/>
                    <w:bottom w:val="single" w:color="auto" w:sz="4" w:space="0"/>
                  </w:tcBorders>
                  <w:vAlign w:val="center"/>
                </w:tcPr>
                <w:p w14:paraId="6F263FF6">
                  <w:pPr>
                    <w:rPr>
                      <w:color w:val="auto"/>
                      <w:sz w:val="18"/>
                      <w:szCs w:val="18"/>
                    </w:rPr>
                  </w:pPr>
                  <w:r>
                    <w:rPr>
                      <w:rFonts w:hint="eastAsia"/>
                      <w:color w:val="auto"/>
                      <w:sz w:val="18"/>
                      <w:szCs w:val="18"/>
                    </w:rPr>
                    <w:t>用电设施引发火灾，生活污水管道泄漏。</w:t>
                  </w:r>
                </w:p>
              </w:tc>
            </w:tr>
            <w:tr w14:paraId="4FC939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146" w:type="dxa"/>
                  <w:vMerge w:val="restart"/>
                  <w:tcBorders>
                    <w:top w:val="single" w:color="auto" w:sz="4" w:space="0"/>
                    <w:bottom w:val="single" w:color="auto" w:sz="4" w:space="0"/>
                    <w:right w:val="single" w:color="auto" w:sz="4" w:space="0"/>
                  </w:tcBorders>
                  <w:vAlign w:val="center"/>
                </w:tcPr>
                <w:p w14:paraId="32DE0B19">
                  <w:pPr>
                    <w:jc w:val="center"/>
                    <w:rPr>
                      <w:color w:val="auto"/>
                      <w:sz w:val="18"/>
                      <w:szCs w:val="18"/>
                    </w:rPr>
                  </w:pPr>
                  <w:r>
                    <w:rPr>
                      <w:rFonts w:hint="eastAsia"/>
                      <w:color w:val="auto"/>
                      <w:sz w:val="18"/>
                      <w:szCs w:val="18"/>
                    </w:rPr>
                    <w:t>环保工程</w:t>
                  </w:r>
                </w:p>
              </w:tc>
              <w:tc>
                <w:tcPr>
                  <w:tcW w:w="2261" w:type="dxa"/>
                  <w:tcBorders>
                    <w:top w:val="single" w:color="auto" w:sz="4" w:space="0"/>
                    <w:left w:val="single" w:color="auto" w:sz="4" w:space="0"/>
                    <w:bottom w:val="single" w:color="auto" w:sz="4" w:space="0"/>
                    <w:right w:val="single" w:color="auto" w:sz="4" w:space="0"/>
                  </w:tcBorders>
                  <w:vAlign w:val="center"/>
                </w:tcPr>
                <w:p w14:paraId="0F6F3D43">
                  <w:pPr>
                    <w:jc w:val="center"/>
                    <w:rPr>
                      <w:color w:val="auto"/>
                      <w:sz w:val="18"/>
                      <w:szCs w:val="18"/>
                    </w:rPr>
                  </w:pPr>
                  <w:r>
                    <w:rPr>
                      <w:rFonts w:hint="eastAsia"/>
                      <w:color w:val="auto"/>
                      <w:sz w:val="18"/>
                      <w:szCs w:val="18"/>
                    </w:rPr>
                    <w:t>污水</w:t>
                  </w:r>
                  <w:r>
                    <w:rPr>
                      <w:rFonts w:hint="eastAsia"/>
                      <w:color w:val="auto"/>
                      <w:sz w:val="18"/>
                      <w:szCs w:val="18"/>
                      <w:lang w:val="en-US" w:eastAsia="zh-CN"/>
                    </w:rPr>
                    <w:t>输送</w:t>
                  </w:r>
                  <w:r>
                    <w:rPr>
                      <w:rFonts w:hint="eastAsia"/>
                      <w:color w:val="auto"/>
                      <w:sz w:val="18"/>
                      <w:szCs w:val="18"/>
                    </w:rPr>
                    <w:t>设施故障</w:t>
                  </w:r>
                </w:p>
              </w:tc>
              <w:tc>
                <w:tcPr>
                  <w:tcW w:w="4651" w:type="dxa"/>
                  <w:tcBorders>
                    <w:top w:val="single" w:color="auto" w:sz="4" w:space="0"/>
                    <w:left w:val="single" w:color="auto" w:sz="4" w:space="0"/>
                    <w:bottom w:val="single" w:color="auto" w:sz="4" w:space="0"/>
                  </w:tcBorders>
                  <w:vAlign w:val="center"/>
                </w:tcPr>
                <w:p w14:paraId="4B1C836C">
                  <w:pPr>
                    <w:rPr>
                      <w:color w:val="auto"/>
                      <w:sz w:val="18"/>
                      <w:szCs w:val="18"/>
                    </w:rPr>
                  </w:pPr>
                  <w:r>
                    <w:rPr>
                      <w:rFonts w:hint="eastAsia"/>
                      <w:color w:val="auto"/>
                      <w:sz w:val="18"/>
                      <w:szCs w:val="18"/>
                    </w:rPr>
                    <w:t>污水</w:t>
                  </w:r>
                  <w:r>
                    <w:rPr>
                      <w:rFonts w:hint="eastAsia"/>
                      <w:color w:val="auto"/>
                      <w:sz w:val="18"/>
                      <w:szCs w:val="18"/>
                      <w:lang w:val="en-US" w:eastAsia="zh-CN"/>
                    </w:rPr>
                    <w:t>输送</w:t>
                  </w:r>
                  <w:r>
                    <w:rPr>
                      <w:rFonts w:hint="eastAsia"/>
                      <w:color w:val="auto"/>
                      <w:sz w:val="18"/>
                      <w:szCs w:val="18"/>
                    </w:rPr>
                    <w:t>设施出现故障，污水中的污染物直接排至</w:t>
                  </w:r>
                  <w:r>
                    <w:rPr>
                      <w:rFonts w:hint="eastAsia"/>
                      <w:color w:val="auto"/>
                      <w:sz w:val="18"/>
                      <w:szCs w:val="18"/>
                      <w:lang w:val="en-US" w:eastAsia="zh-CN"/>
                    </w:rPr>
                    <w:t>厂内土壤</w:t>
                  </w:r>
                  <w:r>
                    <w:rPr>
                      <w:rFonts w:hint="eastAsia"/>
                      <w:color w:val="auto"/>
                      <w:sz w:val="18"/>
                      <w:szCs w:val="18"/>
                    </w:rPr>
                    <w:t>，导致不利影响。</w:t>
                  </w:r>
                </w:p>
              </w:tc>
            </w:tr>
            <w:tr w14:paraId="2166D0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146" w:type="dxa"/>
                  <w:vMerge w:val="continue"/>
                  <w:tcBorders>
                    <w:top w:val="single" w:color="auto" w:sz="4" w:space="0"/>
                    <w:bottom w:val="single" w:color="auto" w:sz="4" w:space="0"/>
                    <w:right w:val="single" w:color="auto" w:sz="4" w:space="0"/>
                  </w:tcBorders>
                  <w:vAlign w:val="center"/>
                </w:tcPr>
                <w:p w14:paraId="7A452416">
                  <w:pPr>
                    <w:jc w:val="center"/>
                    <w:rPr>
                      <w:color w:val="auto"/>
                      <w:sz w:val="18"/>
                      <w:szCs w:val="18"/>
                    </w:rPr>
                  </w:pPr>
                </w:p>
              </w:tc>
              <w:tc>
                <w:tcPr>
                  <w:tcW w:w="2261" w:type="dxa"/>
                  <w:tcBorders>
                    <w:top w:val="single" w:color="auto" w:sz="4" w:space="0"/>
                    <w:left w:val="single" w:color="auto" w:sz="4" w:space="0"/>
                    <w:bottom w:val="single" w:color="auto" w:sz="4" w:space="0"/>
                    <w:right w:val="single" w:color="auto" w:sz="4" w:space="0"/>
                  </w:tcBorders>
                  <w:vAlign w:val="center"/>
                </w:tcPr>
                <w:p w14:paraId="3CD360FE">
                  <w:pPr>
                    <w:jc w:val="center"/>
                    <w:rPr>
                      <w:color w:val="auto"/>
                      <w:sz w:val="18"/>
                      <w:szCs w:val="18"/>
                    </w:rPr>
                  </w:pPr>
                  <w:r>
                    <w:rPr>
                      <w:rFonts w:hint="eastAsia"/>
                      <w:color w:val="auto"/>
                      <w:sz w:val="18"/>
                      <w:szCs w:val="18"/>
                    </w:rPr>
                    <w:t>危废仓库、原料仓库防渗、防漏措施维护不到位</w:t>
                  </w:r>
                </w:p>
              </w:tc>
              <w:tc>
                <w:tcPr>
                  <w:tcW w:w="4651" w:type="dxa"/>
                  <w:tcBorders>
                    <w:top w:val="single" w:color="auto" w:sz="4" w:space="0"/>
                    <w:left w:val="single" w:color="auto" w:sz="4" w:space="0"/>
                    <w:bottom w:val="single" w:color="auto" w:sz="4" w:space="0"/>
                  </w:tcBorders>
                  <w:vAlign w:val="center"/>
                </w:tcPr>
                <w:p w14:paraId="5524CDD9">
                  <w:pPr>
                    <w:rPr>
                      <w:color w:val="auto"/>
                      <w:sz w:val="18"/>
                      <w:szCs w:val="18"/>
                    </w:rPr>
                  </w:pPr>
                  <w:r>
                    <w:rPr>
                      <w:rFonts w:hint="eastAsia"/>
                      <w:color w:val="auto"/>
                      <w:sz w:val="18"/>
                      <w:szCs w:val="18"/>
                    </w:rPr>
                    <w:t>危废仓库、原辅料仓库防渗漏设施破损导致液体泄漏，对厂区及周围环境产生不利影响。</w:t>
                  </w:r>
                </w:p>
              </w:tc>
            </w:tr>
            <w:tr w14:paraId="267BFF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146" w:type="dxa"/>
                  <w:vMerge w:val="continue"/>
                  <w:tcBorders>
                    <w:top w:val="single" w:color="auto" w:sz="4" w:space="0"/>
                    <w:bottom w:val="single" w:color="auto" w:sz="4" w:space="0"/>
                    <w:right w:val="single" w:color="auto" w:sz="4" w:space="0"/>
                  </w:tcBorders>
                  <w:vAlign w:val="center"/>
                </w:tcPr>
                <w:p w14:paraId="14705648">
                  <w:pPr>
                    <w:jc w:val="center"/>
                    <w:rPr>
                      <w:color w:val="auto"/>
                      <w:sz w:val="18"/>
                      <w:szCs w:val="18"/>
                    </w:rPr>
                  </w:pPr>
                </w:p>
              </w:tc>
              <w:tc>
                <w:tcPr>
                  <w:tcW w:w="2261" w:type="dxa"/>
                  <w:tcBorders>
                    <w:top w:val="single" w:color="auto" w:sz="4" w:space="0"/>
                    <w:left w:val="single" w:color="auto" w:sz="4" w:space="0"/>
                    <w:bottom w:val="single" w:color="auto" w:sz="4" w:space="0"/>
                    <w:right w:val="single" w:color="auto" w:sz="4" w:space="0"/>
                  </w:tcBorders>
                  <w:vAlign w:val="center"/>
                </w:tcPr>
                <w:p w14:paraId="04A76965">
                  <w:pPr>
                    <w:jc w:val="center"/>
                    <w:rPr>
                      <w:color w:val="auto"/>
                      <w:sz w:val="18"/>
                      <w:szCs w:val="18"/>
                    </w:rPr>
                  </w:pPr>
                  <w:r>
                    <w:rPr>
                      <w:rFonts w:hint="eastAsia"/>
                      <w:color w:val="auto"/>
                      <w:sz w:val="18"/>
                      <w:szCs w:val="18"/>
                    </w:rPr>
                    <w:t>突发性泄漏和火灾爆炸</w:t>
                  </w:r>
                </w:p>
              </w:tc>
              <w:tc>
                <w:tcPr>
                  <w:tcW w:w="4651" w:type="dxa"/>
                  <w:tcBorders>
                    <w:top w:val="single" w:color="auto" w:sz="4" w:space="0"/>
                    <w:left w:val="single" w:color="auto" w:sz="4" w:space="0"/>
                    <w:bottom w:val="single" w:color="auto" w:sz="4" w:space="0"/>
                  </w:tcBorders>
                  <w:vAlign w:val="center"/>
                </w:tcPr>
                <w:p w14:paraId="5943474E">
                  <w:pPr>
                    <w:rPr>
                      <w:color w:val="auto"/>
                      <w:sz w:val="18"/>
                      <w:szCs w:val="18"/>
                    </w:rPr>
                  </w:pPr>
                  <w:r>
                    <w:rPr>
                      <w:rFonts w:hint="eastAsia"/>
                      <w:color w:val="auto"/>
                      <w:sz w:val="18"/>
                      <w:szCs w:val="18"/>
                    </w:rPr>
                    <w:t>泄漏、火灾导致伴生、次生污染物直接进入市政污水管网和雨水管网，对污水处理厂和周围水环境造成不利影响。</w:t>
                  </w:r>
                </w:p>
              </w:tc>
            </w:tr>
            <w:tr w14:paraId="59CA96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146" w:type="dxa"/>
                  <w:tcBorders>
                    <w:top w:val="single" w:color="auto" w:sz="4" w:space="0"/>
                    <w:bottom w:val="single" w:color="auto" w:sz="12" w:space="0"/>
                    <w:right w:val="single" w:color="auto" w:sz="4" w:space="0"/>
                  </w:tcBorders>
                  <w:vAlign w:val="center"/>
                </w:tcPr>
                <w:p w14:paraId="669A917B">
                  <w:pPr>
                    <w:jc w:val="center"/>
                    <w:rPr>
                      <w:color w:val="auto"/>
                      <w:sz w:val="18"/>
                      <w:szCs w:val="18"/>
                    </w:rPr>
                  </w:pPr>
                  <w:r>
                    <w:rPr>
                      <w:rFonts w:hint="eastAsia"/>
                      <w:color w:val="auto"/>
                      <w:sz w:val="18"/>
                      <w:szCs w:val="18"/>
                    </w:rPr>
                    <w:t>其他</w:t>
                  </w:r>
                </w:p>
              </w:tc>
              <w:tc>
                <w:tcPr>
                  <w:tcW w:w="2261" w:type="dxa"/>
                  <w:tcBorders>
                    <w:top w:val="single" w:color="auto" w:sz="4" w:space="0"/>
                    <w:left w:val="single" w:color="auto" w:sz="4" w:space="0"/>
                    <w:bottom w:val="single" w:color="auto" w:sz="12" w:space="0"/>
                    <w:right w:val="single" w:color="auto" w:sz="4" w:space="0"/>
                  </w:tcBorders>
                  <w:vAlign w:val="center"/>
                </w:tcPr>
                <w:p w14:paraId="600AD913">
                  <w:pPr>
                    <w:jc w:val="center"/>
                    <w:rPr>
                      <w:color w:val="auto"/>
                      <w:sz w:val="18"/>
                      <w:szCs w:val="18"/>
                    </w:rPr>
                  </w:pPr>
                  <w:r>
                    <w:rPr>
                      <w:rFonts w:hint="eastAsia"/>
                      <w:color w:val="auto"/>
                      <w:sz w:val="18"/>
                      <w:szCs w:val="18"/>
                    </w:rPr>
                    <w:t>责任因素</w:t>
                  </w:r>
                </w:p>
              </w:tc>
              <w:tc>
                <w:tcPr>
                  <w:tcW w:w="4651" w:type="dxa"/>
                  <w:tcBorders>
                    <w:top w:val="single" w:color="auto" w:sz="4" w:space="0"/>
                    <w:left w:val="single" w:color="auto" w:sz="4" w:space="0"/>
                    <w:bottom w:val="single" w:color="auto" w:sz="12" w:space="0"/>
                  </w:tcBorders>
                  <w:vAlign w:val="center"/>
                </w:tcPr>
                <w:p w14:paraId="7B2A2B58">
                  <w:pPr>
                    <w:rPr>
                      <w:color w:val="auto"/>
                      <w:sz w:val="18"/>
                      <w:szCs w:val="18"/>
                    </w:rPr>
                  </w:pPr>
                  <w:r>
                    <w:rPr>
                      <w:rFonts w:hint="eastAsia"/>
                      <w:color w:val="auto"/>
                      <w:sz w:val="18"/>
                      <w:szCs w:val="18"/>
                    </w:rPr>
                    <w:t>因工程结构设计不合理、设备制造和检验不合格、作业人员误操作或玩忽职守、维修过程违反规定等，以及人为破坏都有可能造成事故。</w:t>
                  </w:r>
                </w:p>
              </w:tc>
            </w:tr>
          </w:tbl>
          <w:p w14:paraId="42336627">
            <w:pPr>
              <w:pStyle w:val="60"/>
              <w:ind w:firstLine="31680"/>
              <w:rPr>
                <w:color w:val="auto"/>
                <w:sz w:val="21"/>
                <w:szCs w:val="21"/>
              </w:rPr>
            </w:pPr>
            <w:r>
              <w:rPr>
                <w:rFonts w:hint="eastAsia"/>
                <w:color w:val="auto"/>
                <w:sz w:val="21"/>
                <w:szCs w:val="21"/>
              </w:rPr>
              <w:t>（</w:t>
            </w:r>
            <w:r>
              <w:rPr>
                <w:color w:val="auto"/>
                <w:sz w:val="21"/>
                <w:szCs w:val="21"/>
              </w:rPr>
              <w:t>2</w:t>
            </w:r>
            <w:r>
              <w:rPr>
                <w:rFonts w:hint="eastAsia"/>
                <w:color w:val="auto"/>
                <w:sz w:val="21"/>
                <w:szCs w:val="21"/>
              </w:rPr>
              <w:t>）影响途径</w:t>
            </w:r>
          </w:p>
          <w:p w14:paraId="10591111">
            <w:pPr>
              <w:pStyle w:val="60"/>
              <w:ind w:firstLine="31680"/>
              <w:rPr>
                <w:color w:val="auto"/>
                <w:sz w:val="21"/>
                <w:szCs w:val="21"/>
              </w:rPr>
            </w:pPr>
            <w:r>
              <w:rPr>
                <w:rFonts w:hint="eastAsia"/>
                <w:color w:val="auto"/>
                <w:sz w:val="21"/>
                <w:szCs w:val="21"/>
              </w:rPr>
              <w:t>空气、水体和土壤等环境要素是危险物质向环境转移的最基本的途径，同时这三种要素之间又随时发生有害物质和能量的传递，污染物进入环境后，随着空气和水体环境发生推流迁移、分散稀释和降解转化运动。</w:t>
            </w:r>
          </w:p>
          <w:p w14:paraId="20944275">
            <w:pPr>
              <w:pStyle w:val="60"/>
              <w:ind w:firstLine="31680"/>
              <w:rPr>
                <w:color w:val="auto"/>
                <w:sz w:val="21"/>
                <w:szCs w:val="21"/>
              </w:rPr>
            </w:pPr>
            <w:r>
              <w:rPr>
                <w:rFonts w:hint="eastAsia"/>
                <w:color w:val="auto"/>
                <w:sz w:val="21"/>
                <w:szCs w:val="21"/>
              </w:rPr>
              <w:t>（</w:t>
            </w:r>
            <w:r>
              <w:rPr>
                <w:color w:val="auto"/>
                <w:sz w:val="21"/>
                <w:szCs w:val="21"/>
              </w:rPr>
              <w:t>3</w:t>
            </w:r>
            <w:r>
              <w:rPr>
                <w:rFonts w:hint="eastAsia"/>
                <w:color w:val="auto"/>
                <w:sz w:val="21"/>
                <w:szCs w:val="21"/>
              </w:rPr>
              <w:t>）环境风险防范措施</w:t>
            </w:r>
          </w:p>
          <w:p w14:paraId="4BEB113A">
            <w:pPr>
              <w:snapToGrid w:val="0"/>
              <w:spacing w:line="360" w:lineRule="auto"/>
              <w:ind w:firstLine="422" w:firstLineChars="200"/>
              <w:rPr>
                <w:snapToGrid w:val="0"/>
                <w:color w:val="auto"/>
                <w:szCs w:val="21"/>
              </w:rPr>
            </w:pPr>
            <w:r>
              <w:rPr>
                <w:rFonts w:hint="eastAsia"/>
                <w:b/>
                <w:bCs/>
                <w:color w:val="auto"/>
                <w:szCs w:val="21"/>
              </w:rPr>
              <w:t>组织管理：</w:t>
            </w:r>
            <w:r>
              <w:rPr>
                <w:rFonts w:hint="eastAsia"/>
                <w:snapToGrid w:val="0"/>
                <w:color w:val="auto"/>
                <w:szCs w:val="21"/>
              </w:rPr>
              <w:t>建设单位应组建安全环保管理机构，配备管理人员，通过技能培训，承担该公司运行中的环保安全工作。安全环保机构将根据相关的环境管理要求，结合厂区具体情况，制定各项安全生产管理制度、严格的生产操作规则和完善的事故应急计划及相应的应急处理手段和设施，同时加强安全教育，以增强职工的安全意识和安全防范能力。</w:t>
            </w:r>
          </w:p>
          <w:p w14:paraId="4F0BD12F">
            <w:pPr>
              <w:snapToGrid w:val="0"/>
              <w:spacing w:line="360" w:lineRule="auto"/>
              <w:ind w:firstLine="422" w:firstLineChars="200"/>
              <w:rPr>
                <w:color w:val="auto"/>
                <w:szCs w:val="21"/>
              </w:rPr>
            </w:pPr>
            <w:r>
              <w:rPr>
                <w:rFonts w:hint="eastAsia"/>
                <w:b/>
                <w:bCs/>
                <w:color w:val="auto"/>
                <w:szCs w:val="21"/>
              </w:rPr>
              <w:t>总图布置和建筑安全防范措施：</w:t>
            </w:r>
            <w:r>
              <w:rPr>
                <w:rFonts w:hint="eastAsia"/>
                <w:color w:val="auto"/>
                <w:szCs w:val="21"/>
              </w:rPr>
              <w:t>厂区总平面布置严格执行相关规范要求，所有建筑物之间或与其他场所之间留有足够的防火间距，防止在火灾或爆炸时相互影响。</w:t>
            </w:r>
          </w:p>
          <w:p w14:paraId="5B63B190">
            <w:pPr>
              <w:snapToGrid w:val="0"/>
              <w:spacing w:line="360" w:lineRule="auto"/>
              <w:ind w:firstLine="422" w:firstLineChars="200"/>
              <w:rPr>
                <w:color w:val="auto"/>
                <w:szCs w:val="21"/>
              </w:rPr>
            </w:pPr>
            <w:r>
              <w:rPr>
                <w:rFonts w:hint="eastAsia"/>
                <w:b/>
                <w:bCs/>
                <w:color w:val="auto"/>
                <w:szCs w:val="21"/>
              </w:rPr>
              <w:t>原辅料储存中的防范措施：</w:t>
            </w:r>
            <w:r>
              <w:rPr>
                <w:rFonts w:hint="eastAsia"/>
                <w:color w:val="auto"/>
                <w:szCs w:val="21"/>
              </w:rPr>
              <w:t>加强对物料的管理，危化品按安全技术说明书的要求进行储存</w:t>
            </w:r>
            <w:r>
              <w:rPr>
                <w:rFonts w:hint="eastAsia"/>
                <w:color w:val="auto"/>
                <w:szCs w:val="21"/>
                <w:lang w:eastAsia="zh-CN"/>
              </w:rPr>
              <w:t>，</w:t>
            </w:r>
            <w:r>
              <w:rPr>
                <w:rFonts w:hint="eastAsia"/>
                <w:color w:val="auto"/>
                <w:szCs w:val="21"/>
              </w:rPr>
              <w:t>原料仓库、成品仓库和生产车间按照防火规范进行储存和组织生产；制定安全操作规程，要求操作人员严格按操作规程作业；对作业人员定期进行安全培训教育；经常性对危险化学品作业场所进行安全检查。建设单位需加强生产、安全管理，重视对生产作业场所、危险物料贮存和危废暂存处的在线监控，及时预警、报警。</w:t>
            </w:r>
          </w:p>
          <w:p w14:paraId="5CA48136">
            <w:pPr>
              <w:snapToGrid w:val="0"/>
              <w:spacing w:line="360" w:lineRule="auto"/>
              <w:ind w:firstLine="422" w:firstLineChars="200"/>
              <w:rPr>
                <w:color w:val="auto"/>
                <w:szCs w:val="21"/>
              </w:rPr>
            </w:pPr>
            <w:r>
              <w:rPr>
                <w:rFonts w:hint="eastAsia"/>
                <w:b/>
                <w:bCs/>
                <w:color w:val="auto"/>
                <w:szCs w:val="21"/>
              </w:rPr>
              <w:t>污水事故风险防范措施：</w:t>
            </w:r>
            <w:r>
              <w:rPr>
                <w:rFonts w:hint="eastAsia"/>
                <w:color w:val="auto"/>
                <w:szCs w:val="21"/>
              </w:rPr>
              <w:t>平时加强污水</w:t>
            </w:r>
            <w:r>
              <w:rPr>
                <w:rFonts w:hint="eastAsia"/>
                <w:color w:val="auto"/>
                <w:szCs w:val="21"/>
                <w:lang w:val="en-US" w:eastAsia="zh-CN"/>
              </w:rPr>
              <w:t>输送</w:t>
            </w:r>
            <w:r>
              <w:rPr>
                <w:rFonts w:hint="eastAsia"/>
                <w:color w:val="auto"/>
                <w:szCs w:val="21"/>
              </w:rPr>
              <w:t>设施的维护保养，及时发现设备的隐患，并及时进行维修，确保污水</w:t>
            </w:r>
            <w:r>
              <w:rPr>
                <w:rFonts w:hint="eastAsia"/>
                <w:color w:val="auto"/>
                <w:szCs w:val="21"/>
                <w:lang w:val="en-US" w:eastAsia="zh-CN"/>
              </w:rPr>
              <w:t>输送</w:t>
            </w:r>
            <w:r>
              <w:rPr>
                <w:rFonts w:hint="eastAsia"/>
                <w:color w:val="auto"/>
                <w:szCs w:val="21"/>
              </w:rPr>
              <w:t>设施正常运行；建立健全的环保机构，配置必要的监测仪器，对管理人员和技术人员进行岗位培训，对污水处理实行全过程跟踪控制。</w:t>
            </w:r>
          </w:p>
          <w:p w14:paraId="0B4C361C">
            <w:pPr>
              <w:snapToGrid w:val="0"/>
              <w:spacing w:line="360" w:lineRule="auto"/>
              <w:ind w:firstLine="422" w:firstLineChars="200"/>
              <w:rPr>
                <w:color w:val="auto"/>
                <w:szCs w:val="21"/>
              </w:rPr>
            </w:pPr>
            <w:r>
              <w:rPr>
                <w:rFonts w:hint="eastAsia"/>
                <w:b/>
                <w:bCs/>
                <w:color w:val="auto"/>
                <w:szCs w:val="21"/>
              </w:rPr>
              <w:t>固废事故风险防范措施：</w:t>
            </w:r>
            <w:r>
              <w:rPr>
                <w:rFonts w:hint="eastAsia"/>
                <w:color w:val="auto"/>
                <w:szCs w:val="21"/>
              </w:rPr>
              <w:t>本项目各种固废分类收集、存放，临时存放室内固定场所，不被雨淋、风吹、专车运送，所有固废都得到合适的处置或综合利用，危险废物委托有资质的单位处置，生活垃圾由环卫部门统一收集处理，固废实现“零排放”是有保证的，不会对环境产生二次污染。为避免危废对环境的危害，建议采用以下措施：在收集过程中要根据危险废物的性质进行分类收集和暂存。厂内应设置专门的废物贮存场所、以便贮存不能及时送出处置的固废，避免在露天堆放中产生的泄漏、渗透、蒸发、雨水淋溶以及大风吹扬等产生二次污染；危险废物要有单独的贮存场所，并贴上标签；装载液体、半固体危险废物的容器顶与液面间需要保留</w:t>
            </w:r>
            <w:r>
              <w:rPr>
                <w:color w:val="auto"/>
                <w:szCs w:val="21"/>
              </w:rPr>
              <w:t>100mm</w:t>
            </w:r>
            <w:r>
              <w:rPr>
                <w:rFonts w:hint="eastAsia"/>
                <w:color w:val="auto"/>
                <w:szCs w:val="21"/>
              </w:rPr>
              <w:t>以上的空间，容器及容器的材质要满足相应强度要求，并必须完整无损。固体废物的临时堆场必须严格按照国家标准设置。运输过程中要注意不同的危险废物要单独运输，固废的包装容器要注意密闭，以免在运输途中发生危险废物的泄漏，从而产生二次污染。</w:t>
            </w:r>
          </w:p>
          <w:p w14:paraId="2C50D50E">
            <w:pPr>
              <w:snapToGrid w:val="0"/>
              <w:spacing w:line="360" w:lineRule="auto"/>
              <w:ind w:firstLine="422" w:firstLineChars="200"/>
              <w:rPr>
                <w:color w:val="auto"/>
                <w:szCs w:val="21"/>
              </w:rPr>
            </w:pPr>
            <w:r>
              <w:rPr>
                <w:rFonts w:hint="eastAsia"/>
                <w:b/>
                <w:bCs/>
                <w:color w:val="auto"/>
                <w:szCs w:val="21"/>
              </w:rPr>
              <w:t>用电设施安全防范措施：</w:t>
            </w:r>
            <w:r>
              <w:rPr>
                <w:rFonts w:hint="eastAsia"/>
                <w:color w:val="auto"/>
                <w:szCs w:val="21"/>
              </w:rPr>
              <w:t>建设项目的电气装置按照电力设计规范设计，根据作业环境的具体情况选择电器种类，并做好防腐蚀设计；按工艺要求应设置主、备供两路供电系统。一旦主供断电，备用电源能自动投入；线路应避开可能受到机械损伤、振动、腐蚀以及可能受热的地方；正常不带电，而事故时可能带电的配电装置及电气设备外露可导电部分，均应按要求设计可靠接地装置。车间接地要等电位接地，各装置防静电设计应根据生产工艺要求、作业环境特点和物料的性质采取相应的防静电措施，各装置防静电设计应符合相关规定；各生产场所及储存场所设置火灾报警器；生产场所主要通道均设事故照明和安全疏散标志；各装置、设备、设施以及建筑物，应根据国家标准和规定确定防雷等级，设计可靠的防雷保护装置，防止雷电对人身、设备以及建筑物的危害和破坏。防雷设计应符合国家标准和有关规定：防雷设计应根据生产性质、环境特点以及保护设施的类型，设计相应防雷设施；有火灾爆炸危险的装置、露天设备、电气和建筑物应设计防雷装置。</w:t>
            </w:r>
          </w:p>
          <w:p w14:paraId="450374C6">
            <w:pPr>
              <w:snapToGrid w:val="0"/>
              <w:spacing w:line="360" w:lineRule="auto"/>
              <w:ind w:firstLine="422" w:firstLineChars="200"/>
              <w:rPr>
                <w:color w:val="auto"/>
                <w:szCs w:val="21"/>
              </w:rPr>
            </w:pPr>
            <w:r>
              <w:rPr>
                <w:rFonts w:hint="eastAsia"/>
                <w:b/>
                <w:bCs/>
                <w:color w:val="auto"/>
                <w:szCs w:val="21"/>
              </w:rPr>
              <w:t>火灾和爆炸风险防范措施：</w:t>
            </w:r>
            <w:r>
              <w:rPr>
                <w:rFonts w:hint="eastAsia"/>
                <w:color w:val="auto"/>
                <w:szCs w:val="21"/>
              </w:rPr>
              <w:t>建立健全防火安全规章制度并严格执行，根据一些地区的经济、防火安全制度主要有以下几种：</w:t>
            </w:r>
          </w:p>
          <w:p w14:paraId="26E1C3BB">
            <w:pPr>
              <w:snapToGrid w:val="0"/>
              <w:spacing w:line="360" w:lineRule="auto"/>
              <w:ind w:firstLine="420" w:firstLineChars="200"/>
              <w:rPr>
                <w:color w:val="auto"/>
                <w:szCs w:val="21"/>
              </w:rPr>
            </w:pPr>
            <w:r>
              <w:rPr>
                <w:rFonts w:hint="eastAsia"/>
                <w:color w:val="auto"/>
                <w:szCs w:val="21"/>
              </w:rPr>
              <w:t>安全员责任制度：主要把每个工作人员在业务上、工作上与消防安全管理上的职责、责任明确；</w:t>
            </w:r>
          </w:p>
          <w:p w14:paraId="0BAE0491">
            <w:pPr>
              <w:snapToGrid w:val="0"/>
              <w:spacing w:line="360" w:lineRule="auto"/>
              <w:ind w:firstLine="420" w:firstLineChars="200"/>
              <w:rPr>
                <w:color w:val="auto"/>
                <w:szCs w:val="21"/>
              </w:rPr>
            </w:pPr>
            <w:r>
              <w:rPr>
                <w:rFonts w:hint="eastAsia"/>
                <w:color w:val="auto"/>
                <w:szCs w:val="21"/>
              </w:rPr>
              <w:t>防火防爆制度：对火种、火源和有散发火花危险的机械设备、作业活动以及可燃、易燃物品等的控制和管理；</w:t>
            </w:r>
          </w:p>
          <w:p w14:paraId="24386D6A">
            <w:pPr>
              <w:snapToGrid w:val="0"/>
              <w:spacing w:line="360" w:lineRule="auto"/>
              <w:ind w:firstLine="420" w:firstLineChars="200"/>
              <w:rPr>
                <w:color w:val="auto"/>
                <w:szCs w:val="21"/>
              </w:rPr>
            </w:pPr>
            <w:r>
              <w:rPr>
                <w:rFonts w:hint="eastAsia"/>
                <w:color w:val="auto"/>
                <w:szCs w:val="21"/>
              </w:rPr>
              <w:t>安全检查制度：各类储存容器、输送设备、安全设施、消防器材进行各种日常的、定期的、专业的防火检查，并根据发现的问题定人、限期落实整改；</w:t>
            </w:r>
          </w:p>
          <w:p w14:paraId="353100D2">
            <w:pPr>
              <w:snapToGrid w:val="0"/>
              <w:spacing w:line="360" w:lineRule="auto"/>
              <w:ind w:firstLine="420" w:firstLineChars="200"/>
              <w:rPr>
                <w:color w:val="auto"/>
                <w:szCs w:val="21"/>
              </w:rPr>
            </w:pPr>
            <w:r>
              <w:rPr>
                <w:rFonts w:hint="eastAsia"/>
                <w:color w:val="auto"/>
                <w:szCs w:val="21"/>
              </w:rPr>
              <w:t>其他安全制度：如外来人员和车辆入库制度，临时电线装接制度，夜间值班巡逻制度，火险、火警报告制度，安全奖惩制度等。</w:t>
            </w:r>
          </w:p>
          <w:p w14:paraId="2BA6704F">
            <w:pPr>
              <w:snapToGrid w:val="0"/>
              <w:spacing w:line="360" w:lineRule="auto"/>
              <w:ind w:firstLine="420" w:firstLineChars="200"/>
              <w:rPr>
                <w:color w:val="auto"/>
                <w:szCs w:val="21"/>
              </w:rPr>
            </w:pPr>
            <w:r>
              <w:rPr>
                <w:rFonts w:hint="eastAsia"/>
                <w:color w:val="auto"/>
                <w:szCs w:val="21"/>
              </w:rPr>
              <w:t>企业设立报警系统：设置火灾探测器及报警灭火控制设施，以便在火灾的初期阶段发出报警，并及时采取措施进行扑救。在这些易发生火灾的岗位采用</w:t>
            </w:r>
            <w:r>
              <w:rPr>
                <w:color w:val="auto"/>
                <w:szCs w:val="21"/>
              </w:rPr>
              <w:t>110</w:t>
            </w:r>
            <w:r>
              <w:rPr>
                <w:rFonts w:hint="eastAsia"/>
                <w:color w:val="auto"/>
                <w:szCs w:val="21"/>
              </w:rPr>
              <w:t>电话报警，另设置具有专用线路的火灾报警系统。</w:t>
            </w:r>
          </w:p>
          <w:p w14:paraId="419C0F98">
            <w:pPr>
              <w:snapToGrid w:val="0"/>
              <w:spacing w:line="360" w:lineRule="auto"/>
              <w:ind w:firstLine="420" w:firstLineChars="200"/>
              <w:rPr>
                <w:color w:val="auto"/>
                <w:szCs w:val="21"/>
              </w:rPr>
            </w:pPr>
            <w:r>
              <w:rPr>
                <w:rFonts w:hint="eastAsia"/>
                <w:color w:val="auto"/>
                <w:szCs w:val="21"/>
              </w:rPr>
              <w:t>建立健全的消防与安全生产规章制度，建立岗位责任制。生产车间、原辅料仓库等严禁明火。工作人员定时进行检查巡逻，当发现物料有泄漏、火灾时立即报警。根据《建筑设计防火规范》（</w:t>
            </w:r>
            <w:r>
              <w:rPr>
                <w:color w:val="auto"/>
                <w:szCs w:val="21"/>
              </w:rPr>
              <w:t>GB 50016-2014</w:t>
            </w:r>
            <w:r>
              <w:rPr>
                <w:rFonts w:hint="eastAsia"/>
                <w:color w:val="auto"/>
                <w:szCs w:val="21"/>
              </w:rPr>
              <w:t>）</w:t>
            </w:r>
            <w:r>
              <w:rPr>
                <w:rFonts w:hint="eastAsia"/>
                <w:color w:val="auto"/>
                <w:szCs w:val="21"/>
                <w:lang w:eastAsia="zh-CN"/>
              </w:rPr>
              <w:t>（</w:t>
            </w:r>
            <w:r>
              <w:rPr>
                <w:rFonts w:hint="eastAsia"/>
                <w:color w:val="auto"/>
                <w:szCs w:val="21"/>
                <w:lang w:val="en-US" w:eastAsia="zh-CN"/>
              </w:rPr>
              <w:t>2018年版</w:t>
            </w:r>
            <w:r>
              <w:rPr>
                <w:rFonts w:hint="eastAsia"/>
                <w:color w:val="auto"/>
                <w:szCs w:val="21"/>
                <w:lang w:eastAsia="zh-CN"/>
              </w:rPr>
              <w:t>）</w:t>
            </w:r>
            <w:r>
              <w:rPr>
                <w:rFonts w:hint="eastAsia"/>
                <w:color w:val="auto"/>
                <w:szCs w:val="21"/>
              </w:rPr>
              <w:t>的要求在装置区内设置室外消火栓，其布置应满足规范的要求；工厂内装置的电话应与当地公安或企业消防站有良好的联络，火灾时可及时报警。根据相关规定，生产车间、仓库区等场所应配置足量的砂土和灭火器，并保持完好状态。</w:t>
            </w:r>
          </w:p>
          <w:p w14:paraId="2F8CC969">
            <w:pPr>
              <w:snapToGrid w:val="0"/>
              <w:spacing w:line="360" w:lineRule="auto"/>
              <w:ind w:firstLine="422" w:firstLineChars="200"/>
              <w:rPr>
                <w:color w:val="auto"/>
                <w:szCs w:val="21"/>
              </w:rPr>
            </w:pPr>
            <w:r>
              <w:rPr>
                <w:rFonts w:hint="eastAsia"/>
                <w:b/>
                <w:bCs/>
                <w:color w:val="auto"/>
                <w:szCs w:val="21"/>
              </w:rPr>
              <w:t>事故废水收集和处置措施：</w:t>
            </w:r>
            <w:r>
              <w:rPr>
                <w:rFonts w:hint="eastAsia"/>
                <w:color w:val="auto"/>
                <w:szCs w:val="21"/>
              </w:rPr>
              <w:t>厂区雨水管网应设置雨水截止阀并设置应急事故池。正常排放时，开启此阀门，雨水经雨水管网收集后排入附近河道。发生事故时，关闭此阀门，使事故废水切换至应急事故池，发生火灾时，将消防废水全部截留在应急事故池内，不外排。事故废水经检测达标后可排入市政污水管道排放。本项目事故废水主要包括火灾爆炸事故产生的消防尾水和泄漏物料。应急事故池的设计依据《企业突发环境事件风险评估指南（试行）》进行。突发环境事件发生时将外排的雨水阀门关闭，打开应急事故池进水阀，若检测超标，事故后事故废水将作为危险废物委托有资质单位安全处置，若达标则由相关污水处理厂处理。通过以上措施可避免消防废水直接外排而污染环境。</w:t>
            </w:r>
          </w:p>
          <w:p w14:paraId="358A548B">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7.4</w:t>
            </w:r>
            <w:r>
              <w:rPr>
                <w:rFonts w:hint="eastAsia"/>
                <w:b/>
                <w:bCs/>
                <w:snapToGrid w:val="0"/>
                <w:color w:val="auto"/>
                <w:spacing w:val="-2"/>
                <w:kern w:val="0"/>
                <w:szCs w:val="21"/>
              </w:rPr>
              <w:t>环境风险应急预案</w:t>
            </w:r>
          </w:p>
          <w:p w14:paraId="08138C3D">
            <w:pPr>
              <w:snapToGrid w:val="0"/>
              <w:spacing w:line="360" w:lineRule="auto"/>
              <w:ind w:firstLine="420" w:firstLineChars="200"/>
              <w:rPr>
                <w:color w:val="auto"/>
                <w:szCs w:val="21"/>
              </w:rPr>
            </w:pPr>
            <w:r>
              <w:rPr>
                <w:rFonts w:hint="eastAsia"/>
                <w:color w:val="auto"/>
                <w:szCs w:val="21"/>
              </w:rPr>
              <w:t>为了在发生突发环境事件时，能够及时、有序、高效地实施抢险救援工作，最大限度地减少人员伤亡和财产损失，尽快恢复正常生产、工作秩序，建设项目需制订突发环境事件应急预案并报苏州市吴江生态环境局备案，并定期组织学习事故应急预案和演练，根据演习情况结合实际对预案进行适当修改。应急队伍要进行专业培训，并要有培训记录和档案。同时，加强各应急救援专业队伍的建设，配有相应器材并确保设备性能完好。一旦风险事故发生，立即启动应急预案，应急指挥系统就位，保证通讯畅通，深入现场，迅速准确报警和通知相关部门，请求应急救援，防止事故扩大，迅速遏制泄漏物进入环境。</w:t>
            </w:r>
          </w:p>
          <w:p w14:paraId="6486EDA1">
            <w:pPr>
              <w:overflowPunct w:val="0"/>
              <w:adjustRightInd w:val="0"/>
              <w:snapToGrid w:val="0"/>
              <w:spacing w:line="360" w:lineRule="auto"/>
              <w:jc w:val="left"/>
              <w:rPr>
                <w:b/>
                <w:bCs/>
                <w:snapToGrid w:val="0"/>
                <w:color w:val="auto"/>
                <w:spacing w:val="-2"/>
                <w:kern w:val="0"/>
                <w:szCs w:val="21"/>
              </w:rPr>
            </w:pPr>
            <w:r>
              <w:rPr>
                <w:b/>
                <w:bCs/>
                <w:snapToGrid w:val="0"/>
                <w:color w:val="auto"/>
                <w:spacing w:val="-2"/>
                <w:kern w:val="0"/>
                <w:szCs w:val="21"/>
              </w:rPr>
              <w:t>7.5</w:t>
            </w:r>
            <w:r>
              <w:rPr>
                <w:rFonts w:hint="eastAsia"/>
                <w:b/>
                <w:bCs/>
                <w:snapToGrid w:val="0"/>
                <w:color w:val="auto"/>
                <w:spacing w:val="-2"/>
                <w:kern w:val="0"/>
                <w:szCs w:val="21"/>
              </w:rPr>
              <w:t>分析结论</w:t>
            </w:r>
          </w:p>
          <w:p w14:paraId="2CB3FC68">
            <w:pPr>
              <w:tabs>
                <w:tab w:val="left" w:pos="2492"/>
                <w:tab w:val="left" w:pos="2520"/>
              </w:tabs>
              <w:overflowPunct w:val="0"/>
              <w:autoSpaceDE w:val="0"/>
              <w:autoSpaceDN w:val="0"/>
              <w:adjustRightInd w:val="0"/>
              <w:snapToGrid w:val="0"/>
              <w:spacing w:line="360" w:lineRule="auto"/>
              <w:ind w:firstLine="420" w:firstLineChars="200"/>
              <w:rPr>
                <w:color w:val="auto"/>
                <w:szCs w:val="21"/>
              </w:rPr>
            </w:pPr>
            <w:r>
              <w:rPr>
                <w:rFonts w:hint="eastAsia"/>
                <w:color w:val="auto"/>
                <w:szCs w:val="21"/>
              </w:rPr>
              <w:t>通过以上风险防范措施的设立，可以较为有效地最大限度防范风险事故的发生和有效处置，并结合企业在下一步设计、运营过程中不断制定和完善的风险防范措施和应急预案，本项目所发生的环境风险可以控制在较低的水平，风险发生概率及危害将远远低于国内同类企业水平，本项目的事故风险处于可</w:t>
            </w:r>
            <w:r>
              <w:rPr>
                <w:rFonts w:hint="eastAsia"/>
                <w:color w:val="auto"/>
                <w:szCs w:val="21"/>
                <w:lang w:eastAsia="zh-CN"/>
              </w:rPr>
              <w:t>接受</w:t>
            </w:r>
            <w:r>
              <w:rPr>
                <w:rFonts w:hint="eastAsia"/>
                <w:color w:val="auto"/>
                <w:szCs w:val="21"/>
              </w:rPr>
              <w:t>水平。</w:t>
            </w:r>
          </w:p>
          <w:p w14:paraId="27614C3D">
            <w:pPr>
              <w:pStyle w:val="60"/>
              <w:ind w:firstLine="0" w:firstLineChars="0"/>
              <w:rPr>
                <w:b/>
                <w:bCs/>
                <w:color w:val="auto"/>
                <w:spacing w:val="-2"/>
                <w:kern w:val="0"/>
                <w:sz w:val="21"/>
                <w:szCs w:val="21"/>
              </w:rPr>
            </w:pPr>
            <w:r>
              <w:rPr>
                <w:b/>
                <w:bCs/>
                <w:color w:val="auto"/>
                <w:spacing w:val="-2"/>
                <w:kern w:val="0"/>
                <w:sz w:val="21"/>
                <w:szCs w:val="21"/>
              </w:rPr>
              <w:t>8</w:t>
            </w:r>
            <w:r>
              <w:rPr>
                <w:rFonts w:hint="eastAsia"/>
                <w:b/>
                <w:bCs/>
                <w:color w:val="auto"/>
                <w:spacing w:val="-2"/>
                <w:kern w:val="0"/>
                <w:sz w:val="21"/>
                <w:szCs w:val="21"/>
              </w:rPr>
              <w:t>、电磁辐射</w:t>
            </w:r>
          </w:p>
          <w:p w14:paraId="431CC9EB">
            <w:pPr>
              <w:tabs>
                <w:tab w:val="left" w:pos="2492"/>
                <w:tab w:val="left" w:pos="2520"/>
              </w:tabs>
              <w:overflowPunct w:val="0"/>
              <w:autoSpaceDE w:val="0"/>
              <w:autoSpaceDN w:val="0"/>
              <w:adjustRightInd w:val="0"/>
              <w:snapToGrid w:val="0"/>
              <w:spacing w:line="360" w:lineRule="auto"/>
              <w:ind w:firstLine="420" w:firstLineChars="200"/>
              <w:rPr>
                <w:color w:val="auto"/>
                <w:szCs w:val="21"/>
              </w:rPr>
            </w:pPr>
            <w:r>
              <w:rPr>
                <w:rFonts w:hint="eastAsia"/>
                <w:color w:val="auto"/>
                <w:szCs w:val="21"/>
              </w:rPr>
              <w:t>本项目不涉及新建或改建、扩建广播电台、差转台、电视塔台、卫星地球上行站、雷达等电磁辐射类项目，不开展电磁辐射现状监测与评价。</w:t>
            </w:r>
          </w:p>
          <w:p w14:paraId="4E77584C">
            <w:pPr>
              <w:tabs>
                <w:tab w:val="left" w:pos="2492"/>
                <w:tab w:val="left" w:pos="2520"/>
              </w:tabs>
              <w:overflowPunct w:val="0"/>
              <w:autoSpaceDE w:val="0"/>
              <w:autoSpaceDN w:val="0"/>
              <w:adjustRightInd w:val="0"/>
              <w:snapToGrid w:val="0"/>
              <w:spacing w:line="360" w:lineRule="auto"/>
              <w:ind w:firstLine="420" w:firstLineChars="200"/>
              <w:rPr>
                <w:color w:val="auto"/>
              </w:rPr>
            </w:pPr>
          </w:p>
        </w:tc>
      </w:tr>
    </w:tbl>
    <w:p w14:paraId="255DD930">
      <w:pPr>
        <w:adjustRightInd w:val="0"/>
        <w:snapToGrid w:val="0"/>
        <w:spacing w:line="360" w:lineRule="auto"/>
        <w:rPr>
          <w:rFonts w:ascii="宋体" w:cs="宋体"/>
          <w:b/>
          <w:color w:val="000000"/>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49B20C1E">
      <w:pPr>
        <w:pStyle w:val="22"/>
        <w:jc w:val="center"/>
        <w:outlineLvl w:val="0"/>
        <w:rPr>
          <w:rFonts w:ascii="黑体" w:hAnsi="黑体" w:eastAsia="黑体"/>
          <w:snapToGrid w:val="0"/>
          <w:color w:val="000000"/>
          <w:sz w:val="30"/>
          <w:szCs w:val="30"/>
        </w:rPr>
      </w:pPr>
      <w:bookmarkStart w:id="68" w:name="_Toc13709"/>
      <w:r>
        <w:rPr>
          <w:rFonts w:hint="eastAsia" w:ascii="黑体" w:hAnsi="黑体" w:eastAsia="黑体"/>
          <w:snapToGrid w:val="0"/>
          <w:color w:val="000000"/>
          <w:sz w:val="30"/>
          <w:szCs w:val="30"/>
        </w:rPr>
        <w:t>五、</w:t>
      </w:r>
      <w:bookmarkStart w:id="69" w:name="_Hlk54167917"/>
      <w:r>
        <w:rPr>
          <w:rFonts w:hint="eastAsia" w:ascii="黑体" w:hAnsi="黑体" w:eastAsia="黑体"/>
          <w:snapToGrid w:val="0"/>
          <w:color w:val="000000"/>
          <w:sz w:val="30"/>
          <w:szCs w:val="30"/>
        </w:rPr>
        <w:t>环境保护措施监督检查清单</w:t>
      </w:r>
      <w:bookmarkEnd w:id="68"/>
      <w:bookmarkEnd w:id="69"/>
    </w:p>
    <w:tbl>
      <w:tblPr>
        <w:tblStyle w:val="26"/>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365"/>
        <w:gridCol w:w="900"/>
        <w:gridCol w:w="1081"/>
        <w:gridCol w:w="1254"/>
        <w:gridCol w:w="2187"/>
        <w:gridCol w:w="2013"/>
      </w:tblGrid>
      <w:tr w14:paraId="1EAF8E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65" w:type="dxa"/>
            <w:tcBorders>
              <w:top w:val="single" w:color="auto" w:sz="8" w:space="0"/>
              <w:tl2br w:val="single" w:color="auto" w:sz="4" w:space="0"/>
            </w:tcBorders>
            <w:vAlign w:val="top"/>
          </w:tcPr>
          <w:p w14:paraId="525C369A">
            <w:pPr>
              <w:adjustRightInd w:val="0"/>
              <w:snapToGrid w:val="0"/>
              <w:ind w:firstLine="630" w:firstLineChars="300"/>
              <w:rPr>
                <w:color w:val="auto"/>
                <w:szCs w:val="21"/>
              </w:rPr>
            </w:pPr>
            <w:r>
              <w:rPr>
                <w:rFonts w:hint="eastAsia"/>
                <w:color w:val="auto"/>
                <w:szCs w:val="21"/>
              </w:rPr>
              <w:t>内容</w:t>
            </w:r>
          </w:p>
          <w:p w14:paraId="07AF6503">
            <w:pPr>
              <w:adjustRightInd w:val="0"/>
              <w:snapToGrid w:val="0"/>
              <w:rPr>
                <w:color w:val="auto"/>
                <w:szCs w:val="21"/>
              </w:rPr>
            </w:pPr>
            <w:r>
              <w:rPr>
                <w:rFonts w:hint="eastAsia"/>
                <w:color w:val="auto"/>
                <w:szCs w:val="21"/>
              </w:rPr>
              <w:t>要素</w:t>
            </w:r>
          </w:p>
        </w:tc>
        <w:tc>
          <w:tcPr>
            <w:tcW w:w="1981" w:type="dxa"/>
            <w:gridSpan w:val="2"/>
            <w:tcBorders>
              <w:top w:val="single" w:color="auto" w:sz="8" w:space="0"/>
            </w:tcBorders>
            <w:vAlign w:val="center"/>
          </w:tcPr>
          <w:p w14:paraId="77AB92C2">
            <w:pPr>
              <w:adjustRightInd w:val="0"/>
              <w:snapToGrid w:val="0"/>
              <w:jc w:val="center"/>
              <w:rPr>
                <w:color w:val="auto"/>
                <w:szCs w:val="21"/>
              </w:rPr>
            </w:pPr>
            <w:r>
              <w:rPr>
                <w:rFonts w:hint="eastAsia"/>
                <w:color w:val="auto"/>
                <w:szCs w:val="21"/>
              </w:rPr>
              <w:t>排放口（编号、名称）</w:t>
            </w:r>
            <w:r>
              <w:rPr>
                <w:color w:val="auto"/>
                <w:szCs w:val="21"/>
              </w:rPr>
              <w:t>/</w:t>
            </w:r>
            <w:r>
              <w:rPr>
                <w:rFonts w:hint="eastAsia"/>
                <w:color w:val="auto"/>
                <w:szCs w:val="21"/>
              </w:rPr>
              <w:t>污染源</w:t>
            </w:r>
          </w:p>
        </w:tc>
        <w:tc>
          <w:tcPr>
            <w:tcW w:w="1254" w:type="dxa"/>
            <w:tcBorders>
              <w:top w:val="single" w:color="auto" w:sz="8" w:space="0"/>
            </w:tcBorders>
            <w:vAlign w:val="center"/>
          </w:tcPr>
          <w:p w14:paraId="47FEE048">
            <w:pPr>
              <w:adjustRightInd w:val="0"/>
              <w:snapToGrid w:val="0"/>
              <w:jc w:val="center"/>
              <w:rPr>
                <w:color w:val="auto"/>
                <w:szCs w:val="21"/>
              </w:rPr>
            </w:pPr>
            <w:r>
              <w:rPr>
                <w:rFonts w:hint="eastAsia"/>
                <w:color w:val="auto"/>
                <w:szCs w:val="21"/>
              </w:rPr>
              <w:t>污染物项目</w:t>
            </w:r>
          </w:p>
        </w:tc>
        <w:tc>
          <w:tcPr>
            <w:tcW w:w="2187" w:type="dxa"/>
            <w:tcBorders>
              <w:top w:val="single" w:color="auto" w:sz="8" w:space="0"/>
            </w:tcBorders>
            <w:vAlign w:val="center"/>
          </w:tcPr>
          <w:p w14:paraId="305C2CD8">
            <w:pPr>
              <w:adjustRightInd w:val="0"/>
              <w:snapToGrid w:val="0"/>
              <w:jc w:val="center"/>
              <w:rPr>
                <w:color w:val="auto"/>
                <w:szCs w:val="21"/>
              </w:rPr>
            </w:pPr>
            <w:r>
              <w:rPr>
                <w:rFonts w:hint="eastAsia"/>
                <w:color w:val="auto"/>
                <w:szCs w:val="21"/>
              </w:rPr>
              <w:t>环境保护措施</w:t>
            </w:r>
          </w:p>
        </w:tc>
        <w:tc>
          <w:tcPr>
            <w:tcW w:w="2013" w:type="dxa"/>
            <w:tcBorders>
              <w:top w:val="single" w:color="auto" w:sz="8" w:space="0"/>
            </w:tcBorders>
            <w:vAlign w:val="center"/>
          </w:tcPr>
          <w:p w14:paraId="41BB909E">
            <w:pPr>
              <w:adjustRightInd w:val="0"/>
              <w:snapToGrid w:val="0"/>
              <w:jc w:val="center"/>
              <w:rPr>
                <w:color w:val="auto"/>
                <w:szCs w:val="21"/>
              </w:rPr>
            </w:pPr>
            <w:r>
              <w:rPr>
                <w:rFonts w:hint="eastAsia"/>
                <w:color w:val="auto"/>
                <w:szCs w:val="21"/>
              </w:rPr>
              <w:t>执行标准</w:t>
            </w:r>
          </w:p>
        </w:tc>
      </w:tr>
      <w:tr w14:paraId="71E663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36" w:hRule="atLeast"/>
          <w:jc w:val="center"/>
        </w:trPr>
        <w:tc>
          <w:tcPr>
            <w:tcW w:w="1365" w:type="dxa"/>
            <w:vMerge w:val="restart"/>
            <w:vAlign w:val="center"/>
          </w:tcPr>
          <w:p w14:paraId="5ACF7041">
            <w:pPr>
              <w:adjustRightInd w:val="0"/>
              <w:snapToGrid w:val="0"/>
              <w:jc w:val="center"/>
              <w:rPr>
                <w:color w:val="auto"/>
                <w:szCs w:val="21"/>
              </w:rPr>
            </w:pPr>
            <w:r>
              <w:rPr>
                <w:rFonts w:hint="eastAsia"/>
                <w:color w:val="auto"/>
                <w:szCs w:val="21"/>
              </w:rPr>
              <w:t>大气环境</w:t>
            </w:r>
          </w:p>
        </w:tc>
        <w:tc>
          <w:tcPr>
            <w:tcW w:w="900" w:type="dxa"/>
            <w:vAlign w:val="center"/>
          </w:tcPr>
          <w:p w14:paraId="4245BB03">
            <w:pPr>
              <w:jc w:val="center"/>
              <w:rPr>
                <w:rFonts w:hint="default" w:eastAsia="宋体"/>
                <w:color w:val="auto"/>
                <w:szCs w:val="21"/>
                <w:lang w:val="en-US" w:eastAsia="zh-CN"/>
              </w:rPr>
            </w:pPr>
            <w:r>
              <w:rPr>
                <w:rFonts w:hint="eastAsia"/>
                <w:color w:val="auto"/>
                <w:szCs w:val="21"/>
                <w:lang w:val="en-US" w:eastAsia="zh-CN"/>
              </w:rPr>
              <w:t>有组织</w:t>
            </w:r>
          </w:p>
        </w:tc>
        <w:tc>
          <w:tcPr>
            <w:tcW w:w="1081" w:type="dxa"/>
            <w:vAlign w:val="center"/>
          </w:tcPr>
          <w:p w14:paraId="4CB79252">
            <w:pPr>
              <w:jc w:val="center"/>
              <w:rPr>
                <w:rFonts w:hint="default"/>
                <w:color w:val="auto"/>
                <w:szCs w:val="21"/>
                <w:lang w:val="en-US" w:eastAsia="zh-CN"/>
              </w:rPr>
            </w:pPr>
            <w:r>
              <w:rPr>
                <w:rFonts w:hint="eastAsia"/>
                <w:color w:val="auto"/>
                <w:szCs w:val="21"/>
                <w:lang w:val="en-US" w:eastAsia="zh-CN"/>
              </w:rPr>
              <w:t>DA001</w:t>
            </w:r>
          </w:p>
        </w:tc>
        <w:tc>
          <w:tcPr>
            <w:tcW w:w="1254" w:type="dxa"/>
            <w:vAlign w:val="center"/>
          </w:tcPr>
          <w:p w14:paraId="51E842FF">
            <w:pPr>
              <w:jc w:val="center"/>
              <w:rPr>
                <w:rFonts w:hint="default" w:eastAsia="宋体"/>
                <w:color w:val="auto"/>
                <w:szCs w:val="21"/>
                <w:lang w:val="en-US" w:eastAsia="zh-CN"/>
              </w:rPr>
            </w:pPr>
            <w:r>
              <w:rPr>
                <w:rFonts w:hint="eastAsia"/>
                <w:color w:val="auto"/>
                <w:szCs w:val="21"/>
                <w:lang w:val="en-US" w:eastAsia="zh-CN"/>
              </w:rPr>
              <w:t>非甲烷总烃、颗粒物</w:t>
            </w:r>
          </w:p>
        </w:tc>
        <w:tc>
          <w:tcPr>
            <w:tcW w:w="2187" w:type="dxa"/>
            <w:vAlign w:val="center"/>
          </w:tcPr>
          <w:p w14:paraId="270C5E88">
            <w:pPr>
              <w:jc w:val="center"/>
              <w:rPr>
                <w:rFonts w:hint="default" w:eastAsia="宋体"/>
                <w:color w:val="auto"/>
                <w:szCs w:val="21"/>
                <w:lang w:val="en-US" w:eastAsia="zh-CN"/>
              </w:rPr>
            </w:pPr>
            <w:r>
              <w:rPr>
                <w:rFonts w:hint="eastAsia"/>
                <w:color w:val="auto"/>
                <w:szCs w:val="21"/>
                <w:lang w:val="en-US" w:eastAsia="zh-CN"/>
              </w:rPr>
              <w:t>静电除油+二级活性炭吸附装置</w:t>
            </w:r>
          </w:p>
        </w:tc>
        <w:tc>
          <w:tcPr>
            <w:tcW w:w="2013" w:type="dxa"/>
            <w:vAlign w:val="center"/>
          </w:tcPr>
          <w:p w14:paraId="168D1079">
            <w:pPr>
              <w:jc w:val="center"/>
              <w:rPr>
                <w:rFonts w:hint="default" w:eastAsia="宋体"/>
                <w:color w:val="auto"/>
                <w:lang w:val="en-US" w:eastAsia="zh-CN"/>
              </w:rPr>
            </w:pPr>
            <w:r>
              <w:rPr>
                <w:rFonts w:hint="eastAsia"/>
                <w:color w:val="auto"/>
                <w:lang w:val="en-US" w:eastAsia="zh-CN"/>
              </w:rPr>
              <w:t>《大气综合排放标准》（DB32/4041-2021）表1</w:t>
            </w:r>
          </w:p>
        </w:tc>
      </w:tr>
      <w:tr w14:paraId="6BF308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36" w:hRule="atLeast"/>
          <w:jc w:val="center"/>
        </w:trPr>
        <w:tc>
          <w:tcPr>
            <w:tcW w:w="1365" w:type="dxa"/>
            <w:vMerge w:val="continue"/>
            <w:vAlign w:val="center"/>
          </w:tcPr>
          <w:p w14:paraId="3E15E162">
            <w:pPr>
              <w:adjustRightInd w:val="0"/>
              <w:snapToGrid w:val="0"/>
              <w:jc w:val="center"/>
              <w:rPr>
                <w:rFonts w:hint="eastAsia"/>
                <w:color w:val="auto"/>
                <w:szCs w:val="21"/>
              </w:rPr>
            </w:pPr>
          </w:p>
        </w:tc>
        <w:tc>
          <w:tcPr>
            <w:tcW w:w="900" w:type="dxa"/>
            <w:vMerge w:val="restart"/>
            <w:vAlign w:val="center"/>
          </w:tcPr>
          <w:p w14:paraId="45D26D81">
            <w:pPr>
              <w:jc w:val="center"/>
              <w:rPr>
                <w:rFonts w:hint="default"/>
                <w:color w:val="auto"/>
                <w:szCs w:val="21"/>
                <w:lang w:val="en-US" w:eastAsia="zh-CN"/>
              </w:rPr>
            </w:pPr>
            <w:r>
              <w:rPr>
                <w:rFonts w:hint="eastAsia"/>
                <w:color w:val="auto"/>
                <w:szCs w:val="21"/>
                <w:lang w:val="en-US" w:eastAsia="zh-CN"/>
              </w:rPr>
              <w:t>无组织</w:t>
            </w:r>
          </w:p>
        </w:tc>
        <w:tc>
          <w:tcPr>
            <w:tcW w:w="1081" w:type="dxa"/>
            <w:shd w:val="clear" w:color="auto" w:fill="auto"/>
            <w:vAlign w:val="center"/>
          </w:tcPr>
          <w:p w14:paraId="2195D956">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厂界</w:t>
            </w:r>
          </w:p>
        </w:tc>
        <w:tc>
          <w:tcPr>
            <w:tcW w:w="1254" w:type="dxa"/>
            <w:vAlign w:val="center"/>
          </w:tcPr>
          <w:p w14:paraId="1039EF69">
            <w:pPr>
              <w:jc w:val="center"/>
              <w:rPr>
                <w:rFonts w:hint="eastAsia"/>
                <w:color w:val="auto"/>
                <w:szCs w:val="21"/>
                <w:lang w:val="en-US" w:eastAsia="zh-CN"/>
              </w:rPr>
            </w:pPr>
            <w:r>
              <w:rPr>
                <w:rFonts w:hint="eastAsia"/>
                <w:color w:val="auto"/>
                <w:szCs w:val="21"/>
                <w:lang w:val="en-US" w:eastAsia="zh-CN"/>
              </w:rPr>
              <w:t>非甲烷总烃、颗粒物</w:t>
            </w:r>
          </w:p>
        </w:tc>
        <w:tc>
          <w:tcPr>
            <w:tcW w:w="2187" w:type="dxa"/>
            <w:vAlign w:val="center"/>
          </w:tcPr>
          <w:p w14:paraId="39BF0941">
            <w:pPr>
              <w:jc w:val="center"/>
              <w:rPr>
                <w:rFonts w:hint="default"/>
                <w:color w:val="auto"/>
                <w:szCs w:val="21"/>
                <w:lang w:val="en-US" w:eastAsia="zh-CN"/>
              </w:rPr>
            </w:pPr>
            <w:r>
              <w:rPr>
                <w:rFonts w:hint="eastAsia"/>
                <w:color w:val="auto"/>
                <w:szCs w:val="21"/>
                <w:lang w:val="en-US" w:eastAsia="zh-CN"/>
              </w:rPr>
              <w:t>/</w:t>
            </w:r>
          </w:p>
        </w:tc>
        <w:tc>
          <w:tcPr>
            <w:tcW w:w="2013" w:type="dxa"/>
            <w:vAlign w:val="center"/>
          </w:tcPr>
          <w:p w14:paraId="1633F42B">
            <w:pPr>
              <w:jc w:val="center"/>
              <w:rPr>
                <w:rFonts w:hint="default"/>
                <w:color w:val="auto"/>
                <w:lang w:val="en-US" w:eastAsia="zh-CN"/>
              </w:rPr>
            </w:pPr>
            <w:r>
              <w:rPr>
                <w:rFonts w:hint="eastAsia"/>
                <w:color w:val="auto"/>
                <w:lang w:val="en-US" w:eastAsia="zh-CN"/>
              </w:rPr>
              <w:t>《大气综合排放标准》（DB32/4041-2021）表3</w:t>
            </w:r>
          </w:p>
        </w:tc>
      </w:tr>
      <w:tr w14:paraId="5FDE2E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36" w:hRule="atLeast"/>
          <w:jc w:val="center"/>
        </w:trPr>
        <w:tc>
          <w:tcPr>
            <w:tcW w:w="1365" w:type="dxa"/>
            <w:vMerge w:val="continue"/>
            <w:vAlign w:val="center"/>
          </w:tcPr>
          <w:p w14:paraId="384975D6">
            <w:pPr>
              <w:adjustRightInd w:val="0"/>
              <w:snapToGrid w:val="0"/>
              <w:jc w:val="center"/>
              <w:rPr>
                <w:rFonts w:hint="eastAsia"/>
                <w:color w:val="auto"/>
                <w:szCs w:val="21"/>
              </w:rPr>
            </w:pPr>
          </w:p>
        </w:tc>
        <w:tc>
          <w:tcPr>
            <w:tcW w:w="900" w:type="dxa"/>
            <w:vMerge w:val="continue"/>
            <w:vAlign w:val="center"/>
          </w:tcPr>
          <w:p w14:paraId="505A4D23">
            <w:pPr>
              <w:jc w:val="center"/>
              <w:rPr>
                <w:rFonts w:hint="eastAsia"/>
                <w:color w:val="auto"/>
                <w:szCs w:val="21"/>
                <w:lang w:val="en-US" w:eastAsia="zh-CN"/>
              </w:rPr>
            </w:pPr>
          </w:p>
        </w:tc>
        <w:tc>
          <w:tcPr>
            <w:tcW w:w="1081" w:type="dxa"/>
            <w:shd w:val="clear" w:color="auto" w:fill="auto"/>
            <w:vAlign w:val="center"/>
          </w:tcPr>
          <w:p w14:paraId="004F0804">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在厂房外设置监控点</w:t>
            </w:r>
          </w:p>
        </w:tc>
        <w:tc>
          <w:tcPr>
            <w:tcW w:w="1254" w:type="dxa"/>
            <w:vAlign w:val="center"/>
          </w:tcPr>
          <w:p w14:paraId="20BC5937">
            <w:pPr>
              <w:jc w:val="center"/>
              <w:rPr>
                <w:rFonts w:hint="eastAsia"/>
                <w:color w:val="auto"/>
                <w:szCs w:val="21"/>
                <w:lang w:val="en-US" w:eastAsia="zh-CN"/>
              </w:rPr>
            </w:pPr>
            <w:r>
              <w:rPr>
                <w:rFonts w:hint="eastAsia"/>
                <w:color w:val="auto"/>
                <w:szCs w:val="21"/>
                <w:lang w:val="en-US" w:eastAsia="zh-CN"/>
              </w:rPr>
              <w:t>非甲烷总烃</w:t>
            </w:r>
          </w:p>
        </w:tc>
        <w:tc>
          <w:tcPr>
            <w:tcW w:w="2187" w:type="dxa"/>
            <w:vAlign w:val="center"/>
          </w:tcPr>
          <w:p w14:paraId="62A01324">
            <w:pPr>
              <w:jc w:val="center"/>
              <w:rPr>
                <w:rFonts w:hint="default"/>
                <w:color w:val="auto"/>
                <w:szCs w:val="21"/>
                <w:lang w:val="en-US" w:eastAsia="zh-CN"/>
              </w:rPr>
            </w:pPr>
            <w:r>
              <w:rPr>
                <w:rFonts w:hint="eastAsia"/>
                <w:color w:val="auto"/>
                <w:szCs w:val="21"/>
                <w:lang w:val="en-US" w:eastAsia="zh-CN"/>
              </w:rPr>
              <w:t>/</w:t>
            </w:r>
          </w:p>
        </w:tc>
        <w:tc>
          <w:tcPr>
            <w:tcW w:w="2013" w:type="dxa"/>
            <w:vAlign w:val="center"/>
          </w:tcPr>
          <w:p w14:paraId="59970BB1">
            <w:pPr>
              <w:jc w:val="center"/>
              <w:rPr>
                <w:rFonts w:hint="default"/>
                <w:color w:val="auto"/>
                <w:lang w:val="en-US" w:eastAsia="zh-CN"/>
              </w:rPr>
            </w:pPr>
            <w:r>
              <w:rPr>
                <w:rFonts w:hint="eastAsia"/>
                <w:color w:val="auto"/>
                <w:lang w:val="en-US" w:eastAsia="zh-CN"/>
              </w:rPr>
              <w:t>《大气综合排放标准》（DB32/4041-2021）表2</w:t>
            </w:r>
          </w:p>
        </w:tc>
      </w:tr>
      <w:tr w14:paraId="6843A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24" w:hRule="atLeast"/>
          <w:jc w:val="center"/>
        </w:trPr>
        <w:tc>
          <w:tcPr>
            <w:tcW w:w="1365" w:type="dxa"/>
            <w:vMerge w:val="restart"/>
            <w:vAlign w:val="center"/>
          </w:tcPr>
          <w:p w14:paraId="24153062">
            <w:pPr>
              <w:adjustRightInd w:val="0"/>
              <w:snapToGrid w:val="0"/>
              <w:jc w:val="center"/>
              <w:rPr>
                <w:color w:val="auto"/>
                <w:szCs w:val="21"/>
              </w:rPr>
            </w:pPr>
            <w:r>
              <w:rPr>
                <w:rFonts w:hint="eastAsia"/>
                <w:color w:val="auto"/>
                <w:szCs w:val="21"/>
              </w:rPr>
              <w:t>地表水环境</w:t>
            </w:r>
          </w:p>
        </w:tc>
        <w:tc>
          <w:tcPr>
            <w:tcW w:w="1981" w:type="dxa"/>
            <w:gridSpan w:val="2"/>
            <w:vAlign w:val="center"/>
          </w:tcPr>
          <w:p w14:paraId="4382B3E5">
            <w:pPr>
              <w:adjustRightInd w:val="0"/>
              <w:snapToGrid w:val="0"/>
              <w:jc w:val="center"/>
              <w:rPr>
                <w:color w:val="auto"/>
                <w:szCs w:val="21"/>
              </w:rPr>
            </w:pPr>
            <w:r>
              <w:rPr>
                <w:rFonts w:hint="eastAsia"/>
                <w:color w:val="auto"/>
                <w:szCs w:val="21"/>
                <w:lang w:val="en-US" w:eastAsia="zh-CN"/>
              </w:rPr>
              <w:t>生产</w:t>
            </w:r>
            <w:r>
              <w:rPr>
                <w:rFonts w:hint="eastAsia"/>
                <w:color w:val="auto"/>
                <w:szCs w:val="21"/>
              </w:rPr>
              <w:t>废水排放口</w:t>
            </w:r>
          </w:p>
        </w:tc>
        <w:tc>
          <w:tcPr>
            <w:tcW w:w="1254" w:type="dxa"/>
            <w:vAlign w:val="center"/>
          </w:tcPr>
          <w:p w14:paraId="2A59ECF1">
            <w:pPr>
              <w:adjustRightInd w:val="0"/>
              <w:snapToGrid w:val="0"/>
              <w:jc w:val="center"/>
              <w:rPr>
                <w:rFonts w:hint="eastAsia" w:eastAsia="宋体"/>
                <w:color w:val="auto"/>
                <w:szCs w:val="21"/>
                <w:lang w:eastAsia="zh-CN"/>
              </w:rPr>
            </w:pPr>
            <w:r>
              <w:rPr>
                <w:color w:val="auto"/>
                <w:szCs w:val="21"/>
              </w:rPr>
              <w:t>pH</w:t>
            </w:r>
            <w:r>
              <w:rPr>
                <w:rFonts w:hint="eastAsia"/>
                <w:color w:val="auto"/>
                <w:szCs w:val="21"/>
              </w:rPr>
              <w:t>、</w:t>
            </w:r>
            <w:r>
              <w:rPr>
                <w:color w:val="auto"/>
                <w:szCs w:val="21"/>
              </w:rPr>
              <w:t>COD</w:t>
            </w:r>
            <w:r>
              <w:rPr>
                <w:rFonts w:hint="eastAsia"/>
                <w:color w:val="auto"/>
                <w:szCs w:val="21"/>
              </w:rPr>
              <w:t>、</w:t>
            </w:r>
            <w:r>
              <w:rPr>
                <w:color w:val="auto"/>
                <w:szCs w:val="21"/>
              </w:rPr>
              <w:t>SS</w:t>
            </w:r>
            <w:r>
              <w:rPr>
                <w:rFonts w:hint="eastAsia"/>
                <w:color w:val="auto"/>
                <w:szCs w:val="21"/>
              </w:rPr>
              <w:t>、</w:t>
            </w:r>
            <w:r>
              <w:rPr>
                <w:rFonts w:hint="eastAsia"/>
                <w:color w:val="auto"/>
                <w:szCs w:val="21"/>
                <w:lang w:val="en-US" w:eastAsia="zh-CN"/>
              </w:rPr>
              <w:t>石油类</w:t>
            </w:r>
          </w:p>
        </w:tc>
        <w:tc>
          <w:tcPr>
            <w:tcW w:w="2187" w:type="dxa"/>
            <w:vAlign w:val="center"/>
          </w:tcPr>
          <w:p w14:paraId="7A85065D">
            <w:pPr>
              <w:rPr>
                <w:rFonts w:hint="eastAsia" w:eastAsia="宋体"/>
                <w:color w:val="auto"/>
                <w:szCs w:val="21"/>
                <w:lang w:eastAsia="zh-CN"/>
              </w:rPr>
            </w:pPr>
            <w:r>
              <w:rPr>
                <w:rFonts w:hint="eastAsia"/>
                <w:color w:val="auto"/>
                <w:szCs w:val="21"/>
              </w:rPr>
              <w:t>接管至苏州市桃源富乡污水处理有限公司处理后</w:t>
            </w:r>
            <w:r>
              <w:rPr>
                <w:rFonts w:hint="eastAsia"/>
                <w:color w:val="auto"/>
                <w:szCs w:val="21"/>
                <w:lang w:val="en-US" w:eastAsia="zh-CN"/>
              </w:rPr>
              <w:t>76%</w:t>
            </w:r>
            <w:r>
              <w:rPr>
                <w:rFonts w:hint="eastAsia"/>
                <w:color w:val="auto"/>
                <w:szCs w:val="21"/>
              </w:rPr>
              <w:t>回用</w:t>
            </w:r>
            <w:r>
              <w:rPr>
                <w:rFonts w:hint="eastAsia"/>
                <w:color w:val="auto"/>
                <w:szCs w:val="21"/>
                <w:lang w:eastAsia="zh-CN"/>
              </w:rPr>
              <w:t>，其余达标排入鳑鲏港</w:t>
            </w:r>
          </w:p>
        </w:tc>
        <w:tc>
          <w:tcPr>
            <w:tcW w:w="2013" w:type="dxa"/>
            <w:vMerge w:val="restart"/>
            <w:vAlign w:val="center"/>
          </w:tcPr>
          <w:p w14:paraId="12551486">
            <w:pPr>
              <w:adjustRightInd w:val="0"/>
              <w:snapToGrid w:val="0"/>
              <w:jc w:val="center"/>
              <w:rPr>
                <w:color w:val="auto"/>
                <w:szCs w:val="21"/>
              </w:rPr>
            </w:pPr>
            <w:r>
              <w:rPr>
                <w:rFonts w:hint="eastAsia"/>
                <w:color w:val="auto"/>
              </w:rPr>
              <w:t>《污水综合排放标准》（</w:t>
            </w:r>
            <w:r>
              <w:rPr>
                <w:color w:val="auto"/>
              </w:rPr>
              <w:t>GB 8978-1996</w:t>
            </w:r>
            <w:r>
              <w:rPr>
                <w:rFonts w:hint="eastAsia"/>
                <w:color w:val="auto"/>
              </w:rPr>
              <w:t>）表</w:t>
            </w:r>
            <w:r>
              <w:rPr>
                <w:color w:val="auto"/>
              </w:rPr>
              <w:t xml:space="preserve">4 </w:t>
            </w:r>
            <w:r>
              <w:rPr>
                <w:rFonts w:hint="eastAsia"/>
                <w:color w:val="auto"/>
              </w:rPr>
              <w:t>三级，《污水排入城镇下水道水质标准》（</w:t>
            </w:r>
            <w:r>
              <w:rPr>
                <w:color w:val="auto"/>
              </w:rPr>
              <w:t>GB/T 31962-2015</w:t>
            </w:r>
            <w:r>
              <w:rPr>
                <w:rFonts w:hint="eastAsia"/>
                <w:color w:val="auto"/>
              </w:rPr>
              <w:t>）表</w:t>
            </w:r>
            <w:r>
              <w:rPr>
                <w:color w:val="auto"/>
              </w:rPr>
              <w:t>1 B</w:t>
            </w:r>
            <w:r>
              <w:rPr>
                <w:rFonts w:hint="eastAsia"/>
                <w:color w:val="auto"/>
              </w:rPr>
              <w:t>级</w:t>
            </w:r>
          </w:p>
        </w:tc>
      </w:tr>
      <w:tr w14:paraId="42D29B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1365" w:type="dxa"/>
            <w:vMerge w:val="continue"/>
            <w:vAlign w:val="center"/>
          </w:tcPr>
          <w:p w14:paraId="7C80A26F">
            <w:pPr>
              <w:adjustRightInd w:val="0"/>
              <w:snapToGrid w:val="0"/>
              <w:jc w:val="center"/>
              <w:rPr>
                <w:color w:val="auto"/>
                <w:szCs w:val="21"/>
              </w:rPr>
            </w:pPr>
          </w:p>
        </w:tc>
        <w:tc>
          <w:tcPr>
            <w:tcW w:w="1981" w:type="dxa"/>
            <w:gridSpan w:val="2"/>
            <w:vAlign w:val="center"/>
          </w:tcPr>
          <w:p w14:paraId="76490FDF">
            <w:pPr>
              <w:adjustRightInd w:val="0"/>
              <w:snapToGrid w:val="0"/>
              <w:jc w:val="center"/>
              <w:rPr>
                <w:color w:val="auto"/>
                <w:szCs w:val="21"/>
              </w:rPr>
            </w:pPr>
            <w:r>
              <w:rPr>
                <w:rFonts w:hint="eastAsia"/>
                <w:color w:val="auto"/>
                <w:szCs w:val="21"/>
              </w:rPr>
              <w:t>生活污水排放口</w:t>
            </w:r>
          </w:p>
        </w:tc>
        <w:tc>
          <w:tcPr>
            <w:tcW w:w="1254" w:type="dxa"/>
            <w:vAlign w:val="center"/>
          </w:tcPr>
          <w:p w14:paraId="6F126230">
            <w:pPr>
              <w:adjustRightInd w:val="0"/>
              <w:snapToGrid w:val="0"/>
              <w:jc w:val="center"/>
              <w:rPr>
                <w:color w:val="auto"/>
                <w:szCs w:val="21"/>
              </w:rPr>
            </w:pPr>
            <w:r>
              <w:rPr>
                <w:color w:val="auto"/>
                <w:szCs w:val="21"/>
              </w:rPr>
              <w:t>pH</w:t>
            </w:r>
            <w:r>
              <w:rPr>
                <w:rFonts w:hint="eastAsia"/>
                <w:color w:val="auto"/>
                <w:szCs w:val="21"/>
              </w:rPr>
              <w:t>、</w:t>
            </w:r>
            <w:r>
              <w:rPr>
                <w:color w:val="auto"/>
                <w:szCs w:val="21"/>
              </w:rPr>
              <w:t>COD</w:t>
            </w:r>
            <w:r>
              <w:rPr>
                <w:rFonts w:hint="eastAsia"/>
                <w:color w:val="auto"/>
                <w:szCs w:val="21"/>
              </w:rPr>
              <w:t>、</w:t>
            </w:r>
            <w:r>
              <w:rPr>
                <w:color w:val="auto"/>
                <w:szCs w:val="21"/>
              </w:rPr>
              <w:t>SS</w:t>
            </w:r>
            <w:r>
              <w:rPr>
                <w:rFonts w:hint="eastAsia"/>
                <w:color w:val="auto"/>
                <w:szCs w:val="21"/>
              </w:rPr>
              <w:t>、</w:t>
            </w:r>
            <w:r>
              <w:rPr>
                <w:color w:val="auto"/>
                <w:szCs w:val="21"/>
              </w:rPr>
              <w:t>NH</w:t>
            </w:r>
            <w:r>
              <w:rPr>
                <w:color w:val="auto"/>
                <w:szCs w:val="21"/>
                <w:vertAlign w:val="subscript"/>
              </w:rPr>
              <w:t>3</w:t>
            </w:r>
            <w:r>
              <w:rPr>
                <w:color w:val="auto"/>
                <w:szCs w:val="21"/>
              </w:rPr>
              <w:t>-N</w:t>
            </w:r>
            <w:r>
              <w:rPr>
                <w:rFonts w:hint="eastAsia"/>
                <w:color w:val="auto"/>
                <w:szCs w:val="21"/>
              </w:rPr>
              <w:t>、</w:t>
            </w:r>
            <w:r>
              <w:rPr>
                <w:color w:val="auto"/>
                <w:szCs w:val="21"/>
              </w:rPr>
              <w:t>TN</w:t>
            </w:r>
            <w:r>
              <w:rPr>
                <w:rFonts w:hint="eastAsia"/>
                <w:color w:val="auto"/>
                <w:szCs w:val="21"/>
              </w:rPr>
              <w:t>、</w:t>
            </w:r>
            <w:r>
              <w:rPr>
                <w:color w:val="auto"/>
                <w:szCs w:val="21"/>
              </w:rPr>
              <w:t>TP</w:t>
            </w:r>
          </w:p>
        </w:tc>
        <w:tc>
          <w:tcPr>
            <w:tcW w:w="2187" w:type="dxa"/>
            <w:vAlign w:val="center"/>
          </w:tcPr>
          <w:p w14:paraId="42E7AD64">
            <w:pPr>
              <w:rPr>
                <w:color w:val="auto"/>
                <w:szCs w:val="21"/>
              </w:rPr>
            </w:pPr>
            <w:r>
              <w:rPr>
                <w:rFonts w:hint="eastAsia"/>
                <w:color w:val="auto"/>
                <w:szCs w:val="21"/>
                <w:lang w:eastAsia="zh-CN"/>
              </w:rPr>
              <w:t>抽运至苏州市吴江桃源生活污水处理有限公司</w:t>
            </w:r>
            <w:r>
              <w:rPr>
                <w:rFonts w:hint="eastAsia"/>
                <w:color w:val="auto"/>
              </w:rPr>
              <w:t>处理</w:t>
            </w:r>
          </w:p>
        </w:tc>
        <w:tc>
          <w:tcPr>
            <w:tcW w:w="2013" w:type="dxa"/>
            <w:vMerge w:val="continue"/>
            <w:vAlign w:val="center"/>
          </w:tcPr>
          <w:p w14:paraId="5CAF5B8C">
            <w:pPr>
              <w:adjustRightInd w:val="0"/>
              <w:snapToGrid w:val="0"/>
              <w:jc w:val="center"/>
              <w:rPr>
                <w:color w:val="auto"/>
              </w:rPr>
            </w:pPr>
          </w:p>
        </w:tc>
      </w:tr>
      <w:tr w14:paraId="354E59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65" w:type="dxa"/>
            <w:vAlign w:val="center"/>
          </w:tcPr>
          <w:p w14:paraId="405D2B2F">
            <w:pPr>
              <w:adjustRightInd w:val="0"/>
              <w:snapToGrid w:val="0"/>
              <w:jc w:val="center"/>
              <w:rPr>
                <w:color w:val="auto"/>
                <w:szCs w:val="21"/>
              </w:rPr>
            </w:pPr>
            <w:r>
              <w:rPr>
                <w:rFonts w:hint="eastAsia"/>
                <w:color w:val="auto"/>
                <w:szCs w:val="21"/>
              </w:rPr>
              <w:t>声环境</w:t>
            </w:r>
          </w:p>
        </w:tc>
        <w:tc>
          <w:tcPr>
            <w:tcW w:w="1981" w:type="dxa"/>
            <w:gridSpan w:val="2"/>
            <w:vAlign w:val="center"/>
          </w:tcPr>
          <w:p w14:paraId="04A39744">
            <w:pPr>
              <w:adjustRightInd w:val="0"/>
              <w:snapToGrid w:val="0"/>
              <w:jc w:val="center"/>
              <w:rPr>
                <w:color w:val="auto"/>
                <w:szCs w:val="21"/>
              </w:rPr>
            </w:pPr>
            <w:r>
              <w:rPr>
                <w:rFonts w:hint="eastAsia"/>
                <w:color w:val="auto"/>
                <w:szCs w:val="21"/>
              </w:rPr>
              <w:t>生产设备</w:t>
            </w:r>
          </w:p>
        </w:tc>
        <w:tc>
          <w:tcPr>
            <w:tcW w:w="1254" w:type="dxa"/>
            <w:vAlign w:val="center"/>
          </w:tcPr>
          <w:p w14:paraId="1C4B1ED5">
            <w:pPr>
              <w:adjustRightInd w:val="0"/>
              <w:snapToGrid w:val="0"/>
              <w:jc w:val="center"/>
              <w:rPr>
                <w:color w:val="auto"/>
                <w:szCs w:val="21"/>
              </w:rPr>
            </w:pPr>
            <w:r>
              <w:rPr>
                <w:rFonts w:hint="eastAsia"/>
                <w:color w:val="auto"/>
                <w:szCs w:val="21"/>
              </w:rPr>
              <w:t>连续等效</w:t>
            </w:r>
            <w:r>
              <w:rPr>
                <w:color w:val="auto"/>
                <w:szCs w:val="21"/>
              </w:rPr>
              <w:t>A</w:t>
            </w:r>
            <w:r>
              <w:rPr>
                <w:rFonts w:hint="eastAsia"/>
                <w:color w:val="auto"/>
                <w:szCs w:val="21"/>
              </w:rPr>
              <w:t>声级</w:t>
            </w:r>
          </w:p>
        </w:tc>
        <w:tc>
          <w:tcPr>
            <w:tcW w:w="2187" w:type="dxa"/>
            <w:vAlign w:val="center"/>
          </w:tcPr>
          <w:p w14:paraId="12AD6CD5">
            <w:pPr>
              <w:adjustRightInd w:val="0"/>
              <w:snapToGrid w:val="0"/>
              <w:jc w:val="center"/>
              <w:rPr>
                <w:color w:val="auto"/>
                <w:szCs w:val="21"/>
              </w:rPr>
            </w:pPr>
            <w:r>
              <w:rPr>
                <w:rFonts w:hint="eastAsia"/>
                <w:color w:val="auto"/>
                <w:szCs w:val="21"/>
              </w:rPr>
              <w:t>减振、隔声</w:t>
            </w:r>
          </w:p>
        </w:tc>
        <w:tc>
          <w:tcPr>
            <w:tcW w:w="2013" w:type="dxa"/>
            <w:vAlign w:val="center"/>
          </w:tcPr>
          <w:p w14:paraId="743E7796">
            <w:pPr>
              <w:adjustRightInd w:val="0"/>
              <w:snapToGrid w:val="0"/>
              <w:jc w:val="center"/>
              <w:rPr>
                <w:color w:val="auto"/>
                <w:szCs w:val="21"/>
              </w:rPr>
            </w:pPr>
            <w:r>
              <w:rPr>
                <w:rFonts w:hint="eastAsia"/>
                <w:color w:val="auto"/>
              </w:rPr>
              <w:t>《工业企业厂界环境噪声排放标准》（</w:t>
            </w:r>
            <w:r>
              <w:rPr>
                <w:color w:val="auto"/>
              </w:rPr>
              <w:t>GB 12348-2008</w:t>
            </w:r>
            <w:r>
              <w:rPr>
                <w:rFonts w:hint="eastAsia"/>
                <w:color w:val="auto"/>
              </w:rPr>
              <w:t>）</w:t>
            </w:r>
            <w:r>
              <w:rPr>
                <w:color w:val="auto"/>
              </w:rPr>
              <w:t>2</w:t>
            </w:r>
            <w:r>
              <w:rPr>
                <w:rFonts w:hint="eastAsia"/>
                <w:color w:val="auto"/>
              </w:rPr>
              <w:t>类标准</w:t>
            </w:r>
          </w:p>
        </w:tc>
      </w:tr>
      <w:tr w14:paraId="0F9628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365" w:type="dxa"/>
            <w:vAlign w:val="center"/>
          </w:tcPr>
          <w:p w14:paraId="0E46F736">
            <w:pPr>
              <w:adjustRightInd w:val="0"/>
              <w:snapToGrid w:val="0"/>
              <w:jc w:val="center"/>
              <w:rPr>
                <w:color w:val="auto"/>
                <w:szCs w:val="21"/>
              </w:rPr>
            </w:pPr>
            <w:r>
              <w:rPr>
                <w:rFonts w:hint="eastAsia"/>
                <w:color w:val="auto"/>
                <w:szCs w:val="21"/>
              </w:rPr>
              <w:t>电磁辐射</w:t>
            </w:r>
          </w:p>
        </w:tc>
        <w:tc>
          <w:tcPr>
            <w:tcW w:w="7435" w:type="dxa"/>
            <w:gridSpan w:val="5"/>
            <w:vAlign w:val="center"/>
          </w:tcPr>
          <w:p w14:paraId="56C2D1A4">
            <w:pPr>
              <w:adjustRightInd w:val="0"/>
              <w:snapToGrid w:val="0"/>
              <w:jc w:val="center"/>
              <w:rPr>
                <w:color w:val="auto"/>
                <w:szCs w:val="21"/>
              </w:rPr>
            </w:pPr>
            <w:r>
              <w:rPr>
                <w:rFonts w:hint="eastAsia"/>
                <w:color w:val="auto"/>
                <w:szCs w:val="21"/>
              </w:rPr>
              <w:t>本项目不涉及</w:t>
            </w:r>
          </w:p>
        </w:tc>
      </w:tr>
      <w:tr w14:paraId="793A0C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84" w:hRule="atLeast"/>
          <w:jc w:val="center"/>
        </w:trPr>
        <w:tc>
          <w:tcPr>
            <w:tcW w:w="1365" w:type="dxa"/>
            <w:vAlign w:val="center"/>
          </w:tcPr>
          <w:p w14:paraId="734E3FB4">
            <w:pPr>
              <w:adjustRightInd w:val="0"/>
              <w:snapToGrid w:val="0"/>
              <w:jc w:val="center"/>
              <w:rPr>
                <w:color w:val="auto"/>
                <w:szCs w:val="21"/>
              </w:rPr>
            </w:pPr>
            <w:r>
              <w:rPr>
                <w:rFonts w:hint="eastAsia"/>
                <w:color w:val="auto"/>
                <w:szCs w:val="21"/>
              </w:rPr>
              <w:t>固体废物</w:t>
            </w:r>
          </w:p>
        </w:tc>
        <w:tc>
          <w:tcPr>
            <w:tcW w:w="7435" w:type="dxa"/>
            <w:gridSpan w:val="5"/>
            <w:vAlign w:val="center"/>
          </w:tcPr>
          <w:p w14:paraId="297B625C">
            <w:pPr>
              <w:adjustRightInd w:val="0"/>
              <w:snapToGrid w:val="0"/>
              <w:rPr>
                <w:color w:val="auto"/>
                <w:szCs w:val="21"/>
              </w:rPr>
            </w:pPr>
            <w:r>
              <w:rPr>
                <w:rFonts w:hint="eastAsia" w:ascii="宋体" w:hAnsi="宋体"/>
                <w:color w:val="auto"/>
              </w:rPr>
              <w:t>本项目固废为一般固废、危险废物及生活垃圾。其中，废丝为一般工业固废，收集后临时存储于一般固废仓库，统一外售综合利用；</w:t>
            </w:r>
            <w:r>
              <w:rPr>
                <w:rFonts w:hint="eastAsia" w:ascii="宋体" w:hAnsi="宋体"/>
                <w:color w:val="auto"/>
                <w:lang w:val="en-US" w:eastAsia="zh-CN"/>
              </w:rPr>
              <w:t>废纺丝油剂包装、</w:t>
            </w:r>
            <w:r>
              <w:rPr>
                <w:rFonts w:hint="eastAsia" w:ascii="宋体" w:hAnsi="宋体"/>
                <w:color w:val="auto"/>
                <w:lang w:eastAsia="zh-CN"/>
              </w:rPr>
              <w:t>废润滑油包装</w:t>
            </w:r>
            <w:r>
              <w:rPr>
                <w:rFonts w:hint="eastAsia" w:ascii="宋体" w:hAnsi="宋体"/>
                <w:color w:val="auto"/>
              </w:rPr>
              <w:t>、废润滑油、在线仪废液</w:t>
            </w:r>
            <w:r>
              <w:rPr>
                <w:rFonts w:hint="eastAsia"/>
                <w:lang w:eastAsia="zh-CN"/>
              </w:rPr>
              <w:t>、</w:t>
            </w:r>
            <w:r>
              <w:rPr>
                <w:rFonts w:hint="eastAsia"/>
                <w:lang w:val="en-US" w:eastAsia="zh-CN"/>
              </w:rPr>
              <w:t>废试剂包装、废草酸包装、静电除油废油、废活性炭</w:t>
            </w:r>
            <w:r>
              <w:rPr>
                <w:rFonts w:hint="eastAsia" w:ascii="宋体" w:hAnsi="宋体"/>
                <w:color w:val="auto"/>
              </w:rPr>
              <w:t>为危险废物，收集后临时存储于危废仓库，委托有资质单位外运处置；生活垃圾收集后由环卫定期清运。</w:t>
            </w:r>
          </w:p>
        </w:tc>
      </w:tr>
      <w:tr w14:paraId="523301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71" w:hRule="atLeast"/>
          <w:jc w:val="center"/>
        </w:trPr>
        <w:tc>
          <w:tcPr>
            <w:tcW w:w="1365" w:type="dxa"/>
            <w:vAlign w:val="center"/>
          </w:tcPr>
          <w:p w14:paraId="12E79F30">
            <w:pPr>
              <w:adjustRightInd w:val="0"/>
              <w:snapToGrid w:val="0"/>
              <w:jc w:val="center"/>
              <w:rPr>
                <w:color w:val="auto"/>
                <w:szCs w:val="21"/>
              </w:rPr>
            </w:pPr>
            <w:r>
              <w:rPr>
                <w:rFonts w:hint="eastAsia"/>
                <w:color w:val="auto"/>
                <w:szCs w:val="21"/>
              </w:rPr>
              <w:t>土壤及地下水</w:t>
            </w:r>
          </w:p>
          <w:p w14:paraId="3EA3CDA8">
            <w:pPr>
              <w:adjustRightInd w:val="0"/>
              <w:snapToGrid w:val="0"/>
              <w:jc w:val="center"/>
              <w:rPr>
                <w:color w:val="auto"/>
                <w:szCs w:val="21"/>
              </w:rPr>
            </w:pPr>
            <w:r>
              <w:rPr>
                <w:rFonts w:hint="eastAsia"/>
                <w:color w:val="auto"/>
                <w:szCs w:val="21"/>
              </w:rPr>
              <w:t>污染防治措施</w:t>
            </w:r>
          </w:p>
        </w:tc>
        <w:tc>
          <w:tcPr>
            <w:tcW w:w="7435" w:type="dxa"/>
            <w:gridSpan w:val="5"/>
            <w:vAlign w:val="center"/>
          </w:tcPr>
          <w:p w14:paraId="53594DA9">
            <w:pPr>
              <w:jc w:val="left"/>
              <w:rPr>
                <w:color w:val="auto"/>
                <w:szCs w:val="21"/>
              </w:rPr>
            </w:pPr>
            <w:r>
              <w:rPr>
                <w:rFonts w:hint="eastAsia" w:ascii="宋体" w:hAnsi="宋体"/>
                <w:color w:val="auto"/>
              </w:rPr>
              <w:t>采取分区防控措施，项目将按简单防渗区、一般防渗区、重点防渗区设计考虑了相应的控制措施，采取不同等级的防渗措施：本项目重点防渗区为危废仓库，一般防渗区为生产车间、一般固废仓库、原辅料仓库，重点防渗区和一般防渗区应按照相关要求做好防腐、防渗、防泄漏措施。除重点防渗区和一般防渗区外，项目其他区域为简单防渗区，采用一般地面硬化进行防渗。</w:t>
            </w:r>
          </w:p>
        </w:tc>
      </w:tr>
      <w:tr w14:paraId="16A72E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1365" w:type="dxa"/>
            <w:vAlign w:val="center"/>
          </w:tcPr>
          <w:p w14:paraId="5730E69E">
            <w:pPr>
              <w:adjustRightInd w:val="0"/>
              <w:snapToGrid w:val="0"/>
              <w:jc w:val="center"/>
              <w:rPr>
                <w:color w:val="auto"/>
                <w:szCs w:val="21"/>
              </w:rPr>
            </w:pPr>
            <w:r>
              <w:rPr>
                <w:rFonts w:hint="eastAsia"/>
                <w:color w:val="auto"/>
                <w:szCs w:val="21"/>
              </w:rPr>
              <w:t>生态保护措施</w:t>
            </w:r>
          </w:p>
        </w:tc>
        <w:tc>
          <w:tcPr>
            <w:tcW w:w="7435" w:type="dxa"/>
            <w:gridSpan w:val="5"/>
            <w:vAlign w:val="center"/>
          </w:tcPr>
          <w:p w14:paraId="3B7D0FD3">
            <w:pPr>
              <w:adjustRightInd w:val="0"/>
              <w:snapToGrid w:val="0"/>
              <w:jc w:val="center"/>
              <w:rPr>
                <w:color w:val="auto"/>
                <w:szCs w:val="21"/>
              </w:rPr>
            </w:pPr>
            <w:r>
              <w:rPr>
                <w:rFonts w:hint="eastAsia"/>
                <w:color w:val="auto"/>
                <w:szCs w:val="21"/>
              </w:rPr>
              <w:t>本项目不涉及</w:t>
            </w:r>
          </w:p>
        </w:tc>
      </w:tr>
      <w:tr w14:paraId="6B9055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67" w:hRule="atLeast"/>
          <w:jc w:val="center"/>
        </w:trPr>
        <w:tc>
          <w:tcPr>
            <w:tcW w:w="1365" w:type="dxa"/>
            <w:vAlign w:val="center"/>
          </w:tcPr>
          <w:p w14:paraId="65ACB88B">
            <w:pPr>
              <w:adjustRightInd w:val="0"/>
              <w:snapToGrid w:val="0"/>
              <w:jc w:val="center"/>
              <w:rPr>
                <w:color w:val="auto"/>
                <w:spacing w:val="-8"/>
                <w:szCs w:val="21"/>
              </w:rPr>
            </w:pPr>
            <w:r>
              <w:rPr>
                <w:rFonts w:hint="eastAsia"/>
                <w:color w:val="auto"/>
                <w:spacing w:val="-8"/>
                <w:szCs w:val="21"/>
              </w:rPr>
              <w:t>环境风险</w:t>
            </w:r>
          </w:p>
          <w:p w14:paraId="6690B3CB">
            <w:pPr>
              <w:adjustRightInd w:val="0"/>
              <w:snapToGrid w:val="0"/>
              <w:jc w:val="center"/>
              <w:rPr>
                <w:color w:val="auto"/>
                <w:spacing w:val="-8"/>
                <w:szCs w:val="21"/>
              </w:rPr>
            </w:pPr>
            <w:r>
              <w:rPr>
                <w:rFonts w:hint="eastAsia"/>
                <w:color w:val="auto"/>
                <w:spacing w:val="-8"/>
                <w:szCs w:val="21"/>
              </w:rPr>
              <w:t>防范措施</w:t>
            </w:r>
          </w:p>
        </w:tc>
        <w:tc>
          <w:tcPr>
            <w:tcW w:w="7435" w:type="dxa"/>
            <w:gridSpan w:val="5"/>
            <w:vAlign w:val="center"/>
          </w:tcPr>
          <w:p w14:paraId="46A72E23">
            <w:pPr>
              <w:adjustRightInd w:val="0"/>
              <w:snapToGrid w:val="0"/>
              <w:rPr>
                <w:color w:val="auto"/>
                <w:szCs w:val="21"/>
              </w:rPr>
            </w:pPr>
            <w:r>
              <w:rPr>
                <w:rFonts w:hint="eastAsia"/>
                <w:color w:val="auto"/>
                <w:szCs w:val="21"/>
              </w:rPr>
              <w:t>①车间、仓库严禁明火，配备充足的消防设施；</w:t>
            </w:r>
          </w:p>
          <w:p w14:paraId="6006CB1B">
            <w:pPr>
              <w:adjustRightInd w:val="0"/>
              <w:snapToGrid w:val="0"/>
              <w:rPr>
                <w:color w:val="auto"/>
                <w:szCs w:val="21"/>
              </w:rPr>
            </w:pPr>
            <w:r>
              <w:rPr>
                <w:rFonts w:hint="eastAsia"/>
                <w:color w:val="auto"/>
                <w:szCs w:val="21"/>
              </w:rPr>
              <w:t>②定期检查维护污水</w:t>
            </w:r>
            <w:r>
              <w:rPr>
                <w:rFonts w:hint="eastAsia"/>
                <w:color w:val="auto"/>
                <w:szCs w:val="21"/>
                <w:lang w:val="en-US" w:eastAsia="zh-CN"/>
              </w:rPr>
              <w:t>输送</w:t>
            </w:r>
            <w:r>
              <w:rPr>
                <w:rFonts w:hint="eastAsia"/>
                <w:color w:val="auto"/>
                <w:szCs w:val="21"/>
              </w:rPr>
              <w:t>设施，发生故障及时维修，必要时停产；</w:t>
            </w:r>
          </w:p>
          <w:p w14:paraId="2ADEC592">
            <w:pPr>
              <w:adjustRightInd w:val="0"/>
              <w:snapToGrid w:val="0"/>
              <w:rPr>
                <w:color w:val="auto"/>
                <w:szCs w:val="21"/>
              </w:rPr>
            </w:pPr>
            <w:r>
              <w:rPr>
                <w:rFonts w:hint="eastAsia"/>
                <w:color w:val="auto"/>
                <w:szCs w:val="21"/>
              </w:rPr>
              <w:t>③加强危险废物管理，危废仓库按照规范进行建设，做好防渗、防漏等措施。</w:t>
            </w:r>
          </w:p>
        </w:tc>
      </w:tr>
      <w:tr w14:paraId="0B5112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15" w:hRule="atLeast"/>
          <w:jc w:val="center"/>
        </w:trPr>
        <w:tc>
          <w:tcPr>
            <w:tcW w:w="1365" w:type="dxa"/>
            <w:tcBorders>
              <w:bottom w:val="single" w:color="auto" w:sz="8" w:space="0"/>
            </w:tcBorders>
            <w:vAlign w:val="center"/>
          </w:tcPr>
          <w:p w14:paraId="32AD75D1">
            <w:pPr>
              <w:adjustRightInd w:val="0"/>
              <w:snapToGrid w:val="0"/>
              <w:jc w:val="center"/>
              <w:rPr>
                <w:color w:val="auto"/>
                <w:spacing w:val="-8"/>
                <w:szCs w:val="21"/>
              </w:rPr>
            </w:pPr>
            <w:r>
              <w:rPr>
                <w:rFonts w:hint="eastAsia"/>
                <w:color w:val="auto"/>
                <w:spacing w:val="-8"/>
                <w:szCs w:val="21"/>
              </w:rPr>
              <w:t>其他环境</w:t>
            </w:r>
          </w:p>
          <w:p w14:paraId="7F711DDD">
            <w:pPr>
              <w:adjustRightInd w:val="0"/>
              <w:snapToGrid w:val="0"/>
              <w:jc w:val="center"/>
              <w:rPr>
                <w:color w:val="auto"/>
                <w:spacing w:val="-8"/>
                <w:szCs w:val="21"/>
              </w:rPr>
            </w:pPr>
            <w:r>
              <w:rPr>
                <w:rFonts w:hint="eastAsia"/>
                <w:color w:val="auto"/>
                <w:spacing w:val="-8"/>
                <w:szCs w:val="21"/>
              </w:rPr>
              <w:t>管理要求</w:t>
            </w:r>
          </w:p>
        </w:tc>
        <w:tc>
          <w:tcPr>
            <w:tcW w:w="7435" w:type="dxa"/>
            <w:gridSpan w:val="5"/>
            <w:tcBorders>
              <w:bottom w:val="single" w:color="auto" w:sz="8" w:space="0"/>
            </w:tcBorders>
            <w:vAlign w:val="center"/>
          </w:tcPr>
          <w:p w14:paraId="0A4012EA">
            <w:pPr>
              <w:keepNext/>
              <w:widowControl/>
              <w:rPr>
                <w:color w:val="auto"/>
                <w:szCs w:val="21"/>
              </w:rPr>
            </w:pPr>
            <w:r>
              <w:rPr>
                <w:rFonts w:hint="eastAsia"/>
                <w:color w:val="auto"/>
                <w:szCs w:val="21"/>
              </w:rPr>
              <w:t>（</w:t>
            </w:r>
            <w:r>
              <w:rPr>
                <w:color w:val="auto"/>
                <w:szCs w:val="21"/>
              </w:rPr>
              <w:t>1</w:t>
            </w:r>
            <w:r>
              <w:rPr>
                <w:rFonts w:hint="eastAsia"/>
                <w:color w:val="auto"/>
                <w:szCs w:val="21"/>
              </w:rPr>
              <w:t>）环境管理计划</w:t>
            </w:r>
          </w:p>
          <w:p w14:paraId="6EB97217">
            <w:pPr>
              <w:keepNext/>
              <w:widowControl/>
              <w:ind w:firstLine="420" w:firstLineChars="200"/>
              <w:rPr>
                <w:color w:val="auto"/>
                <w:szCs w:val="21"/>
              </w:rPr>
            </w:pPr>
            <w:r>
              <w:rPr>
                <w:rFonts w:hint="eastAsia"/>
                <w:color w:val="auto"/>
                <w:szCs w:val="21"/>
              </w:rPr>
              <w:t>①严格执行“三同时”制度</w:t>
            </w:r>
          </w:p>
          <w:p w14:paraId="3DA7AA3F">
            <w:pPr>
              <w:keepNext/>
              <w:widowControl/>
              <w:ind w:firstLine="420" w:firstLineChars="200"/>
              <w:rPr>
                <w:color w:val="auto"/>
                <w:szCs w:val="21"/>
              </w:rPr>
            </w:pPr>
            <w:r>
              <w:rPr>
                <w:rFonts w:hint="eastAsia"/>
                <w:color w:val="auto"/>
                <w:szCs w:val="21"/>
              </w:rPr>
              <w:t>在项目筹备、设计和施工建设不同阶段，均应严格执行“三同时”制度，确保污染处理设施能够与生产工艺设施“同时设计、同时施工、同时竣工”。</w:t>
            </w:r>
          </w:p>
          <w:p w14:paraId="443A50D4">
            <w:pPr>
              <w:keepNext/>
              <w:widowControl/>
              <w:ind w:firstLine="420" w:firstLineChars="200"/>
              <w:rPr>
                <w:color w:val="auto"/>
                <w:szCs w:val="21"/>
              </w:rPr>
            </w:pPr>
            <w:r>
              <w:rPr>
                <w:rFonts w:hint="eastAsia"/>
                <w:color w:val="auto"/>
                <w:szCs w:val="21"/>
              </w:rPr>
              <w:t>②建立环境报告制度</w:t>
            </w:r>
          </w:p>
          <w:p w14:paraId="66EF19CD">
            <w:pPr>
              <w:keepNext/>
              <w:widowControl/>
              <w:ind w:firstLine="420" w:firstLineChars="200"/>
              <w:rPr>
                <w:color w:val="auto"/>
                <w:szCs w:val="21"/>
              </w:rPr>
            </w:pPr>
            <w:r>
              <w:rPr>
                <w:rFonts w:hint="eastAsia"/>
                <w:color w:val="auto"/>
                <w:szCs w:val="21"/>
              </w:rPr>
              <w:t>应按有关法规的要求，严格执行排污申报制度；此外，在项目工程排污发生重大变化、污染治理设施发生重大改变或拟实施新、改、新建项目时必须及时向相关环保行政主管部门申报。</w:t>
            </w:r>
          </w:p>
          <w:p w14:paraId="09ACD8B1">
            <w:pPr>
              <w:keepNext/>
              <w:widowControl/>
              <w:ind w:firstLine="420" w:firstLineChars="200"/>
              <w:rPr>
                <w:color w:val="auto"/>
                <w:szCs w:val="21"/>
              </w:rPr>
            </w:pPr>
            <w:r>
              <w:rPr>
                <w:rFonts w:hint="eastAsia"/>
                <w:color w:val="auto"/>
                <w:szCs w:val="21"/>
              </w:rPr>
              <w:t>③健全污染治理设施管理制度</w:t>
            </w:r>
            <w:r>
              <w:rPr>
                <w:color w:val="auto"/>
                <w:szCs w:val="21"/>
              </w:rPr>
              <w:t xml:space="preserve"> </w:t>
            </w:r>
          </w:p>
          <w:p w14:paraId="5B39F040">
            <w:pPr>
              <w:ind w:firstLine="420" w:firstLineChars="200"/>
              <w:rPr>
                <w:color w:val="auto"/>
                <w:szCs w:val="21"/>
              </w:rPr>
            </w:pPr>
            <w:r>
              <w:rPr>
                <w:rFonts w:hint="eastAsia"/>
                <w:color w:val="auto"/>
                <w:szCs w:val="21"/>
              </w:rPr>
              <w:t>建立健全污染治理设施的运行、检修、维护保养的作业规程和管理制度，将污染治理设施的管理与生产经营管理一同纳入公司日常管理工作的范畴，落实责任人，建立管理台账。</w:t>
            </w:r>
          </w:p>
          <w:p w14:paraId="5E68DDCE">
            <w:pPr>
              <w:keepNext/>
              <w:widowControl/>
              <w:ind w:firstLine="420" w:firstLineChars="200"/>
              <w:rPr>
                <w:color w:val="auto"/>
                <w:szCs w:val="21"/>
              </w:rPr>
            </w:pPr>
            <w:r>
              <w:rPr>
                <w:rFonts w:hint="eastAsia"/>
                <w:color w:val="auto"/>
                <w:szCs w:val="21"/>
              </w:rPr>
              <w:t>④建立环境目标管理责任制和奖惩条例</w:t>
            </w:r>
          </w:p>
          <w:p w14:paraId="2A602478">
            <w:pPr>
              <w:ind w:firstLine="420" w:firstLineChars="200"/>
              <w:rPr>
                <w:color w:val="auto"/>
                <w:szCs w:val="21"/>
              </w:rPr>
            </w:pPr>
            <w:r>
              <w:rPr>
                <w:rFonts w:hint="eastAsia"/>
                <w:color w:val="auto"/>
                <w:szCs w:val="21"/>
              </w:rPr>
              <w:t>建立并实施各级人员的环境目标管理责任制，把环境目标责任完成情况与奖惩制度结合起来。设置环境保护奖惩条例，在公司内部形成注重环境管理，持续改进环境绩效的氛围。</w:t>
            </w:r>
          </w:p>
          <w:p w14:paraId="113C928D">
            <w:pPr>
              <w:keepNext/>
              <w:widowControl/>
              <w:ind w:firstLine="420" w:firstLineChars="200"/>
              <w:rPr>
                <w:color w:val="auto"/>
                <w:szCs w:val="21"/>
              </w:rPr>
            </w:pPr>
            <w:r>
              <w:rPr>
                <w:rFonts w:hint="eastAsia"/>
                <w:color w:val="auto"/>
                <w:szCs w:val="21"/>
              </w:rPr>
              <w:t>⑤建立风险管理及应急救援体系，执行环境监测计划、转移联单管理制度及国家和省有关转移管理的相关规定、处置过程安全操作规程、人员培训考核制度、档案管理制度、处置全过程管理制度。</w:t>
            </w:r>
          </w:p>
          <w:p w14:paraId="7EE98116">
            <w:pPr>
              <w:keepNext/>
              <w:widowControl/>
              <w:ind w:firstLine="420" w:firstLineChars="200"/>
              <w:rPr>
                <w:color w:val="auto"/>
                <w:szCs w:val="21"/>
              </w:rPr>
            </w:pPr>
            <w:r>
              <w:rPr>
                <w:rFonts w:hint="eastAsia"/>
                <w:color w:val="auto"/>
                <w:szCs w:val="21"/>
              </w:rPr>
              <w:t>⑥规范建设危险废物贮存场所并按照要求设置警告标志，危废包装、容器和贮存场所应按照《危险废物贮存污染控制标准》（</w:t>
            </w:r>
            <w:r>
              <w:rPr>
                <w:color w:val="auto"/>
                <w:szCs w:val="21"/>
              </w:rPr>
              <w:t>GB18597-2023</w:t>
            </w:r>
            <w:r>
              <w:rPr>
                <w:rFonts w:hint="eastAsia"/>
                <w:color w:val="auto"/>
                <w:szCs w:val="21"/>
              </w:rPr>
              <w:t>）要求张贴标识。</w:t>
            </w:r>
            <w:r>
              <w:rPr>
                <w:color w:val="auto"/>
                <w:szCs w:val="21"/>
              </w:rPr>
              <w:t xml:space="preserve"> </w:t>
            </w:r>
          </w:p>
          <w:p w14:paraId="02430BA6">
            <w:pPr>
              <w:keepNext/>
              <w:widowControl/>
              <w:ind w:firstLine="420" w:firstLineChars="200"/>
              <w:rPr>
                <w:color w:val="auto"/>
                <w:szCs w:val="21"/>
              </w:rPr>
            </w:pPr>
            <w:r>
              <w:rPr>
                <w:rFonts w:hint="eastAsia"/>
                <w:color w:val="auto"/>
                <w:szCs w:val="21"/>
              </w:rPr>
              <w:t>⑦本项目建成后，在启动生产设施或发生</w:t>
            </w:r>
            <w:r>
              <w:rPr>
                <w:rFonts w:hint="eastAsia"/>
                <w:color w:val="auto"/>
                <w:szCs w:val="21"/>
                <w:lang w:val="en-US" w:eastAsia="zh-CN"/>
              </w:rPr>
              <w:t>实际</w:t>
            </w:r>
            <w:r>
              <w:rPr>
                <w:rFonts w:hint="eastAsia"/>
                <w:color w:val="auto"/>
                <w:szCs w:val="21"/>
              </w:rPr>
              <w:t>排污之前应重新申请取得排污许可证。</w:t>
            </w:r>
          </w:p>
          <w:p w14:paraId="4E22D358">
            <w:pPr>
              <w:rPr>
                <w:color w:val="auto"/>
                <w:szCs w:val="21"/>
              </w:rPr>
            </w:pPr>
            <w:r>
              <w:rPr>
                <w:rFonts w:hint="eastAsia"/>
                <w:color w:val="auto"/>
                <w:szCs w:val="21"/>
              </w:rPr>
              <w:t>（</w:t>
            </w:r>
            <w:r>
              <w:rPr>
                <w:color w:val="auto"/>
                <w:szCs w:val="21"/>
              </w:rPr>
              <w:t>2</w:t>
            </w:r>
            <w:r>
              <w:rPr>
                <w:rFonts w:hint="eastAsia"/>
                <w:color w:val="auto"/>
                <w:szCs w:val="21"/>
              </w:rPr>
              <w:t>）验收监测计划</w:t>
            </w:r>
          </w:p>
          <w:p w14:paraId="3AD62564">
            <w:pPr>
              <w:ind w:firstLine="480"/>
              <w:rPr>
                <w:color w:val="auto"/>
                <w:szCs w:val="21"/>
              </w:rPr>
            </w:pPr>
            <w:r>
              <w:rPr>
                <w:rFonts w:hint="eastAsia"/>
                <w:color w:val="auto"/>
                <w:szCs w:val="21"/>
              </w:rPr>
              <w:t>当本项目达到验收标准时根据《建设项目竣工环境保护验收技术指南</w:t>
            </w:r>
            <w:r>
              <w:rPr>
                <w:color w:val="auto"/>
                <w:szCs w:val="21"/>
              </w:rPr>
              <w:t xml:space="preserve"> </w:t>
            </w:r>
            <w:r>
              <w:rPr>
                <w:rFonts w:hint="eastAsia"/>
                <w:color w:val="auto"/>
                <w:szCs w:val="21"/>
              </w:rPr>
              <w:t>污染影响类》委托有资质的检（监）测机构代其开展验收监测，根据监测结果编写验收监测报告。</w:t>
            </w:r>
          </w:p>
          <w:p w14:paraId="2F14E21B">
            <w:pPr>
              <w:pStyle w:val="4"/>
              <w:ind w:firstLine="31680"/>
              <w:rPr>
                <w:color w:val="auto"/>
                <w:szCs w:val="21"/>
              </w:rPr>
            </w:pPr>
          </w:p>
          <w:p w14:paraId="6664116F">
            <w:pPr>
              <w:rPr>
                <w:color w:val="auto"/>
              </w:rPr>
            </w:pPr>
          </w:p>
          <w:p w14:paraId="278C13F2">
            <w:pPr>
              <w:rPr>
                <w:color w:val="auto"/>
              </w:rPr>
            </w:pPr>
          </w:p>
          <w:p w14:paraId="6A86DA10">
            <w:pPr>
              <w:rPr>
                <w:color w:val="auto"/>
              </w:rPr>
            </w:pPr>
          </w:p>
          <w:p w14:paraId="25B65BE8">
            <w:pPr>
              <w:rPr>
                <w:color w:val="auto"/>
              </w:rPr>
            </w:pPr>
          </w:p>
          <w:p w14:paraId="202871EC">
            <w:pPr>
              <w:rPr>
                <w:color w:val="auto"/>
              </w:rPr>
            </w:pPr>
          </w:p>
          <w:p w14:paraId="2DFE7495">
            <w:pPr>
              <w:rPr>
                <w:color w:val="auto"/>
              </w:rPr>
            </w:pPr>
          </w:p>
          <w:p w14:paraId="2FBAFC32">
            <w:pPr>
              <w:rPr>
                <w:color w:val="auto"/>
              </w:rPr>
            </w:pPr>
          </w:p>
          <w:p w14:paraId="354CF3A2">
            <w:pPr>
              <w:rPr>
                <w:color w:val="auto"/>
              </w:rPr>
            </w:pPr>
          </w:p>
          <w:p w14:paraId="72F800F5">
            <w:pPr>
              <w:rPr>
                <w:color w:val="auto"/>
              </w:rPr>
            </w:pPr>
          </w:p>
          <w:p w14:paraId="005BB794">
            <w:pPr>
              <w:rPr>
                <w:color w:val="auto"/>
              </w:rPr>
            </w:pPr>
          </w:p>
          <w:p w14:paraId="43EBF986">
            <w:pPr>
              <w:rPr>
                <w:color w:val="auto"/>
              </w:rPr>
            </w:pPr>
          </w:p>
          <w:p w14:paraId="0B8B9AE5">
            <w:pPr>
              <w:rPr>
                <w:color w:val="auto"/>
              </w:rPr>
            </w:pPr>
          </w:p>
          <w:p w14:paraId="2696A7A6">
            <w:pPr>
              <w:rPr>
                <w:color w:val="auto"/>
              </w:rPr>
            </w:pPr>
          </w:p>
          <w:p w14:paraId="2514BCF4">
            <w:pPr>
              <w:rPr>
                <w:color w:val="auto"/>
              </w:rPr>
            </w:pPr>
          </w:p>
          <w:p w14:paraId="4AF9990B">
            <w:pPr>
              <w:rPr>
                <w:color w:val="auto"/>
              </w:rPr>
            </w:pPr>
          </w:p>
          <w:p w14:paraId="4DF9C32A">
            <w:pPr>
              <w:rPr>
                <w:color w:val="auto"/>
              </w:rPr>
            </w:pPr>
          </w:p>
          <w:p w14:paraId="4D4A3D2C">
            <w:pPr>
              <w:rPr>
                <w:color w:val="auto"/>
              </w:rPr>
            </w:pPr>
          </w:p>
          <w:p w14:paraId="5BA008A9">
            <w:pPr>
              <w:rPr>
                <w:color w:val="auto"/>
              </w:rPr>
            </w:pPr>
          </w:p>
          <w:p w14:paraId="1BB057A4">
            <w:pPr>
              <w:rPr>
                <w:color w:val="auto"/>
              </w:rPr>
            </w:pPr>
          </w:p>
          <w:p w14:paraId="06E17044">
            <w:pPr>
              <w:rPr>
                <w:color w:val="auto"/>
              </w:rPr>
            </w:pPr>
          </w:p>
          <w:p w14:paraId="456EE886">
            <w:pPr>
              <w:rPr>
                <w:rFonts w:hint="eastAsia"/>
                <w:color w:val="auto"/>
                <w:lang w:val="en-US" w:eastAsia="zh-CN"/>
              </w:rPr>
            </w:pPr>
          </w:p>
          <w:p w14:paraId="4AA62581">
            <w:pPr>
              <w:rPr>
                <w:rFonts w:hint="eastAsia"/>
                <w:color w:val="auto"/>
                <w:lang w:val="en-US" w:eastAsia="zh-CN"/>
              </w:rPr>
            </w:pPr>
          </w:p>
          <w:p w14:paraId="24377E19">
            <w:pPr>
              <w:rPr>
                <w:rFonts w:hint="eastAsia"/>
                <w:color w:val="auto"/>
                <w:lang w:val="en-US" w:eastAsia="zh-CN"/>
              </w:rPr>
            </w:pPr>
          </w:p>
          <w:p w14:paraId="685DCAAC">
            <w:pPr>
              <w:rPr>
                <w:rFonts w:hint="eastAsia"/>
                <w:color w:val="auto"/>
                <w:lang w:val="en-US" w:eastAsia="zh-CN"/>
              </w:rPr>
            </w:pPr>
          </w:p>
          <w:p w14:paraId="77A7B501">
            <w:pPr>
              <w:rPr>
                <w:rFonts w:hint="eastAsia"/>
                <w:color w:val="auto"/>
                <w:lang w:val="en-US" w:eastAsia="zh-CN"/>
              </w:rPr>
            </w:pPr>
          </w:p>
          <w:p w14:paraId="4BD0E5D6">
            <w:pPr>
              <w:rPr>
                <w:rFonts w:hint="eastAsia"/>
                <w:color w:val="auto"/>
                <w:lang w:val="en-US" w:eastAsia="zh-CN"/>
              </w:rPr>
            </w:pPr>
          </w:p>
          <w:p w14:paraId="224276AE">
            <w:pPr>
              <w:rPr>
                <w:rFonts w:hint="eastAsia" w:eastAsia="宋体"/>
                <w:color w:val="auto"/>
                <w:lang w:val="en-US" w:eastAsia="zh-CN"/>
              </w:rPr>
            </w:pPr>
          </w:p>
        </w:tc>
      </w:tr>
    </w:tbl>
    <w:p w14:paraId="047263D3">
      <w:pPr>
        <w:pStyle w:val="22"/>
        <w:jc w:val="center"/>
        <w:outlineLvl w:val="0"/>
        <w:rPr>
          <w:rFonts w:ascii="黑体" w:hAnsi="黑体" w:eastAsia="黑体"/>
          <w:snapToGrid w:val="0"/>
          <w:color w:val="000000"/>
          <w:sz w:val="30"/>
          <w:szCs w:val="30"/>
        </w:rPr>
      </w:pPr>
      <w:r>
        <w:rPr>
          <w:snapToGrid w:val="0"/>
          <w:color w:val="000000"/>
        </w:rPr>
        <w:br w:type="page"/>
      </w:r>
      <w:bookmarkStart w:id="70" w:name="_Toc4408"/>
      <w:r>
        <w:rPr>
          <w:rFonts w:hint="eastAsia" w:ascii="黑体" w:hAnsi="黑体" w:eastAsia="黑体"/>
          <w:snapToGrid w:val="0"/>
          <w:color w:val="000000"/>
          <w:sz w:val="30"/>
          <w:szCs w:val="30"/>
        </w:rPr>
        <w:t>六、结论</w:t>
      </w:r>
      <w:bookmarkEnd w:id="70"/>
    </w:p>
    <w:tbl>
      <w:tblPr>
        <w:tblStyle w:val="26"/>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0D47B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76" w:hRule="atLeast"/>
          <w:jc w:val="center"/>
        </w:trPr>
        <w:tc>
          <w:tcPr>
            <w:tcW w:w="8865" w:type="dxa"/>
            <w:tcBorders>
              <w:top w:val="single" w:color="auto" w:sz="8" w:space="0"/>
              <w:bottom w:val="single" w:color="auto" w:sz="8" w:space="0"/>
            </w:tcBorders>
            <w:vAlign w:val="top"/>
          </w:tcPr>
          <w:p w14:paraId="7BF8A658">
            <w:pPr>
              <w:spacing w:beforeLines="80" w:line="360" w:lineRule="auto"/>
              <w:ind w:firstLine="420" w:firstLineChars="200"/>
              <w:jc w:val="both"/>
              <w:rPr>
                <w:rFonts w:hint="eastAsia"/>
                <w:color w:val="000000"/>
                <w:szCs w:val="21"/>
                <w:lang w:val="en-US" w:eastAsia="zh-CN"/>
              </w:rPr>
            </w:pPr>
            <w:r>
              <w:rPr>
                <w:rFonts w:hint="eastAsia"/>
                <w:color w:val="000000"/>
                <w:szCs w:val="21"/>
                <w:lang w:val="en-US" w:eastAsia="zh-CN"/>
              </w:rPr>
              <w:t>以上评价结果是根据公司的生产规模、布局、工艺流程、原辅材料用量及与此对应的污染物排放情况基础上得出的，如果布局、规模、工艺流程和排污情况有所变化，应按环保部门要求另行申报。</w:t>
            </w:r>
          </w:p>
          <w:p w14:paraId="78FAE896">
            <w:pPr>
              <w:spacing w:beforeLines="80" w:line="360" w:lineRule="auto"/>
              <w:ind w:firstLine="420" w:firstLineChars="200"/>
              <w:jc w:val="both"/>
              <w:rPr>
                <w:rFonts w:ascii="宋体" w:cs="宋体"/>
                <w:color w:val="000000"/>
                <w:sz w:val="24"/>
              </w:rPr>
            </w:pPr>
            <w:r>
              <w:rPr>
                <w:rFonts w:hint="eastAsia"/>
                <w:color w:val="000000"/>
                <w:szCs w:val="21"/>
                <w:lang w:val="en-US" w:eastAsia="zh-CN"/>
              </w:rPr>
              <w:t>综上所述，本项目选址合理，符合国家及地方产业政策、当地规划要求。项目设计布局基本合理，采取的污染防治措施可行有效，项目实施后污染物可实现达标排放，总体上对周围环境影响较小，不会改变当地环境质量现状，环境风险可控。因此，在各项环保措施真正落实，严格执行国家有关环境质量标准和污染物排放标准，履行“三同时”管理制度，加强污染防护、治理的基础上，从环保的角度出发，本项目的建设是可行的。</w:t>
            </w:r>
          </w:p>
        </w:tc>
      </w:tr>
    </w:tbl>
    <w:p w14:paraId="7F954A9B">
      <w:pPr>
        <w:rPr>
          <w:rFonts w:ascii="宋体"/>
          <w:color w:val="000000"/>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6C11BF82">
      <w:pPr>
        <w:pStyle w:val="22"/>
        <w:adjustRightInd w:val="0"/>
        <w:snapToGrid w:val="0"/>
        <w:spacing w:before="0" w:beforeAutospacing="0" w:after="0" w:afterAutospacing="0"/>
        <w:outlineLvl w:val="0"/>
        <w:rPr>
          <w:rFonts w:ascii="黑体" w:hAnsi="黑体" w:eastAsia="黑体"/>
          <w:snapToGrid w:val="0"/>
          <w:color w:val="000000"/>
          <w:sz w:val="32"/>
          <w:szCs w:val="32"/>
        </w:rPr>
      </w:pPr>
      <w:bookmarkStart w:id="71" w:name="_Toc4436"/>
      <w:r>
        <w:rPr>
          <w:rFonts w:hint="eastAsia" w:ascii="黑体" w:hAnsi="黑体" w:eastAsia="黑体"/>
          <w:snapToGrid w:val="0"/>
          <w:color w:val="000000"/>
          <w:sz w:val="32"/>
          <w:szCs w:val="32"/>
        </w:rPr>
        <w:t>附表</w:t>
      </w:r>
      <w:bookmarkEnd w:id="71"/>
    </w:p>
    <w:p w14:paraId="5DCD9389">
      <w:pPr>
        <w:pStyle w:val="22"/>
        <w:adjustRightInd w:val="0"/>
        <w:snapToGrid w:val="0"/>
        <w:spacing w:before="0" w:beforeAutospacing="0" w:after="0" w:afterAutospacing="0" w:line="240" w:lineRule="atLeast"/>
        <w:jc w:val="center"/>
        <w:rPr>
          <w:rFonts w:ascii="方正小标宋_GBK" w:hAnsi="黑体" w:eastAsia="方正小标宋_GBK"/>
          <w:snapToGrid w:val="0"/>
          <w:color w:val="000000"/>
          <w:sz w:val="38"/>
          <w:szCs w:val="38"/>
        </w:rPr>
      </w:pPr>
      <w:bookmarkStart w:id="72" w:name="_Toc5013"/>
      <w:bookmarkStart w:id="73" w:name="_Toc8448"/>
      <w:r>
        <w:rPr>
          <w:rFonts w:hint="eastAsia" w:ascii="方正小标宋_GBK" w:hAnsi="黑体" w:eastAsia="方正小标宋_GBK"/>
          <w:snapToGrid w:val="0"/>
          <w:color w:val="000000"/>
          <w:sz w:val="38"/>
          <w:szCs w:val="38"/>
        </w:rPr>
        <w:t>建设项目污染物排放量汇总表</w:t>
      </w:r>
      <w:bookmarkEnd w:id="72"/>
      <w:bookmarkEnd w:id="73"/>
    </w:p>
    <w:tbl>
      <w:tblPr>
        <w:tblStyle w:val="26"/>
        <w:tblW w:w="13788" w:type="dxa"/>
        <w:tblInd w:w="-10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526"/>
        <w:gridCol w:w="1417"/>
        <w:gridCol w:w="1701"/>
        <w:gridCol w:w="1276"/>
        <w:gridCol w:w="1701"/>
        <w:gridCol w:w="1559"/>
        <w:gridCol w:w="1761"/>
        <w:gridCol w:w="1649"/>
        <w:gridCol w:w="1136"/>
      </w:tblGrid>
      <w:tr w14:paraId="79F3EE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tcBorders>
              <w:top w:val="single" w:color="auto" w:sz="8" w:space="0"/>
              <w:tl2br w:val="single" w:color="auto" w:sz="4" w:space="0"/>
            </w:tcBorders>
            <w:tcMar>
              <w:left w:w="28" w:type="dxa"/>
              <w:right w:w="28" w:type="dxa"/>
            </w:tcMar>
            <w:vAlign w:val="center"/>
          </w:tcPr>
          <w:p w14:paraId="22F4BA8E">
            <w:pPr>
              <w:pStyle w:val="36"/>
              <w:spacing w:beforeLines="0" w:after="24" w:line="240" w:lineRule="auto"/>
              <w:ind w:right="0"/>
              <w:jc w:val="right"/>
              <w:rPr>
                <w:rFonts w:ascii="Times New Roman" w:eastAsia="黑体"/>
                <w:snapToGrid w:val="0"/>
                <w:color w:val="000000"/>
                <w:spacing w:val="-6"/>
                <w:kern w:val="21"/>
                <w:sz w:val="21"/>
                <w:szCs w:val="21"/>
              </w:rPr>
            </w:pPr>
            <w:r>
              <w:rPr>
                <w:rFonts w:hint="eastAsia" w:ascii="Times New Roman" w:eastAsia="黑体"/>
                <w:snapToGrid w:val="0"/>
                <w:color w:val="000000"/>
                <w:spacing w:val="-6"/>
                <w:kern w:val="21"/>
                <w:sz w:val="21"/>
                <w:szCs w:val="21"/>
              </w:rPr>
              <w:t>项目</w:t>
            </w:r>
          </w:p>
          <w:p w14:paraId="3B507D6F">
            <w:pPr>
              <w:pStyle w:val="36"/>
              <w:spacing w:beforeLines="0" w:after="24" w:line="240" w:lineRule="auto"/>
              <w:ind w:right="0"/>
              <w:jc w:val="left"/>
              <w:rPr>
                <w:rFonts w:ascii="Times New Roman" w:eastAsia="黑体"/>
                <w:snapToGrid w:val="0"/>
                <w:color w:val="000000"/>
                <w:spacing w:val="-6"/>
                <w:kern w:val="21"/>
                <w:sz w:val="21"/>
                <w:szCs w:val="21"/>
              </w:rPr>
            </w:pPr>
            <w:r>
              <w:rPr>
                <w:rFonts w:hint="eastAsia" w:ascii="Times New Roman" w:eastAsia="黑体"/>
                <w:snapToGrid w:val="0"/>
                <w:color w:val="000000"/>
                <w:spacing w:val="-6"/>
                <w:kern w:val="21"/>
                <w:sz w:val="21"/>
                <w:szCs w:val="21"/>
              </w:rPr>
              <w:t>分类</w:t>
            </w:r>
          </w:p>
        </w:tc>
        <w:tc>
          <w:tcPr>
            <w:tcW w:w="1417" w:type="dxa"/>
            <w:tcBorders>
              <w:top w:val="single" w:color="auto" w:sz="8" w:space="0"/>
            </w:tcBorders>
            <w:tcMar>
              <w:left w:w="28" w:type="dxa"/>
              <w:right w:w="28" w:type="dxa"/>
            </w:tcMar>
            <w:vAlign w:val="center"/>
          </w:tcPr>
          <w:p w14:paraId="32E7535F">
            <w:pPr>
              <w:pStyle w:val="36"/>
              <w:spacing w:beforeLines="0" w:after="24" w:line="240" w:lineRule="auto"/>
              <w:ind w:right="0"/>
              <w:rPr>
                <w:rFonts w:ascii="Times New Roman" w:eastAsia="黑体"/>
                <w:snapToGrid w:val="0"/>
                <w:color w:val="000000"/>
                <w:spacing w:val="-6"/>
                <w:kern w:val="21"/>
                <w:sz w:val="21"/>
                <w:szCs w:val="21"/>
              </w:rPr>
            </w:pPr>
            <w:r>
              <w:rPr>
                <w:rFonts w:hint="eastAsia" w:ascii="Times New Roman" w:eastAsia="黑体"/>
                <w:snapToGrid w:val="0"/>
                <w:color w:val="000000"/>
                <w:spacing w:val="-6"/>
                <w:kern w:val="21"/>
                <w:sz w:val="21"/>
                <w:szCs w:val="21"/>
              </w:rPr>
              <w:t>污染物名称</w:t>
            </w:r>
          </w:p>
        </w:tc>
        <w:tc>
          <w:tcPr>
            <w:tcW w:w="1701" w:type="dxa"/>
            <w:tcBorders>
              <w:top w:val="single" w:color="auto" w:sz="8" w:space="0"/>
            </w:tcBorders>
            <w:tcMar>
              <w:left w:w="28" w:type="dxa"/>
              <w:right w:w="28" w:type="dxa"/>
            </w:tcMar>
            <w:vAlign w:val="center"/>
          </w:tcPr>
          <w:p w14:paraId="13ECC840">
            <w:pPr>
              <w:pStyle w:val="36"/>
              <w:spacing w:beforeLines="0" w:after="24" w:line="240" w:lineRule="auto"/>
              <w:ind w:right="0"/>
              <w:rPr>
                <w:rFonts w:ascii="Times New Roman" w:eastAsia="黑体"/>
                <w:snapToGrid w:val="0"/>
                <w:color w:val="000000"/>
                <w:spacing w:val="-6"/>
                <w:kern w:val="21"/>
                <w:sz w:val="21"/>
                <w:szCs w:val="21"/>
              </w:rPr>
            </w:pPr>
            <w:r>
              <w:rPr>
                <w:rFonts w:hint="eastAsia" w:ascii="Times New Roman" w:eastAsia="黑体"/>
                <w:snapToGrid w:val="0"/>
                <w:color w:val="000000"/>
                <w:spacing w:val="-6"/>
                <w:kern w:val="21"/>
                <w:sz w:val="21"/>
                <w:szCs w:val="21"/>
              </w:rPr>
              <w:t>现有工程</w:t>
            </w:r>
          </w:p>
          <w:p w14:paraId="6C2CA3D0">
            <w:pPr>
              <w:pStyle w:val="36"/>
              <w:spacing w:beforeLines="0" w:after="24" w:line="240" w:lineRule="auto"/>
              <w:ind w:right="0"/>
              <w:rPr>
                <w:rFonts w:ascii="Times New Roman" w:eastAsia="黑体"/>
                <w:snapToGrid w:val="0"/>
                <w:color w:val="000000"/>
                <w:spacing w:val="-6"/>
                <w:kern w:val="21"/>
                <w:sz w:val="21"/>
                <w:szCs w:val="21"/>
              </w:rPr>
            </w:pPr>
            <w:r>
              <w:rPr>
                <w:rFonts w:hint="eastAsia" w:ascii="Times New Roman" w:eastAsia="黑体"/>
                <w:snapToGrid w:val="0"/>
                <w:color w:val="000000"/>
                <w:spacing w:val="-6"/>
                <w:kern w:val="21"/>
                <w:sz w:val="21"/>
                <w:szCs w:val="21"/>
              </w:rPr>
              <w:t>排放量（固体废物产生量）</w:t>
            </w:r>
            <w:r>
              <w:rPr>
                <w:rFonts w:ascii="Times New Roman" w:eastAsia="黑体"/>
                <w:snapToGrid w:val="0"/>
                <w:color w:val="000000"/>
                <w:spacing w:val="-6"/>
                <w:kern w:val="21"/>
                <w:sz w:val="21"/>
                <w:szCs w:val="21"/>
              </w:rPr>
              <w:fldChar w:fldCharType="begin"/>
            </w:r>
            <w:r>
              <w:rPr>
                <w:rFonts w:ascii="Times New Roman" w:eastAsia="黑体"/>
                <w:snapToGrid w:val="0"/>
                <w:color w:val="000000"/>
                <w:spacing w:val="-6"/>
                <w:kern w:val="21"/>
                <w:sz w:val="21"/>
                <w:szCs w:val="21"/>
              </w:rPr>
              <w:instrText xml:space="preserve"> = 1 \* GB3 \* MERGEFORMAT </w:instrText>
            </w:r>
            <w:r>
              <w:rPr>
                <w:rFonts w:ascii="Times New Roman" w:eastAsia="黑体"/>
                <w:snapToGrid w:val="0"/>
                <w:color w:val="000000"/>
                <w:spacing w:val="-6"/>
                <w:kern w:val="21"/>
                <w:sz w:val="21"/>
                <w:szCs w:val="21"/>
              </w:rPr>
              <w:fldChar w:fldCharType="separate"/>
            </w:r>
            <w:r>
              <w:rPr>
                <w:rFonts w:hint="eastAsia" w:ascii="Times New Roman" w:eastAsia="黑体"/>
                <w:snapToGrid w:val="0"/>
                <w:color w:val="000000"/>
                <w:spacing w:val="-4"/>
                <w:kern w:val="2"/>
                <w:sz w:val="21"/>
                <w:szCs w:val="21"/>
              </w:rPr>
              <w:t>①</w:t>
            </w:r>
            <w:r>
              <w:rPr>
                <w:rFonts w:ascii="Times New Roman" w:eastAsia="黑体"/>
                <w:snapToGrid w:val="0"/>
                <w:color w:val="000000"/>
                <w:spacing w:val="-6"/>
                <w:kern w:val="21"/>
                <w:sz w:val="21"/>
                <w:szCs w:val="21"/>
              </w:rPr>
              <w:fldChar w:fldCharType="end"/>
            </w:r>
          </w:p>
        </w:tc>
        <w:tc>
          <w:tcPr>
            <w:tcW w:w="1276" w:type="dxa"/>
            <w:tcBorders>
              <w:top w:val="single" w:color="auto" w:sz="8" w:space="0"/>
            </w:tcBorders>
            <w:tcMar>
              <w:left w:w="28" w:type="dxa"/>
              <w:right w:w="28" w:type="dxa"/>
            </w:tcMar>
            <w:vAlign w:val="center"/>
          </w:tcPr>
          <w:p w14:paraId="01CB251C">
            <w:pPr>
              <w:pStyle w:val="36"/>
              <w:spacing w:beforeLines="0" w:after="24" w:line="240" w:lineRule="auto"/>
              <w:ind w:right="0"/>
              <w:rPr>
                <w:rFonts w:ascii="Times New Roman" w:eastAsia="黑体"/>
                <w:snapToGrid w:val="0"/>
                <w:color w:val="000000"/>
                <w:spacing w:val="-6"/>
                <w:kern w:val="21"/>
                <w:sz w:val="21"/>
                <w:szCs w:val="21"/>
              </w:rPr>
            </w:pPr>
            <w:r>
              <w:rPr>
                <w:rFonts w:hint="eastAsia" w:ascii="Times New Roman" w:eastAsia="黑体"/>
                <w:snapToGrid w:val="0"/>
                <w:color w:val="000000"/>
                <w:spacing w:val="-6"/>
                <w:kern w:val="21"/>
                <w:sz w:val="21"/>
                <w:szCs w:val="21"/>
              </w:rPr>
              <w:t>现有工程</w:t>
            </w:r>
          </w:p>
          <w:p w14:paraId="72C188B0">
            <w:pPr>
              <w:pStyle w:val="36"/>
              <w:spacing w:beforeLines="0" w:after="24" w:line="240" w:lineRule="auto"/>
              <w:ind w:right="0"/>
              <w:rPr>
                <w:rFonts w:ascii="Times New Roman" w:eastAsia="黑体"/>
                <w:snapToGrid w:val="0"/>
                <w:color w:val="000000"/>
                <w:spacing w:val="-6"/>
                <w:kern w:val="21"/>
                <w:sz w:val="21"/>
                <w:szCs w:val="21"/>
              </w:rPr>
            </w:pPr>
            <w:r>
              <w:rPr>
                <w:rFonts w:hint="eastAsia" w:ascii="Times New Roman" w:eastAsia="黑体"/>
                <w:snapToGrid w:val="0"/>
                <w:color w:val="000000"/>
                <w:spacing w:val="-6"/>
                <w:kern w:val="21"/>
                <w:sz w:val="21"/>
                <w:szCs w:val="21"/>
              </w:rPr>
              <w:t>许可排放量</w:t>
            </w:r>
          </w:p>
          <w:p w14:paraId="37510E47">
            <w:pPr>
              <w:pStyle w:val="36"/>
              <w:spacing w:beforeLines="0" w:after="24" w:line="240" w:lineRule="auto"/>
              <w:ind w:right="0"/>
              <w:rPr>
                <w:rFonts w:ascii="Times New Roman" w:eastAsia="黑体"/>
                <w:snapToGrid w:val="0"/>
                <w:color w:val="000000"/>
                <w:spacing w:val="-6"/>
                <w:kern w:val="21"/>
                <w:sz w:val="21"/>
                <w:szCs w:val="21"/>
              </w:rPr>
            </w:pPr>
            <w:r>
              <w:rPr>
                <w:rFonts w:ascii="Times New Roman" w:eastAsia="黑体"/>
                <w:snapToGrid w:val="0"/>
                <w:color w:val="000000"/>
                <w:spacing w:val="-6"/>
                <w:kern w:val="21"/>
                <w:sz w:val="21"/>
                <w:szCs w:val="21"/>
              </w:rPr>
              <w:fldChar w:fldCharType="begin"/>
            </w:r>
            <w:r>
              <w:rPr>
                <w:rFonts w:ascii="Times New Roman" w:eastAsia="黑体"/>
                <w:snapToGrid w:val="0"/>
                <w:color w:val="000000"/>
                <w:spacing w:val="-6"/>
                <w:kern w:val="21"/>
                <w:sz w:val="21"/>
                <w:szCs w:val="21"/>
              </w:rPr>
              <w:instrText xml:space="preserve"> = 2 \* GB3 \* MERGEFORMAT </w:instrText>
            </w:r>
            <w:r>
              <w:rPr>
                <w:rFonts w:ascii="Times New Roman" w:eastAsia="黑体"/>
                <w:snapToGrid w:val="0"/>
                <w:color w:val="000000"/>
                <w:spacing w:val="-6"/>
                <w:kern w:val="21"/>
                <w:sz w:val="21"/>
                <w:szCs w:val="21"/>
              </w:rPr>
              <w:fldChar w:fldCharType="separate"/>
            </w:r>
            <w:r>
              <w:rPr>
                <w:rFonts w:hint="eastAsia" w:ascii="Times New Roman" w:eastAsia="黑体"/>
                <w:snapToGrid w:val="0"/>
                <w:color w:val="000000"/>
                <w:spacing w:val="-6"/>
                <w:kern w:val="21"/>
                <w:sz w:val="21"/>
                <w:szCs w:val="21"/>
              </w:rPr>
              <w:t>②</w:t>
            </w:r>
            <w:r>
              <w:rPr>
                <w:rFonts w:ascii="Times New Roman" w:eastAsia="黑体"/>
                <w:snapToGrid w:val="0"/>
                <w:color w:val="000000"/>
                <w:spacing w:val="-6"/>
                <w:kern w:val="21"/>
                <w:sz w:val="21"/>
                <w:szCs w:val="21"/>
              </w:rPr>
              <w:fldChar w:fldCharType="end"/>
            </w:r>
          </w:p>
        </w:tc>
        <w:tc>
          <w:tcPr>
            <w:tcW w:w="1701" w:type="dxa"/>
            <w:tcBorders>
              <w:top w:val="single" w:color="auto" w:sz="8" w:space="0"/>
            </w:tcBorders>
            <w:tcMar>
              <w:left w:w="28" w:type="dxa"/>
              <w:right w:w="28" w:type="dxa"/>
            </w:tcMar>
            <w:vAlign w:val="center"/>
          </w:tcPr>
          <w:p w14:paraId="7BBFEEAC">
            <w:pPr>
              <w:pStyle w:val="36"/>
              <w:spacing w:beforeLines="0" w:after="24" w:line="240" w:lineRule="auto"/>
              <w:ind w:right="0"/>
              <w:rPr>
                <w:rFonts w:ascii="Times New Roman" w:eastAsia="黑体"/>
                <w:snapToGrid w:val="0"/>
                <w:color w:val="000000"/>
                <w:spacing w:val="-6"/>
                <w:kern w:val="21"/>
                <w:sz w:val="21"/>
                <w:szCs w:val="21"/>
              </w:rPr>
            </w:pPr>
            <w:r>
              <w:rPr>
                <w:rFonts w:hint="eastAsia" w:ascii="Times New Roman" w:eastAsia="黑体"/>
                <w:snapToGrid w:val="0"/>
                <w:color w:val="000000"/>
                <w:spacing w:val="-6"/>
                <w:kern w:val="21"/>
                <w:sz w:val="21"/>
                <w:szCs w:val="21"/>
              </w:rPr>
              <w:t>在建工程</w:t>
            </w:r>
          </w:p>
          <w:p w14:paraId="552F2298">
            <w:pPr>
              <w:pStyle w:val="36"/>
              <w:spacing w:beforeLines="0" w:after="24" w:line="240" w:lineRule="auto"/>
              <w:ind w:right="0"/>
              <w:rPr>
                <w:rFonts w:ascii="Times New Roman" w:eastAsia="黑体"/>
                <w:snapToGrid w:val="0"/>
                <w:color w:val="000000"/>
                <w:spacing w:val="-6"/>
                <w:kern w:val="21"/>
                <w:sz w:val="21"/>
                <w:szCs w:val="21"/>
              </w:rPr>
            </w:pPr>
            <w:r>
              <w:rPr>
                <w:rFonts w:hint="eastAsia" w:ascii="Times New Roman" w:eastAsia="黑体"/>
                <w:snapToGrid w:val="0"/>
                <w:color w:val="000000"/>
                <w:spacing w:val="-6"/>
                <w:kern w:val="21"/>
                <w:sz w:val="21"/>
                <w:szCs w:val="21"/>
              </w:rPr>
              <w:t>排放量（固体废物产生量）</w:t>
            </w:r>
            <w:r>
              <w:rPr>
                <w:rFonts w:ascii="Times New Roman" w:eastAsia="黑体"/>
                <w:snapToGrid w:val="0"/>
                <w:color w:val="000000"/>
                <w:spacing w:val="-6"/>
                <w:kern w:val="21"/>
                <w:sz w:val="21"/>
                <w:szCs w:val="21"/>
              </w:rPr>
              <w:fldChar w:fldCharType="begin"/>
            </w:r>
            <w:r>
              <w:rPr>
                <w:rFonts w:ascii="Times New Roman" w:eastAsia="黑体"/>
                <w:snapToGrid w:val="0"/>
                <w:color w:val="000000"/>
                <w:spacing w:val="-6"/>
                <w:kern w:val="21"/>
                <w:sz w:val="21"/>
                <w:szCs w:val="21"/>
              </w:rPr>
              <w:instrText xml:space="preserve"> = 3 \* GB3 \* MERGEFORMAT </w:instrText>
            </w:r>
            <w:r>
              <w:rPr>
                <w:rFonts w:ascii="Times New Roman" w:eastAsia="黑体"/>
                <w:snapToGrid w:val="0"/>
                <w:color w:val="000000"/>
                <w:spacing w:val="-6"/>
                <w:kern w:val="21"/>
                <w:sz w:val="21"/>
                <w:szCs w:val="21"/>
              </w:rPr>
              <w:fldChar w:fldCharType="separate"/>
            </w:r>
            <w:r>
              <w:rPr>
                <w:rFonts w:hint="eastAsia" w:ascii="Times New Roman" w:eastAsia="黑体"/>
                <w:snapToGrid w:val="0"/>
                <w:color w:val="000000"/>
                <w:spacing w:val="-4"/>
                <w:kern w:val="2"/>
                <w:sz w:val="21"/>
                <w:szCs w:val="21"/>
              </w:rPr>
              <w:t>③</w:t>
            </w:r>
            <w:r>
              <w:rPr>
                <w:rFonts w:ascii="Times New Roman" w:eastAsia="黑体"/>
                <w:snapToGrid w:val="0"/>
                <w:color w:val="000000"/>
                <w:spacing w:val="-6"/>
                <w:kern w:val="21"/>
                <w:sz w:val="21"/>
                <w:szCs w:val="21"/>
              </w:rPr>
              <w:fldChar w:fldCharType="end"/>
            </w:r>
          </w:p>
        </w:tc>
        <w:tc>
          <w:tcPr>
            <w:tcW w:w="1559" w:type="dxa"/>
            <w:tcBorders>
              <w:top w:val="single" w:color="auto" w:sz="8" w:space="0"/>
            </w:tcBorders>
            <w:tcMar>
              <w:left w:w="28" w:type="dxa"/>
              <w:right w:w="28" w:type="dxa"/>
            </w:tcMar>
            <w:vAlign w:val="center"/>
          </w:tcPr>
          <w:p w14:paraId="4ECF13F9">
            <w:pPr>
              <w:pStyle w:val="36"/>
              <w:spacing w:beforeLines="0" w:after="24" w:line="240" w:lineRule="auto"/>
              <w:ind w:right="0"/>
              <w:rPr>
                <w:rFonts w:ascii="Times New Roman" w:eastAsia="黑体"/>
                <w:snapToGrid w:val="0"/>
                <w:color w:val="000000"/>
                <w:spacing w:val="-6"/>
                <w:kern w:val="21"/>
                <w:sz w:val="21"/>
                <w:szCs w:val="21"/>
              </w:rPr>
            </w:pPr>
            <w:r>
              <w:rPr>
                <w:rFonts w:hint="eastAsia" w:ascii="Times New Roman" w:eastAsia="黑体"/>
                <w:snapToGrid w:val="0"/>
                <w:color w:val="000000"/>
                <w:spacing w:val="-6"/>
                <w:kern w:val="21"/>
                <w:sz w:val="21"/>
                <w:szCs w:val="21"/>
              </w:rPr>
              <w:t>本项目</w:t>
            </w:r>
          </w:p>
          <w:p w14:paraId="093C94FF">
            <w:pPr>
              <w:pStyle w:val="36"/>
              <w:spacing w:beforeLines="0" w:after="24" w:line="240" w:lineRule="auto"/>
              <w:ind w:right="0"/>
              <w:rPr>
                <w:rFonts w:ascii="Times New Roman" w:eastAsia="黑体"/>
                <w:snapToGrid w:val="0"/>
                <w:color w:val="000000"/>
                <w:spacing w:val="-6"/>
                <w:kern w:val="21"/>
                <w:sz w:val="21"/>
                <w:szCs w:val="21"/>
              </w:rPr>
            </w:pPr>
            <w:r>
              <w:rPr>
                <w:rFonts w:hint="eastAsia" w:ascii="Times New Roman" w:eastAsia="黑体"/>
                <w:snapToGrid w:val="0"/>
                <w:color w:val="000000"/>
                <w:spacing w:val="-6"/>
                <w:kern w:val="21"/>
                <w:sz w:val="21"/>
                <w:szCs w:val="21"/>
              </w:rPr>
              <w:t>排放量（固体废物产生量）</w:t>
            </w:r>
            <w:r>
              <w:rPr>
                <w:rFonts w:ascii="Times New Roman" w:eastAsia="黑体"/>
                <w:snapToGrid w:val="0"/>
                <w:color w:val="000000"/>
                <w:spacing w:val="-6"/>
                <w:kern w:val="21"/>
                <w:sz w:val="21"/>
                <w:szCs w:val="21"/>
              </w:rPr>
              <w:fldChar w:fldCharType="begin"/>
            </w:r>
            <w:r>
              <w:rPr>
                <w:rFonts w:ascii="Times New Roman" w:eastAsia="黑体"/>
                <w:snapToGrid w:val="0"/>
                <w:color w:val="000000"/>
                <w:spacing w:val="-6"/>
                <w:kern w:val="21"/>
                <w:sz w:val="21"/>
                <w:szCs w:val="21"/>
              </w:rPr>
              <w:instrText xml:space="preserve"> = 4 \* GB3 \* MERGEFORMAT </w:instrText>
            </w:r>
            <w:r>
              <w:rPr>
                <w:rFonts w:ascii="Times New Roman" w:eastAsia="黑体"/>
                <w:snapToGrid w:val="0"/>
                <w:color w:val="000000"/>
                <w:spacing w:val="-6"/>
                <w:kern w:val="21"/>
                <w:sz w:val="21"/>
                <w:szCs w:val="21"/>
              </w:rPr>
              <w:fldChar w:fldCharType="separate"/>
            </w:r>
            <w:r>
              <w:rPr>
                <w:rFonts w:hint="eastAsia" w:ascii="Times New Roman" w:eastAsia="黑体"/>
                <w:snapToGrid w:val="0"/>
                <w:color w:val="000000"/>
                <w:spacing w:val="-4"/>
                <w:kern w:val="2"/>
                <w:sz w:val="21"/>
                <w:szCs w:val="21"/>
              </w:rPr>
              <w:t>④</w:t>
            </w:r>
            <w:r>
              <w:rPr>
                <w:rFonts w:ascii="Times New Roman" w:eastAsia="黑体"/>
                <w:snapToGrid w:val="0"/>
                <w:color w:val="000000"/>
                <w:spacing w:val="-6"/>
                <w:kern w:val="21"/>
                <w:sz w:val="21"/>
                <w:szCs w:val="21"/>
              </w:rPr>
              <w:fldChar w:fldCharType="end"/>
            </w:r>
          </w:p>
        </w:tc>
        <w:tc>
          <w:tcPr>
            <w:tcW w:w="1761" w:type="dxa"/>
            <w:tcBorders>
              <w:top w:val="single" w:color="auto" w:sz="8" w:space="0"/>
            </w:tcBorders>
            <w:tcMar>
              <w:left w:w="28" w:type="dxa"/>
              <w:right w:w="28" w:type="dxa"/>
            </w:tcMar>
            <w:vAlign w:val="center"/>
          </w:tcPr>
          <w:p w14:paraId="386B1B95">
            <w:pPr>
              <w:pStyle w:val="36"/>
              <w:spacing w:beforeLines="0" w:after="24" w:line="240" w:lineRule="auto"/>
              <w:ind w:right="0"/>
              <w:rPr>
                <w:rFonts w:ascii="Times New Roman" w:eastAsia="黑体"/>
                <w:snapToGrid w:val="0"/>
                <w:color w:val="000000"/>
                <w:spacing w:val="-16"/>
                <w:kern w:val="21"/>
                <w:sz w:val="21"/>
                <w:szCs w:val="21"/>
              </w:rPr>
            </w:pPr>
            <w:r>
              <w:rPr>
                <w:rFonts w:hint="eastAsia" w:ascii="Times New Roman" w:eastAsia="黑体"/>
                <w:snapToGrid w:val="0"/>
                <w:color w:val="000000"/>
                <w:spacing w:val="-16"/>
                <w:kern w:val="21"/>
                <w:sz w:val="21"/>
                <w:szCs w:val="21"/>
              </w:rPr>
              <w:t>以新带老削减量</w:t>
            </w:r>
          </w:p>
          <w:p w14:paraId="2ED1C12D">
            <w:pPr>
              <w:pStyle w:val="36"/>
              <w:spacing w:beforeLines="0" w:after="24" w:line="240" w:lineRule="auto"/>
              <w:ind w:right="0"/>
              <w:rPr>
                <w:rFonts w:ascii="Times New Roman" w:eastAsia="黑体"/>
                <w:snapToGrid w:val="0"/>
                <w:color w:val="000000"/>
                <w:spacing w:val="-16"/>
                <w:kern w:val="21"/>
                <w:sz w:val="21"/>
                <w:szCs w:val="21"/>
              </w:rPr>
            </w:pPr>
            <w:r>
              <w:rPr>
                <w:rFonts w:hint="eastAsia" w:ascii="Times New Roman" w:eastAsia="黑体"/>
                <w:snapToGrid w:val="0"/>
                <w:color w:val="000000"/>
                <w:spacing w:val="-16"/>
                <w:kern w:val="21"/>
                <w:sz w:val="21"/>
                <w:szCs w:val="21"/>
              </w:rPr>
              <w:t>（新建项目不填）</w:t>
            </w:r>
            <w:r>
              <w:rPr>
                <w:rFonts w:ascii="Times New Roman" w:eastAsia="黑体"/>
                <w:snapToGrid w:val="0"/>
                <w:color w:val="000000"/>
                <w:spacing w:val="-16"/>
                <w:kern w:val="21"/>
                <w:sz w:val="21"/>
                <w:szCs w:val="21"/>
              </w:rPr>
              <w:fldChar w:fldCharType="begin"/>
            </w:r>
            <w:r>
              <w:rPr>
                <w:rFonts w:ascii="Times New Roman" w:eastAsia="黑体"/>
                <w:snapToGrid w:val="0"/>
                <w:color w:val="000000"/>
                <w:spacing w:val="-16"/>
                <w:kern w:val="21"/>
                <w:sz w:val="21"/>
                <w:szCs w:val="21"/>
              </w:rPr>
              <w:instrText xml:space="preserve"> = 5 \* GB3 \* MERGEFORMAT </w:instrText>
            </w:r>
            <w:r>
              <w:rPr>
                <w:rFonts w:ascii="Times New Roman" w:eastAsia="黑体"/>
                <w:snapToGrid w:val="0"/>
                <w:color w:val="000000"/>
                <w:spacing w:val="-16"/>
                <w:kern w:val="21"/>
                <w:sz w:val="21"/>
                <w:szCs w:val="21"/>
              </w:rPr>
              <w:fldChar w:fldCharType="separate"/>
            </w:r>
            <w:r>
              <w:rPr>
                <w:rFonts w:hint="eastAsia" w:ascii="Times New Roman" w:eastAsia="黑体"/>
                <w:snapToGrid w:val="0"/>
                <w:color w:val="000000"/>
                <w:spacing w:val="-4"/>
                <w:kern w:val="2"/>
                <w:sz w:val="21"/>
                <w:szCs w:val="21"/>
              </w:rPr>
              <w:t>⑤</w:t>
            </w:r>
            <w:r>
              <w:rPr>
                <w:rFonts w:ascii="Times New Roman" w:eastAsia="黑体"/>
                <w:snapToGrid w:val="0"/>
                <w:color w:val="000000"/>
                <w:spacing w:val="-16"/>
                <w:kern w:val="21"/>
                <w:sz w:val="21"/>
                <w:szCs w:val="21"/>
              </w:rPr>
              <w:fldChar w:fldCharType="end"/>
            </w:r>
          </w:p>
        </w:tc>
        <w:tc>
          <w:tcPr>
            <w:tcW w:w="1649" w:type="dxa"/>
            <w:tcBorders>
              <w:top w:val="single" w:color="auto" w:sz="8" w:space="0"/>
            </w:tcBorders>
            <w:tcMar>
              <w:left w:w="28" w:type="dxa"/>
              <w:right w:w="28" w:type="dxa"/>
            </w:tcMar>
            <w:vAlign w:val="center"/>
          </w:tcPr>
          <w:p w14:paraId="6405C6F3">
            <w:pPr>
              <w:pStyle w:val="36"/>
              <w:spacing w:beforeLines="0" w:after="24" w:line="240" w:lineRule="auto"/>
              <w:ind w:right="0"/>
              <w:rPr>
                <w:rFonts w:ascii="Times New Roman" w:eastAsia="黑体"/>
                <w:snapToGrid w:val="0"/>
                <w:color w:val="000000"/>
                <w:spacing w:val="-16"/>
                <w:kern w:val="21"/>
                <w:sz w:val="21"/>
                <w:szCs w:val="21"/>
              </w:rPr>
            </w:pPr>
            <w:r>
              <w:rPr>
                <w:rFonts w:hint="eastAsia" w:ascii="Times New Roman" w:eastAsia="黑体"/>
                <w:snapToGrid w:val="0"/>
                <w:color w:val="000000"/>
                <w:spacing w:val="-16"/>
                <w:kern w:val="21"/>
                <w:sz w:val="21"/>
                <w:szCs w:val="21"/>
              </w:rPr>
              <w:t>本项目建成后</w:t>
            </w:r>
          </w:p>
          <w:p w14:paraId="16AC679F">
            <w:pPr>
              <w:pStyle w:val="36"/>
              <w:spacing w:beforeLines="0" w:after="24" w:line="240" w:lineRule="auto"/>
              <w:ind w:right="0"/>
              <w:rPr>
                <w:rFonts w:ascii="Times New Roman" w:eastAsia="黑体"/>
                <w:snapToGrid w:val="0"/>
                <w:color w:val="000000"/>
                <w:spacing w:val="-16"/>
                <w:kern w:val="21"/>
                <w:sz w:val="21"/>
                <w:szCs w:val="21"/>
              </w:rPr>
            </w:pPr>
            <w:r>
              <w:rPr>
                <w:rFonts w:hint="eastAsia" w:ascii="Times New Roman" w:eastAsia="黑体"/>
                <w:snapToGrid w:val="0"/>
                <w:color w:val="000000"/>
                <w:spacing w:val="-16"/>
                <w:kern w:val="21"/>
                <w:sz w:val="21"/>
                <w:szCs w:val="21"/>
              </w:rPr>
              <w:t>全厂排放量（固体废物产生量）</w:t>
            </w:r>
            <w:r>
              <w:rPr>
                <w:rFonts w:ascii="Times New Roman" w:eastAsia="黑体"/>
                <w:snapToGrid w:val="0"/>
                <w:color w:val="000000"/>
                <w:spacing w:val="-16"/>
                <w:kern w:val="21"/>
                <w:sz w:val="21"/>
                <w:szCs w:val="21"/>
              </w:rPr>
              <w:fldChar w:fldCharType="begin"/>
            </w:r>
            <w:r>
              <w:rPr>
                <w:rFonts w:ascii="Times New Roman" w:eastAsia="黑体"/>
                <w:snapToGrid w:val="0"/>
                <w:color w:val="000000"/>
                <w:spacing w:val="-16"/>
                <w:kern w:val="21"/>
                <w:sz w:val="21"/>
                <w:szCs w:val="21"/>
              </w:rPr>
              <w:instrText xml:space="preserve"> = 6 \* GB3 \* MERGEFORMAT </w:instrText>
            </w:r>
            <w:r>
              <w:rPr>
                <w:rFonts w:ascii="Times New Roman" w:eastAsia="黑体"/>
                <w:snapToGrid w:val="0"/>
                <w:color w:val="000000"/>
                <w:spacing w:val="-16"/>
                <w:kern w:val="21"/>
                <w:sz w:val="21"/>
                <w:szCs w:val="21"/>
              </w:rPr>
              <w:fldChar w:fldCharType="separate"/>
            </w:r>
            <w:r>
              <w:rPr>
                <w:rFonts w:hint="eastAsia" w:ascii="Times New Roman" w:eastAsia="黑体"/>
                <w:snapToGrid w:val="0"/>
                <w:color w:val="000000"/>
                <w:spacing w:val="-4"/>
                <w:kern w:val="2"/>
                <w:sz w:val="21"/>
                <w:szCs w:val="21"/>
              </w:rPr>
              <w:t>⑥</w:t>
            </w:r>
            <w:r>
              <w:rPr>
                <w:rFonts w:ascii="Times New Roman" w:eastAsia="黑体"/>
                <w:snapToGrid w:val="0"/>
                <w:color w:val="000000"/>
                <w:spacing w:val="-16"/>
                <w:kern w:val="21"/>
                <w:sz w:val="21"/>
                <w:szCs w:val="21"/>
              </w:rPr>
              <w:fldChar w:fldCharType="end"/>
            </w:r>
          </w:p>
        </w:tc>
        <w:tc>
          <w:tcPr>
            <w:tcW w:w="1136" w:type="dxa"/>
            <w:tcBorders>
              <w:top w:val="single" w:color="auto" w:sz="8" w:space="0"/>
            </w:tcBorders>
            <w:tcMar>
              <w:left w:w="28" w:type="dxa"/>
              <w:right w:w="28" w:type="dxa"/>
            </w:tcMar>
            <w:vAlign w:val="center"/>
          </w:tcPr>
          <w:p w14:paraId="51D9701C">
            <w:pPr>
              <w:pStyle w:val="36"/>
              <w:spacing w:beforeLines="0" w:after="24" w:line="240" w:lineRule="auto"/>
              <w:ind w:right="0"/>
              <w:rPr>
                <w:rFonts w:ascii="Times New Roman" w:eastAsia="黑体"/>
                <w:snapToGrid w:val="0"/>
                <w:color w:val="000000"/>
                <w:spacing w:val="-6"/>
                <w:kern w:val="21"/>
                <w:sz w:val="21"/>
                <w:szCs w:val="21"/>
              </w:rPr>
            </w:pPr>
            <w:r>
              <w:rPr>
                <w:rFonts w:hint="eastAsia" w:ascii="Times New Roman" w:eastAsia="黑体"/>
                <w:snapToGrid w:val="0"/>
                <w:color w:val="000000"/>
                <w:spacing w:val="-6"/>
                <w:kern w:val="21"/>
                <w:sz w:val="21"/>
                <w:szCs w:val="21"/>
              </w:rPr>
              <w:t>变化量</w:t>
            </w:r>
          </w:p>
          <w:p w14:paraId="0F0EC33E">
            <w:pPr>
              <w:pStyle w:val="36"/>
              <w:spacing w:beforeLines="0" w:after="24" w:line="240" w:lineRule="auto"/>
              <w:ind w:right="0"/>
              <w:rPr>
                <w:rFonts w:ascii="Times New Roman" w:eastAsia="黑体"/>
                <w:snapToGrid w:val="0"/>
                <w:color w:val="000000"/>
                <w:spacing w:val="-6"/>
                <w:kern w:val="21"/>
                <w:sz w:val="21"/>
                <w:szCs w:val="21"/>
              </w:rPr>
            </w:pPr>
            <w:r>
              <w:rPr>
                <w:rFonts w:ascii="Times New Roman" w:eastAsia="黑体"/>
                <w:snapToGrid w:val="0"/>
                <w:color w:val="000000"/>
                <w:spacing w:val="-6"/>
                <w:kern w:val="21"/>
                <w:sz w:val="21"/>
                <w:szCs w:val="21"/>
              </w:rPr>
              <w:fldChar w:fldCharType="begin"/>
            </w:r>
            <w:r>
              <w:rPr>
                <w:rFonts w:ascii="Times New Roman" w:eastAsia="黑体"/>
                <w:snapToGrid w:val="0"/>
                <w:color w:val="000000"/>
                <w:spacing w:val="-6"/>
                <w:kern w:val="21"/>
                <w:sz w:val="21"/>
                <w:szCs w:val="21"/>
              </w:rPr>
              <w:instrText xml:space="preserve"> = 7 \* GB3 \* MERGEFORMAT </w:instrText>
            </w:r>
            <w:r>
              <w:rPr>
                <w:rFonts w:ascii="Times New Roman" w:eastAsia="黑体"/>
                <w:snapToGrid w:val="0"/>
                <w:color w:val="000000"/>
                <w:spacing w:val="-6"/>
                <w:kern w:val="21"/>
                <w:sz w:val="21"/>
                <w:szCs w:val="21"/>
              </w:rPr>
              <w:fldChar w:fldCharType="separate"/>
            </w:r>
            <w:r>
              <w:rPr>
                <w:rFonts w:hint="eastAsia" w:ascii="Times New Roman" w:eastAsia="黑体"/>
                <w:snapToGrid w:val="0"/>
                <w:color w:val="000000"/>
                <w:spacing w:val="-4"/>
                <w:kern w:val="2"/>
                <w:sz w:val="21"/>
                <w:szCs w:val="21"/>
              </w:rPr>
              <w:t>⑦</w:t>
            </w:r>
            <w:r>
              <w:rPr>
                <w:rFonts w:ascii="Times New Roman" w:eastAsia="黑体"/>
                <w:snapToGrid w:val="0"/>
                <w:color w:val="000000"/>
                <w:spacing w:val="-6"/>
                <w:kern w:val="21"/>
                <w:sz w:val="21"/>
                <w:szCs w:val="21"/>
              </w:rPr>
              <w:fldChar w:fldCharType="end"/>
            </w:r>
          </w:p>
        </w:tc>
      </w:tr>
      <w:tr w14:paraId="1F6FE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restart"/>
            <w:vAlign w:val="center"/>
          </w:tcPr>
          <w:p w14:paraId="57B3C5E1">
            <w:pPr>
              <w:pStyle w:val="36"/>
              <w:spacing w:beforeLines="0" w:after="24" w:line="240" w:lineRule="auto"/>
              <w:ind w:right="0"/>
              <w:rPr>
                <w:rFonts w:hAnsi="宋体" w:cs="宋体"/>
                <w:snapToGrid w:val="0"/>
                <w:color w:val="000000"/>
                <w:spacing w:val="-4"/>
                <w:kern w:val="21"/>
                <w:sz w:val="21"/>
                <w:szCs w:val="21"/>
              </w:rPr>
            </w:pPr>
            <w:r>
              <w:rPr>
                <w:rFonts w:hint="eastAsia" w:hAnsi="宋体" w:cs="宋体"/>
                <w:snapToGrid w:val="0"/>
                <w:color w:val="000000"/>
                <w:spacing w:val="-4"/>
                <w:kern w:val="21"/>
                <w:sz w:val="21"/>
                <w:szCs w:val="21"/>
              </w:rPr>
              <w:t>废气</w:t>
            </w:r>
          </w:p>
        </w:tc>
        <w:tc>
          <w:tcPr>
            <w:tcW w:w="1417" w:type="dxa"/>
            <w:vAlign w:val="center"/>
          </w:tcPr>
          <w:p w14:paraId="6A85D7D4">
            <w:pPr>
              <w:adjustRightInd w:val="0"/>
              <w:snapToGrid w:val="0"/>
              <w:spacing w:beforeLines="20" w:afterLines="20"/>
              <w:jc w:val="center"/>
              <w:rPr>
                <w:rFonts w:hint="default" w:eastAsia="宋体"/>
                <w:snapToGrid w:val="0"/>
                <w:color w:val="000000"/>
                <w:sz w:val="21"/>
                <w:szCs w:val="21"/>
                <w:lang w:val="en-US" w:eastAsia="zh-CN"/>
              </w:rPr>
            </w:pPr>
            <w:r>
              <w:rPr>
                <w:rFonts w:hint="eastAsia"/>
                <w:snapToGrid w:val="0"/>
                <w:color w:val="000000"/>
                <w:sz w:val="21"/>
                <w:szCs w:val="21"/>
                <w:lang w:val="en-US" w:eastAsia="zh-CN"/>
              </w:rPr>
              <w:t>非甲烷总烃</w:t>
            </w:r>
          </w:p>
        </w:tc>
        <w:tc>
          <w:tcPr>
            <w:tcW w:w="1701" w:type="dxa"/>
            <w:vAlign w:val="center"/>
          </w:tcPr>
          <w:p w14:paraId="776D8083">
            <w:pPr>
              <w:adjustRightInd w:val="0"/>
              <w:snapToGrid w:val="0"/>
              <w:spacing w:beforeLines="20" w:afterLines="20"/>
              <w:jc w:val="center"/>
              <w:rPr>
                <w:snapToGrid w:val="0"/>
                <w:color w:val="000000"/>
                <w:sz w:val="21"/>
                <w:szCs w:val="21"/>
              </w:rPr>
            </w:pPr>
            <w:r>
              <w:rPr>
                <w:rFonts w:hint="eastAsia"/>
                <w:sz w:val="21"/>
                <w:szCs w:val="21"/>
                <w:lang w:val="en-US" w:eastAsia="zh-CN"/>
              </w:rPr>
              <w:t>0</w:t>
            </w:r>
          </w:p>
        </w:tc>
        <w:tc>
          <w:tcPr>
            <w:tcW w:w="1276" w:type="dxa"/>
            <w:vAlign w:val="center"/>
          </w:tcPr>
          <w:p w14:paraId="6E635D41">
            <w:pPr>
              <w:adjustRightInd w:val="0"/>
              <w:snapToGrid w:val="0"/>
              <w:spacing w:beforeLines="20" w:afterLines="20"/>
              <w:jc w:val="center"/>
              <w:rPr>
                <w:snapToGrid w:val="0"/>
                <w:color w:val="000000"/>
                <w:sz w:val="21"/>
                <w:szCs w:val="21"/>
              </w:rPr>
            </w:pPr>
            <w:r>
              <w:rPr>
                <w:rFonts w:hint="eastAsia"/>
                <w:sz w:val="21"/>
                <w:szCs w:val="21"/>
                <w:lang w:val="en-US" w:eastAsia="zh-CN"/>
              </w:rPr>
              <w:t>0</w:t>
            </w:r>
          </w:p>
        </w:tc>
        <w:tc>
          <w:tcPr>
            <w:tcW w:w="1701" w:type="dxa"/>
            <w:vMerge w:val="restart"/>
            <w:vAlign w:val="center"/>
          </w:tcPr>
          <w:p w14:paraId="5350A870">
            <w:pPr>
              <w:adjustRightInd w:val="0"/>
              <w:snapToGrid w:val="0"/>
              <w:spacing w:beforeLines="20" w:afterLines="20"/>
              <w:jc w:val="center"/>
              <w:rPr>
                <w:snapToGrid w:val="0"/>
                <w:color w:val="000000"/>
                <w:sz w:val="21"/>
                <w:szCs w:val="21"/>
              </w:rPr>
            </w:pPr>
            <w:r>
              <w:rPr>
                <w:snapToGrid w:val="0"/>
                <w:color w:val="000000"/>
                <w:sz w:val="21"/>
                <w:szCs w:val="21"/>
              </w:rPr>
              <w:t>/</w:t>
            </w:r>
          </w:p>
        </w:tc>
        <w:tc>
          <w:tcPr>
            <w:tcW w:w="1559" w:type="dxa"/>
            <w:vAlign w:val="center"/>
          </w:tcPr>
          <w:p w14:paraId="5575A9A5">
            <w:pPr>
              <w:adjustRightInd w:val="0"/>
              <w:snapToGrid w:val="0"/>
              <w:spacing w:beforeLines="20" w:afterLines="20"/>
              <w:jc w:val="center"/>
              <w:rPr>
                <w:snapToGrid w:val="0"/>
                <w:color w:val="000000"/>
                <w:sz w:val="21"/>
                <w:szCs w:val="21"/>
              </w:rPr>
            </w:pPr>
            <w:r>
              <w:rPr>
                <w:rFonts w:hint="eastAsia"/>
                <w:snapToGrid w:val="0"/>
                <w:color w:val="000000"/>
                <w:sz w:val="21"/>
                <w:szCs w:val="21"/>
              </w:rPr>
              <w:t>0.735</w:t>
            </w:r>
          </w:p>
        </w:tc>
        <w:tc>
          <w:tcPr>
            <w:tcW w:w="1761" w:type="dxa"/>
            <w:vAlign w:val="center"/>
          </w:tcPr>
          <w:p w14:paraId="4670EF61">
            <w:pPr>
              <w:overflowPunct w:val="0"/>
              <w:adjustRightInd w:val="0"/>
              <w:snapToGrid w:val="0"/>
              <w:spacing w:beforeLines="20" w:afterLines="20"/>
              <w:jc w:val="center"/>
              <w:rPr>
                <w:snapToGrid w:val="0"/>
                <w:color w:val="000000"/>
                <w:sz w:val="21"/>
                <w:szCs w:val="21"/>
              </w:rPr>
            </w:pPr>
            <w:r>
              <w:rPr>
                <w:color w:val="000000"/>
                <w:sz w:val="21"/>
                <w:szCs w:val="21"/>
              </w:rPr>
              <w:t>0</w:t>
            </w:r>
          </w:p>
        </w:tc>
        <w:tc>
          <w:tcPr>
            <w:tcW w:w="1649" w:type="dxa"/>
            <w:vAlign w:val="center"/>
          </w:tcPr>
          <w:p w14:paraId="3F5271FA">
            <w:pPr>
              <w:adjustRightInd w:val="0"/>
              <w:snapToGrid w:val="0"/>
              <w:spacing w:beforeLines="20" w:afterLines="20"/>
              <w:jc w:val="center"/>
              <w:rPr>
                <w:snapToGrid w:val="0"/>
                <w:color w:val="000000"/>
                <w:sz w:val="21"/>
                <w:szCs w:val="21"/>
              </w:rPr>
            </w:pPr>
            <w:r>
              <w:rPr>
                <w:rFonts w:hint="eastAsia"/>
                <w:snapToGrid w:val="0"/>
                <w:color w:val="000000"/>
                <w:sz w:val="21"/>
                <w:szCs w:val="21"/>
              </w:rPr>
              <w:t>0.735</w:t>
            </w:r>
          </w:p>
        </w:tc>
        <w:tc>
          <w:tcPr>
            <w:tcW w:w="1136" w:type="dxa"/>
            <w:vAlign w:val="center"/>
          </w:tcPr>
          <w:p w14:paraId="6DE2907B">
            <w:pPr>
              <w:adjustRightInd w:val="0"/>
              <w:snapToGrid w:val="0"/>
              <w:spacing w:beforeLines="20" w:afterLines="20"/>
              <w:jc w:val="center"/>
              <w:rPr>
                <w:snapToGrid w:val="0"/>
                <w:color w:val="000000"/>
                <w:sz w:val="21"/>
                <w:szCs w:val="21"/>
              </w:rPr>
            </w:pPr>
            <w:r>
              <w:rPr>
                <w:rFonts w:hint="eastAsia"/>
                <w:snapToGrid w:val="0"/>
                <w:color w:val="000000"/>
                <w:sz w:val="21"/>
                <w:szCs w:val="21"/>
                <w:lang w:val="en-US" w:eastAsia="zh-CN"/>
              </w:rPr>
              <w:t>+</w:t>
            </w:r>
            <w:r>
              <w:rPr>
                <w:rFonts w:hint="eastAsia"/>
                <w:snapToGrid w:val="0"/>
                <w:color w:val="000000"/>
                <w:sz w:val="21"/>
                <w:szCs w:val="21"/>
              </w:rPr>
              <w:t>0.735</w:t>
            </w:r>
          </w:p>
        </w:tc>
      </w:tr>
      <w:tr w14:paraId="55E27B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continue"/>
            <w:vAlign w:val="center"/>
          </w:tcPr>
          <w:p w14:paraId="475C9D94">
            <w:pPr>
              <w:pStyle w:val="36"/>
              <w:spacing w:beforeLines="0" w:after="24" w:line="240" w:lineRule="auto"/>
              <w:ind w:right="0"/>
              <w:rPr>
                <w:rFonts w:hint="eastAsia" w:hAnsi="宋体" w:cs="宋体"/>
                <w:snapToGrid w:val="0"/>
                <w:color w:val="000000"/>
                <w:spacing w:val="-4"/>
                <w:kern w:val="21"/>
                <w:sz w:val="21"/>
                <w:szCs w:val="21"/>
              </w:rPr>
            </w:pPr>
          </w:p>
        </w:tc>
        <w:tc>
          <w:tcPr>
            <w:tcW w:w="1417" w:type="dxa"/>
            <w:vAlign w:val="center"/>
          </w:tcPr>
          <w:p w14:paraId="47251D74">
            <w:pPr>
              <w:adjustRightInd w:val="0"/>
              <w:snapToGrid w:val="0"/>
              <w:spacing w:beforeLines="20" w:afterLines="20"/>
              <w:jc w:val="center"/>
              <w:rPr>
                <w:rFonts w:hint="default"/>
                <w:snapToGrid w:val="0"/>
                <w:color w:val="000000"/>
                <w:sz w:val="21"/>
                <w:szCs w:val="21"/>
                <w:lang w:val="en-US" w:eastAsia="zh-CN"/>
              </w:rPr>
            </w:pPr>
            <w:r>
              <w:rPr>
                <w:rFonts w:hint="eastAsia"/>
                <w:snapToGrid w:val="0"/>
                <w:color w:val="000000"/>
                <w:sz w:val="21"/>
                <w:szCs w:val="21"/>
                <w:lang w:val="en-US" w:eastAsia="zh-CN"/>
              </w:rPr>
              <w:t>颗粒物</w:t>
            </w:r>
          </w:p>
        </w:tc>
        <w:tc>
          <w:tcPr>
            <w:tcW w:w="1701" w:type="dxa"/>
            <w:vAlign w:val="center"/>
          </w:tcPr>
          <w:p w14:paraId="3FDDEBE1">
            <w:pPr>
              <w:adjustRightInd w:val="0"/>
              <w:snapToGrid w:val="0"/>
              <w:spacing w:beforeLines="20" w:afterLines="20"/>
              <w:jc w:val="center"/>
              <w:rPr>
                <w:snapToGrid w:val="0"/>
                <w:color w:val="000000"/>
                <w:sz w:val="21"/>
                <w:szCs w:val="21"/>
              </w:rPr>
            </w:pPr>
            <w:r>
              <w:rPr>
                <w:rFonts w:hint="eastAsia"/>
                <w:sz w:val="21"/>
                <w:szCs w:val="21"/>
                <w:lang w:val="en-US" w:eastAsia="zh-CN"/>
              </w:rPr>
              <w:t>0</w:t>
            </w:r>
          </w:p>
        </w:tc>
        <w:tc>
          <w:tcPr>
            <w:tcW w:w="1276" w:type="dxa"/>
            <w:vAlign w:val="center"/>
          </w:tcPr>
          <w:p w14:paraId="01688951">
            <w:pPr>
              <w:adjustRightInd w:val="0"/>
              <w:snapToGrid w:val="0"/>
              <w:spacing w:beforeLines="20" w:afterLines="20"/>
              <w:jc w:val="center"/>
              <w:rPr>
                <w:snapToGrid w:val="0"/>
                <w:color w:val="000000"/>
                <w:sz w:val="21"/>
                <w:szCs w:val="21"/>
              </w:rPr>
            </w:pPr>
            <w:r>
              <w:rPr>
                <w:rFonts w:hint="eastAsia"/>
                <w:sz w:val="21"/>
                <w:szCs w:val="21"/>
                <w:lang w:val="en-US" w:eastAsia="zh-CN"/>
              </w:rPr>
              <w:t>0</w:t>
            </w:r>
          </w:p>
        </w:tc>
        <w:tc>
          <w:tcPr>
            <w:tcW w:w="1701" w:type="dxa"/>
            <w:vMerge w:val="continue"/>
            <w:vAlign w:val="center"/>
          </w:tcPr>
          <w:p w14:paraId="689468C6">
            <w:pPr>
              <w:adjustRightInd w:val="0"/>
              <w:snapToGrid w:val="0"/>
              <w:spacing w:beforeLines="20" w:afterLines="20"/>
              <w:jc w:val="center"/>
              <w:rPr>
                <w:snapToGrid w:val="0"/>
                <w:color w:val="000000"/>
                <w:sz w:val="21"/>
                <w:szCs w:val="21"/>
              </w:rPr>
            </w:pPr>
          </w:p>
        </w:tc>
        <w:tc>
          <w:tcPr>
            <w:tcW w:w="1559" w:type="dxa"/>
            <w:vAlign w:val="center"/>
          </w:tcPr>
          <w:p w14:paraId="00DF22E1">
            <w:pPr>
              <w:adjustRightInd w:val="0"/>
              <w:snapToGrid w:val="0"/>
              <w:spacing w:beforeLines="20" w:afterLines="20"/>
              <w:jc w:val="center"/>
              <w:rPr>
                <w:snapToGrid w:val="0"/>
                <w:color w:val="000000"/>
                <w:sz w:val="21"/>
                <w:szCs w:val="21"/>
              </w:rPr>
            </w:pPr>
            <w:r>
              <w:rPr>
                <w:rFonts w:hint="eastAsia"/>
                <w:snapToGrid w:val="0"/>
                <w:color w:val="000000"/>
                <w:sz w:val="21"/>
                <w:szCs w:val="21"/>
              </w:rPr>
              <w:t>0.722</w:t>
            </w:r>
          </w:p>
        </w:tc>
        <w:tc>
          <w:tcPr>
            <w:tcW w:w="1761" w:type="dxa"/>
            <w:vAlign w:val="center"/>
          </w:tcPr>
          <w:p w14:paraId="55E42C44">
            <w:pPr>
              <w:overflowPunct w:val="0"/>
              <w:adjustRightInd w:val="0"/>
              <w:snapToGrid w:val="0"/>
              <w:spacing w:beforeLines="20" w:afterLines="20"/>
              <w:jc w:val="center"/>
              <w:rPr>
                <w:snapToGrid w:val="0"/>
                <w:color w:val="000000"/>
                <w:sz w:val="21"/>
                <w:szCs w:val="21"/>
              </w:rPr>
            </w:pPr>
            <w:r>
              <w:rPr>
                <w:color w:val="000000"/>
                <w:sz w:val="21"/>
                <w:szCs w:val="21"/>
              </w:rPr>
              <w:t>0</w:t>
            </w:r>
          </w:p>
        </w:tc>
        <w:tc>
          <w:tcPr>
            <w:tcW w:w="1649" w:type="dxa"/>
            <w:vAlign w:val="center"/>
          </w:tcPr>
          <w:p w14:paraId="00B42359">
            <w:pPr>
              <w:adjustRightInd w:val="0"/>
              <w:snapToGrid w:val="0"/>
              <w:spacing w:beforeLines="20" w:afterLines="20"/>
              <w:jc w:val="center"/>
              <w:rPr>
                <w:snapToGrid w:val="0"/>
                <w:color w:val="000000"/>
                <w:sz w:val="21"/>
                <w:szCs w:val="21"/>
              </w:rPr>
            </w:pPr>
            <w:r>
              <w:rPr>
                <w:rFonts w:hint="eastAsia"/>
                <w:snapToGrid w:val="0"/>
                <w:color w:val="000000"/>
                <w:sz w:val="21"/>
                <w:szCs w:val="21"/>
              </w:rPr>
              <w:t>0.722</w:t>
            </w:r>
          </w:p>
        </w:tc>
        <w:tc>
          <w:tcPr>
            <w:tcW w:w="1136" w:type="dxa"/>
            <w:vAlign w:val="center"/>
          </w:tcPr>
          <w:p w14:paraId="028DA5A5">
            <w:pPr>
              <w:adjustRightInd w:val="0"/>
              <w:snapToGrid w:val="0"/>
              <w:spacing w:beforeLines="20" w:afterLines="20"/>
              <w:jc w:val="center"/>
              <w:rPr>
                <w:snapToGrid w:val="0"/>
                <w:color w:val="000000"/>
                <w:sz w:val="21"/>
                <w:szCs w:val="21"/>
              </w:rPr>
            </w:pPr>
            <w:r>
              <w:rPr>
                <w:rFonts w:hint="eastAsia"/>
                <w:snapToGrid w:val="0"/>
                <w:color w:val="000000"/>
                <w:sz w:val="21"/>
                <w:szCs w:val="21"/>
                <w:lang w:val="en-US" w:eastAsia="zh-CN"/>
              </w:rPr>
              <w:t>+</w:t>
            </w:r>
            <w:r>
              <w:rPr>
                <w:rFonts w:hint="eastAsia"/>
                <w:snapToGrid w:val="0"/>
                <w:color w:val="000000"/>
                <w:sz w:val="21"/>
                <w:szCs w:val="21"/>
              </w:rPr>
              <w:t>0.722</w:t>
            </w:r>
          </w:p>
        </w:tc>
      </w:tr>
      <w:tr w14:paraId="470CD7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062" w:type="dxa"/>
            <w:vMerge w:val="restart"/>
            <w:vAlign w:val="center"/>
          </w:tcPr>
          <w:p w14:paraId="14F692D4">
            <w:pPr>
              <w:pStyle w:val="36"/>
              <w:spacing w:beforeLines="0" w:after="24" w:line="240" w:lineRule="auto"/>
              <w:ind w:right="0"/>
              <w:rPr>
                <w:rFonts w:ascii="Times New Roman"/>
                <w:snapToGrid w:val="0"/>
                <w:color w:val="000000"/>
                <w:spacing w:val="-4"/>
                <w:kern w:val="21"/>
                <w:sz w:val="21"/>
                <w:szCs w:val="21"/>
              </w:rPr>
            </w:pPr>
            <w:r>
              <w:rPr>
                <w:rFonts w:hint="eastAsia" w:ascii="Times New Roman"/>
                <w:snapToGrid w:val="0"/>
                <w:color w:val="000000"/>
                <w:spacing w:val="-4"/>
                <w:kern w:val="21"/>
                <w:sz w:val="21"/>
                <w:szCs w:val="21"/>
              </w:rPr>
              <w:t>废水</w:t>
            </w:r>
          </w:p>
        </w:tc>
        <w:tc>
          <w:tcPr>
            <w:tcW w:w="526" w:type="dxa"/>
            <w:vMerge w:val="restart"/>
            <w:vAlign w:val="center"/>
          </w:tcPr>
          <w:p w14:paraId="4C4C659C">
            <w:pPr>
              <w:pStyle w:val="36"/>
              <w:spacing w:beforeLines="0" w:after="24" w:line="240" w:lineRule="auto"/>
              <w:ind w:right="0"/>
              <w:rPr>
                <w:rFonts w:ascii="Times New Roman"/>
                <w:snapToGrid w:val="0"/>
                <w:color w:val="000000"/>
                <w:spacing w:val="-4"/>
                <w:kern w:val="21"/>
                <w:sz w:val="21"/>
                <w:szCs w:val="21"/>
              </w:rPr>
            </w:pPr>
            <w:r>
              <w:rPr>
                <w:rFonts w:hint="eastAsia" w:ascii="Times New Roman"/>
                <w:snapToGrid w:val="0"/>
                <w:color w:val="000000"/>
                <w:spacing w:val="-4"/>
                <w:kern w:val="21"/>
                <w:sz w:val="21"/>
                <w:szCs w:val="21"/>
              </w:rPr>
              <w:t>生活污水</w:t>
            </w:r>
          </w:p>
        </w:tc>
        <w:tc>
          <w:tcPr>
            <w:tcW w:w="1417" w:type="dxa"/>
            <w:vAlign w:val="center"/>
          </w:tcPr>
          <w:p w14:paraId="068DFBAB">
            <w:pPr>
              <w:jc w:val="center"/>
              <w:rPr>
                <w:snapToGrid w:val="0"/>
                <w:color w:val="000000"/>
                <w:kern w:val="21"/>
                <w:sz w:val="21"/>
                <w:szCs w:val="21"/>
              </w:rPr>
            </w:pPr>
            <w:r>
              <w:rPr>
                <w:rFonts w:hint="eastAsia"/>
                <w:snapToGrid w:val="0"/>
                <w:color w:val="000000"/>
                <w:kern w:val="21"/>
                <w:sz w:val="21"/>
                <w:szCs w:val="21"/>
              </w:rPr>
              <w:t>废水量</w:t>
            </w:r>
          </w:p>
        </w:tc>
        <w:tc>
          <w:tcPr>
            <w:tcW w:w="1701" w:type="dxa"/>
            <w:vAlign w:val="center"/>
          </w:tcPr>
          <w:p w14:paraId="37CD0A08">
            <w:pPr>
              <w:adjustRightInd w:val="0"/>
              <w:snapToGrid w:val="0"/>
              <w:spacing w:beforeLines="20" w:afterLines="20"/>
              <w:jc w:val="center"/>
              <w:rPr>
                <w:rFonts w:hint="eastAsia"/>
                <w:snapToGrid w:val="0"/>
                <w:color w:val="000000"/>
                <w:sz w:val="21"/>
                <w:szCs w:val="21"/>
                <w:lang w:val="en-US" w:eastAsia="zh-CN"/>
              </w:rPr>
            </w:pPr>
            <w:r>
              <w:rPr>
                <w:rFonts w:hint="eastAsia"/>
                <w:sz w:val="21"/>
                <w:szCs w:val="21"/>
                <w:lang w:val="en-US" w:eastAsia="zh-CN"/>
              </w:rPr>
              <w:t>0</w:t>
            </w:r>
          </w:p>
        </w:tc>
        <w:tc>
          <w:tcPr>
            <w:tcW w:w="1276" w:type="dxa"/>
            <w:vAlign w:val="center"/>
          </w:tcPr>
          <w:p w14:paraId="6FEAD022">
            <w:pPr>
              <w:adjustRightInd w:val="0"/>
              <w:snapToGrid w:val="0"/>
              <w:spacing w:beforeLines="20" w:afterLines="20"/>
              <w:jc w:val="center"/>
              <w:rPr>
                <w:snapToGrid w:val="0"/>
                <w:color w:val="000000"/>
                <w:sz w:val="21"/>
                <w:szCs w:val="21"/>
              </w:rPr>
            </w:pPr>
            <w:r>
              <w:rPr>
                <w:rFonts w:hint="eastAsia"/>
                <w:sz w:val="21"/>
                <w:szCs w:val="21"/>
                <w:lang w:val="en-US" w:eastAsia="zh-CN"/>
              </w:rPr>
              <w:t>0</w:t>
            </w:r>
          </w:p>
        </w:tc>
        <w:tc>
          <w:tcPr>
            <w:tcW w:w="1701" w:type="dxa"/>
            <w:vMerge w:val="continue"/>
            <w:vAlign w:val="center"/>
          </w:tcPr>
          <w:p w14:paraId="447B9D2E">
            <w:pPr>
              <w:adjustRightInd w:val="0"/>
              <w:snapToGrid w:val="0"/>
              <w:spacing w:beforeLines="20" w:afterLines="20"/>
              <w:jc w:val="center"/>
              <w:rPr>
                <w:snapToGrid w:val="0"/>
                <w:color w:val="000000"/>
                <w:sz w:val="21"/>
                <w:szCs w:val="21"/>
              </w:rPr>
            </w:pPr>
          </w:p>
        </w:tc>
        <w:tc>
          <w:tcPr>
            <w:tcW w:w="1559" w:type="dxa"/>
            <w:vAlign w:val="center"/>
          </w:tcPr>
          <w:p w14:paraId="3701DC18">
            <w:pPr>
              <w:adjustRightInd w:val="0"/>
              <w:snapToGrid w:val="0"/>
              <w:spacing w:beforeLines="20" w:afterLines="20"/>
              <w:jc w:val="center"/>
              <w:rPr>
                <w:rFonts w:hint="eastAsia"/>
                <w:snapToGrid w:val="0"/>
                <w:color w:val="000000"/>
                <w:sz w:val="21"/>
                <w:szCs w:val="21"/>
                <w:lang w:val="en-US" w:eastAsia="zh-CN"/>
              </w:rPr>
            </w:pPr>
            <w:r>
              <w:rPr>
                <w:rFonts w:hint="eastAsia"/>
                <w:snapToGrid w:val="0"/>
                <w:color w:val="000000"/>
                <w:sz w:val="21"/>
                <w:szCs w:val="21"/>
                <w:lang w:val="en-US" w:eastAsia="zh-CN"/>
              </w:rPr>
              <w:t>775.6</w:t>
            </w:r>
          </w:p>
        </w:tc>
        <w:tc>
          <w:tcPr>
            <w:tcW w:w="1761" w:type="dxa"/>
            <w:vAlign w:val="center"/>
          </w:tcPr>
          <w:p w14:paraId="2386C6C2">
            <w:pPr>
              <w:overflowPunct w:val="0"/>
              <w:adjustRightInd w:val="0"/>
              <w:snapToGrid w:val="0"/>
              <w:spacing w:beforeLines="20" w:afterLines="20"/>
              <w:jc w:val="center"/>
              <w:rPr>
                <w:snapToGrid w:val="0"/>
                <w:color w:val="000000"/>
                <w:sz w:val="21"/>
                <w:szCs w:val="21"/>
              </w:rPr>
            </w:pPr>
            <w:r>
              <w:rPr>
                <w:color w:val="000000"/>
                <w:sz w:val="21"/>
                <w:szCs w:val="21"/>
              </w:rPr>
              <w:t>0</w:t>
            </w:r>
          </w:p>
        </w:tc>
        <w:tc>
          <w:tcPr>
            <w:tcW w:w="1649" w:type="dxa"/>
            <w:vAlign w:val="center"/>
          </w:tcPr>
          <w:p w14:paraId="6BAD6E6B">
            <w:pPr>
              <w:adjustRightInd w:val="0"/>
              <w:snapToGrid w:val="0"/>
              <w:spacing w:beforeLines="20" w:afterLines="20"/>
              <w:jc w:val="center"/>
              <w:rPr>
                <w:rFonts w:hint="default"/>
                <w:b/>
                <w:bCs/>
                <w:color w:val="000000"/>
                <w:sz w:val="21"/>
                <w:szCs w:val="21"/>
                <w:lang w:val="en-US"/>
              </w:rPr>
            </w:pPr>
            <w:r>
              <w:rPr>
                <w:rFonts w:hint="eastAsia"/>
                <w:snapToGrid w:val="0"/>
                <w:color w:val="000000"/>
                <w:sz w:val="21"/>
                <w:szCs w:val="21"/>
                <w:lang w:val="en-US" w:eastAsia="zh-CN"/>
              </w:rPr>
              <w:t>775.6</w:t>
            </w:r>
          </w:p>
        </w:tc>
        <w:tc>
          <w:tcPr>
            <w:tcW w:w="1136" w:type="dxa"/>
            <w:vAlign w:val="center"/>
          </w:tcPr>
          <w:p w14:paraId="0525841B">
            <w:pPr>
              <w:adjustRightInd w:val="0"/>
              <w:snapToGrid w:val="0"/>
              <w:spacing w:beforeLines="20" w:afterLines="20"/>
              <w:jc w:val="center"/>
              <w:rPr>
                <w:rFonts w:hint="default" w:ascii="Times New Roman" w:hAnsi="Times New Roman" w:eastAsia="宋体" w:cs="Times New Roman"/>
                <w:snapToGrid w:val="0"/>
                <w:color w:val="000000"/>
                <w:kern w:val="2"/>
                <w:sz w:val="21"/>
                <w:szCs w:val="21"/>
                <w:lang w:val="en-US" w:eastAsia="zh-CN" w:bidi="ar-SA"/>
              </w:rPr>
            </w:pPr>
            <w:r>
              <w:rPr>
                <w:rFonts w:hint="eastAsia"/>
                <w:snapToGrid w:val="0"/>
                <w:color w:val="000000"/>
                <w:sz w:val="21"/>
                <w:szCs w:val="21"/>
                <w:lang w:val="en-US" w:eastAsia="zh-CN"/>
              </w:rPr>
              <w:t>+775.6</w:t>
            </w:r>
          </w:p>
        </w:tc>
      </w:tr>
      <w:tr w14:paraId="67AD4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2" w:type="dxa"/>
            <w:vMerge w:val="continue"/>
            <w:vAlign w:val="center"/>
          </w:tcPr>
          <w:p w14:paraId="535D35AB">
            <w:pPr>
              <w:pStyle w:val="36"/>
              <w:spacing w:beforeLines="0" w:after="24" w:line="240" w:lineRule="auto"/>
              <w:ind w:right="0"/>
              <w:rPr>
                <w:rFonts w:ascii="Times New Roman"/>
                <w:snapToGrid w:val="0"/>
                <w:color w:val="000000"/>
                <w:spacing w:val="-4"/>
                <w:kern w:val="21"/>
                <w:sz w:val="21"/>
                <w:szCs w:val="21"/>
              </w:rPr>
            </w:pPr>
          </w:p>
        </w:tc>
        <w:tc>
          <w:tcPr>
            <w:tcW w:w="526" w:type="dxa"/>
            <w:vMerge w:val="continue"/>
            <w:vAlign w:val="center"/>
          </w:tcPr>
          <w:p w14:paraId="3A952D17">
            <w:pPr>
              <w:pStyle w:val="36"/>
              <w:spacing w:beforeLines="0" w:after="24" w:line="240" w:lineRule="auto"/>
              <w:ind w:right="0"/>
              <w:rPr>
                <w:rFonts w:ascii="Times New Roman"/>
                <w:snapToGrid w:val="0"/>
                <w:color w:val="000000"/>
                <w:spacing w:val="-4"/>
                <w:kern w:val="21"/>
                <w:sz w:val="21"/>
                <w:szCs w:val="21"/>
              </w:rPr>
            </w:pPr>
          </w:p>
        </w:tc>
        <w:tc>
          <w:tcPr>
            <w:tcW w:w="1417" w:type="dxa"/>
            <w:vAlign w:val="center"/>
          </w:tcPr>
          <w:p w14:paraId="4D284D22">
            <w:pPr>
              <w:jc w:val="center"/>
              <w:rPr>
                <w:snapToGrid w:val="0"/>
                <w:color w:val="000000"/>
                <w:kern w:val="21"/>
                <w:sz w:val="21"/>
                <w:szCs w:val="21"/>
              </w:rPr>
            </w:pPr>
            <w:r>
              <w:rPr>
                <w:snapToGrid w:val="0"/>
                <w:color w:val="000000"/>
                <w:kern w:val="21"/>
                <w:sz w:val="21"/>
                <w:szCs w:val="21"/>
              </w:rPr>
              <w:t>COD</w:t>
            </w:r>
          </w:p>
        </w:tc>
        <w:tc>
          <w:tcPr>
            <w:tcW w:w="1701" w:type="dxa"/>
            <w:vAlign w:val="center"/>
          </w:tcPr>
          <w:p w14:paraId="5BA5B3C2">
            <w:pPr>
              <w:adjustRightInd w:val="0"/>
              <w:snapToGrid w:val="0"/>
              <w:spacing w:beforeLines="20" w:afterLines="20"/>
              <w:jc w:val="center"/>
              <w:rPr>
                <w:rFonts w:hint="eastAsia"/>
                <w:snapToGrid w:val="0"/>
                <w:color w:val="000000"/>
                <w:sz w:val="21"/>
                <w:szCs w:val="21"/>
                <w:lang w:val="en-US" w:eastAsia="zh-CN"/>
              </w:rPr>
            </w:pPr>
            <w:r>
              <w:rPr>
                <w:rFonts w:hint="eastAsia"/>
                <w:snapToGrid w:val="0"/>
                <w:color w:val="000000"/>
                <w:sz w:val="21"/>
                <w:szCs w:val="21"/>
                <w:lang w:val="en-US" w:eastAsia="zh-CN"/>
              </w:rPr>
              <w:t>0</w:t>
            </w:r>
          </w:p>
        </w:tc>
        <w:tc>
          <w:tcPr>
            <w:tcW w:w="1276" w:type="dxa"/>
            <w:vAlign w:val="center"/>
          </w:tcPr>
          <w:p w14:paraId="41AEF285">
            <w:pPr>
              <w:adjustRightInd w:val="0"/>
              <w:snapToGrid w:val="0"/>
              <w:spacing w:beforeLines="20" w:afterLines="20"/>
              <w:jc w:val="center"/>
              <w:rPr>
                <w:rFonts w:hint="eastAsia" w:ascii="Times New Roman" w:hAnsi="Times New Roman" w:eastAsia="宋体" w:cs="Times New Roman"/>
                <w:snapToGrid w:val="0"/>
                <w:color w:val="000000"/>
                <w:kern w:val="2"/>
                <w:sz w:val="21"/>
                <w:szCs w:val="21"/>
                <w:lang w:val="en-US" w:eastAsia="zh-CN" w:bidi="ar-SA"/>
              </w:rPr>
            </w:pPr>
            <w:r>
              <w:rPr>
                <w:rFonts w:hint="eastAsia"/>
                <w:snapToGrid w:val="0"/>
                <w:color w:val="000000"/>
                <w:sz w:val="21"/>
                <w:szCs w:val="21"/>
                <w:lang w:val="en-US" w:eastAsia="zh-CN"/>
              </w:rPr>
              <w:t>0</w:t>
            </w:r>
          </w:p>
        </w:tc>
        <w:tc>
          <w:tcPr>
            <w:tcW w:w="1701" w:type="dxa"/>
            <w:vMerge w:val="continue"/>
            <w:vAlign w:val="center"/>
          </w:tcPr>
          <w:p w14:paraId="1A13A704">
            <w:pPr>
              <w:adjustRightInd w:val="0"/>
              <w:snapToGrid w:val="0"/>
              <w:spacing w:beforeLines="20" w:afterLines="20"/>
              <w:jc w:val="center"/>
              <w:rPr>
                <w:snapToGrid w:val="0"/>
                <w:color w:val="000000"/>
                <w:sz w:val="21"/>
                <w:szCs w:val="21"/>
              </w:rPr>
            </w:pPr>
          </w:p>
        </w:tc>
        <w:tc>
          <w:tcPr>
            <w:tcW w:w="1559" w:type="dxa"/>
            <w:vAlign w:val="center"/>
          </w:tcPr>
          <w:p w14:paraId="58A8271C">
            <w:pPr>
              <w:pStyle w:val="75"/>
              <w:adjustRightInd w:val="0"/>
              <w:snapToGrid w:val="0"/>
              <w:textAlignment w:val="center"/>
              <w:rPr>
                <w:rFonts w:hint="eastAsia"/>
                <w:snapToGrid w:val="0"/>
                <w:color w:val="000000"/>
                <w:sz w:val="21"/>
                <w:szCs w:val="21"/>
                <w:lang w:val="en-US" w:eastAsia="zh-CN"/>
              </w:rPr>
            </w:pPr>
            <w:r>
              <w:rPr>
                <w:rFonts w:hint="eastAsia"/>
                <w:bCs/>
                <w:color w:val="auto"/>
                <w:sz w:val="21"/>
                <w:szCs w:val="21"/>
                <w:lang w:val="en-US" w:eastAsia="zh-CN"/>
              </w:rPr>
              <w:t>0.271</w:t>
            </w:r>
          </w:p>
        </w:tc>
        <w:tc>
          <w:tcPr>
            <w:tcW w:w="1761" w:type="dxa"/>
            <w:vAlign w:val="center"/>
          </w:tcPr>
          <w:p w14:paraId="2419D3BB">
            <w:pPr>
              <w:overflowPunct w:val="0"/>
              <w:adjustRightInd w:val="0"/>
              <w:snapToGrid w:val="0"/>
              <w:spacing w:beforeLines="20" w:afterLines="20"/>
              <w:jc w:val="center"/>
              <w:rPr>
                <w:snapToGrid w:val="0"/>
                <w:color w:val="000000"/>
                <w:sz w:val="21"/>
                <w:szCs w:val="21"/>
              </w:rPr>
            </w:pPr>
            <w:r>
              <w:rPr>
                <w:color w:val="000000"/>
                <w:sz w:val="21"/>
                <w:szCs w:val="21"/>
              </w:rPr>
              <w:t>0</w:t>
            </w:r>
          </w:p>
        </w:tc>
        <w:tc>
          <w:tcPr>
            <w:tcW w:w="1649" w:type="dxa"/>
            <w:vAlign w:val="center"/>
          </w:tcPr>
          <w:p w14:paraId="6FDE0210">
            <w:pPr>
              <w:pStyle w:val="75"/>
              <w:adjustRightInd w:val="0"/>
              <w:snapToGrid w:val="0"/>
              <w:textAlignment w:val="center"/>
              <w:rPr>
                <w:rFonts w:hint="eastAsia"/>
                <w:color w:val="000000"/>
                <w:sz w:val="21"/>
                <w:szCs w:val="21"/>
                <w:lang w:val="en-US" w:eastAsia="zh-CN"/>
              </w:rPr>
            </w:pPr>
            <w:r>
              <w:rPr>
                <w:rFonts w:hint="eastAsia"/>
                <w:bCs/>
                <w:color w:val="auto"/>
                <w:sz w:val="21"/>
                <w:szCs w:val="21"/>
                <w:lang w:val="en-US" w:eastAsia="zh-CN"/>
              </w:rPr>
              <w:t>0.271</w:t>
            </w:r>
          </w:p>
        </w:tc>
        <w:tc>
          <w:tcPr>
            <w:tcW w:w="1136" w:type="dxa"/>
            <w:vAlign w:val="center"/>
          </w:tcPr>
          <w:p w14:paraId="5AEFB9AE">
            <w:pPr>
              <w:pStyle w:val="75"/>
              <w:adjustRightInd w:val="0"/>
              <w:snapToGrid w:val="0"/>
              <w:textAlignment w:val="center"/>
              <w:rPr>
                <w:rFonts w:hint="default"/>
                <w:color w:val="000000"/>
                <w:sz w:val="21"/>
                <w:szCs w:val="21"/>
                <w:lang w:val="en-US" w:eastAsia="zh-CN"/>
              </w:rPr>
            </w:pPr>
            <w:r>
              <w:rPr>
                <w:rFonts w:hint="eastAsia"/>
                <w:bCs/>
                <w:color w:val="auto"/>
                <w:sz w:val="21"/>
                <w:szCs w:val="21"/>
                <w:lang w:val="en-US" w:eastAsia="zh-CN"/>
              </w:rPr>
              <w:t>+0.271</w:t>
            </w:r>
          </w:p>
        </w:tc>
      </w:tr>
      <w:tr w14:paraId="0EAAB0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2" w:type="dxa"/>
            <w:vMerge w:val="continue"/>
            <w:vAlign w:val="center"/>
          </w:tcPr>
          <w:p w14:paraId="71E0761D">
            <w:pPr>
              <w:pStyle w:val="36"/>
              <w:spacing w:beforeLines="0" w:after="24" w:line="240" w:lineRule="auto"/>
              <w:ind w:right="0"/>
              <w:rPr>
                <w:rFonts w:ascii="Times New Roman"/>
                <w:snapToGrid w:val="0"/>
                <w:color w:val="000000"/>
                <w:spacing w:val="-4"/>
                <w:kern w:val="21"/>
                <w:sz w:val="21"/>
                <w:szCs w:val="21"/>
              </w:rPr>
            </w:pPr>
          </w:p>
        </w:tc>
        <w:tc>
          <w:tcPr>
            <w:tcW w:w="526" w:type="dxa"/>
            <w:vMerge w:val="continue"/>
            <w:vAlign w:val="center"/>
          </w:tcPr>
          <w:p w14:paraId="2DF39761">
            <w:pPr>
              <w:pStyle w:val="36"/>
              <w:spacing w:beforeLines="0" w:after="24" w:line="240" w:lineRule="auto"/>
              <w:ind w:right="0"/>
              <w:rPr>
                <w:rFonts w:ascii="Times New Roman"/>
                <w:snapToGrid w:val="0"/>
                <w:color w:val="000000"/>
                <w:spacing w:val="-4"/>
                <w:kern w:val="21"/>
                <w:sz w:val="21"/>
                <w:szCs w:val="21"/>
              </w:rPr>
            </w:pPr>
          </w:p>
        </w:tc>
        <w:tc>
          <w:tcPr>
            <w:tcW w:w="1417" w:type="dxa"/>
            <w:vAlign w:val="center"/>
          </w:tcPr>
          <w:p w14:paraId="1D6356C4">
            <w:pPr>
              <w:jc w:val="center"/>
              <w:rPr>
                <w:snapToGrid w:val="0"/>
                <w:color w:val="000000"/>
                <w:kern w:val="21"/>
                <w:sz w:val="21"/>
                <w:szCs w:val="21"/>
              </w:rPr>
            </w:pPr>
            <w:r>
              <w:rPr>
                <w:snapToGrid w:val="0"/>
                <w:color w:val="000000"/>
                <w:kern w:val="21"/>
                <w:sz w:val="21"/>
                <w:szCs w:val="21"/>
              </w:rPr>
              <w:t>SS</w:t>
            </w:r>
          </w:p>
        </w:tc>
        <w:tc>
          <w:tcPr>
            <w:tcW w:w="1701" w:type="dxa"/>
            <w:vAlign w:val="center"/>
          </w:tcPr>
          <w:p w14:paraId="1AFAE574">
            <w:pPr>
              <w:adjustRightInd w:val="0"/>
              <w:snapToGrid w:val="0"/>
              <w:spacing w:beforeLines="20" w:afterLines="20"/>
              <w:jc w:val="center"/>
              <w:rPr>
                <w:rFonts w:hint="eastAsia"/>
                <w:snapToGrid w:val="0"/>
                <w:color w:val="000000"/>
                <w:sz w:val="21"/>
                <w:szCs w:val="21"/>
                <w:lang w:val="en-US" w:eastAsia="zh-CN"/>
              </w:rPr>
            </w:pPr>
            <w:r>
              <w:rPr>
                <w:rFonts w:hint="eastAsia"/>
                <w:snapToGrid w:val="0"/>
                <w:color w:val="000000"/>
                <w:sz w:val="21"/>
                <w:szCs w:val="21"/>
                <w:lang w:val="en-US" w:eastAsia="zh-CN"/>
              </w:rPr>
              <w:t>0</w:t>
            </w:r>
          </w:p>
        </w:tc>
        <w:tc>
          <w:tcPr>
            <w:tcW w:w="1276" w:type="dxa"/>
            <w:vAlign w:val="center"/>
          </w:tcPr>
          <w:p w14:paraId="715DC4F5">
            <w:pPr>
              <w:adjustRightInd w:val="0"/>
              <w:snapToGrid w:val="0"/>
              <w:spacing w:beforeLines="20" w:afterLines="20"/>
              <w:jc w:val="center"/>
              <w:rPr>
                <w:rFonts w:hint="eastAsia" w:ascii="Times New Roman" w:hAnsi="Times New Roman" w:eastAsia="宋体" w:cs="Times New Roman"/>
                <w:snapToGrid w:val="0"/>
                <w:color w:val="000000"/>
                <w:kern w:val="2"/>
                <w:sz w:val="21"/>
                <w:szCs w:val="21"/>
                <w:lang w:val="en-US" w:eastAsia="zh-CN" w:bidi="ar-SA"/>
              </w:rPr>
            </w:pPr>
            <w:r>
              <w:rPr>
                <w:rFonts w:hint="eastAsia"/>
                <w:snapToGrid w:val="0"/>
                <w:color w:val="000000"/>
                <w:sz w:val="21"/>
                <w:szCs w:val="21"/>
                <w:lang w:val="en-US" w:eastAsia="zh-CN"/>
              </w:rPr>
              <w:t>0</w:t>
            </w:r>
          </w:p>
        </w:tc>
        <w:tc>
          <w:tcPr>
            <w:tcW w:w="1701" w:type="dxa"/>
            <w:vMerge w:val="continue"/>
            <w:vAlign w:val="center"/>
          </w:tcPr>
          <w:p w14:paraId="0B29A436">
            <w:pPr>
              <w:adjustRightInd w:val="0"/>
              <w:snapToGrid w:val="0"/>
              <w:spacing w:beforeLines="20" w:afterLines="20"/>
              <w:jc w:val="center"/>
              <w:rPr>
                <w:snapToGrid w:val="0"/>
                <w:color w:val="000000"/>
                <w:sz w:val="21"/>
                <w:szCs w:val="21"/>
              </w:rPr>
            </w:pPr>
          </w:p>
        </w:tc>
        <w:tc>
          <w:tcPr>
            <w:tcW w:w="1559" w:type="dxa"/>
            <w:vAlign w:val="center"/>
          </w:tcPr>
          <w:p w14:paraId="08963A1E">
            <w:pPr>
              <w:pStyle w:val="75"/>
              <w:adjustRightInd w:val="0"/>
              <w:snapToGrid w:val="0"/>
              <w:textAlignment w:val="center"/>
              <w:rPr>
                <w:rFonts w:hint="eastAsia"/>
                <w:snapToGrid w:val="0"/>
                <w:color w:val="000000"/>
                <w:sz w:val="21"/>
                <w:szCs w:val="21"/>
                <w:lang w:val="en-US" w:eastAsia="zh-CN"/>
              </w:rPr>
            </w:pPr>
            <w:r>
              <w:rPr>
                <w:rFonts w:hint="eastAsia"/>
                <w:bCs/>
                <w:color w:val="auto"/>
                <w:sz w:val="21"/>
                <w:szCs w:val="21"/>
                <w:lang w:val="en-US" w:eastAsia="zh-CN"/>
              </w:rPr>
              <w:t>0.171</w:t>
            </w:r>
          </w:p>
        </w:tc>
        <w:tc>
          <w:tcPr>
            <w:tcW w:w="1761" w:type="dxa"/>
            <w:vAlign w:val="center"/>
          </w:tcPr>
          <w:p w14:paraId="10F9969C">
            <w:pPr>
              <w:overflowPunct w:val="0"/>
              <w:adjustRightInd w:val="0"/>
              <w:snapToGrid w:val="0"/>
              <w:spacing w:beforeLines="20" w:afterLines="20"/>
              <w:jc w:val="center"/>
              <w:rPr>
                <w:snapToGrid w:val="0"/>
                <w:color w:val="000000"/>
                <w:sz w:val="21"/>
                <w:szCs w:val="21"/>
              </w:rPr>
            </w:pPr>
            <w:r>
              <w:rPr>
                <w:color w:val="000000"/>
                <w:sz w:val="21"/>
                <w:szCs w:val="21"/>
              </w:rPr>
              <w:t>0</w:t>
            </w:r>
          </w:p>
        </w:tc>
        <w:tc>
          <w:tcPr>
            <w:tcW w:w="1649" w:type="dxa"/>
            <w:vAlign w:val="center"/>
          </w:tcPr>
          <w:p w14:paraId="05BBDED4">
            <w:pPr>
              <w:pStyle w:val="75"/>
              <w:adjustRightInd w:val="0"/>
              <w:snapToGrid w:val="0"/>
              <w:textAlignment w:val="center"/>
              <w:rPr>
                <w:rFonts w:hint="eastAsia"/>
                <w:color w:val="000000"/>
                <w:sz w:val="21"/>
                <w:szCs w:val="21"/>
                <w:lang w:val="en-US" w:eastAsia="zh-CN"/>
              </w:rPr>
            </w:pPr>
            <w:r>
              <w:rPr>
                <w:rFonts w:hint="eastAsia"/>
                <w:bCs/>
                <w:color w:val="auto"/>
                <w:sz w:val="21"/>
                <w:szCs w:val="21"/>
                <w:lang w:val="en-US" w:eastAsia="zh-CN"/>
              </w:rPr>
              <w:t>0.171</w:t>
            </w:r>
          </w:p>
        </w:tc>
        <w:tc>
          <w:tcPr>
            <w:tcW w:w="1136" w:type="dxa"/>
            <w:vAlign w:val="center"/>
          </w:tcPr>
          <w:p w14:paraId="1AEAFAF8">
            <w:pPr>
              <w:pStyle w:val="75"/>
              <w:adjustRightInd w:val="0"/>
              <w:snapToGrid w:val="0"/>
              <w:textAlignment w:val="center"/>
              <w:rPr>
                <w:rFonts w:hint="default"/>
                <w:color w:val="000000"/>
                <w:sz w:val="21"/>
                <w:szCs w:val="21"/>
                <w:lang w:val="en-US" w:eastAsia="zh-CN"/>
              </w:rPr>
            </w:pPr>
            <w:r>
              <w:rPr>
                <w:rFonts w:hint="eastAsia"/>
                <w:bCs/>
                <w:color w:val="auto"/>
                <w:sz w:val="21"/>
                <w:szCs w:val="21"/>
                <w:lang w:val="en-US" w:eastAsia="zh-CN"/>
              </w:rPr>
              <w:t>+0.171</w:t>
            </w:r>
          </w:p>
        </w:tc>
      </w:tr>
      <w:tr w14:paraId="40471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2" w:type="dxa"/>
            <w:vMerge w:val="continue"/>
            <w:vAlign w:val="center"/>
          </w:tcPr>
          <w:p w14:paraId="4134A5A5">
            <w:pPr>
              <w:pStyle w:val="36"/>
              <w:spacing w:beforeLines="0" w:after="24" w:line="240" w:lineRule="auto"/>
              <w:ind w:right="0"/>
              <w:rPr>
                <w:rFonts w:ascii="Times New Roman"/>
                <w:snapToGrid w:val="0"/>
                <w:color w:val="000000"/>
                <w:spacing w:val="-4"/>
                <w:kern w:val="21"/>
                <w:sz w:val="21"/>
                <w:szCs w:val="21"/>
              </w:rPr>
            </w:pPr>
          </w:p>
        </w:tc>
        <w:tc>
          <w:tcPr>
            <w:tcW w:w="526" w:type="dxa"/>
            <w:vMerge w:val="continue"/>
            <w:vAlign w:val="center"/>
          </w:tcPr>
          <w:p w14:paraId="6BC9D581">
            <w:pPr>
              <w:pStyle w:val="36"/>
              <w:spacing w:beforeLines="0" w:after="24" w:line="240" w:lineRule="auto"/>
              <w:ind w:right="0"/>
              <w:rPr>
                <w:rFonts w:ascii="Times New Roman"/>
                <w:snapToGrid w:val="0"/>
                <w:color w:val="000000"/>
                <w:spacing w:val="-4"/>
                <w:kern w:val="21"/>
                <w:sz w:val="21"/>
                <w:szCs w:val="21"/>
              </w:rPr>
            </w:pPr>
          </w:p>
        </w:tc>
        <w:tc>
          <w:tcPr>
            <w:tcW w:w="1417" w:type="dxa"/>
            <w:vAlign w:val="center"/>
          </w:tcPr>
          <w:p w14:paraId="55258FFD">
            <w:pPr>
              <w:jc w:val="center"/>
              <w:rPr>
                <w:snapToGrid w:val="0"/>
                <w:color w:val="000000"/>
                <w:kern w:val="21"/>
                <w:sz w:val="21"/>
                <w:szCs w:val="21"/>
              </w:rPr>
            </w:pPr>
            <w:r>
              <w:rPr>
                <w:snapToGrid w:val="0"/>
                <w:color w:val="000000"/>
                <w:kern w:val="21"/>
                <w:sz w:val="21"/>
                <w:szCs w:val="21"/>
              </w:rPr>
              <w:t>NH</w:t>
            </w:r>
            <w:r>
              <w:rPr>
                <w:snapToGrid w:val="0"/>
                <w:color w:val="000000"/>
                <w:kern w:val="21"/>
                <w:sz w:val="21"/>
                <w:szCs w:val="21"/>
                <w:vertAlign w:val="subscript"/>
              </w:rPr>
              <w:t>3</w:t>
            </w:r>
            <w:r>
              <w:rPr>
                <w:snapToGrid w:val="0"/>
                <w:color w:val="000000"/>
                <w:kern w:val="21"/>
                <w:sz w:val="21"/>
                <w:szCs w:val="21"/>
              </w:rPr>
              <w:t>-N</w:t>
            </w:r>
          </w:p>
        </w:tc>
        <w:tc>
          <w:tcPr>
            <w:tcW w:w="1701" w:type="dxa"/>
            <w:vAlign w:val="center"/>
          </w:tcPr>
          <w:p w14:paraId="05104F3E">
            <w:pPr>
              <w:adjustRightInd w:val="0"/>
              <w:snapToGrid w:val="0"/>
              <w:spacing w:beforeLines="20" w:afterLines="20"/>
              <w:jc w:val="center"/>
              <w:rPr>
                <w:rFonts w:hint="eastAsia"/>
                <w:snapToGrid w:val="0"/>
                <w:color w:val="000000"/>
                <w:sz w:val="21"/>
                <w:szCs w:val="21"/>
                <w:lang w:val="en-US" w:eastAsia="zh-CN"/>
              </w:rPr>
            </w:pPr>
            <w:r>
              <w:rPr>
                <w:rFonts w:hint="eastAsia"/>
                <w:sz w:val="21"/>
                <w:szCs w:val="21"/>
                <w:lang w:val="en-US" w:eastAsia="zh-CN"/>
              </w:rPr>
              <w:t>0</w:t>
            </w:r>
          </w:p>
        </w:tc>
        <w:tc>
          <w:tcPr>
            <w:tcW w:w="1276" w:type="dxa"/>
            <w:vAlign w:val="center"/>
          </w:tcPr>
          <w:p w14:paraId="5914CE44">
            <w:pPr>
              <w:adjustRightInd w:val="0"/>
              <w:snapToGrid w:val="0"/>
              <w:spacing w:beforeLines="20" w:afterLines="20"/>
              <w:jc w:val="center"/>
              <w:rPr>
                <w:rFonts w:hint="eastAsia" w:ascii="Times New Roman" w:hAnsi="Times New Roman" w:eastAsia="宋体" w:cs="Times New Roman"/>
                <w:snapToGrid w:val="0"/>
                <w:color w:val="000000"/>
                <w:kern w:val="2"/>
                <w:sz w:val="21"/>
                <w:szCs w:val="21"/>
                <w:lang w:val="en-US" w:eastAsia="zh-CN" w:bidi="ar-SA"/>
              </w:rPr>
            </w:pPr>
            <w:r>
              <w:rPr>
                <w:rFonts w:hint="eastAsia"/>
                <w:sz w:val="21"/>
                <w:szCs w:val="21"/>
                <w:lang w:val="en-US" w:eastAsia="zh-CN"/>
              </w:rPr>
              <w:t>0</w:t>
            </w:r>
          </w:p>
        </w:tc>
        <w:tc>
          <w:tcPr>
            <w:tcW w:w="1701" w:type="dxa"/>
            <w:vMerge w:val="continue"/>
            <w:vAlign w:val="center"/>
          </w:tcPr>
          <w:p w14:paraId="669A807D">
            <w:pPr>
              <w:adjustRightInd w:val="0"/>
              <w:snapToGrid w:val="0"/>
              <w:spacing w:beforeLines="20" w:afterLines="20"/>
              <w:jc w:val="center"/>
              <w:rPr>
                <w:snapToGrid w:val="0"/>
                <w:color w:val="000000"/>
                <w:sz w:val="21"/>
                <w:szCs w:val="21"/>
              </w:rPr>
            </w:pPr>
          </w:p>
        </w:tc>
        <w:tc>
          <w:tcPr>
            <w:tcW w:w="1559" w:type="dxa"/>
            <w:vAlign w:val="center"/>
          </w:tcPr>
          <w:p w14:paraId="6C34E7B1">
            <w:pPr>
              <w:pStyle w:val="75"/>
              <w:adjustRightInd w:val="0"/>
              <w:snapToGrid w:val="0"/>
              <w:textAlignment w:val="center"/>
              <w:rPr>
                <w:rFonts w:hint="eastAsia"/>
                <w:snapToGrid w:val="0"/>
                <w:color w:val="000000"/>
                <w:sz w:val="21"/>
                <w:szCs w:val="21"/>
                <w:lang w:val="en-US" w:eastAsia="zh-CN"/>
              </w:rPr>
            </w:pPr>
            <w:r>
              <w:rPr>
                <w:rFonts w:hint="eastAsia"/>
                <w:bCs/>
                <w:color w:val="auto"/>
                <w:sz w:val="21"/>
                <w:szCs w:val="21"/>
                <w:lang w:val="en-US" w:eastAsia="zh-CN"/>
              </w:rPr>
              <w:t>0.023</w:t>
            </w:r>
          </w:p>
        </w:tc>
        <w:tc>
          <w:tcPr>
            <w:tcW w:w="1761" w:type="dxa"/>
            <w:vAlign w:val="center"/>
          </w:tcPr>
          <w:p w14:paraId="38D3B5A8">
            <w:pPr>
              <w:overflowPunct w:val="0"/>
              <w:adjustRightInd w:val="0"/>
              <w:snapToGrid w:val="0"/>
              <w:spacing w:beforeLines="20" w:afterLines="20"/>
              <w:jc w:val="center"/>
              <w:rPr>
                <w:snapToGrid w:val="0"/>
                <w:color w:val="000000"/>
                <w:sz w:val="21"/>
                <w:szCs w:val="21"/>
              </w:rPr>
            </w:pPr>
            <w:r>
              <w:rPr>
                <w:color w:val="000000"/>
                <w:sz w:val="21"/>
                <w:szCs w:val="21"/>
              </w:rPr>
              <w:t>0</w:t>
            </w:r>
          </w:p>
        </w:tc>
        <w:tc>
          <w:tcPr>
            <w:tcW w:w="1649" w:type="dxa"/>
            <w:vAlign w:val="center"/>
          </w:tcPr>
          <w:p w14:paraId="4D450B36">
            <w:pPr>
              <w:pStyle w:val="75"/>
              <w:adjustRightInd w:val="0"/>
              <w:snapToGrid w:val="0"/>
              <w:textAlignment w:val="center"/>
              <w:rPr>
                <w:rFonts w:hint="eastAsia"/>
                <w:color w:val="000000"/>
                <w:sz w:val="21"/>
                <w:szCs w:val="21"/>
                <w:lang w:val="en-US" w:eastAsia="zh-CN"/>
              </w:rPr>
            </w:pPr>
            <w:r>
              <w:rPr>
                <w:rFonts w:hint="eastAsia"/>
                <w:bCs/>
                <w:color w:val="auto"/>
                <w:sz w:val="21"/>
                <w:szCs w:val="21"/>
                <w:lang w:val="en-US" w:eastAsia="zh-CN"/>
              </w:rPr>
              <w:t>0.023</w:t>
            </w:r>
          </w:p>
        </w:tc>
        <w:tc>
          <w:tcPr>
            <w:tcW w:w="1136" w:type="dxa"/>
            <w:vAlign w:val="center"/>
          </w:tcPr>
          <w:p w14:paraId="17447300">
            <w:pPr>
              <w:pStyle w:val="75"/>
              <w:adjustRightInd w:val="0"/>
              <w:snapToGrid w:val="0"/>
              <w:textAlignment w:val="center"/>
              <w:rPr>
                <w:rFonts w:hint="default"/>
                <w:color w:val="000000"/>
                <w:sz w:val="21"/>
                <w:szCs w:val="21"/>
                <w:lang w:val="en-US" w:eastAsia="zh-CN"/>
              </w:rPr>
            </w:pPr>
            <w:r>
              <w:rPr>
                <w:rFonts w:hint="eastAsia"/>
                <w:bCs/>
                <w:color w:val="auto"/>
                <w:sz w:val="21"/>
                <w:szCs w:val="21"/>
                <w:lang w:val="en-US" w:eastAsia="zh-CN"/>
              </w:rPr>
              <w:t>+0.023</w:t>
            </w:r>
          </w:p>
        </w:tc>
      </w:tr>
      <w:tr w14:paraId="457CBE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2" w:type="dxa"/>
            <w:vMerge w:val="continue"/>
            <w:vAlign w:val="center"/>
          </w:tcPr>
          <w:p w14:paraId="614BA84B">
            <w:pPr>
              <w:pStyle w:val="36"/>
              <w:spacing w:beforeLines="0" w:after="24" w:line="240" w:lineRule="auto"/>
              <w:ind w:right="0"/>
              <w:rPr>
                <w:rFonts w:ascii="Times New Roman"/>
                <w:snapToGrid w:val="0"/>
                <w:color w:val="000000"/>
                <w:spacing w:val="-4"/>
                <w:kern w:val="21"/>
                <w:sz w:val="21"/>
                <w:szCs w:val="21"/>
              </w:rPr>
            </w:pPr>
          </w:p>
        </w:tc>
        <w:tc>
          <w:tcPr>
            <w:tcW w:w="526" w:type="dxa"/>
            <w:vMerge w:val="continue"/>
            <w:vAlign w:val="center"/>
          </w:tcPr>
          <w:p w14:paraId="7A0EA5E1">
            <w:pPr>
              <w:pStyle w:val="36"/>
              <w:spacing w:beforeLines="0" w:after="24" w:line="240" w:lineRule="auto"/>
              <w:ind w:right="0"/>
              <w:rPr>
                <w:rFonts w:ascii="Times New Roman"/>
                <w:snapToGrid w:val="0"/>
                <w:color w:val="000000"/>
                <w:spacing w:val="-4"/>
                <w:kern w:val="21"/>
                <w:sz w:val="21"/>
                <w:szCs w:val="21"/>
              </w:rPr>
            </w:pPr>
          </w:p>
        </w:tc>
        <w:tc>
          <w:tcPr>
            <w:tcW w:w="1417" w:type="dxa"/>
            <w:vAlign w:val="center"/>
          </w:tcPr>
          <w:p w14:paraId="120D8A65">
            <w:pPr>
              <w:jc w:val="center"/>
              <w:rPr>
                <w:snapToGrid w:val="0"/>
                <w:color w:val="000000"/>
                <w:kern w:val="21"/>
                <w:sz w:val="21"/>
                <w:szCs w:val="21"/>
              </w:rPr>
            </w:pPr>
            <w:r>
              <w:rPr>
                <w:snapToGrid w:val="0"/>
                <w:color w:val="000000"/>
                <w:kern w:val="21"/>
                <w:sz w:val="21"/>
                <w:szCs w:val="21"/>
              </w:rPr>
              <w:t>TP</w:t>
            </w:r>
          </w:p>
        </w:tc>
        <w:tc>
          <w:tcPr>
            <w:tcW w:w="1701" w:type="dxa"/>
            <w:vAlign w:val="center"/>
          </w:tcPr>
          <w:p w14:paraId="6B52123D">
            <w:pPr>
              <w:adjustRightInd w:val="0"/>
              <w:snapToGrid w:val="0"/>
              <w:spacing w:beforeLines="20" w:afterLines="20"/>
              <w:jc w:val="center"/>
              <w:rPr>
                <w:rFonts w:hint="eastAsia"/>
                <w:snapToGrid w:val="0"/>
                <w:color w:val="000000"/>
                <w:sz w:val="21"/>
                <w:szCs w:val="21"/>
                <w:lang w:val="en-US" w:eastAsia="zh-CN"/>
              </w:rPr>
            </w:pPr>
            <w:r>
              <w:rPr>
                <w:rFonts w:hint="eastAsia"/>
                <w:snapToGrid w:val="0"/>
                <w:color w:val="000000"/>
                <w:sz w:val="21"/>
                <w:szCs w:val="21"/>
                <w:lang w:val="en-US" w:eastAsia="zh-CN"/>
              </w:rPr>
              <w:t>0</w:t>
            </w:r>
          </w:p>
        </w:tc>
        <w:tc>
          <w:tcPr>
            <w:tcW w:w="1276" w:type="dxa"/>
            <w:vAlign w:val="center"/>
          </w:tcPr>
          <w:p w14:paraId="536DF60A">
            <w:pPr>
              <w:adjustRightInd w:val="0"/>
              <w:snapToGrid w:val="0"/>
              <w:spacing w:beforeLines="20" w:afterLines="20"/>
              <w:jc w:val="center"/>
              <w:rPr>
                <w:rFonts w:hint="eastAsia" w:ascii="Times New Roman" w:hAnsi="Times New Roman" w:eastAsia="宋体" w:cs="Times New Roman"/>
                <w:snapToGrid w:val="0"/>
                <w:color w:val="000000"/>
                <w:kern w:val="2"/>
                <w:sz w:val="21"/>
                <w:szCs w:val="21"/>
                <w:lang w:val="en-US" w:eastAsia="zh-CN" w:bidi="ar-SA"/>
              </w:rPr>
            </w:pPr>
            <w:r>
              <w:rPr>
                <w:rFonts w:hint="eastAsia"/>
                <w:snapToGrid w:val="0"/>
                <w:color w:val="000000"/>
                <w:sz w:val="21"/>
                <w:szCs w:val="21"/>
                <w:lang w:val="en-US" w:eastAsia="zh-CN"/>
              </w:rPr>
              <w:t>0</w:t>
            </w:r>
          </w:p>
        </w:tc>
        <w:tc>
          <w:tcPr>
            <w:tcW w:w="1701" w:type="dxa"/>
            <w:vMerge w:val="continue"/>
            <w:vAlign w:val="center"/>
          </w:tcPr>
          <w:p w14:paraId="1BFCD262">
            <w:pPr>
              <w:adjustRightInd w:val="0"/>
              <w:snapToGrid w:val="0"/>
              <w:spacing w:beforeLines="20" w:afterLines="20"/>
              <w:jc w:val="center"/>
              <w:rPr>
                <w:snapToGrid w:val="0"/>
                <w:color w:val="000000"/>
                <w:sz w:val="21"/>
                <w:szCs w:val="21"/>
              </w:rPr>
            </w:pPr>
          </w:p>
        </w:tc>
        <w:tc>
          <w:tcPr>
            <w:tcW w:w="1559" w:type="dxa"/>
            <w:vAlign w:val="center"/>
          </w:tcPr>
          <w:p w14:paraId="450F8848">
            <w:pPr>
              <w:pStyle w:val="75"/>
              <w:adjustRightInd w:val="0"/>
              <w:snapToGrid w:val="0"/>
              <w:textAlignment w:val="center"/>
              <w:rPr>
                <w:rFonts w:hint="eastAsia"/>
                <w:snapToGrid w:val="0"/>
                <w:color w:val="000000"/>
                <w:sz w:val="21"/>
                <w:szCs w:val="21"/>
                <w:lang w:val="en-US" w:eastAsia="zh-CN"/>
              </w:rPr>
            </w:pPr>
            <w:r>
              <w:rPr>
                <w:rFonts w:hint="eastAsia"/>
                <w:bCs/>
                <w:color w:val="auto"/>
                <w:sz w:val="21"/>
                <w:szCs w:val="21"/>
                <w:lang w:val="en-US" w:eastAsia="zh-CN"/>
              </w:rPr>
              <w:t>0.003</w:t>
            </w:r>
          </w:p>
        </w:tc>
        <w:tc>
          <w:tcPr>
            <w:tcW w:w="1761" w:type="dxa"/>
            <w:vAlign w:val="center"/>
          </w:tcPr>
          <w:p w14:paraId="3B4AFFCA">
            <w:pPr>
              <w:overflowPunct w:val="0"/>
              <w:adjustRightInd w:val="0"/>
              <w:snapToGrid w:val="0"/>
              <w:spacing w:beforeLines="20" w:afterLines="20"/>
              <w:jc w:val="center"/>
              <w:rPr>
                <w:snapToGrid w:val="0"/>
                <w:color w:val="000000"/>
                <w:sz w:val="21"/>
                <w:szCs w:val="21"/>
              </w:rPr>
            </w:pPr>
            <w:r>
              <w:rPr>
                <w:color w:val="000000"/>
                <w:sz w:val="21"/>
                <w:szCs w:val="21"/>
              </w:rPr>
              <w:t>0</w:t>
            </w:r>
          </w:p>
        </w:tc>
        <w:tc>
          <w:tcPr>
            <w:tcW w:w="1649" w:type="dxa"/>
            <w:vAlign w:val="center"/>
          </w:tcPr>
          <w:p w14:paraId="35D5C9E8">
            <w:pPr>
              <w:pStyle w:val="75"/>
              <w:adjustRightInd w:val="0"/>
              <w:snapToGrid w:val="0"/>
              <w:textAlignment w:val="center"/>
              <w:rPr>
                <w:rFonts w:hint="eastAsia"/>
                <w:color w:val="000000"/>
                <w:sz w:val="21"/>
                <w:szCs w:val="21"/>
                <w:lang w:val="en-US" w:eastAsia="zh-CN"/>
              </w:rPr>
            </w:pPr>
            <w:r>
              <w:rPr>
                <w:rFonts w:hint="eastAsia"/>
                <w:bCs/>
                <w:color w:val="auto"/>
                <w:sz w:val="21"/>
                <w:szCs w:val="21"/>
                <w:lang w:val="en-US" w:eastAsia="zh-CN"/>
              </w:rPr>
              <w:t>0.003</w:t>
            </w:r>
          </w:p>
        </w:tc>
        <w:tc>
          <w:tcPr>
            <w:tcW w:w="1136" w:type="dxa"/>
            <w:vAlign w:val="center"/>
          </w:tcPr>
          <w:p w14:paraId="169A03AA">
            <w:pPr>
              <w:pStyle w:val="75"/>
              <w:adjustRightInd w:val="0"/>
              <w:snapToGrid w:val="0"/>
              <w:textAlignment w:val="center"/>
              <w:rPr>
                <w:rFonts w:hint="default"/>
                <w:color w:val="000000"/>
                <w:sz w:val="21"/>
                <w:szCs w:val="21"/>
                <w:lang w:val="en-US" w:eastAsia="zh-CN"/>
              </w:rPr>
            </w:pPr>
            <w:r>
              <w:rPr>
                <w:rFonts w:hint="eastAsia"/>
                <w:bCs/>
                <w:color w:val="auto"/>
                <w:sz w:val="21"/>
                <w:szCs w:val="21"/>
                <w:lang w:val="en-US" w:eastAsia="zh-CN"/>
              </w:rPr>
              <w:t>+0.003</w:t>
            </w:r>
          </w:p>
        </w:tc>
      </w:tr>
      <w:tr w14:paraId="3D9D94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2" w:type="dxa"/>
            <w:vMerge w:val="continue"/>
            <w:vAlign w:val="center"/>
          </w:tcPr>
          <w:p w14:paraId="76DA3CA0">
            <w:pPr>
              <w:pStyle w:val="36"/>
              <w:spacing w:beforeLines="0" w:after="24" w:line="240" w:lineRule="auto"/>
              <w:ind w:right="0"/>
              <w:rPr>
                <w:rFonts w:ascii="Times New Roman"/>
                <w:snapToGrid w:val="0"/>
                <w:color w:val="000000"/>
                <w:spacing w:val="-4"/>
                <w:kern w:val="21"/>
                <w:sz w:val="21"/>
                <w:szCs w:val="21"/>
              </w:rPr>
            </w:pPr>
          </w:p>
        </w:tc>
        <w:tc>
          <w:tcPr>
            <w:tcW w:w="526" w:type="dxa"/>
            <w:vMerge w:val="continue"/>
            <w:vAlign w:val="center"/>
          </w:tcPr>
          <w:p w14:paraId="4D58F848">
            <w:pPr>
              <w:pStyle w:val="36"/>
              <w:spacing w:beforeLines="0" w:after="24" w:line="240" w:lineRule="auto"/>
              <w:ind w:right="0"/>
              <w:rPr>
                <w:rFonts w:ascii="Times New Roman"/>
                <w:snapToGrid w:val="0"/>
                <w:color w:val="000000"/>
                <w:spacing w:val="-4"/>
                <w:kern w:val="21"/>
                <w:sz w:val="21"/>
                <w:szCs w:val="21"/>
              </w:rPr>
            </w:pPr>
          </w:p>
        </w:tc>
        <w:tc>
          <w:tcPr>
            <w:tcW w:w="1417" w:type="dxa"/>
            <w:vAlign w:val="center"/>
          </w:tcPr>
          <w:p w14:paraId="4CCA207C">
            <w:pPr>
              <w:jc w:val="center"/>
              <w:rPr>
                <w:snapToGrid w:val="0"/>
                <w:color w:val="000000"/>
                <w:kern w:val="21"/>
                <w:sz w:val="21"/>
                <w:szCs w:val="21"/>
              </w:rPr>
            </w:pPr>
            <w:r>
              <w:rPr>
                <w:snapToGrid w:val="0"/>
                <w:color w:val="000000"/>
                <w:kern w:val="21"/>
                <w:sz w:val="21"/>
                <w:szCs w:val="21"/>
              </w:rPr>
              <w:t>TN</w:t>
            </w:r>
          </w:p>
        </w:tc>
        <w:tc>
          <w:tcPr>
            <w:tcW w:w="1701" w:type="dxa"/>
            <w:vAlign w:val="center"/>
          </w:tcPr>
          <w:p w14:paraId="090DEA72">
            <w:pPr>
              <w:adjustRightInd w:val="0"/>
              <w:snapToGrid w:val="0"/>
              <w:spacing w:beforeLines="20" w:afterLines="20"/>
              <w:jc w:val="center"/>
              <w:rPr>
                <w:rFonts w:hint="eastAsia"/>
                <w:snapToGrid w:val="0"/>
                <w:color w:val="000000"/>
                <w:sz w:val="21"/>
                <w:szCs w:val="21"/>
                <w:lang w:val="en-US" w:eastAsia="zh-CN"/>
              </w:rPr>
            </w:pPr>
            <w:r>
              <w:rPr>
                <w:rFonts w:hint="eastAsia"/>
                <w:snapToGrid w:val="0"/>
                <w:color w:val="000000"/>
                <w:sz w:val="21"/>
                <w:szCs w:val="21"/>
                <w:lang w:val="en-US" w:eastAsia="zh-CN"/>
              </w:rPr>
              <w:t>0</w:t>
            </w:r>
          </w:p>
        </w:tc>
        <w:tc>
          <w:tcPr>
            <w:tcW w:w="1276" w:type="dxa"/>
            <w:vAlign w:val="center"/>
          </w:tcPr>
          <w:p w14:paraId="17B07E45">
            <w:pPr>
              <w:adjustRightInd w:val="0"/>
              <w:snapToGrid w:val="0"/>
              <w:spacing w:beforeLines="20" w:afterLines="20"/>
              <w:jc w:val="center"/>
              <w:rPr>
                <w:rFonts w:hint="eastAsia" w:ascii="Times New Roman" w:hAnsi="Times New Roman" w:eastAsia="宋体" w:cs="Times New Roman"/>
                <w:snapToGrid w:val="0"/>
                <w:color w:val="000000"/>
                <w:kern w:val="2"/>
                <w:sz w:val="21"/>
                <w:szCs w:val="21"/>
                <w:lang w:val="en-US" w:eastAsia="zh-CN" w:bidi="ar-SA"/>
              </w:rPr>
            </w:pPr>
            <w:r>
              <w:rPr>
                <w:rFonts w:hint="eastAsia"/>
                <w:snapToGrid w:val="0"/>
                <w:color w:val="000000"/>
                <w:sz w:val="21"/>
                <w:szCs w:val="21"/>
                <w:lang w:val="en-US" w:eastAsia="zh-CN"/>
              </w:rPr>
              <w:t>0</w:t>
            </w:r>
          </w:p>
        </w:tc>
        <w:tc>
          <w:tcPr>
            <w:tcW w:w="1701" w:type="dxa"/>
            <w:vMerge w:val="continue"/>
            <w:vAlign w:val="center"/>
          </w:tcPr>
          <w:p w14:paraId="28303251">
            <w:pPr>
              <w:adjustRightInd w:val="0"/>
              <w:snapToGrid w:val="0"/>
              <w:spacing w:beforeLines="20" w:afterLines="20"/>
              <w:jc w:val="center"/>
              <w:rPr>
                <w:snapToGrid w:val="0"/>
                <w:color w:val="000000"/>
                <w:sz w:val="21"/>
                <w:szCs w:val="21"/>
              </w:rPr>
            </w:pPr>
          </w:p>
        </w:tc>
        <w:tc>
          <w:tcPr>
            <w:tcW w:w="1559" w:type="dxa"/>
            <w:vAlign w:val="center"/>
          </w:tcPr>
          <w:p w14:paraId="403A5C57">
            <w:pPr>
              <w:pStyle w:val="75"/>
              <w:adjustRightInd w:val="0"/>
              <w:snapToGrid w:val="0"/>
              <w:textAlignment w:val="center"/>
              <w:rPr>
                <w:rFonts w:hint="eastAsia"/>
                <w:snapToGrid w:val="0"/>
                <w:color w:val="000000"/>
                <w:sz w:val="21"/>
                <w:szCs w:val="21"/>
                <w:lang w:val="en-US" w:eastAsia="zh-CN"/>
              </w:rPr>
            </w:pPr>
            <w:r>
              <w:rPr>
                <w:rFonts w:hint="eastAsia"/>
                <w:bCs/>
                <w:color w:val="auto"/>
                <w:sz w:val="21"/>
                <w:szCs w:val="21"/>
                <w:lang w:val="en-US" w:eastAsia="zh-CN"/>
              </w:rPr>
              <w:t>0.031</w:t>
            </w:r>
          </w:p>
        </w:tc>
        <w:tc>
          <w:tcPr>
            <w:tcW w:w="1761" w:type="dxa"/>
            <w:vAlign w:val="center"/>
          </w:tcPr>
          <w:p w14:paraId="03E7F448">
            <w:pPr>
              <w:overflowPunct w:val="0"/>
              <w:adjustRightInd w:val="0"/>
              <w:snapToGrid w:val="0"/>
              <w:spacing w:beforeLines="20" w:afterLines="20"/>
              <w:jc w:val="center"/>
              <w:rPr>
                <w:snapToGrid w:val="0"/>
                <w:color w:val="000000"/>
                <w:sz w:val="21"/>
                <w:szCs w:val="21"/>
              </w:rPr>
            </w:pPr>
            <w:r>
              <w:rPr>
                <w:color w:val="000000"/>
                <w:sz w:val="21"/>
                <w:szCs w:val="21"/>
              </w:rPr>
              <w:t>0</w:t>
            </w:r>
          </w:p>
        </w:tc>
        <w:tc>
          <w:tcPr>
            <w:tcW w:w="1649" w:type="dxa"/>
            <w:vAlign w:val="center"/>
          </w:tcPr>
          <w:p w14:paraId="15C8D43E">
            <w:pPr>
              <w:pStyle w:val="75"/>
              <w:adjustRightInd w:val="0"/>
              <w:snapToGrid w:val="0"/>
              <w:textAlignment w:val="center"/>
              <w:rPr>
                <w:rFonts w:hint="eastAsia"/>
                <w:color w:val="000000"/>
                <w:sz w:val="21"/>
                <w:szCs w:val="21"/>
                <w:lang w:val="en-US" w:eastAsia="zh-CN"/>
              </w:rPr>
            </w:pPr>
            <w:r>
              <w:rPr>
                <w:rFonts w:hint="eastAsia"/>
                <w:bCs/>
                <w:color w:val="auto"/>
                <w:sz w:val="21"/>
                <w:szCs w:val="21"/>
                <w:lang w:val="en-US" w:eastAsia="zh-CN"/>
              </w:rPr>
              <w:t>0.031</w:t>
            </w:r>
          </w:p>
        </w:tc>
        <w:tc>
          <w:tcPr>
            <w:tcW w:w="1136" w:type="dxa"/>
            <w:vAlign w:val="center"/>
          </w:tcPr>
          <w:p w14:paraId="5A992140">
            <w:pPr>
              <w:pStyle w:val="75"/>
              <w:adjustRightInd w:val="0"/>
              <w:snapToGrid w:val="0"/>
              <w:textAlignment w:val="center"/>
              <w:rPr>
                <w:rFonts w:hint="default"/>
                <w:color w:val="000000"/>
                <w:sz w:val="21"/>
                <w:szCs w:val="21"/>
                <w:lang w:val="en-US" w:eastAsia="zh-CN"/>
              </w:rPr>
            </w:pPr>
            <w:r>
              <w:rPr>
                <w:rFonts w:hint="eastAsia"/>
                <w:bCs/>
                <w:color w:val="auto"/>
                <w:sz w:val="21"/>
                <w:szCs w:val="21"/>
                <w:lang w:val="en-US" w:eastAsia="zh-CN"/>
              </w:rPr>
              <w:t>+0.031</w:t>
            </w:r>
          </w:p>
        </w:tc>
      </w:tr>
      <w:tr w14:paraId="28B227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62" w:type="dxa"/>
            <w:vMerge w:val="continue"/>
            <w:vAlign w:val="center"/>
          </w:tcPr>
          <w:p w14:paraId="015F2F5A">
            <w:pPr>
              <w:pStyle w:val="36"/>
              <w:spacing w:beforeLines="0" w:after="24" w:line="240" w:lineRule="auto"/>
              <w:ind w:right="0"/>
              <w:rPr>
                <w:rFonts w:ascii="Times New Roman"/>
                <w:snapToGrid w:val="0"/>
                <w:color w:val="000000"/>
                <w:spacing w:val="-4"/>
                <w:kern w:val="21"/>
                <w:sz w:val="21"/>
                <w:szCs w:val="21"/>
              </w:rPr>
            </w:pPr>
          </w:p>
        </w:tc>
        <w:tc>
          <w:tcPr>
            <w:tcW w:w="526" w:type="dxa"/>
            <w:vMerge w:val="restart"/>
            <w:vAlign w:val="center"/>
          </w:tcPr>
          <w:p w14:paraId="53CB7369">
            <w:pPr>
              <w:pStyle w:val="36"/>
              <w:spacing w:beforeLines="0" w:after="24" w:line="240" w:lineRule="auto"/>
              <w:ind w:right="0"/>
              <w:rPr>
                <w:rFonts w:ascii="Times New Roman"/>
                <w:snapToGrid w:val="0"/>
                <w:color w:val="000000"/>
                <w:spacing w:val="-4"/>
                <w:kern w:val="21"/>
                <w:sz w:val="21"/>
                <w:szCs w:val="21"/>
              </w:rPr>
            </w:pPr>
            <w:r>
              <w:rPr>
                <w:rFonts w:hint="eastAsia" w:ascii="Times New Roman"/>
                <w:snapToGrid w:val="0"/>
                <w:color w:val="000000"/>
                <w:spacing w:val="-4"/>
                <w:kern w:val="21"/>
                <w:sz w:val="21"/>
                <w:szCs w:val="21"/>
                <w:lang w:val="en-US" w:eastAsia="zh-CN"/>
              </w:rPr>
              <w:t>生产</w:t>
            </w:r>
            <w:r>
              <w:rPr>
                <w:rFonts w:hint="eastAsia" w:ascii="Times New Roman"/>
                <w:snapToGrid w:val="0"/>
                <w:color w:val="000000"/>
                <w:spacing w:val="-4"/>
                <w:kern w:val="21"/>
                <w:sz w:val="21"/>
                <w:szCs w:val="21"/>
              </w:rPr>
              <w:t>废水</w:t>
            </w:r>
          </w:p>
        </w:tc>
        <w:tc>
          <w:tcPr>
            <w:tcW w:w="1417" w:type="dxa"/>
            <w:vAlign w:val="center"/>
          </w:tcPr>
          <w:p w14:paraId="65539D1E">
            <w:pPr>
              <w:jc w:val="center"/>
              <w:rPr>
                <w:snapToGrid w:val="0"/>
                <w:color w:val="000000"/>
                <w:kern w:val="21"/>
                <w:sz w:val="21"/>
                <w:szCs w:val="21"/>
              </w:rPr>
            </w:pPr>
            <w:r>
              <w:rPr>
                <w:rFonts w:hint="eastAsia"/>
                <w:snapToGrid w:val="0"/>
                <w:color w:val="000000"/>
                <w:kern w:val="21"/>
                <w:sz w:val="21"/>
                <w:szCs w:val="21"/>
              </w:rPr>
              <w:t>废水量</w:t>
            </w:r>
          </w:p>
        </w:tc>
        <w:tc>
          <w:tcPr>
            <w:tcW w:w="1701" w:type="dxa"/>
            <w:vAlign w:val="center"/>
          </w:tcPr>
          <w:p w14:paraId="3176F653">
            <w:pPr>
              <w:adjustRightInd w:val="0"/>
              <w:snapToGrid w:val="0"/>
              <w:spacing w:beforeLines="20" w:afterLines="20"/>
              <w:jc w:val="center"/>
              <w:rPr>
                <w:rFonts w:hint="default" w:eastAsia="宋体"/>
                <w:snapToGrid w:val="0"/>
                <w:color w:val="000000"/>
                <w:sz w:val="21"/>
                <w:szCs w:val="21"/>
                <w:lang w:val="en-US" w:eastAsia="zh-CN"/>
              </w:rPr>
            </w:pPr>
            <w:r>
              <w:rPr>
                <w:rFonts w:hint="eastAsia"/>
                <w:sz w:val="21"/>
                <w:szCs w:val="21"/>
                <w:lang w:val="en-US" w:eastAsia="zh-CN"/>
              </w:rPr>
              <w:t>0</w:t>
            </w:r>
          </w:p>
        </w:tc>
        <w:tc>
          <w:tcPr>
            <w:tcW w:w="1276" w:type="dxa"/>
            <w:vAlign w:val="center"/>
          </w:tcPr>
          <w:p w14:paraId="3E8F389E">
            <w:pPr>
              <w:adjustRightInd w:val="0"/>
              <w:snapToGrid w:val="0"/>
              <w:spacing w:beforeLines="20" w:afterLines="20"/>
              <w:jc w:val="center"/>
              <w:rPr>
                <w:rFonts w:hint="eastAsia" w:eastAsia="宋体"/>
                <w:snapToGrid w:val="0"/>
                <w:color w:val="000000"/>
                <w:sz w:val="21"/>
                <w:szCs w:val="21"/>
                <w:lang w:val="en-US" w:eastAsia="zh-CN"/>
              </w:rPr>
            </w:pPr>
            <w:r>
              <w:rPr>
                <w:rFonts w:hint="eastAsia"/>
                <w:snapToGrid w:val="0"/>
                <w:color w:val="000000"/>
                <w:sz w:val="21"/>
                <w:szCs w:val="21"/>
                <w:lang w:val="en-US" w:eastAsia="zh-CN"/>
              </w:rPr>
              <w:t>0</w:t>
            </w:r>
          </w:p>
        </w:tc>
        <w:tc>
          <w:tcPr>
            <w:tcW w:w="1701" w:type="dxa"/>
            <w:vMerge w:val="continue"/>
            <w:vAlign w:val="center"/>
          </w:tcPr>
          <w:p w14:paraId="172C6F51">
            <w:pPr>
              <w:adjustRightInd w:val="0"/>
              <w:snapToGrid w:val="0"/>
              <w:spacing w:beforeLines="20" w:afterLines="20"/>
              <w:jc w:val="center"/>
              <w:rPr>
                <w:snapToGrid w:val="0"/>
                <w:color w:val="000000"/>
                <w:sz w:val="21"/>
                <w:szCs w:val="21"/>
              </w:rPr>
            </w:pPr>
          </w:p>
        </w:tc>
        <w:tc>
          <w:tcPr>
            <w:tcW w:w="1559" w:type="dxa"/>
            <w:vAlign w:val="center"/>
          </w:tcPr>
          <w:p w14:paraId="2A56DB78">
            <w:pPr>
              <w:adjustRightInd w:val="0"/>
              <w:snapToGrid w:val="0"/>
              <w:spacing w:beforeLines="20" w:afterLines="20"/>
              <w:jc w:val="center"/>
              <w:rPr>
                <w:rFonts w:hint="default" w:eastAsia="宋体"/>
                <w:color w:val="000000"/>
                <w:sz w:val="21"/>
                <w:szCs w:val="21"/>
                <w:lang w:val="en-US" w:eastAsia="zh-CN"/>
              </w:rPr>
            </w:pPr>
            <w:r>
              <w:rPr>
                <w:rFonts w:hint="eastAsia"/>
                <w:snapToGrid w:val="0"/>
                <w:color w:val="000000"/>
                <w:sz w:val="21"/>
                <w:szCs w:val="21"/>
                <w:lang w:val="en-US" w:eastAsia="zh-CN"/>
              </w:rPr>
              <w:t>173740*</w:t>
            </w:r>
          </w:p>
        </w:tc>
        <w:tc>
          <w:tcPr>
            <w:tcW w:w="1761" w:type="dxa"/>
            <w:vAlign w:val="center"/>
          </w:tcPr>
          <w:p w14:paraId="3EFDB1DA">
            <w:pPr>
              <w:adjustRightInd w:val="0"/>
              <w:snapToGrid w:val="0"/>
              <w:spacing w:beforeLines="20" w:afterLines="20"/>
              <w:jc w:val="center"/>
              <w:rPr>
                <w:rFonts w:hint="eastAsia" w:eastAsia="宋体"/>
                <w:snapToGrid w:val="0"/>
                <w:color w:val="000000"/>
                <w:sz w:val="21"/>
                <w:szCs w:val="21"/>
                <w:lang w:val="en-US" w:eastAsia="zh-CN"/>
              </w:rPr>
            </w:pPr>
            <w:r>
              <w:rPr>
                <w:rFonts w:hint="eastAsia"/>
                <w:snapToGrid w:val="0"/>
                <w:color w:val="000000"/>
                <w:sz w:val="21"/>
                <w:szCs w:val="21"/>
                <w:lang w:val="en-US" w:eastAsia="zh-CN"/>
              </w:rPr>
              <w:t>0</w:t>
            </w:r>
          </w:p>
        </w:tc>
        <w:tc>
          <w:tcPr>
            <w:tcW w:w="1649" w:type="dxa"/>
            <w:shd w:val="clear" w:color="auto" w:fill="auto"/>
            <w:vAlign w:val="center"/>
          </w:tcPr>
          <w:p w14:paraId="3FF326C9">
            <w:pPr>
              <w:adjustRightInd w:val="0"/>
              <w:snapToGrid w:val="0"/>
              <w:spacing w:beforeLines="20" w:afterLines="20"/>
              <w:jc w:val="center"/>
              <w:rPr>
                <w:rFonts w:ascii="Times New Roman" w:hAnsi="Times New Roman" w:eastAsia="宋体" w:cs="Times New Roman"/>
                <w:snapToGrid w:val="0"/>
                <w:color w:val="000000"/>
                <w:kern w:val="2"/>
                <w:sz w:val="21"/>
                <w:szCs w:val="21"/>
                <w:lang w:val="en-US" w:eastAsia="zh-CN" w:bidi="ar-SA"/>
              </w:rPr>
            </w:pPr>
            <w:r>
              <w:rPr>
                <w:rFonts w:hint="eastAsia"/>
                <w:snapToGrid w:val="0"/>
                <w:color w:val="000000"/>
                <w:sz w:val="21"/>
                <w:szCs w:val="21"/>
                <w:lang w:val="en-US" w:eastAsia="zh-CN"/>
              </w:rPr>
              <w:t>173740*</w:t>
            </w:r>
          </w:p>
        </w:tc>
        <w:tc>
          <w:tcPr>
            <w:tcW w:w="1136" w:type="dxa"/>
            <w:vAlign w:val="center"/>
          </w:tcPr>
          <w:p w14:paraId="0FDBDDF9">
            <w:pPr>
              <w:adjustRightInd w:val="0"/>
              <w:snapToGrid w:val="0"/>
              <w:spacing w:beforeLines="20" w:afterLines="20"/>
              <w:jc w:val="center"/>
              <w:rPr>
                <w:rFonts w:hint="default" w:eastAsia="宋体"/>
                <w:snapToGrid w:val="0"/>
                <w:color w:val="000000"/>
                <w:sz w:val="21"/>
                <w:szCs w:val="21"/>
                <w:lang w:val="en-US" w:eastAsia="zh-CN"/>
              </w:rPr>
            </w:pPr>
            <w:r>
              <w:rPr>
                <w:rFonts w:hint="eastAsia"/>
                <w:snapToGrid w:val="0"/>
                <w:color w:val="000000"/>
                <w:sz w:val="21"/>
                <w:szCs w:val="21"/>
                <w:lang w:val="en-US" w:eastAsia="zh-CN"/>
              </w:rPr>
              <w:t>+173740*</w:t>
            </w:r>
          </w:p>
        </w:tc>
      </w:tr>
      <w:tr w14:paraId="0A0F3B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2" w:type="dxa"/>
            <w:vMerge w:val="continue"/>
            <w:vAlign w:val="center"/>
          </w:tcPr>
          <w:p w14:paraId="029AB60D">
            <w:pPr>
              <w:pStyle w:val="36"/>
              <w:spacing w:beforeLines="0" w:after="24" w:line="240" w:lineRule="auto"/>
              <w:ind w:right="0"/>
              <w:rPr>
                <w:rFonts w:ascii="Times New Roman"/>
                <w:snapToGrid w:val="0"/>
                <w:color w:val="000000"/>
                <w:spacing w:val="-4"/>
                <w:kern w:val="21"/>
                <w:sz w:val="21"/>
                <w:szCs w:val="21"/>
              </w:rPr>
            </w:pPr>
          </w:p>
        </w:tc>
        <w:tc>
          <w:tcPr>
            <w:tcW w:w="526" w:type="dxa"/>
            <w:vMerge w:val="continue"/>
            <w:vAlign w:val="center"/>
          </w:tcPr>
          <w:p w14:paraId="66B04884">
            <w:pPr>
              <w:pStyle w:val="36"/>
              <w:spacing w:beforeLines="0" w:after="24" w:line="240" w:lineRule="auto"/>
              <w:ind w:right="0"/>
              <w:rPr>
                <w:rFonts w:ascii="Times New Roman"/>
                <w:snapToGrid w:val="0"/>
                <w:color w:val="000000"/>
                <w:spacing w:val="-4"/>
                <w:kern w:val="21"/>
                <w:sz w:val="21"/>
                <w:szCs w:val="21"/>
              </w:rPr>
            </w:pPr>
          </w:p>
        </w:tc>
        <w:tc>
          <w:tcPr>
            <w:tcW w:w="1417" w:type="dxa"/>
            <w:vAlign w:val="center"/>
          </w:tcPr>
          <w:p w14:paraId="25D513A2">
            <w:pPr>
              <w:jc w:val="center"/>
              <w:rPr>
                <w:snapToGrid w:val="0"/>
                <w:color w:val="000000"/>
                <w:kern w:val="21"/>
                <w:sz w:val="21"/>
                <w:szCs w:val="21"/>
              </w:rPr>
            </w:pPr>
            <w:r>
              <w:rPr>
                <w:snapToGrid w:val="0"/>
                <w:color w:val="000000"/>
                <w:kern w:val="21"/>
                <w:sz w:val="21"/>
                <w:szCs w:val="21"/>
              </w:rPr>
              <w:t>COD</w:t>
            </w:r>
          </w:p>
        </w:tc>
        <w:tc>
          <w:tcPr>
            <w:tcW w:w="1701" w:type="dxa"/>
            <w:vAlign w:val="center"/>
          </w:tcPr>
          <w:p w14:paraId="173F2C38">
            <w:pPr>
              <w:adjustRightInd w:val="0"/>
              <w:snapToGrid w:val="0"/>
              <w:spacing w:beforeLines="20" w:afterLines="20"/>
              <w:jc w:val="center"/>
              <w:rPr>
                <w:rFonts w:hint="eastAsia" w:eastAsia="宋体"/>
                <w:snapToGrid w:val="0"/>
                <w:color w:val="000000"/>
                <w:sz w:val="21"/>
                <w:szCs w:val="21"/>
                <w:lang w:val="en-US" w:eastAsia="zh-CN"/>
              </w:rPr>
            </w:pPr>
            <w:r>
              <w:rPr>
                <w:rFonts w:hint="eastAsia"/>
                <w:snapToGrid w:val="0"/>
                <w:color w:val="000000"/>
                <w:sz w:val="21"/>
                <w:szCs w:val="21"/>
                <w:lang w:val="en-US" w:eastAsia="zh-CN"/>
              </w:rPr>
              <w:t>0</w:t>
            </w:r>
          </w:p>
        </w:tc>
        <w:tc>
          <w:tcPr>
            <w:tcW w:w="1276" w:type="dxa"/>
            <w:vAlign w:val="center"/>
          </w:tcPr>
          <w:p w14:paraId="2E5BA92E">
            <w:pPr>
              <w:adjustRightInd w:val="0"/>
              <w:snapToGrid w:val="0"/>
              <w:spacing w:beforeLines="20" w:afterLines="20"/>
              <w:jc w:val="center"/>
              <w:rPr>
                <w:rFonts w:hint="eastAsia" w:eastAsia="宋体"/>
                <w:snapToGrid w:val="0"/>
                <w:color w:val="000000"/>
                <w:sz w:val="21"/>
                <w:szCs w:val="21"/>
                <w:lang w:val="en-US" w:eastAsia="zh-CN"/>
              </w:rPr>
            </w:pPr>
            <w:r>
              <w:rPr>
                <w:rFonts w:hint="eastAsia"/>
                <w:snapToGrid w:val="0"/>
                <w:color w:val="000000"/>
                <w:sz w:val="21"/>
                <w:szCs w:val="21"/>
                <w:lang w:val="en-US" w:eastAsia="zh-CN"/>
              </w:rPr>
              <w:t>0</w:t>
            </w:r>
          </w:p>
        </w:tc>
        <w:tc>
          <w:tcPr>
            <w:tcW w:w="1701" w:type="dxa"/>
            <w:vMerge w:val="continue"/>
            <w:vAlign w:val="center"/>
          </w:tcPr>
          <w:p w14:paraId="4D343306">
            <w:pPr>
              <w:adjustRightInd w:val="0"/>
              <w:snapToGrid w:val="0"/>
              <w:spacing w:beforeLines="20" w:afterLines="20"/>
              <w:jc w:val="center"/>
              <w:rPr>
                <w:snapToGrid w:val="0"/>
                <w:color w:val="000000"/>
                <w:sz w:val="21"/>
                <w:szCs w:val="21"/>
              </w:rPr>
            </w:pPr>
          </w:p>
        </w:tc>
        <w:tc>
          <w:tcPr>
            <w:tcW w:w="1559" w:type="dxa"/>
            <w:vAlign w:val="center"/>
          </w:tcPr>
          <w:p w14:paraId="52B7BAC0">
            <w:pPr>
              <w:pStyle w:val="75"/>
              <w:adjustRightInd w:val="0"/>
              <w:snapToGrid w:val="0"/>
              <w:textAlignment w:val="center"/>
              <w:rPr>
                <w:rFonts w:hint="eastAsia" w:eastAsia="宋体"/>
                <w:snapToGrid w:val="0"/>
                <w:color w:val="000000"/>
                <w:sz w:val="21"/>
                <w:szCs w:val="21"/>
                <w:lang w:val="en-US" w:eastAsia="zh-CN"/>
              </w:rPr>
            </w:pPr>
            <w:r>
              <w:rPr>
                <w:rFonts w:hint="eastAsia"/>
                <w:bCs/>
                <w:color w:val="auto"/>
                <w:sz w:val="21"/>
                <w:szCs w:val="21"/>
                <w:lang w:val="en-US" w:eastAsia="zh-CN"/>
              </w:rPr>
              <w:t>86.87*</w:t>
            </w:r>
          </w:p>
        </w:tc>
        <w:tc>
          <w:tcPr>
            <w:tcW w:w="1761" w:type="dxa"/>
            <w:vAlign w:val="center"/>
          </w:tcPr>
          <w:p w14:paraId="5D0111D1">
            <w:pPr>
              <w:adjustRightInd w:val="0"/>
              <w:snapToGrid w:val="0"/>
              <w:spacing w:beforeLines="20" w:afterLines="20"/>
              <w:jc w:val="center"/>
              <w:rPr>
                <w:rFonts w:hint="eastAsia" w:eastAsia="宋体"/>
                <w:snapToGrid w:val="0"/>
                <w:color w:val="000000"/>
                <w:sz w:val="21"/>
                <w:szCs w:val="21"/>
                <w:lang w:val="en-US" w:eastAsia="zh-CN"/>
              </w:rPr>
            </w:pPr>
            <w:r>
              <w:rPr>
                <w:rFonts w:hint="eastAsia"/>
                <w:snapToGrid w:val="0"/>
                <w:color w:val="000000"/>
                <w:sz w:val="21"/>
                <w:szCs w:val="21"/>
                <w:lang w:val="en-US" w:eastAsia="zh-CN"/>
              </w:rPr>
              <w:t>0</w:t>
            </w:r>
          </w:p>
        </w:tc>
        <w:tc>
          <w:tcPr>
            <w:tcW w:w="1649" w:type="dxa"/>
            <w:shd w:val="clear" w:color="auto" w:fill="auto"/>
            <w:vAlign w:val="center"/>
          </w:tcPr>
          <w:p w14:paraId="76E87F2F">
            <w:pPr>
              <w:pStyle w:val="75"/>
              <w:adjustRightInd w:val="0"/>
              <w:snapToGrid w:val="0"/>
              <w:textAlignment w:val="center"/>
              <w:rPr>
                <w:rFonts w:ascii="Times New Roman" w:hAnsi="Times New Roman" w:eastAsia="宋体" w:cs="Times New Roman"/>
                <w:snapToGrid w:val="0"/>
                <w:color w:val="000000"/>
                <w:kern w:val="2"/>
                <w:sz w:val="21"/>
                <w:szCs w:val="21"/>
                <w:lang w:val="en-US" w:eastAsia="zh-CN" w:bidi="ar-SA"/>
              </w:rPr>
            </w:pPr>
            <w:r>
              <w:rPr>
                <w:rFonts w:hint="eastAsia"/>
                <w:bCs/>
                <w:color w:val="auto"/>
                <w:sz w:val="21"/>
                <w:szCs w:val="21"/>
                <w:lang w:val="en-US" w:eastAsia="zh-CN"/>
              </w:rPr>
              <w:t>86.87*</w:t>
            </w:r>
          </w:p>
        </w:tc>
        <w:tc>
          <w:tcPr>
            <w:tcW w:w="1136" w:type="dxa"/>
            <w:vAlign w:val="center"/>
          </w:tcPr>
          <w:p w14:paraId="4E28F3A5">
            <w:pPr>
              <w:pStyle w:val="75"/>
              <w:adjustRightInd w:val="0"/>
              <w:snapToGrid w:val="0"/>
              <w:textAlignment w:val="center"/>
              <w:rPr>
                <w:rFonts w:hint="default"/>
                <w:bCs/>
                <w:color w:val="000000"/>
                <w:kern w:val="2"/>
                <w:sz w:val="21"/>
                <w:szCs w:val="21"/>
                <w:lang w:val="en-US"/>
              </w:rPr>
            </w:pPr>
            <w:r>
              <w:rPr>
                <w:rFonts w:hint="eastAsia"/>
                <w:bCs/>
                <w:color w:val="auto"/>
                <w:sz w:val="21"/>
                <w:szCs w:val="21"/>
                <w:lang w:val="en-US" w:eastAsia="zh-CN"/>
              </w:rPr>
              <w:t>+86.87*</w:t>
            </w:r>
          </w:p>
        </w:tc>
      </w:tr>
      <w:tr w14:paraId="5F99EF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2" w:type="dxa"/>
            <w:vMerge w:val="continue"/>
            <w:vAlign w:val="center"/>
          </w:tcPr>
          <w:p w14:paraId="25133C95">
            <w:pPr>
              <w:pStyle w:val="36"/>
              <w:spacing w:beforeLines="0" w:after="24" w:line="240" w:lineRule="auto"/>
              <w:ind w:right="0"/>
              <w:rPr>
                <w:rFonts w:ascii="Times New Roman"/>
                <w:snapToGrid w:val="0"/>
                <w:color w:val="000000"/>
                <w:spacing w:val="-4"/>
                <w:kern w:val="21"/>
                <w:sz w:val="21"/>
                <w:szCs w:val="21"/>
              </w:rPr>
            </w:pPr>
          </w:p>
        </w:tc>
        <w:tc>
          <w:tcPr>
            <w:tcW w:w="526" w:type="dxa"/>
            <w:vMerge w:val="continue"/>
            <w:vAlign w:val="center"/>
          </w:tcPr>
          <w:p w14:paraId="1D82574E">
            <w:pPr>
              <w:pStyle w:val="36"/>
              <w:spacing w:beforeLines="0" w:after="24" w:line="240" w:lineRule="auto"/>
              <w:ind w:right="0"/>
              <w:rPr>
                <w:rFonts w:ascii="Times New Roman"/>
                <w:snapToGrid w:val="0"/>
                <w:color w:val="000000"/>
                <w:spacing w:val="-4"/>
                <w:kern w:val="21"/>
                <w:sz w:val="21"/>
                <w:szCs w:val="21"/>
              </w:rPr>
            </w:pPr>
          </w:p>
        </w:tc>
        <w:tc>
          <w:tcPr>
            <w:tcW w:w="1417" w:type="dxa"/>
            <w:vAlign w:val="center"/>
          </w:tcPr>
          <w:p w14:paraId="39643AB0">
            <w:pPr>
              <w:jc w:val="center"/>
              <w:rPr>
                <w:snapToGrid w:val="0"/>
                <w:color w:val="000000"/>
                <w:kern w:val="21"/>
                <w:sz w:val="21"/>
                <w:szCs w:val="21"/>
              </w:rPr>
            </w:pPr>
            <w:r>
              <w:rPr>
                <w:snapToGrid w:val="0"/>
                <w:color w:val="000000"/>
                <w:kern w:val="21"/>
                <w:sz w:val="21"/>
                <w:szCs w:val="21"/>
              </w:rPr>
              <w:t>SS</w:t>
            </w:r>
          </w:p>
        </w:tc>
        <w:tc>
          <w:tcPr>
            <w:tcW w:w="1701" w:type="dxa"/>
            <w:vAlign w:val="center"/>
          </w:tcPr>
          <w:p w14:paraId="61650897">
            <w:pPr>
              <w:adjustRightInd w:val="0"/>
              <w:snapToGrid w:val="0"/>
              <w:spacing w:beforeLines="20" w:afterLines="20"/>
              <w:jc w:val="center"/>
              <w:rPr>
                <w:rFonts w:hint="eastAsia" w:eastAsia="宋体"/>
                <w:snapToGrid w:val="0"/>
                <w:color w:val="000000"/>
                <w:sz w:val="21"/>
                <w:szCs w:val="21"/>
                <w:lang w:val="en-US" w:eastAsia="zh-CN"/>
              </w:rPr>
            </w:pPr>
            <w:r>
              <w:rPr>
                <w:rFonts w:hint="eastAsia"/>
                <w:snapToGrid w:val="0"/>
                <w:color w:val="000000"/>
                <w:sz w:val="21"/>
                <w:szCs w:val="21"/>
                <w:lang w:val="en-US" w:eastAsia="zh-CN"/>
              </w:rPr>
              <w:t>0</w:t>
            </w:r>
          </w:p>
        </w:tc>
        <w:tc>
          <w:tcPr>
            <w:tcW w:w="1276" w:type="dxa"/>
            <w:vAlign w:val="center"/>
          </w:tcPr>
          <w:p w14:paraId="7B6DF974">
            <w:pPr>
              <w:adjustRightInd w:val="0"/>
              <w:snapToGrid w:val="0"/>
              <w:spacing w:beforeLines="20" w:afterLines="20"/>
              <w:jc w:val="center"/>
              <w:rPr>
                <w:rFonts w:hint="eastAsia" w:eastAsia="宋体"/>
                <w:snapToGrid w:val="0"/>
                <w:color w:val="000000"/>
                <w:sz w:val="21"/>
                <w:szCs w:val="21"/>
                <w:lang w:val="en-US" w:eastAsia="zh-CN"/>
              </w:rPr>
            </w:pPr>
            <w:r>
              <w:rPr>
                <w:rFonts w:hint="eastAsia"/>
                <w:snapToGrid w:val="0"/>
                <w:color w:val="000000"/>
                <w:sz w:val="21"/>
                <w:szCs w:val="21"/>
                <w:lang w:val="en-US" w:eastAsia="zh-CN"/>
              </w:rPr>
              <w:t>0</w:t>
            </w:r>
          </w:p>
        </w:tc>
        <w:tc>
          <w:tcPr>
            <w:tcW w:w="1701" w:type="dxa"/>
            <w:vMerge w:val="continue"/>
            <w:vAlign w:val="center"/>
          </w:tcPr>
          <w:p w14:paraId="09C24F9E">
            <w:pPr>
              <w:adjustRightInd w:val="0"/>
              <w:snapToGrid w:val="0"/>
              <w:spacing w:beforeLines="20" w:afterLines="20"/>
              <w:jc w:val="center"/>
              <w:rPr>
                <w:snapToGrid w:val="0"/>
                <w:color w:val="000000"/>
                <w:sz w:val="21"/>
                <w:szCs w:val="21"/>
              </w:rPr>
            </w:pPr>
          </w:p>
        </w:tc>
        <w:tc>
          <w:tcPr>
            <w:tcW w:w="1559" w:type="dxa"/>
            <w:vAlign w:val="center"/>
          </w:tcPr>
          <w:p w14:paraId="1CF04BEC">
            <w:pPr>
              <w:pStyle w:val="75"/>
              <w:adjustRightInd w:val="0"/>
              <w:snapToGrid w:val="0"/>
              <w:textAlignment w:val="center"/>
              <w:rPr>
                <w:rFonts w:hint="eastAsia" w:eastAsia="宋体"/>
                <w:snapToGrid w:val="0"/>
                <w:color w:val="000000"/>
                <w:sz w:val="21"/>
                <w:szCs w:val="21"/>
                <w:lang w:val="en-US" w:eastAsia="zh-CN"/>
              </w:rPr>
            </w:pPr>
            <w:r>
              <w:rPr>
                <w:rFonts w:hint="eastAsia"/>
                <w:bCs/>
                <w:color w:val="auto"/>
                <w:sz w:val="21"/>
                <w:szCs w:val="21"/>
                <w:lang w:val="en-US" w:eastAsia="zh-CN"/>
              </w:rPr>
              <w:t>43.435*</w:t>
            </w:r>
          </w:p>
        </w:tc>
        <w:tc>
          <w:tcPr>
            <w:tcW w:w="1761" w:type="dxa"/>
            <w:vAlign w:val="center"/>
          </w:tcPr>
          <w:p w14:paraId="03187CCC">
            <w:pPr>
              <w:adjustRightInd w:val="0"/>
              <w:snapToGrid w:val="0"/>
              <w:spacing w:beforeLines="20" w:afterLines="20"/>
              <w:jc w:val="center"/>
              <w:rPr>
                <w:rFonts w:hint="eastAsia" w:eastAsia="宋体"/>
                <w:snapToGrid w:val="0"/>
                <w:color w:val="000000"/>
                <w:sz w:val="21"/>
                <w:szCs w:val="21"/>
                <w:lang w:val="en-US" w:eastAsia="zh-CN"/>
              </w:rPr>
            </w:pPr>
            <w:r>
              <w:rPr>
                <w:rFonts w:hint="eastAsia"/>
                <w:snapToGrid w:val="0"/>
                <w:color w:val="000000"/>
                <w:sz w:val="21"/>
                <w:szCs w:val="21"/>
                <w:lang w:val="en-US" w:eastAsia="zh-CN"/>
              </w:rPr>
              <w:t>0</w:t>
            </w:r>
          </w:p>
        </w:tc>
        <w:tc>
          <w:tcPr>
            <w:tcW w:w="1649" w:type="dxa"/>
            <w:shd w:val="clear" w:color="auto" w:fill="auto"/>
            <w:vAlign w:val="center"/>
          </w:tcPr>
          <w:p w14:paraId="1F992F8B">
            <w:pPr>
              <w:pStyle w:val="75"/>
              <w:adjustRightInd w:val="0"/>
              <w:snapToGrid w:val="0"/>
              <w:textAlignment w:val="center"/>
              <w:rPr>
                <w:rFonts w:ascii="Times New Roman" w:hAnsi="Times New Roman" w:eastAsia="宋体" w:cs="Times New Roman"/>
                <w:snapToGrid w:val="0"/>
                <w:color w:val="000000"/>
                <w:kern w:val="2"/>
                <w:sz w:val="21"/>
                <w:szCs w:val="21"/>
                <w:lang w:val="en-US" w:eastAsia="zh-CN" w:bidi="ar-SA"/>
              </w:rPr>
            </w:pPr>
            <w:r>
              <w:rPr>
                <w:rFonts w:hint="eastAsia"/>
                <w:bCs/>
                <w:color w:val="auto"/>
                <w:sz w:val="21"/>
                <w:szCs w:val="21"/>
                <w:lang w:val="en-US" w:eastAsia="zh-CN"/>
              </w:rPr>
              <w:t>43.435*</w:t>
            </w:r>
          </w:p>
        </w:tc>
        <w:tc>
          <w:tcPr>
            <w:tcW w:w="1136" w:type="dxa"/>
            <w:vAlign w:val="center"/>
          </w:tcPr>
          <w:p w14:paraId="1C56C529">
            <w:pPr>
              <w:pStyle w:val="75"/>
              <w:adjustRightInd w:val="0"/>
              <w:snapToGrid w:val="0"/>
              <w:textAlignment w:val="center"/>
              <w:rPr>
                <w:rFonts w:hint="default"/>
                <w:bCs/>
                <w:color w:val="000000"/>
                <w:kern w:val="2"/>
                <w:sz w:val="21"/>
                <w:szCs w:val="21"/>
                <w:lang w:val="en-US"/>
              </w:rPr>
            </w:pPr>
            <w:r>
              <w:rPr>
                <w:rFonts w:hint="eastAsia"/>
                <w:bCs/>
                <w:color w:val="auto"/>
                <w:sz w:val="21"/>
                <w:szCs w:val="21"/>
                <w:lang w:val="en-US" w:eastAsia="zh-CN"/>
              </w:rPr>
              <w:t>+43.435*</w:t>
            </w:r>
          </w:p>
        </w:tc>
      </w:tr>
      <w:tr w14:paraId="5EE1CA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2" w:type="dxa"/>
            <w:vMerge w:val="continue"/>
            <w:vAlign w:val="center"/>
          </w:tcPr>
          <w:p w14:paraId="0C7FBC16">
            <w:pPr>
              <w:pStyle w:val="36"/>
              <w:spacing w:beforeLines="0" w:after="24" w:line="240" w:lineRule="auto"/>
              <w:ind w:right="0"/>
              <w:rPr>
                <w:rFonts w:ascii="Times New Roman"/>
                <w:snapToGrid w:val="0"/>
                <w:color w:val="000000"/>
                <w:spacing w:val="-4"/>
                <w:kern w:val="21"/>
                <w:sz w:val="21"/>
                <w:szCs w:val="21"/>
              </w:rPr>
            </w:pPr>
          </w:p>
        </w:tc>
        <w:tc>
          <w:tcPr>
            <w:tcW w:w="526" w:type="dxa"/>
            <w:vMerge w:val="continue"/>
            <w:vAlign w:val="center"/>
          </w:tcPr>
          <w:p w14:paraId="7C834EA4">
            <w:pPr>
              <w:pStyle w:val="36"/>
              <w:spacing w:beforeLines="0" w:after="24" w:line="240" w:lineRule="auto"/>
              <w:ind w:right="0"/>
              <w:rPr>
                <w:rFonts w:ascii="Times New Roman"/>
                <w:snapToGrid w:val="0"/>
                <w:color w:val="000000"/>
                <w:spacing w:val="-4"/>
                <w:kern w:val="21"/>
                <w:sz w:val="21"/>
                <w:szCs w:val="21"/>
              </w:rPr>
            </w:pPr>
          </w:p>
        </w:tc>
        <w:tc>
          <w:tcPr>
            <w:tcW w:w="1417" w:type="dxa"/>
            <w:vAlign w:val="center"/>
          </w:tcPr>
          <w:p w14:paraId="18E7D23E">
            <w:pPr>
              <w:jc w:val="center"/>
              <w:rPr>
                <w:rFonts w:hint="eastAsia" w:eastAsia="宋体"/>
                <w:snapToGrid w:val="0"/>
                <w:color w:val="000000"/>
                <w:kern w:val="21"/>
                <w:sz w:val="21"/>
                <w:szCs w:val="21"/>
                <w:lang w:eastAsia="zh-CN"/>
              </w:rPr>
            </w:pPr>
            <w:r>
              <w:rPr>
                <w:rFonts w:hint="eastAsia"/>
                <w:snapToGrid w:val="0"/>
                <w:color w:val="000000"/>
                <w:kern w:val="21"/>
                <w:sz w:val="21"/>
                <w:szCs w:val="21"/>
                <w:lang w:val="en-US" w:eastAsia="zh-CN"/>
              </w:rPr>
              <w:t>石油类</w:t>
            </w:r>
          </w:p>
        </w:tc>
        <w:tc>
          <w:tcPr>
            <w:tcW w:w="1701" w:type="dxa"/>
            <w:vAlign w:val="center"/>
          </w:tcPr>
          <w:p w14:paraId="38D628EE">
            <w:pPr>
              <w:adjustRightInd w:val="0"/>
              <w:snapToGrid w:val="0"/>
              <w:spacing w:beforeLines="20" w:afterLines="20"/>
              <w:jc w:val="center"/>
              <w:rPr>
                <w:rFonts w:hint="eastAsia" w:eastAsia="宋体"/>
                <w:snapToGrid w:val="0"/>
                <w:color w:val="000000"/>
                <w:sz w:val="21"/>
                <w:szCs w:val="21"/>
                <w:lang w:val="en-US" w:eastAsia="zh-CN"/>
              </w:rPr>
            </w:pPr>
            <w:r>
              <w:rPr>
                <w:rFonts w:hint="eastAsia"/>
                <w:snapToGrid w:val="0"/>
                <w:color w:val="000000"/>
                <w:sz w:val="21"/>
                <w:szCs w:val="21"/>
                <w:lang w:val="en-US" w:eastAsia="zh-CN"/>
              </w:rPr>
              <w:t>0</w:t>
            </w:r>
          </w:p>
        </w:tc>
        <w:tc>
          <w:tcPr>
            <w:tcW w:w="1276" w:type="dxa"/>
            <w:vAlign w:val="center"/>
          </w:tcPr>
          <w:p w14:paraId="5AA95F4E">
            <w:pPr>
              <w:adjustRightInd w:val="0"/>
              <w:snapToGrid w:val="0"/>
              <w:spacing w:beforeLines="20" w:afterLines="20"/>
              <w:jc w:val="center"/>
              <w:rPr>
                <w:rFonts w:hint="eastAsia" w:eastAsia="宋体"/>
                <w:snapToGrid w:val="0"/>
                <w:color w:val="000000"/>
                <w:sz w:val="21"/>
                <w:szCs w:val="21"/>
                <w:lang w:val="en-US" w:eastAsia="zh-CN"/>
              </w:rPr>
            </w:pPr>
            <w:r>
              <w:rPr>
                <w:rFonts w:hint="eastAsia"/>
                <w:snapToGrid w:val="0"/>
                <w:color w:val="000000"/>
                <w:sz w:val="21"/>
                <w:szCs w:val="21"/>
                <w:lang w:val="en-US" w:eastAsia="zh-CN"/>
              </w:rPr>
              <w:t>0</w:t>
            </w:r>
          </w:p>
        </w:tc>
        <w:tc>
          <w:tcPr>
            <w:tcW w:w="1701" w:type="dxa"/>
            <w:vMerge w:val="continue"/>
            <w:vAlign w:val="center"/>
          </w:tcPr>
          <w:p w14:paraId="35F20034">
            <w:pPr>
              <w:adjustRightInd w:val="0"/>
              <w:snapToGrid w:val="0"/>
              <w:spacing w:beforeLines="20" w:afterLines="20"/>
              <w:jc w:val="center"/>
              <w:rPr>
                <w:snapToGrid w:val="0"/>
                <w:color w:val="000000"/>
                <w:sz w:val="21"/>
                <w:szCs w:val="21"/>
              </w:rPr>
            </w:pPr>
          </w:p>
        </w:tc>
        <w:tc>
          <w:tcPr>
            <w:tcW w:w="1559" w:type="dxa"/>
            <w:vAlign w:val="center"/>
          </w:tcPr>
          <w:p w14:paraId="329D17A5">
            <w:pPr>
              <w:pStyle w:val="75"/>
              <w:adjustRightInd w:val="0"/>
              <w:snapToGrid w:val="0"/>
              <w:textAlignment w:val="center"/>
              <w:rPr>
                <w:rFonts w:hint="default"/>
                <w:snapToGrid w:val="0"/>
                <w:color w:val="000000"/>
                <w:sz w:val="21"/>
                <w:szCs w:val="21"/>
                <w:lang w:val="en-US" w:eastAsia="zh-CN"/>
              </w:rPr>
            </w:pPr>
            <w:r>
              <w:rPr>
                <w:rFonts w:hint="eastAsia"/>
                <w:bCs/>
                <w:color w:val="auto"/>
                <w:sz w:val="21"/>
                <w:szCs w:val="21"/>
                <w:lang w:val="en-US" w:eastAsia="zh-CN"/>
              </w:rPr>
              <w:t>2.606*</w:t>
            </w:r>
          </w:p>
        </w:tc>
        <w:tc>
          <w:tcPr>
            <w:tcW w:w="1761" w:type="dxa"/>
            <w:vAlign w:val="center"/>
          </w:tcPr>
          <w:p w14:paraId="00DA39C1">
            <w:pPr>
              <w:adjustRightInd w:val="0"/>
              <w:snapToGrid w:val="0"/>
              <w:spacing w:beforeLines="20" w:afterLines="20"/>
              <w:jc w:val="center"/>
              <w:rPr>
                <w:rFonts w:hint="eastAsia" w:eastAsia="宋体"/>
                <w:snapToGrid w:val="0"/>
                <w:color w:val="000000"/>
                <w:sz w:val="21"/>
                <w:szCs w:val="21"/>
                <w:lang w:val="en-US" w:eastAsia="zh-CN"/>
              </w:rPr>
            </w:pPr>
            <w:r>
              <w:rPr>
                <w:rFonts w:hint="eastAsia"/>
                <w:snapToGrid w:val="0"/>
                <w:color w:val="000000"/>
                <w:sz w:val="21"/>
                <w:szCs w:val="21"/>
                <w:lang w:val="en-US" w:eastAsia="zh-CN"/>
              </w:rPr>
              <w:t>0</w:t>
            </w:r>
          </w:p>
        </w:tc>
        <w:tc>
          <w:tcPr>
            <w:tcW w:w="1649" w:type="dxa"/>
            <w:shd w:val="clear" w:color="auto" w:fill="auto"/>
            <w:vAlign w:val="center"/>
          </w:tcPr>
          <w:p w14:paraId="5ADB9244">
            <w:pPr>
              <w:pStyle w:val="75"/>
              <w:adjustRightInd w:val="0"/>
              <w:snapToGrid w:val="0"/>
              <w:textAlignment w:val="center"/>
              <w:rPr>
                <w:rFonts w:hint="default" w:ascii="Times New Roman" w:hAnsi="Times New Roman" w:eastAsia="宋体" w:cs="Times New Roman"/>
                <w:snapToGrid w:val="0"/>
                <w:color w:val="000000"/>
                <w:kern w:val="2"/>
                <w:sz w:val="21"/>
                <w:szCs w:val="21"/>
                <w:lang w:val="en-US" w:eastAsia="zh-CN" w:bidi="ar-SA"/>
              </w:rPr>
            </w:pPr>
            <w:r>
              <w:rPr>
                <w:rFonts w:hint="eastAsia"/>
                <w:bCs/>
                <w:color w:val="auto"/>
                <w:sz w:val="21"/>
                <w:szCs w:val="21"/>
                <w:lang w:val="en-US" w:eastAsia="zh-CN"/>
              </w:rPr>
              <w:t>2.606*</w:t>
            </w:r>
          </w:p>
        </w:tc>
        <w:tc>
          <w:tcPr>
            <w:tcW w:w="1136" w:type="dxa"/>
            <w:vAlign w:val="center"/>
          </w:tcPr>
          <w:p w14:paraId="2B3E7D0A">
            <w:pPr>
              <w:pStyle w:val="75"/>
              <w:adjustRightInd w:val="0"/>
              <w:snapToGrid w:val="0"/>
              <w:textAlignment w:val="center"/>
              <w:rPr>
                <w:rFonts w:hint="default"/>
                <w:bCs/>
                <w:color w:val="000000"/>
                <w:kern w:val="2"/>
                <w:sz w:val="21"/>
                <w:szCs w:val="21"/>
                <w:lang w:val="en-US"/>
              </w:rPr>
            </w:pPr>
            <w:r>
              <w:rPr>
                <w:rFonts w:hint="eastAsia"/>
                <w:bCs/>
                <w:color w:val="auto"/>
                <w:sz w:val="21"/>
                <w:szCs w:val="21"/>
                <w:lang w:val="en-US" w:eastAsia="zh-CN"/>
              </w:rPr>
              <w:t>+2.606*</w:t>
            </w:r>
          </w:p>
        </w:tc>
      </w:tr>
      <w:tr w14:paraId="616C00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restart"/>
            <w:vAlign w:val="center"/>
          </w:tcPr>
          <w:p w14:paraId="6A9B37BD">
            <w:pPr>
              <w:pStyle w:val="36"/>
              <w:spacing w:beforeLines="0" w:after="24" w:line="240" w:lineRule="auto"/>
              <w:ind w:right="0"/>
              <w:rPr>
                <w:rFonts w:ascii="Times New Roman"/>
                <w:snapToGrid w:val="0"/>
                <w:color w:val="000000"/>
                <w:spacing w:val="-4"/>
                <w:kern w:val="21"/>
                <w:sz w:val="21"/>
                <w:szCs w:val="21"/>
              </w:rPr>
            </w:pPr>
            <w:r>
              <w:rPr>
                <w:rFonts w:hint="eastAsia" w:ascii="Times New Roman"/>
                <w:snapToGrid w:val="0"/>
                <w:color w:val="000000"/>
                <w:spacing w:val="-4"/>
                <w:kern w:val="21"/>
                <w:sz w:val="21"/>
                <w:szCs w:val="21"/>
              </w:rPr>
              <w:t>一般工业</w:t>
            </w:r>
          </w:p>
          <w:p w14:paraId="5527CA62">
            <w:pPr>
              <w:pStyle w:val="36"/>
              <w:spacing w:beforeLines="0" w:after="24" w:line="240" w:lineRule="auto"/>
              <w:ind w:right="0"/>
              <w:rPr>
                <w:rFonts w:ascii="Times New Roman"/>
                <w:snapToGrid w:val="0"/>
                <w:color w:val="000000"/>
                <w:spacing w:val="-4"/>
                <w:kern w:val="21"/>
                <w:sz w:val="21"/>
                <w:szCs w:val="21"/>
              </w:rPr>
            </w:pPr>
            <w:r>
              <w:rPr>
                <w:rFonts w:hint="eastAsia" w:ascii="Times New Roman"/>
                <w:snapToGrid w:val="0"/>
                <w:color w:val="000000"/>
                <w:spacing w:val="-4"/>
                <w:kern w:val="21"/>
                <w:sz w:val="21"/>
                <w:szCs w:val="21"/>
              </w:rPr>
              <w:t>固体废物</w:t>
            </w:r>
          </w:p>
        </w:tc>
        <w:tc>
          <w:tcPr>
            <w:tcW w:w="1417" w:type="dxa"/>
            <w:vAlign w:val="center"/>
          </w:tcPr>
          <w:p w14:paraId="20EE1E34">
            <w:pPr>
              <w:pStyle w:val="36"/>
              <w:spacing w:beforeLines="0" w:after="24" w:line="240" w:lineRule="auto"/>
              <w:ind w:right="0"/>
              <w:rPr>
                <w:rFonts w:ascii="Times New Roman"/>
                <w:snapToGrid w:val="0"/>
                <w:color w:val="000000"/>
                <w:spacing w:val="-4"/>
                <w:kern w:val="21"/>
                <w:sz w:val="21"/>
                <w:szCs w:val="21"/>
              </w:rPr>
            </w:pPr>
            <w:r>
              <w:rPr>
                <w:rFonts w:hint="eastAsia" w:ascii="Times New Roman"/>
                <w:snapToGrid w:val="0"/>
                <w:color w:val="000000"/>
                <w:spacing w:val="-4"/>
                <w:kern w:val="21"/>
                <w:sz w:val="21"/>
                <w:szCs w:val="21"/>
              </w:rPr>
              <w:t>废丝</w:t>
            </w:r>
          </w:p>
        </w:tc>
        <w:tc>
          <w:tcPr>
            <w:tcW w:w="1701" w:type="dxa"/>
            <w:vAlign w:val="center"/>
          </w:tcPr>
          <w:p w14:paraId="0BDBEAB8">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276" w:type="dxa"/>
            <w:vAlign w:val="center"/>
          </w:tcPr>
          <w:p w14:paraId="3F185DEE">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701" w:type="dxa"/>
            <w:vMerge w:val="continue"/>
            <w:vAlign w:val="center"/>
          </w:tcPr>
          <w:p w14:paraId="447F7BA4">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p>
        </w:tc>
        <w:tc>
          <w:tcPr>
            <w:tcW w:w="1559" w:type="dxa"/>
            <w:vAlign w:val="center"/>
          </w:tcPr>
          <w:p w14:paraId="6507A08C">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57</w:t>
            </w:r>
          </w:p>
        </w:tc>
        <w:tc>
          <w:tcPr>
            <w:tcW w:w="1761" w:type="dxa"/>
            <w:vAlign w:val="center"/>
          </w:tcPr>
          <w:p w14:paraId="2F236B7C">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649" w:type="dxa"/>
            <w:vAlign w:val="center"/>
          </w:tcPr>
          <w:p w14:paraId="7800CDDD">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57</w:t>
            </w:r>
          </w:p>
        </w:tc>
        <w:tc>
          <w:tcPr>
            <w:tcW w:w="1136" w:type="dxa"/>
            <w:vAlign w:val="center"/>
          </w:tcPr>
          <w:p w14:paraId="33ACD075">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+57</w:t>
            </w:r>
          </w:p>
        </w:tc>
      </w:tr>
      <w:tr w14:paraId="3C7E5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continue"/>
            <w:vAlign w:val="center"/>
          </w:tcPr>
          <w:p w14:paraId="68FB0A52">
            <w:pPr>
              <w:pStyle w:val="36"/>
              <w:spacing w:beforeLines="0" w:after="24" w:line="240" w:lineRule="auto"/>
              <w:ind w:right="0"/>
              <w:rPr>
                <w:rFonts w:hint="eastAsia" w:ascii="Times New Roman"/>
                <w:snapToGrid w:val="0"/>
                <w:color w:val="000000"/>
                <w:spacing w:val="-4"/>
                <w:kern w:val="21"/>
                <w:sz w:val="21"/>
                <w:szCs w:val="21"/>
              </w:rPr>
            </w:pPr>
          </w:p>
        </w:tc>
        <w:tc>
          <w:tcPr>
            <w:tcW w:w="1417" w:type="dxa"/>
            <w:vAlign w:val="center"/>
          </w:tcPr>
          <w:p w14:paraId="32FC79C5">
            <w:pPr>
              <w:pStyle w:val="36"/>
              <w:spacing w:beforeLines="0" w:after="24" w:line="240" w:lineRule="auto"/>
              <w:ind w:right="0"/>
              <w:rPr>
                <w:rFonts w:hint="eastAsia" w:ascii="Times New Roman"/>
                <w:snapToGrid w:val="0"/>
                <w:color w:val="000000"/>
                <w:spacing w:val="-4"/>
                <w:kern w:val="21"/>
                <w:sz w:val="21"/>
                <w:szCs w:val="21"/>
              </w:rPr>
            </w:pPr>
            <w:r>
              <w:rPr>
                <w:rFonts w:hint="eastAsia" w:ascii="Times New Roman"/>
                <w:snapToGrid w:val="0"/>
                <w:color w:val="000000"/>
                <w:spacing w:val="-4"/>
                <w:kern w:val="21"/>
                <w:sz w:val="21"/>
                <w:szCs w:val="21"/>
                <w:lang w:val="en-US" w:eastAsia="zh-CN"/>
              </w:rPr>
              <w:t>废胶水</w:t>
            </w:r>
          </w:p>
        </w:tc>
        <w:tc>
          <w:tcPr>
            <w:tcW w:w="1701" w:type="dxa"/>
            <w:vAlign w:val="center"/>
          </w:tcPr>
          <w:p w14:paraId="5CAF0428">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276" w:type="dxa"/>
            <w:vAlign w:val="center"/>
          </w:tcPr>
          <w:p w14:paraId="5855608E">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701" w:type="dxa"/>
            <w:vMerge w:val="continue"/>
            <w:vAlign w:val="center"/>
          </w:tcPr>
          <w:p w14:paraId="491BE68A">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p>
        </w:tc>
        <w:tc>
          <w:tcPr>
            <w:tcW w:w="1559" w:type="dxa"/>
            <w:shd w:val="clear" w:color="auto" w:fill="auto"/>
            <w:vAlign w:val="center"/>
          </w:tcPr>
          <w:p w14:paraId="5157242D">
            <w:pPr>
              <w:snapToGrid w:val="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3</w:t>
            </w:r>
          </w:p>
        </w:tc>
        <w:tc>
          <w:tcPr>
            <w:tcW w:w="1761" w:type="dxa"/>
            <w:vAlign w:val="center"/>
          </w:tcPr>
          <w:p w14:paraId="58799469">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649" w:type="dxa"/>
            <w:vAlign w:val="center"/>
          </w:tcPr>
          <w:p w14:paraId="2FF62428">
            <w:pPr>
              <w:snapToGrid w:val="0"/>
              <w:jc w:val="center"/>
              <w:textAlignment w:val="baseline"/>
              <w:rPr>
                <w:rFonts w:hint="eastAsia" w:ascii="Times New Roman" w:hAnsi="Times New Roman" w:eastAsia="宋体" w:cs="Times New Roman"/>
                <w:snapToGrid w:val="0"/>
                <w:color w:val="000000"/>
                <w:sz w:val="21"/>
                <w:szCs w:val="21"/>
                <w:lang w:val="en-US" w:eastAsia="zh-CN"/>
              </w:rPr>
            </w:pPr>
            <w:r>
              <w:rPr>
                <w:rFonts w:hint="eastAsia"/>
                <w:color w:val="auto"/>
                <w:sz w:val="21"/>
                <w:szCs w:val="21"/>
                <w:lang w:val="en-US" w:eastAsia="zh-CN"/>
              </w:rPr>
              <w:t>3</w:t>
            </w:r>
          </w:p>
        </w:tc>
        <w:tc>
          <w:tcPr>
            <w:tcW w:w="1136" w:type="dxa"/>
            <w:vAlign w:val="center"/>
          </w:tcPr>
          <w:p w14:paraId="745AD984">
            <w:pPr>
              <w:snapToGrid w:val="0"/>
              <w:jc w:val="center"/>
              <w:textAlignment w:val="baseline"/>
              <w:rPr>
                <w:rFonts w:hint="eastAsia" w:ascii="Times New Roman" w:hAnsi="Times New Roman" w:eastAsia="宋体" w:cs="Times New Roman"/>
                <w:snapToGrid w:val="0"/>
                <w:color w:val="000000"/>
                <w:sz w:val="21"/>
                <w:szCs w:val="21"/>
                <w:lang w:val="en-US" w:eastAsia="zh-CN"/>
              </w:rPr>
            </w:pPr>
            <w:r>
              <w:rPr>
                <w:rFonts w:hint="eastAsia"/>
                <w:color w:val="auto"/>
                <w:sz w:val="21"/>
                <w:szCs w:val="21"/>
                <w:lang w:val="en-US" w:eastAsia="zh-CN"/>
              </w:rPr>
              <w:t>+3</w:t>
            </w:r>
          </w:p>
        </w:tc>
      </w:tr>
      <w:tr w14:paraId="18315A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continue"/>
            <w:vAlign w:val="center"/>
          </w:tcPr>
          <w:p w14:paraId="4E677AB4">
            <w:pPr>
              <w:pStyle w:val="36"/>
              <w:spacing w:beforeLines="0" w:after="24" w:line="240" w:lineRule="auto"/>
              <w:ind w:right="0"/>
              <w:rPr>
                <w:rFonts w:hint="eastAsia" w:ascii="Times New Roman"/>
                <w:snapToGrid w:val="0"/>
                <w:color w:val="000000"/>
                <w:spacing w:val="-4"/>
                <w:kern w:val="21"/>
                <w:sz w:val="21"/>
                <w:szCs w:val="21"/>
              </w:rPr>
            </w:pPr>
          </w:p>
        </w:tc>
        <w:tc>
          <w:tcPr>
            <w:tcW w:w="1417" w:type="dxa"/>
            <w:vAlign w:val="center"/>
          </w:tcPr>
          <w:p w14:paraId="43401E0B">
            <w:pPr>
              <w:pStyle w:val="36"/>
              <w:spacing w:beforeLines="0" w:after="24" w:line="240" w:lineRule="auto"/>
              <w:ind w:right="0"/>
              <w:rPr>
                <w:rFonts w:hint="eastAsia" w:ascii="Times New Roman"/>
                <w:snapToGrid w:val="0"/>
                <w:color w:val="000000"/>
                <w:spacing w:val="-4"/>
                <w:kern w:val="21"/>
                <w:sz w:val="21"/>
                <w:szCs w:val="21"/>
              </w:rPr>
            </w:pPr>
            <w:r>
              <w:rPr>
                <w:rFonts w:hint="eastAsia" w:ascii="Times New Roman"/>
                <w:snapToGrid w:val="0"/>
                <w:color w:val="000000"/>
                <w:spacing w:val="-4"/>
                <w:kern w:val="21"/>
                <w:sz w:val="21"/>
                <w:szCs w:val="21"/>
                <w:lang w:val="en-US" w:eastAsia="zh-CN"/>
              </w:rPr>
              <w:t>废胶水包装</w:t>
            </w:r>
          </w:p>
        </w:tc>
        <w:tc>
          <w:tcPr>
            <w:tcW w:w="1701" w:type="dxa"/>
            <w:vAlign w:val="center"/>
          </w:tcPr>
          <w:p w14:paraId="5DED4A5E">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276" w:type="dxa"/>
            <w:vAlign w:val="center"/>
          </w:tcPr>
          <w:p w14:paraId="1450202B">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701" w:type="dxa"/>
            <w:vMerge w:val="continue"/>
            <w:vAlign w:val="center"/>
          </w:tcPr>
          <w:p w14:paraId="66FC3A02">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p>
        </w:tc>
        <w:tc>
          <w:tcPr>
            <w:tcW w:w="1559" w:type="dxa"/>
            <w:shd w:val="clear" w:color="auto" w:fill="auto"/>
            <w:vAlign w:val="center"/>
          </w:tcPr>
          <w:p w14:paraId="4F44FDC0">
            <w:pPr>
              <w:snapToGrid w:val="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30</w:t>
            </w:r>
          </w:p>
        </w:tc>
        <w:tc>
          <w:tcPr>
            <w:tcW w:w="1761" w:type="dxa"/>
            <w:vAlign w:val="center"/>
          </w:tcPr>
          <w:p w14:paraId="2E8ED2F6">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649" w:type="dxa"/>
            <w:vAlign w:val="center"/>
          </w:tcPr>
          <w:p w14:paraId="6162A984">
            <w:pPr>
              <w:snapToGrid w:val="0"/>
              <w:jc w:val="center"/>
              <w:textAlignment w:val="baseline"/>
              <w:rPr>
                <w:rFonts w:hint="eastAsia" w:ascii="Times New Roman" w:hAnsi="Times New Roman" w:eastAsia="宋体" w:cs="Times New Roman"/>
                <w:snapToGrid w:val="0"/>
                <w:color w:val="000000"/>
                <w:sz w:val="21"/>
                <w:szCs w:val="21"/>
                <w:lang w:val="en-US" w:eastAsia="zh-CN"/>
              </w:rPr>
            </w:pPr>
            <w:r>
              <w:rPr>
                <w:rFonts w:hint="eastAsia"/>
                <w:color w:val="auto"/>
                <w:sz w:val="21"/>
                <w:szCs w:val="21"/>
                <w:lang w:val="en-US" w:eastAsia="zh-CN"/>
              </w:rPr>
              <w:t>30</w:t>
            </w:r>
          </w:p>
        </w:tc>
        <w:tc>
          <w:tcPr>
            <w:tcW w:w="1136" w:type="dxa"/>
            <w:vAlign w:val="center"/>
          </w:tcPr>
          <w:p w14:paraId="317E3F9A">
            <w:pPr>
              <w:snapToGrid w:val="0"/>
              <w:jc w:val="center"/>
              <w:textAlignment w:val="baseline"/>
              <w:rPr>
                <w:rFonts w:hint="eastAsia" w:ascii="Times New Roman" w:hAnsi="Times New Roman" w:eastAsia="宋体" w:cs="Times New Roman"/>
                <w:snapToGrid w:val="0"/>
                <w:color w:val="000000"/>
                <w:sz w:val="21"/>
                <w:szCs w:val="21"/>
                <w:lang w:val="en-US" w:eastAsia="zh-CN"/>
              </w:rPr>
            </w:pPr>
            <w:r>
              <w:rPr>
                <w:rFonts w:hint="eastAsia"/>
                <w:color w:val="auto"/>
                <w:sz w:val="21"/>
                <w:szCs w:val="21"/>
                <w:lang w:val="en-US" w:eastAsia="zh-CN"/>
              </w:rPr>
              <w:t>+30</w:t>
            </w:r>
          </w:p>
        </w:tc>
      </w:tr>
      <w:tr w14:paraId="1C30AC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restart"/>
            <w:vAlign w:val="center"/>
          </w:tcPr>
          <w:p w14:paraId="6EE0085E">
            <w:pPr>
              <w:pStyle w:val="36"/>
              <w:spacing w:beforeLines="0" w:after="24" w:line="240" w:lineRule="auto"/>
              <w:ind w:right="0"/>
              <w:rPr>
                <w:rFonts w:ascii="Times New Roman"/>
                <w:snapToGrid w:val="0"/>
                <w:color w:val="000000"/>
                <w:spacing w:val="-4"/>
                <w:kern w:val="21"/>
                <w:sz w:val="21"/>
                <w:szCs w:val="21"/>
              </w:rPr>
            </w:pPr>
            <w:r>
              <w:rPr>
                <w:rFonts w:hint="eastAsia" w:ascii="Times New Roman"/>
                <w:snapToGrid w:val="0"/>
                <w:color w:val="000000"/>
                <w:spacing w:val="-4"/>
                <w:kern w:val="21"/>
                <w:sz w:val="21"/>
                <w:szCs w:val="21"/>
              </w:rPr>
              <w:t>危险废物</w:t>
            </w:r>
          </w:p>
        </w:tc>
        <w:tc>
          <w:tcPr>
            <w:tcW w:w="1417" w:type="dxa"/>
            <w:shd w:val="clear" w:color="auto" w:fill="auto"/>
            <w:vAlign w:val="center"/>
          </w:tcPr>
          <w:p w14:paraId="4B9FB00C">
            <w:pPr>
              <w:pStyle w:val="36"/>
              <w:spacing w:beforeLines="0" w:after="24" w:line="240" w:lineRule="auto"/>
              <w:ind w:right="0"/>
              <w:rPr>
                <w:rFonts w:hint="eastAsia" w:ascii="Times New Roman"/>
                <w:snapToGrid w:val="0"/>
                <w:color w:val="000000"/>
                <w:spacing w:val="-4"/>
                <w:kern w:val="21"/>
                <w:sz w:val="21"/>
                <w:szCs w:val="21"/>
              </w:rPr>
            </w:pPr>
            <w:r>
              <w:rPr>
                <w:rFonts w:hint="eastAsia" w:ascii="Times New Roman"/>
                <w:snapToGrid w:val="0"/>
                <w:color w:val="000000"/>
                <w:spacing w:val="-4"/>
                <w:kern w:val="21"/>
                <w:sz w:val="21"/>
                <w:szCs w:val="21"/>
                <w:lang w:val="en-US" w:eastAsia="zh-CN"/>
              </w:rPr>
              <w:t>废纺丝油剂包装</w:t>
            </w:r>
          </w:p>
        </w:tc>
        <w:tc>
          <w:tcPr>
            <w:tcW w:w="1701" w:type="dxa"/>
            <w:shd w:val="clear" w:color="auto" w:fill="auto"/>
            <w:vAlign w:val="center"/>
          </w:tcPr>
          <w:p w14:paraId="6569987C">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276" w:type="dxa"/>
            <w:vAlign w:val="center"/>
          </w:tcPr>
          <w:p w14:paraId="675D6400">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701" w:type="dxa"/>
            <w:vMerge w:val="continue"/>
            <w:vAlign w:val="center"/>
          </w:tcPr>
          <w:p w14:paraId="7DE4D7D9">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p>
        </w:tc>
        <w:tc>
          <w:tcPr>
            <w:tcW w:w="1559" w:type="dxa"/>
            <w:shd w:val="clear" w:color="auto" w:fill="auto"/>
            <w:vAlign w:val="center"/>
          </w:tcPr>
          <w:p w14:paraId="65FFA2CB">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1.2</w:t>
            </w:r>
          </w:p>
        </w:tc>
        <w:tc>
          <w:tcPr>
            <w:tcW w:w="1761" w:type="dxa"/>
            <w:vAlign w:val="center"/>
          </w:tcPr>
          <w:p w14:paraId="7DF0B677">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649" w:type="dxa"/>
            <w:vAlign w:val="center"/>
          </w:tcPr>
          <w:p w14:paraId="48E8C747">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1.2</w:t>
            </w:r>
          </w:p>
        </w:tc>
        <w:tc>
          <w:tcPr>
            <w:tcW w:w="1136" w:type="dxa"/>
            <w:shd w:val="clear" w:color="auto" w:fill="auto"/>
            <w:vAlign w:val="center"/>
          </w:tcPr>
          <w:p w14:paraId="1D680487">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+1.2</w:t>
            </w:r>
          </w:p>
        </w:tc>
      </w:tr>
      <w:tr w14:paraId="4A624E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continue"/>
            <w:vAlign w:val="center"/>
          </w:tcPr>
          <w:p w14:paraId="1F2D3F16">
            <w:pPr>
              <w:pStyle w:val="36"/>
              <w:spacing w:beforeLines="0" w:after="24" w:line="240" w:lineRule="auto"/>
              <w:ind w:right="0"/>
              <w:rPr>
                <w:rFonts w:ascii="Times New Roman"/>
                <w:snapToGrid w:val="0"/>
                <w:color w:val="000000"/>
                <w:spacing w:val="-4"/>
                <w:kern w:val="21"/>
                <w:sz w:val="21"/>
                <w:szCs w:val="21"/>
              </w:rPr>
            </w:pPr>
          </w:p>
        </w:tc>
        <w:tc>
          <w:tcPr>
            <w:tcW w:w="1417" w:type="dxa"/>
            <w:shd w:val="clear" w:color="auto" w:fill="auto"/>
            <w:vAlign w:val="center"/>
          </w:tcPr>
          <w:p w14:paraId="0D718FE0">
            <w:pPr>
              <w:pStyle w:val="36"/>
              <w:spacing w:beforeLines="0" w:after="24" w:line="240" w:lineRule="auto"/>
              <w:ind w:right="0"/>
              <w:rPr>
                <w:rFonts w:hint="eastAsia" w:ascii="Times New Roman"/>
                <w:snapToGrid w:val="0"/>
                <w:color w:val="000000"/>
                <w:spacing w:val="-4"/>
                <w:kern w:val="21"/>
                <w:sz w:val="21"/>
                <w:szCs w:val="21"/>
                <w:lang w:val="en-US" w:eastAsia="zh-CN"/>
              </w:rPr>
            </w:pPr>
            <w:r>
              <w:rPr>
                <w:rFonts w:hint="eastAsia" w:ascii="Times New Roman"/>
                <w:snapToGrid w:val="0"/>
                <w:color w:val="000000"/>
                <w:spacing w:val="-4"/>
                <w:kern w:val="21"/>
                <w:sz w:val="21"/>
                <w:szCs w:val="21"/>
              </w:rPr>
              <w:t>废润滑油</w:t>
            </w:r>
          </w:p>
        </w:tc>
        <w:tc>
          <w:tcPr>
            <w:tcW w:w="1701" w:type="dxa"/>
            <w:shd w:val="clear" w:color="auto" w:fill="auto"/>
            <w:vAlign w:val="center"/>
          </w:tcPr>
          <w:p w14:paraId="4587F83F">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276" w:type="dxa"/>
            <w:vAlign w:val="center"/>
          </w:tcPr>
          <w:p w14:paraId="7E54627D">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701" w:type="dxa"/>
            <w:vMerge w:val="continue"/>
            <w:vAlign w:val="center"/>
          </w:tcPr>
          <w:p w14:paraId="315BEBE8">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p>
        </w:tc>
        <w:tc>
          <w:tcPr>
            <w:tcW w:w="1559" w:type="dxa"/>
            <w:shd w:val="clear" w:color="auto" w:fill="auto"/>
            <w:vAlign w:val="center"/>
          </w:tcPr>
          <w:p w14:paraId="6888ECCA">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0.2</w:t>
            </w:r>
          </w:p>
        </w:tc>
        <w:tc>
          <w:tcPr>
            <w:tcW w:w="1761" w:type="dxa"/>
            <w:vAlign w:val="center"/>
          </w:tcPr>
          <w:p w14:paraId="56879633">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649" w:type="dxa"/>
            <w:vAlign w:val="center"/>
          </w:tcPr>
          <w:p w14:paraId="4763F662">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0.2</w:t>
            </w:r>
          </w:p>
        </w:tc>
        <w:tc>
          <w:tcPr>
            <w:tcW w:w="1136" w:type="dxa"/>
            <w:shd w:val="clear" w:color="auto" w:fill="auto"/>
            <w:vAlign w:val="center"/>
          </w:tcPr>
          <w:p w14:paraId="25BB0BA6">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+0.2</w:t>
            </w:r>
          </w:p>
        </w:tc>
      </w:tr>
      <w:tr w14:paraId="0A9DAB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continue"/>
            <w:vAlign w:val="center"/>
          </w:tcPr>
          <w:p w14:paraId="63F47C6A">
            <w:pPr>
              <w:pStyle w:val="36"/>
              <w:spacing w:beforeLines="0" w:after="24" w:line="240" w:lineRule="auto"/>
              <w:ind w:right="0"/>
              <w:rPr>
                <w:rFonts w:ascii="Times New Roman"/>
                <w:snapToGrid w:val="0"/>
                <w:color w:val="000000"/>
                <w:spacing w:val="-4"/>
                <w:kern w:val="21"/>
                <w:sz w:val="21"/>
                <w:szCs w:val="21"/>
              </w:rPr>
            </w:pPr>
          </w:p>
        </w:tc>
        <w:tc>
          <w:tcPr>
            <w:tcW w:w="1417" w:type="dxa"/>
            <w:shd w:val="clear" w:color="auto" w:fill="auto"/>
            <w:vAlign w:val="center"/>
          </w:tcPr>
          <w:p w14:paraId="5C292A8C">
            <w:pPr>
              <w:pStyle w:val="36"/>
              <w:spacing w:beforeLines="0" w:after="24" w:line="240" w:lineRule="auto"/>
              <w:ind w:right="0"/>
              <w:rPr>
                <w:rFonts w:hint="eastAsia" w:ascii="Times New Roman"/>
                <w:snapToGrid w:val="0"/>
                <w:color w:val="000000"/>
                <w:spacing w:val="-4"/>
                <w:kern w:val="21"/>
                <w:sz w:val="21"/>
                <w:szCs w:val="21"/>
                <w:lang w:val="en-US" w:eastAsia="zh-CN"/>
              </w:rPr>
            </w:pPr>
            <w:r>
              <w:rPr>
                <w:rFonts w:hint="eastAsia" w:ascii="Times New Roman"/>
                <w:snapToGrid w:val="0"/>
                <w:color w:val="000000"/>
                <w:spacing w:val="-4"/>
                <w:kern w:val="21"/>
                <w:sz w:val="21"/>
                <w:szCs w:val="21"/>
                <w:lang w:eastAsia="zh-CN"/>
              </w:rPr>
              <w:t>废润滑油包装</w:t>
            </w:r>
          </w:p>
        </w:tc>
        <w:tc>
          <w:tcPr>
            <w:tcW w:w="1701" w:type="dxa"/>
            <w:shd w:val="clear" w:color="auto" w:fill="auto"/>
            <w:vAlign w:val="center"/>
          </w:tcPr>
          <w:p w14:paraId="7ABF2866">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276" w:type="dxa"/>
            <w:vAlign w:val="center"/>
          </w:tcPr>
          <w:p w14:paraId="4D8FED0B">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701" w:type="dxa"/>
            <w:vMerge w:val="continue"/>
            <w:vAlign w:val="center"/>
          </w:tcPr>
          <w:p w14:paraId="65024A3F">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p>
        </w:tc>
        <w:tc>
          <w:tcPr>
            <w:tcW w:w="1559" w:type="dxa"/>
            <w:shd w:val="clear" w:color="auto" w:fill="auto"/>
            <w:vAlign w:val="center"/>
          </w:tcPr>
          <w:p w14:paraId="462D4E9B">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0.02</w:t>
            </w:r>
          </w:p>
        </w:tc>
        <w:tc>
          <w:tcPr>
            <w:tcW w:w="1761" w:type="dxa"/>
            <w:vAlign w:val="center"/>
          </w:tcPr>
          <w:p w14:paraId="046ECA87">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649" w:type="dxa"/>
            <w:vAlign w:val="center"/>
          </w:tcPr>
          <w:p w14:paraId="4CF7D43D">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0.02</w:t>
            </w:r>
          </w:p>
        </w:tc>
        <w:tc>
          <w:tcPr>
            <w:tcW w:w="1136" w:type="dxa"/>
            <w:shd w:val="clear" w:color="auto" w:fill="auto"/>
            <w:vAlign w:val="center"/>
          </w:tcPr>
          <w:p w14:paraId="5BFCFD09">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+0.02</w:t>
            </w:r>
          </w:p>
        </w:tc>
      </w:tr>
      <w:tr w14:paraId="5A6F82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continue"/>
            <w:vAlign w:val="center"/>
          </w:tcPr>
          <w:p w14:paraId="6AC89690">
            <w:pPr>
              <w:pStyle w:val="36"/>
              <w:spacing w:beforeLines="0" w:after="24" w:line="240" w:lineRule="auto"/>
              <w:ind w:right="0"/>
              <w:rPr>
                <w:rFonts w:ascii="Times New Roman"/>
                <w:snapToGrid w:val="0"/>
                <w:color w:val="000000"/>
                <w:spacing w:val="-4"/>
                <w:kern w:val="21"/>
                <w:sz w:val="21"/>
                <w:szCs w:val="21"/>
              </w:rPr>
            </w:pPr>
          </w:p>
        </w:tc>
        <w:tc>
          <w:tcPr>
            <w:tcW w:w="1417" w:type="dxa"/>
            <w:shd w:val="clear" w:color="auto" w:fill="auto"/>
            <w:vAlign w:val="center"/>
          </w:tcPr>
          <w:p w14:paraId="019A364E">
            <w:pPr>
              <w:pStyle w:val="36"/>
              <w:spacing w:beforeLines="0" w:after="24" w:line="240" w:lineRule="auto"/>
              <w:ind w:right="0"/>
              <w:rPr>
                <w:rFonts w:hint="eastAsia" w:ascii="Times New Roman"/>
                <w:snapToGrid w:val="0"/>
                <w:color w:val="000000"/>
                <w:spacing w:val="-4"/>
                <w:kern w:val="21"/>
                <w:sz w:val="21"/>
                <w:szCs w:val="21"/>
                <w:lang w:val="en-US" w:eastAsia="zh-CN"/>
              </w:rPr>
            </w:pPr>
            <w:r>
              <w:rPr>
                <w:rFonts w:hint="eastAsia" w:ascii="Times New Roman"/>
                <w:snapToGrid w:val="0"/>
                <w:color w:val="000000"/>
                <w:spacing w:val="-4"/>
                <w:kern w:val="21"/>
                <w:sz w:val="21"/>
                <w:szCs w:val="21"/>
              </w:rPr>
              <w:t>在线仪废液</w:t>
            </w:r>
          </w:p>
        </w:tc>
        <w:tc>
          <w:tcPr>
            <w:tcW w:w="1701" w:type="dxa"/>
            <w:shd w:val="clear" w:color="auto" w:fill="auto"/>
            <w:vAlign w:val="center"/>
          </w:tcPr>
          <w:p w14:paraId="2888A089">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276" w:type="dxa"/>
            <w:vAlign w:val="center"/>
          </w:tcPr>
          <w:p w14:paraId="5D06FD90">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701" w:type="dxa"/>
            <w:vMerge w:val="continue"/>
            <w:vAlign w:val="center"/>
          </w:tcPr>
          <w:p w14:paraId="490F08A2">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p>
        </w:tc>
        <w:tc>
          <w:tcPr>
            <w:tcW w:w="1559" w:type="dxa"/>
            <w:shd w:val="clear" w:color="auto" w:fill="auto"/>
            <w:vAlign w:val="center"/>
          </w:tcPr>
          <w:p w14:paraId="041B8693">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0.006</w:t>
            </w:r>
          </w:p>
        </w:tc>
        <w:tc>
          <w:tcPr>
            <w:tcW w:w="1761" w:type="dxa"/>
            <w:vAlign w:val="center"/>
          </w:tcPr>
          <w:p w14:paraId="334CD060">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649" w:type="dxa"/>
            <w:vAlign w:val="center"/>
          </w:tcPr>
          <w:p w14:paraId="12DAF3FF">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0.006</w:t>
            </w:r>
          </w:p>
        </w:tc>
        <w:tc>
          <w:tcPr>
            <w:tcW w:w="1136" w:type="dxa"/>
            <w:shd w:val="clear" w:color="auto" w:fill="auto"/>
            <w:vAlign w:val="center"/>
          </w:tcPr>
          <w:p w14:paraId="7AF408F8">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+0.006</w:t>
            </w:r>
          </w:p>
        </w:tc>
      </w:tr>
      <w:tr w14:paraId="464310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continue"/>
            <w:vAlign w:val="center"/>
          </w:tcPr>
          <w:p w14:paraId="030C5AF0">
            <w:pPr>
              <w:pStyle w:val="36"/>
              <w:spacing w:beforeLines="0" w:after="24" w:line="240" w:lineRule="auto"/>
              <w:ind w:right="0"/>
              <w:rPr>
                <w:rFonts w:ascii="Times New Roman"/>
                <w:snapToGrid w:val="0"/>
                <w:color w:val="000000"/>
                <w:spacing w:val="-4"/>
                <w:kern w:val="21"/>
                <w:sz w:val="21"/>
                <w:szCs w:val="21"/>
              </w:rPr>
            </w:pPr>
          </w:p>
        </w:tc>
        <w:tc>
          <w:tcPr>
            <w:tcW w:w="1417" w:type="dxa"/>
            <w:shd w:val="clear" w:color="auto" w:fill="auto"/>
            <w:vAlign w:val="center"/>
          </w:tcPr>
          <w:p w14:paraId="025D755B">
            <w:pPr>
              <w:pStyle w:val="36"/>
              <w:spacing w:beforeLines="0" w:after="24" w:line="240" w:lineRule="auto"/>
              <w:ind w:right="0"/>
              <w:rPr>
                <w:rFonts w:hint="default" w:ascii="Times New Roman" w:eastAsia="宋体"/>
                <w:snapToGrid w:val="0"/>
                <w:color w:val="000000"/>
                <w:spacing w:val="-4"/>
                <w:kern w:val="21"/>
                <w:sz w:val="21"/>
                <w:szCs w:val="21"/>
                <w:lang w:val="en-US" w:eastAsia="zh-CN"/>
              </w:rPr>
            </w:pPr>
            <w:r>
              <w:rPr>
                <w:rFonts w:hint="eastAsia" w:ascii="Times New Roman"/>
                <w:snapToGrid w:val="0"/>
                <w:color w:val="000000"/>
                <w:spacing w:val="-4"/>
                <w:kern w:val="21"/>
                <w:sz w:val="21"/>
                <w:szCs w:val="21"/>
                <w:lang w:val="en-US" w:eastAsia="zh-CN"/>
              </w:rPr>
              <w:t>废试剂包装</w:t>
            </w:r>
          </w:p>
        </w:tc>
        <w:tc>
          <w:tcPr>
            <w:tcW w:w="1701" w:type="dxa"/>
            <w:shd w:val="clear" w:color="auto" w:fill="auto"/>
            <w:vAlign w:val="center"/>
          </w:tcPr>
          <w:p w14:paraId="321F16E3">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276" w:type="dxa"/>
            <w:vAlign w:val="center"/>
          </w:tcPr>
          <w:p w14:paraId="3368233B">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701" w:type="dxa"/>
            <w:vMerge w:val="continue"/>
            <w:vAlign w:val="center"/>
          </w:tcPr>
          <w:p w14:paraId="36F32AC3">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p>
        </w:tc>
        <w:tc>
          <w:tcPr>
            <w:tcW w:w="1559" w:type="dxa"/>
            <w:shd w:val="clear" w:color="auto" w:fill="auto"/>
            <w:vAlign w:val="center"/>
          </w:tcPr>
          <w:p w14:paraId="04FD417A">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0.001</w:t>
            </w:r>
          </w:p>
        </w:tc>
        <w:tc>
          <w:tcPr>
            <w:tcW w:w="1761" w:type="dxa"/>
            <w:vAlign w:val="center"/>
          </w:tcPr>
          <w:p w14:paraId="5E7D74D3">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649" w:type="dxa"/>
            <w:vAlign w:val="center"/>
          </w:tcPr>
          <w:p w14:paraId="15B8C6E5">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0.001</w:t>
            </w:r>
          </w:p>
        </w:tc>
        <w:tc>
          <w:tcPr>
            <w:tcW w:w="1136" w:type="dxa"/>
            <w:shd w:val="clear" w:color="auto" w:fill="auto"/>
            <w:vAlign w:val="center"/>
          </w:tcPr>
          <w:p w14:paraId="7CA2FF5F">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+0.001</w:t>
            </w:r>
          </w:p>
        </w:tc>
      </w:tr>
      <w:tr w14:paraId="0E865D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continue"/>
            <w:vAlign w:val="center"/>
          </w:tcPr>
          <w:p w14:paraId="0ED2585C">
            <w:pPr>
              <w:pStyle w:val="36"/>
              <w:spacing w:beforeLines="0" w:after="24" w:line="240" w:lineRule="auto"/>
              <w:ind w:right="0"/>
              <w:rPr>
                <w:rFonts w:ascii="Times New Roman"/>
                <w:snapToGrid w:val="0"/>
                <w:color w:val="000000"/>
                <w:spacing w:val="-4"/>
                <w:kern w:val="21"/>
                <w:sz w:val="21"/>
                <w:szCs w:val="21"/>
              </w:rPr>
            </w:pPr>
          </w:p>
        </w:tc>
        <w:tc>
          <w:tcPr>
            <w:tcW w:w="1417" w:type="dxa"/>
            <w:shd w:val="clear" w:color="auto" w:fill="auto"/>
            <w:vAlign w:val="center"/>
          </w:tcPr>
          <w:p w14:paraId="7C7C0D2B">
            <w:pPr>
              <w:pStyle w:val="36"/>
              <w:spacing w:beforeLines="0" w:after="24" w:line="240" w:lineRule="auto"/>
              <w:ind w:right="0"/>
              <w:rPr>
                <w:rFonts w:hint="eastAsia" w:ascii="Times New Roman"/>
                <w:snapToGrid w:val="0"/>
                <w:color w:val="000000"/>
                <w:spacing w:val="-4"/>
                <w:kern w:val="21"/>
                <w:sz w:val="21"/>
                <w:szCs w:val="21"/>
                <w:lang w:val="en-US" w:eastAsia="zh-CN"/>
              </w:rPr>
            </w:pPr>
            <w:r>
              <w:rPr>
                <w:rFonts w:hint="eastAsia" w:ascii="Times New Roman"/>
                <w:snapToGrid w:val="0"/>
                <w:color w:val="000000"/>
                <w:spacing w:val="-4"/>
                <w:kern w:val="21"/>
                <w:sz w:val="21"/>
                <w:szCs w:val="21"/>
                <w:lang w:val="en-US" w:eastAsia="zh-CN"/>
              </w:rPr>
              <w:t>废草酸包装</w:t>
            </w:r>
          </w:p>
        </w:tc>
        <w:tc>
          <w:tcPr>
            <w:tcW w:w="1701" w:type="dxa"/>
            <w:shd w:val="clear" w:color="auto" w:fill="auto"/>
            <w:vAlign w:val="center"/>
          </w:tcPr>
          <w:p w14:paraId="4414BBE3">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276" w:type="dxa"/>
            <w:vAlign w:val="center"/>
          </w:tcPr>
          <w:p w14:paraId="3175BE77">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701" w:type="dxa"/>
            <w:vMerge w:val="continue"/>
            <w:vAlign w:val="center"/>
          </w:tcPr>
          <w:p w14:paraId="0C138EEC">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p>
        </w:tc>
        <w:tc>
          <w:tcPr>
            <w:tcW w:w="1559" w:type="dxa"/>
            <w:shd w:val="clear" w:color="auto" w:fill="auto"/>
            <w:vAlign w:val="center"/>
          </w:tcPr>
          <w:p w14:paraId="74354255">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0.0032</w:t>
            </w:r>
          </w:p>
        </w:tc>
        <w:tc>
          <w:tcPr>
            <w:tcW w:w="1761" w:type="dxa"/>
            <w:vAlign w:val="center"/>
          </w:tcPr>
          <w:p w14:paraId="59AAA9FD">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649" w:type="dxa"/>
            <w:shd w:val="clear" w:color="auto" w:fill="auto"/>
            <w:vAlign w:val="center"/>
          </w:tcPr>
          <w:p w14:paraId="5DF7C495">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0.0032</w:t>
            </w:r>
          </w:p>
        </w:tc>
        <w:tc>
          <w:tcPr>
            <w:tcW w:w="1136" w:type="dxa"/>
            <w:shd w:val="clear" w:color="auto" w:fill="auto"/>
            <w:vAlign w:val="center"/>
          </w:tcPr>
          <w:p w14:paraId="48A087F1">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+0.0032</w:t>
            </w:r>
          </w:p>
        </w:tc>
      </w:tr>
      <w:tr w14:paraId="3D51C3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continue"/>
            <w:vAlign w:val="center"/>
          </w:tcPr>
          <w:p w14:paraId="1A8E7A8F">
            <w:pPr>
              <w:pStyle w:val="36"/>
              <w:spacing w:beforeLines="0" w:after="24" w:line="240" w:lineRule="auto"/>
              <w:ind w:right="0"/>
              <w:rPr>
                <w:rFonts w:ascii="Times New Roman"/>
                <w:snapToGrid w:val="0"/>
                <w:color w:val="000000"/>
                <w:spacing w:val="-4"/>
                <w:kern w:val="21"/>
                <w:sz w:val="21"/>
                <w:szCs w:val="21"/>
              </w:rPr>
            </w:pPr>
          </w:p>
        </w:tc>
        <w:tc>
          <w:tcPr>
            <w:tcW w:w="1417" w:type="dxa"/>
            <w:shd w:val="clear" w:color="auto" w:fill="auto"/>
            <w:vAlign w:val="center"/>
          </w:tcPr>
          <w:p w14:paraId="31C65F04">
            <w:pPr>
              <w:snapToGrid w:val="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静电除油废油</w:t>
            </w:r>
          </w:p>
        </w:tc>
        <w:tc>
          <w:tcPr>
            <w:tcW w:w="1701" w:type="dxa"/>
            <w:shd w:val="clear" w:color="auto" w:fill="auto"/>
            <w:vAlign w:val="center"/>
          </w:tcPr>
          <w:p w14:paraId="66A766D4">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276" w:type="dxa"/>
            <w:vAlign w:val="center"/>
          </w:tcPr>
          <w:p w14:paraId="162C414C">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701" w:type="dxa"/>
            <w:vMerge w:val="continue"/>
            <w:vAlign w:val="center"/>
          </w:tcPr>
          <w:p w14:paraId="4C437D0F">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p>
        </w:tc>
        <w:tc>
          <w:tcPr>
            <w:tcW w:w="1559" w:type="dxa"/>
            <w:shd w:val="clear" w:color="auto" w:fill="auto"/>
            <w:vAlign w:val="center"/>
          </w:tcPr>
          <w:p w14:paraId="32550363">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3.079</w:t>
            </w:r>
          </w:p>
        </w:tc>
        <w:tc>
          <w:tcPr>
            <w:tcW w:w="1761" w:type="dxa"/>
            <w:vAlign w:val="center"/>
          </w:tcPr>
          <w:p w14:paraId="27FEEF71">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649" w:type="dxa"/>
            <w:shd w:val="clear" w:color="auto" w:fill="auto"/>
            <w:vAlign w:val="center"/>
          </w:tcPr>
          <w:p w14:paraId="36B5152A">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3.079</w:t>
            </w:r>
          </w:p>
        </w:tc>
        <w:tc>
          <w:tcPr>
            <w:tcW w:w="1136" w:type="dxa"/>
            <w:shd w:val="clear" w:color="auto" w:fill="auto"/>
            <w:vAlign w:val="center"/>
          </w:tcPr>
          <w:p w14:paraId="62E68022">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+3.079</w:t>
            </w:r>
          </w:p>
        </w:tc>
      </w:tr>
      <w:tr w14:paraId="427595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vMerge w:val="continue"/>
            <w:vAlign w:val="center"/>
          </w:tcPr>
          <w:p w14:paraId="22D9CF2F">
            <w:pPr>
              <w:pStyle w:val="36"/>
              <w:spacing w:beforeLines="0" w:after="24" w:line="240" w:lineRule="auto"/>
              <w:ind w:right="0"/>
              <w:rPr>
                <w:rFonts w:ascii="Times New Roman"/>
                <w:snapToGrid w:val="0"/>
                <w:color w:val="000000"/>
                <w:spacing w:val="-4"/>
                <w:kern w:val="21"/>
                <w:sz w:val="21"/>
                <w:szCs w:val="21"/>
              </w:rPr>
            </w:pPr>
          </w:p>
        </w:tc>
        <w:tc>
          <w:tcPr>
            <w:tcW w:w="1417" w:type="dxa"/>
            <w:shd w:val="clear" w:color="auto" w:fill="auto"/>
            <w:vAlign w:val="center"/>
          </w:tcPr>
          <w:p w14:paraId="295B37FE">
            <w:pPr>
              <w:snapToGrid w:val="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废活性炭</w:t>
            </w:r>
          </w:p>
        </w:tc>
        <w:tc>
          <w:tcPr>
            <w:tcW w:w="1701" w:type="dxa"/>
            <w:shd w:val="clear" w:color="auto" w:fill="auto"/>
            <w:vAlign w:val="center"/>
          </w:tcPr>
          <w:p w14:paraId="555BBB8D">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276" w:type="dxa"/>
            <w:vAlign w:val="center"/>
          </w:tcPr>
          <w:p w14:paraId="51D9AD9E">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701" w:type="dxa"/>
            <w:vMerge w:val="continue"/>
            <w:vAlign w:val="center"/>
          </w:tcPr>
          <w:p w14:paraId="4EF5981B">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p>
        </w:tc>
        <w:tc>
          <w:tcPr>
            <w:tcW w:w="1559" w:type="dxa"/>
            <w:shd w:val="clear" w:color="auto" w:fill="auto"/>
            <w:vAlign w:val="center"/>
          </w:tcPr>
          <w:p w14:paraId="06DBACD6">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33.93</w:t>
            </w:r>
          </w:p>
        </w:tc>
        <w:tc>
          <w:tcPr>
            <w:tcW w:w="1761" w:type="dxa"/>
            <w:vAlign w:val="center"/>
          </w:tcPr>
          <w:p w14:paraId="1C4A411D">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649" w:type="dxa"/>
            <w:shd w:val="clear" w:color="auto" w:fill="auto"/>
            <w:vAlign w:val="center"/>
          </w:tcPr>
          <w:p w14:paraId="25A68C0D">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33.93</w:t>
            </w:r>
          </w:p>
        </w:tc>
        <w:tc>
          <w:tcPr>
            <w:tcW w:w="1136" w:type="dxa"/>
            <w:shd w:val="clear" w:color="auto" w:fill="auto"/>
            <w:vAlign w:val="center"/>
          </w:tcPr>
          <w:p w14:paraId="73D28717">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+33.93</w:t>
            </w:r>
          </w:p>
        </w:tc>
      </w:tr>
      <w:tr w14:paraId="24164B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gridSpan w:val="2"/>
            <w:tcBorders>
              <w:bottom w:val="single" w:color="auto" w:sz="8" w:space="0"/>
            </w:tcBorders>
            <w:vAlign w:val="center"/>
          </w:tcPr>
          <w:p w14:paraId="6EA6BE6D">
            <w:pPr>
              <w:pStyle w:val="36"/>
              <w:spacing w:beforeLines="0" w:after="24" w:line="240" w:lineRule="auto"/>
              <w:ind w:right="0"/>
              <w:rPr>
                <w:rFonts w:hAnsi="宋体" w:cs="宋体"/>
                <w:snapToGrid w:val="0"/>
                <w:color w:val="000000"/>
                <w:spacing w:val="-4"/>
                <w:kern w:val="21"/>
                <w:sz w:val="21"/>
                <w:szCs w:val="21"/>
              </w:rPr>
            </w:pPr>
            <w:r>
              <w:rPr>
                <w:rFonts w:hint="eastAsia" w:hAnsi="宋体" w:cs="宋体"/>
                <w:snapToGrid w:val="0"/>
                <w:color w:val="000000"/>
                <w:spacing w:val="-4"/>
                <w:kern w:val="21"/>
                <w:sz w:val="21"/>
                <w:szCs w:val="21"/>
              </w:rPr>
              <w:t>生活垃圾</w:t>
            </w:r>
          </w:p>
        </w:tc>
        <w:tc>
          <w:tcPr>
            <w:tcW w:w="1417" w:type="dxa"/>
            <w:tcBorders>
              <w:bottom w:val="single" w:color="auto" w:sz="8" w:space="0"/>
            </w:tcBorders>
            <w:vAlign w:val="center"/>
          </w:tcPr>
          <w:p w14:paraId="0AE3C136">
            <w:pPr>
              <w:jc w:val="center"/>
              <w:rPr>
                <w:rFonts w:ascii="宋体" w:cs="宋体"/>
                <w:snapToGrid w:val="0"/>
                <w:color w:val="000000"/>
                <w:kern w:val="21"/>
                <w:sz w:val="21"/>
                <w:szCs w:val="21"/>
              </w:rPr>
            </w:pPr>
            <w:r>
              <w:rPr>
                <w:rFonts w:hint="eastAsia" w:ascii="宋体" w:cs="宋体"/>
                <w:snapToGrid w:val="0"/>
                <w:color w:val="000000"/>
                <w:kern w:val="21"/>
                <w:sz w:val="21"/>
                <w:szCs w:val="21"/>
              </w:rPr>
              <w:t>生活垃圾</w:t>
            </w:r>
          </w:p>
        </w:tc>
        <w:tc>
          <w:tcPr>
            <w:tcW w:w="1701" w:type="dxa"/>
            <w:tcBorders>
              <w:bottom w:val="single" w:color="auto" w:sz="8" w:space="0"/>
            </w:tcBorders>
            <w:vAlign w:val="center"/>
          </w:tcPr>
          <w:p w14:paraId="3987A734">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276" w:type="dxa"/>
            <w:tcBorders>
              <w:bottom w:val="single" w:color="auto" w:sz="8" w:space="0"/>
            </w:tcBorders>
            <w:vAlign w:val="center"/>
          </w:tcPr>
          <w:p w14:paraId="60D1AB7A">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701" w:type="dxa"/>
            <w:vMerge w:val="continue"/>
            <w:tcBorders>
              <w:bottom w:val="single" w:color="auto" w:sz="8" w:space="0"/>
            </w:tcBorders>
            <w:vAlign w:val="center"/>
          </w:tcPr>
          <w:p w14:paraId="01588DC2">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p>
        </w:tc>
        <w:tc>
          <w:tcPr>
            <w:tcW w:w="1559" w:type="dxa"/>
            <w:tcBorders>
              <w:bottom w:val="single" w:color="auto" w:sz="8" w:space="0"/>
            </w:tcBorders>
            <w:vAlign w:val="center"/>
          </w:tcPr>
          <w:p w14:paraId="2AD5CBED">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4.6</w:t>
            </w:r>
          </w:p>
        </w:tc>
        <w:tc>
          <w:tcPr>
            <w:tcW w:w="1761" w:type="dxa"/>
            <w:tcBorders>
              <w:bottom w:val="single" w:color="auto" w:sz="8" w:space="0"/>
            </w:tcBorders>
            <w:vAlign w:val="center"/>
          </w:tcPr>
          <w:p w14:paraId="759A1743">
            <w:pPr>
              <w:adjustRightInd w:val="0"/>
              <w:snapToGrid w:val="0"/>
              <w:spacing w:beforeLines="20" w:afterLines="20"/>
              <w:jc w:val="center"/>
              <w:rPr>
                <w:rFonts w:hint="eastAsia"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w:t>
            </w:r>
          </w:p>
        </w:tc>
        <w:tc>
          <w:tcPr>
            <w:tcW w:w="1649" w:type="dxa"/>
            <w:tcBorders>
              <w:bottom w:val="single" w:color="auto" w:sz="8" w:space="0"/>
            </w:tcBorders>
            <w:vAlign w:val="center"/>
          </w:tcPr>
          <w:p w14:paraId="296E1FC3">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4.6</w:t>
            </w:r>
          </w:p>
        </w:tc>
        <w:tc>
          <w:tcPr>
            <w:tcW w:w="1136" w:type="dxa"/>
            <w:tcBorders>
              <w:bottom w:val="single" w:color="auto" w:sz="8" w:space="0"/>
            </w:tcBorders>
            <w:vAlign w:val="center"/>
          </w:tcPr>
          <w:p w14:paraId="54026DEC">
            <w:pPr>
              <w:adjustRightInd w:val="0"/>
              <w:snapToGrid w:val="0"/>
              <w:spacing w:beforeLines="20" w:afterLines="20"/>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+4.6</w:t>
            </w:r>
          </w:p>
        </w:tc>
      </w:tr>
    </w:tbl>
    <w:p w14:paraId="173D5A2E">
      <w:pPr>
        <w:rPr>
          <w:snapToGrid w:val="0"/>
          <w:color w:val="000000"/>
          <w:kern w:val="21"/>
          <w:szCs w:val="21"/>
        </w:rPr>
      </w:pPr>
      <w:r>
        <w:rPr>
          <w:rFonts w:hint="eastAsia"/>
          <w:snapToGrid w:val="0"/>
          <w:color w:val="000000"/>
          <w:kern w:val="21"/>
          <w:szCs w:val="21"/>
        </w:rPr>
        <w:t>注：</w:t>
      </w:r>
      <w:r>
        <w:rPr>
          <w:snapToGrid w:val="0"/>
          <w:color w:val="000000"/>
          <w:kern w:val="21"/>
          <w:szCs w:val="21"/>
        </w:rPr>
        <w:fldChar w:fldCharType="begin"/>
      </w:r>
      <w:r>
        <w:rPr>
          <w:snapToGrid w:val="0"/>
          <w:color w:val="000000"/>
          <w:kern w:val="21"/>
          <w:szCs w:val="21"/>
        </w:rPr>
        <w:instrText xml:space="preserve"> = 6 \* GB3 \* MERGEFORMAT </w:instrText>
      </w:r>
      <w:r>
        <w:rPr>
          <w:snapToGrid w:val="0"/>
          <w:color w:val="000000"/>
          <w:kern w:val="21"/>
          <w:szCs w:val="21"/>
        </w:rPr>
        <w:fldChar w:fldCharType="separate"/>
      </w:r>
      <w:r>
        <w:rPr>
          <w:rFonts w:hint="eastAsia"/>
          <w:snapToGrid w:val="0"/>
          <w:color w:val="000000"/>
          <w:kern w:val="21"/>
          <w:szCs w:val="21"/>
        </w:rPr>
        <w:t>⑥</w:t>
      </w:r>
      <w:r>
        <w:rPr>
          <w:snapToGrid w:val="0"/>
          <w:color w:val="000000"/>
          <w:kern w:val="21"/>
          <w:szCs w:val="21"/>
        </w:rPr>
        <w:fldChar w:fldCharType="end"/>
      </w:r>
      <w:r>
        <w:rPr>
          <w:snapToGrid w:val="0"/>
          <w:color w:val="000000"/>
          <w:kern w:val="21"/>
          <w:szCs w:val="21"/>
        </w:rPr>
        <w:t>=</w:t>
      </w:r>
      <w:r>
        <w:rPr>
          <w:snapToGrid w:val="0"/>
          <w:color w:val="000000"/>
          <w:kern w:val="21"/>
          <w:szCs w:val="21"/>
        </w:rPr>
        <w:fldChar w:fldCharType="begin"/>
      </w:r>
      <w:r>
        <w:rPr>
          <w:snapToGrid w:val="0"/>
          <w:color w:val="000000"/>
          <w:kern w:val="21"/>
          <w:szCs w:val="21"/>
        </w:rPr>
        <w:instrText xml:space="preserve"> = 1 \* GB3 \* MERGEFORMAT </w:instrText>
      </w:r>
      <w:r>
        <w:rPr>
          <w:snapToGrid w:val="0"/>
          <w:color w:val="000000"/>
          <w:kern w:val="21"/>
          <w:szCs w:val="21"/>
        </w:rPr>
        <w:fldChar w:fldCharType="separate"/>
      </w:r>
      <w:r>
        <w:rPr>
          <w:rFonts w:hint="eastAsia"/>
          <w:snapToGrid w:val="0"/>
          <w:color w:val="000000"/>
          <w:kern w:val="21"/>
          <w:szCs w:val="21"/>
        </w:rPr>
        <w:t>①</w:t>
      </w:r>
      <w:r>
        <w:rPr>
          <w:snapToGrid w:val="0"/>
          <w:color w:val="000000"/>
          <w:kern w:val="21"/>
          <w:szCs w:val="21"/>
        </w:rPr>
        <w:fldChar w:fldCharType="end"/>
      </w:r>
      <w:r>
        <w:rPr>
          <w:snapToGrid w:val="0"/>
          <w:color w:val="000000"/>
          <w:kern w:val="21"/>
          <w:szCs w:val="21"/>
        </w:rPr>
        <w:t>+</w:t>
      </w:r>
      <w:r>
        <w:rPr>
          <w:snapToGrid w:val="0"/>
          <w:color w:val="000000"/>
          <w:kern w:val="21"/>
          <w:szCs w:val="21"/>
        </w:rPr>
        <w:fldChar w:fldCharType="begin"/>
      </w:r>
      <w:r>
        <w:rPr>
          <w:snapToGrid w:val="0"/>
          <w:color w:val="000000"/>
          <w:kern w:val="21"/>
          <w:szCs w:val="21"/>
        </w:rPr>
        <w:instrText xml:space="preserve"> = 3 \* GB3 \* MERGEFORMAT </w:instrText>
      </w:r>
      <w:r>
        <w:rPr>
          <w:snapToGrid w:val="0"/>
          <w:color w:val="000000"/>
          <w:kern w:val="21"/>
          <w:szCs w:val="21"/>
        </w:rPr>
        <w:fldChar w:fldCharType="separate"/>
      </w:r>
      <w:r>
        <w:rPr>
          <w:rFonts w:hint="eastAsia"/>
          <w:snapToGrid w:val="0"/>
          <w:color w:val="000000"/>
          <w:kern w:val="21"/>
          <w:szCs w:val="21"/>
        </w:rPr>
        <w:t>③</w:t>
      </w:r>
      <w:r>
        <w:rPr>
          <w:snapToGrid w:val="0"/>
          <w:color w:val="000000"/>
          <w:kern w:val="21"/>
          <w:szCs w:val="21"/>
        </w:rPr>
        <w:fldChar w:fldCharType="end"/>
      </w:r>
      <w:r>
        <w:rPr>
          <w:snapToGrid w:val="0"/>
          <w:color w:val="000000"/>
          <w:kern w:val="21"/>
          <w:szCs w:val="21"/>
        </w:rPr>
        <w:t>+</w:t>
      </w:r>
      <w:r>
        <w:rPr>
          <w:snapToGrid w:val="0"/>
          <w:color w:val="000000"/>
          <w:kern w:val="21"/>
          <w:szCs w:val="21"/>
        </w:rPr>
        <w:fldChar w:fldCharType="begin"/>
      </w:r>
      <w:r>
        <w:rPr>
          <w:snapToGrid w:val="0"/>
          <w:color w:val="000000"/>
          <w:kern w:val="21"/>
          <w:szCs w:val="21"/>
        </w:rPr>
        <w:instrText xml:space="preserve"> = 4 \* GB3 \* MERGEFORMAT </w:instrText>
      </w:r>
      <w:r>
        <w:rPr>
          <w:snapToGrid w:val="0"/>
          <w:color w:val="000000"/>
          <w:kern w:val="21"/>
          <w:szCs w:val="21"/>
        </w:rPr>
        <w:fldChar w:fldCharType="separate"/>
      </w:r>
      <w:r>
        <w:rPr>
          <w:rFonts w:hint="eastAsia"/>
          <w:snapToGrid w:val="0"/>
          <w:color w:val="000000"/>
          <w:kern w:val="21"/>
          <w:szCs w:val="21"/>
        </w:rPr>
        <w:t>④</w:t>
      </w:r>
      <w:r>
        <w:rPr>
          <w:snapToGrid w:val="0"/>
          <w:color w:val="000000"/>
          <w:kern w:val="21"/>
          <w:szCs w:val="21"/>
        </w:rPr>
        <w:fldChar w:fldCharType="end"/>
      </w:r>
      <w:r>
        <w:rPr>
          <w:snapToGrid w:val="0"/>
          <w:color w:val="000000"/>
          <w:kern w:val="21"/>
          <w:szCs w:val="21"/>
        </w:rPr>
        <w:t>-</w:t>
      </w:r>
      <w:r>
        <w:rPr>
          <w:snapToGrid w:val="0"/>
          <w:color w:val="000000"/>
          <w:kern w:val="21"/>
          <w:szCs w:val="21"/>
        </w:rPr>
        <w:fldChar w:fldCharType="begin"/>
      </w:r>
      <w:r>
        <w:rPr>
          <w:snapToGrid w:val="0"/>
          <w:color w:val="000000"/>
          <w:kern w:val="21"/>
          <w:szCs w:val="21"/>
        </w:rPr>
        <w:instrText xml:space="preserve"> = 5 \* GB3 \* MERGEFORMAT </w:instrText>
      </w:r>
      <w:r>
        <w:rPr>
          <w:snapToGrid w:val="0"/>
          <w:color w:val="000000"/>
          <w:kern w:val="21"/>
          <w:szCs w:val="21"/>
        </w:rPr>
        <w:fldChar w:fldCharType="separate"/>
      </w:r>
      <w:r>
        <w:rPr>
          <w:rFonts w:hint="eastAsia"/>
          <w:snapToGrid w:val="0"/>
          <w:color w:val="000000"/>
          <w:kern w:val="21"/>
          <w:szCs w:val="21"/>
        </w:rPr>
        <w:t>⑤</w:t>
      </w:r>
      <w:r>
        <w:rPr>
          <w:snapToGrid w:val="0"/>
          <w:color w:val="000000"/>
          <w:kern w:val="21"/>
          <w:szCs w:val="21"/>
        </w:rPr>
        <w:fldChar w:fldCharType="end"/>
      </w:r>
      <w:r>
        <w:rPr>
          <w:rFonts w:hint="eastAsia"/>
          <w:snapToGrid w:val="0"/>
          <w:color w:val="000000"/>
          <w:kern w:val="21"/>
          <w:szCs w:val="21"/>
        </w:rPr>
        <w:t>；</w:t>
      </w:r>
      <w:r>
        <w:rPr>
          <w:snapToGrid w:val="0"/>
          <w:color w:val="000000"/>
          <w:kern w:val="21"/>
          <w:szCs w:val="21"/>
        </w:rPr>
        <w:fldChar w:fldCharType="begin"/>
      </w:r>
      <w:r>
        <w:rPr>
          <w:snapToGrid w:val="0"/>
          <w:color w:val="000000"/>
          <w:kern w:val="21"/>
          <w:szCs w:val="21"/>
        </w:rPr>
        <w:instrText xml:space="preserve"> = 7 \* GB3 \* MERGEFORMAT </w:instrText>
      </w:r>
      <w:r>
        <w:rPr>
          <w:snapToGrid w:val="0"/>
          <w:color w:val="000000"/>
          <w:kern w:val="21"/>
          <w:szCs w:val="21"/>
        </w:rPr>
        <w:fldChar w:fldCharType="separate"/>
      </w:r>
      <w:r>
        <w:rPr>
          <w:rFonts w:hint="eastAsia"/>
          <w:snapToGrid w:val="0"/>
          <w:color w:val="000000"/>
          <w:kern w:val="21"/>
          <w:szCs w:val="21"/>
        </w:rPr>
        <w:t>⑦</w:t>
      </w:r>
      <w:r>
        <w:rPr>
          <w:snapToGrid w:val="0"/>
          <w:color w:val="000000"/>
          <w:kern w:val="21"/>
          <w:szCs w:val="21"/>
        </w:rPr>
        <w:fldChar w:fldCharType="end"/>
      </w:r>
      <w:r>
        <w:rPr>
          <w:snapToGrid w:val="0"/>
          <w:color w:val="000000"/>
          <w:kern w:val="21"/>
          <w:szCs w:val="21"/>
        </w:rPr>
        <w:t>=</w:t>
      </w:r>
      <w:r>
        <w:rPr>
          <w:snapToGrid w:val="0"/>
          <w:color w:val="000000"/>
          <w:kern w:val="21"/>
          <w:szCs w:val="21"/>
        </w:rPr>
        <w:fldChar w:fldCharType="begin"/>
      </w:r>
      <w:r>
        <w:rPr>
          <w:snapToGrid w:val="0"/>
          <w:color w:val="000000"/>
          <w:kern w:val="21"/>
          <w:szCs w:val="21"/>
        </w:rPr>
        <w:instrText xml:space="preserve"> = 6 \* GB3 \* MERGEFORMAT </w:instrText>
      </w:r>
      <w:r>
        <w:rPr>
          <w:snapToGrid w:val="0"/>
          <w:color w:val="000000"/>
          <w:kern w:val="21"/>
          <w:szCs w:val="21"/>
        </w:rPr>
        <w:fldChar w:fldCharType="separate"/>
      </w:r>
      <w:r>
        <w:rPr>
          <w:rFonts w:hint="eastAsia"/>
          <w:snapToGrid w:val="0"/>
          <w:color w:val="000000"/>
          <w:kern w:val="21"/>
          <w:szCs w:val="21"/>
        </w:rPr>
        <w:t>⑥</w:t>
      </w:r>
      <w:r>
        <w:rPr>
          <w:snapToGrid w:val="0"/>
          <w:color w:val="000000"/>
          <w:kern w:val="21"/>
          <w:szCs w:val="21"/>
        </w:rPr>
        <w:fldChar w:fldCharType="end"/>
      </w:r>
      <w:r>
        <w:rPr>
          <w:snapToGrid w:val="0"/>
          <w:color w:val="000000"/>
          <w:kern w:val="21"/>
          <w:szCs w:val="21"/>
        </w:rPr>
        <w:t>-</w:t>
      </w:r>
      <w:r>
        <w:rPr>
          <w:snapToGrid w:val="0"/>
          <w:color w:val="000000"/>
          <w:kern w:val="21"/>
          <w:szCs w:val="21"/>
        </w:rPr>
        <w:fldChar w:fldCharType="begin"/>
      </w:r>
      <w:r>
        <w:rPr>
          <w:snapToGrid w:val="0"/>
          <w:color w:val="000000"/>
          <w:kern w:val="21"/>
          <w:szCs w:val="21"/>
        </w:rPr>
        <w:instrText xml:space="preserve"> = 1 \* GB3 \* MERGEFORMAT </w:instrText>
      </w:r>
      <w:r>
        <w:rPr>
          <w:snapToGrid w:val="0"/>
          <w:color w:val="000000"/>
          <w:kern w:val="21"/>
          <w:szCs w:val="21"/>
        </w:rPr>
        <w:fldChar w:fldCharType="separate"/>
      </w:r>
      <w:r>
        <w:rPr>
          <w:rFonts w:hint="eastAsia"/>
          <w:snapToGrid w:val="0"/>
          <w:color w:val="000000"/>
          <w:kern w:val="21"/>
          <w:szCs w:val="21"/>
        </w:rPr>
        <w:t>①</w:t>
      </w:r>
      <w:r>
        <w:rPr>
          <w:snapToGrid w:val="0"/>
          <w:color w:val="000000"/>
          <w:kern w:val="21"/>
          <w:szCs w:val="21"/>
        </w:rPr>
        <w:fldChar w:fldCharType="end"/>
      </w:r>
    </w:p>
    <w:p w14:paraId="2D5CAFBD">
      <w:pPr>
        <w:rPr>
          <w:rFonts w:hint="eastAsia"/>
          <w:snapToGrid w:val="0"/>
          <w:color w:val="000000" w:themeColor="text1"/>
          <w:kern w:val="21"/>
          <w:sz w:val="21"/>
          <w:szCs w:val="21"/>
          <w14:textFill>
            <w14:solidFill>
              <w14:schemeClr w14:val="tx1"/>
            </w14:solidFill>
          </w14:textFill>
        </w:rPr>
      </w:pPr>
      <w:r>
        <w:rPr>
          <w:rFonts w:hint="eastAsia"/>
          <w:snapToGrid w:val="0"/>
          <w:color w:val="000000"/>
          <w:kern w:val="21"/>
          <w:szCs w:val="21"/>
          <w:lang w:val="en-US" w:eastAsia="zh-CN"/>
        </w:rPr>
        <w:t>注*：</w:t>
      </w:r>
      <w:r>
        <w:rPr>
          <w:rFonts w:hint="eastAsia"/>
          <w:snapToGrid w:val="0"/>
          <w:color w:val="000000" w:themeColor="text1"/>
          <w:kern w:val="21"/>
          <w:szCs w:val="21"/>
          <w14:textFill>
            <w14:solidFill>
              <w14:schemeClr w14:val="tx1"/>
            </w14:solidFill>
          </w14:textFill>
        </w:rPr>
        <w:t>该数据为</w:t>
      </w:r>
      <w:r>
        <w:rPr>
          <w:rFonts w:hint="eastAsia"/>
          <w:snapToGrid w:val="0"/>
          <w:color w:val="000000" w:themeColor="text1"/>
          <w:kern w:val="21"/>
          <w:szCs w:val="21"/>
          <w:lang w:val="en-US" w:eastAsia="zh-CN"/>
          <w14:textFill>
            <w14:solidFill>
              <w14:schemeClr w14:val="tx1"/>
            </w14:solidFill>
          </w14:textFill>
        </w:rPr>
        <w:t>生产</w:t>
      </w:r>
      <w:r>
        <w:rPr>
          <w:rFonts w:hint="eastAsia"/>
          <w:snapToGrid w:val="0"/>
          <w:color w:val="000000" w:themeColor="text1"/>
          <w:kern w:val="21"/>
          <w:szCs w:val="21"/>
          <w14:textFill>
            <w14:solidFill>
              <w14:schemeClr w14:val="tx1"/>
            </w14:solidFill>
          </w14:textFill>
        </w:rPr>
        <w:t>废水接管量，接管至苏州市桃源富乡污水处理有限公司处理</w:t>
      </w:r>
      <w:r>
        <w:rPr>
          <w:rFonts w:hint="eastAsia"/>
          <w:snapToGrid w:val="0"/>
          <w:color w:val="000000" w:themeColor="text1"/>
          <w:kern w:val="21"/>
          <w:sz w:val="21"/>
          <w:szCs w:val="21"/>
          <w14:textFill>
            <w14:solidFill>
              <w14:schemeClr w14:val="tx1"/>
            </w14:solidFill>
          </w14:textFill>
        </w:rPr>
        <w:t>后</w:t>
      </w:r>
      <w:r>
        <w:rPr>
          <w:rFonts w:hint="eastAsia"/>
          <w:snapToGrid w:val="0"/>
          <w:color w:val="000000" w:themeColor="text1"/>
          <w:kern w:val="21"/>
          <w:sz w:val="21"/>
          <w:szCs w:val="21"/>
          <w:lang w:val="en-US" w:eastAsia="zh-CN"/>
          <w14:textFill>
            <w14:solidFill>
              <w14:schemeClr w14:val="tx1"/>
            </w14:solidFill>
          </w14:textFill>
        </w:rPr>
        <w:t>76%</w:t>
      </w:r>
      <w:r>
        <w:rPr>
          <w:rFonts w:hint="eastAsia"/>
          <w:snapToGrid w:val="0"/>
          <w:color w:val="000000" w:themeColor="text1"/>
          <w:kern w:val="21"/>
          <w:sz w:val="21"/>
          <w:szCs w:val="21"/>
          <w14:textFill>
            <w14:solidFill>
              <w14:schemeClr w14:val="tx1"/>
            </w14:solidFill>
          </w14:textFill>
        </w:rPr>
        <w:t>回用</w:t>
      </w:r>
      <w:r>
        <w:rPr>
          <w:rFonts w:hint="eastAsia"/>
          <w:snapToGrid w:val="0"/>
          <w:color w:val="000000" w:themeColor="text1"/>
          <w:kern w:val="21"/>
          <w:sz w:val="21"/>
          <w:szCs w:val="21"/>
          <w:lang w:eastAsia="zh-CN"/>
          <w14:textFill>
            <w14:solidFill>
              <w14:schemeClr w14:val="tx1"/>
            </w14:solidFill>
          </w14:textFill>
        </w:rPr>
        <w:t>，其余达标排入鳑鲏港</w:t>
      </w:r>
      <w:r>
        <w:rPr>
          <w:rFonts w:hint="eastAsia"/>
          <w:snapToGrid w:val="0"/>
          <w:color w:val="000000" w:themeColor="text1"/>
          <w:kern w:val="21"/>
          <w:sz w:val="21"/>
          <w:szCs w:val="21"/>
          <w14:textFill>
            <w14:solidFill>
              <w14:schemeClr w14:val="tx1"/>
            </w14:solidFill>
          </w14:textFill>
        </w:rPr>
        <w:t>。</w:t>
      </w:r>
    </w:p>
    <w:p w14:paraId="1CF5E19B">
      <w:pPr>
        <w:rPr>
          <w:rFonts w:hint="default" w:eastAsia="宋体"/>
          <w:snapToGrid w:val="0"/>
          <w:color w:val="000000" w:themeColor="text1"/>
          <w:kern w:val="21"/>
          <w:sz w:val="21"/>
          <w:szCs w:val="21"/>
          <w:lang w:val="en-US" w:eastAsia="zh-CN"/>
          <w14:textFill>
            <w14:solidFill>
              <w14:schemeClr w14:val="tx1"/>
            </w14:solidFill>
          </w14:textFill>
        </w:rPr>
      </w:pPr>
    </w:p>
    <w:p w14:paraId="5B1FB521">
      <w:pPr>
        <w:spacing w:beforeLines="50" w:line="360" w:lineRule="auto"/>
        <w:ind w:firstLine="480" w:firstLineChars="200"/>
        <w:rPr>
          <w:snapToGrid w:val="0"/>
          <w:color w:val="000000"/>
          <w:kern w:val="21"/>
          <w:sz w:val="24"/>
        </w:rPr>
        <w:sectPr>
          <w:footerReference r:id="rId6" w:type="default"/>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p>
    <w:tbl>
      <w:tblPr>
        <w:tblStyle w:val="2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29A5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vAlign w:val="top"/>
          </w:tcPr>
          <w:p w14:paraId="68B18FDB">
            <w:pPr>
              <w:pStyle w:val="22"/>
              <w:adjustRightInd w:val="0"/>
              <w:snapToGrid w:val="0"/>
              <w:spacing w:before="0" w:beforeAutospacing="0" w:after="0" w:afterAutospacing="0" w:line="360" w:lineRule="auto"/>
              <w:outlineLvl w:val="0"/>
              <w:rPr>
                <w:rFonts w:ascii="黑体" w:hAnsi="黑体" w:eastAsia="黑体"/>
                <w:snapToGrid w:val="0"/>
                <w:color w:val="000000"/>
                <w:sz w:val="32"/>
                <w:szCs w:val="32"/>
              </w:rPr>
            </w:pPr>
            <w:bookmarkStart w:id="74" w:name="_Toc4419"/>
            <w:bookmarkStart w:id="75" w:name="_Toc11846"/>
            <w:r>
              <w:rPr>
                <w:rFonts w:hint="eastAsia" w:ascii="黑体" w:hAnsi="黑体" w:eastAsia="黑体"/>
                <w:snapToGrid w:val="0"/>
                <w:color w:val="000000"/>
                <w:sz w:val="32"/>
                <w:szCs w:val="32"/>
              </w:rPr>
              <w:t>附图附件</w:t>
            </w:r>
            <w:bookmarkEnd w:id="74"/>
            <w:bookmarkEnd w:id="75"/>
          </w:p>
          <w:p w14:paraId="50D66D2F">
            <w:pPr>
              <w:spacing w:line="360" w:lineRule="auto"/>
              <w:rPr>
                <w:color w:val="000000"/>
                <w:sz w:val="24"/>
              </w:rPr>
            </w:pPr>
            <w:r>
              <w:rPr>
                <w:rFonts w:hint="eastAsia"/>
                <w:color w:val="000000"/>
                <w:sz w:val="24"/>
              </w:rPr>
              <w:t>附图</w:t>
            </w:r>
            <w:r>
              <w:rPr>
                <w:color w:val="000000"/>
                <w:sz w:val="24"/>
              </w:rPr>
              <w:t>1</w:t>
            </w:r>
            <w:r>
              <w:rPr>
                <w:rFonts w:hint="eastAsia"/>
                <w:color w:val="000000"/>
                <w:sz w:val="24"/>
              </w:rPr>
              <w:t>项目地理位置示意图</w:t>
            </w:r>
          </w:p>
          <w:p w14:paraId="26540DA2">
            <w:pPr>
              <w:spacing w:line="360" w:lineRule="auto"/>
              <w:rPr>
                <w:color w:val="000000"/>
                <w:sz w:val="24"/>
              </w:rPr>
            </w:pPr>
            <w:r>
              <w:rPr>
                <w:rFonts w:hint="eastAsia"/>
                <w:color w:val="000000"/>
                <w:sz w:val="24"/>
              </w:rPr>
              <w:t>附图</w:t>
            </w:r>
            <w:r>
              <w:rPr>
                <w:color w:val="000000"/>
                <w:sz w:val="24"/>
              </w:rPr>
              <w:t>2</w:t>
            </w:r>
            <w:r>
              <w:rPr>
                <w:rFonts w:hint="eastAsia"/>
                <w:color w:val="000000"/>
                <w:sz w:val="24"/>
                <w:lang w:val="en-US" w:eastAsia="zh-CN"/>
              </w:rPr>
              <w:t>建设项目周围环境保护目标分布图</w:t>
            </w:r>
          </w:p>
          <w:p w14:paraId="02B07D06">
            <w:pPr>
              <w:spacing w:line="360" w:lineRule="auto"/>
              <w:rPr>
                <w:color w:val="000000"/>
                <w:sz w:val="24"/>
              </w:rPr>
            </w:pPr>
            <w:r>
              <w:rPr>
                <w:rFonts w:hint="eastAsia"/>
                <w:color w:val="000000"/>
                <w:sz w:val="24"/>
              </w:rPr>
              <w:t>附图</w:t>
            </w:r>
            <w:r>
              <w:rPr>
                <w:color w:val="000000"/>
                <w:sz w:val="24"/>
              </w:rPr>
              <w:t>3</w:t>
            </w:r>
            <w:r>
              <w:rPr>
                <w:rFonts w:hint="eastAsia"/>
                <w:color w:val="000000"/>
                <w:sz w:val="24"/>
                <w:lang w:val="en-US" w:eastAsia="zh-CN"/>
              </w:rPr>
              <w:t>项目厂区平面布局图</w:t>
            </w:r>
          </w:p>
          <w:p w14:paraId="2554684C">
            <w:pPr>
              <w:spacing w:line="360" w:lineRule="auto"/>
              <w:rPr>
                <w:color w:val="000000"/>
                <w:sz w:val="24"/>
              </w:rPr>
            </w:pPr>
            <w:r>
              <w:rPr>
                <w:rFonts w:hint="eastAsia"/>
                <w:color w:val="000000"/>
                <w:sz w:val="24"/>
              </w:rPr>
              <w:t>附图</w:t>
            </w:r>
            <w:r>
              <w:rPr>
                <w:color w:val="000000"/>
                <w:sz w:val="24"/>
              </w:rPr>
              <w:t>4</w:t>
            </w:r>
            <w:r>
              <w:rPr>
                <w:rFonts w:hint="eastAsia"/>
                <w:color w:val="000000"/>
                <w:sz w:val="24"/>
                <w:lang w:val="en-US" w:eastAsia="zh-CN"/>
              </w:rPr>
              <w:t>控制性详细规划图</w:t>
            </w:r>
          </w:p>
          <w:p w14:paraId="5642CF57">
            <w:pPr>
              <w:spacing w:line="360" w:lineRule="auto"/>
              <w:rPr>
                <w:rFonts w:hint="default" w:eastAsia="宋体"/>
                <w:color w:val="000000"/>
                <w:sz w:val="24"/>
                <w:lang w:val="en-US" w:eastAsia="zh-CN"/>
              </w:rPr>
            </w:pPr>
            <w:r>
              <w:rPr>
                <w:rFonts w:hint="eastAsia"/>
                <w:color w:val="000000"/>
                <w:sz w:val="24"/>
              </w:rPr>
              <w:t>附图</w:t>
            </w:r>
            <w:r>
              <w:rPr>
                <w:color w:val="000000"/>
                <w:sz w:val="24"/>
              </w:rPr>
              <w:t>5</w:t>
            </w:r>
            <w:r>
              <w:rPr>
                <w:rFonts w:hint="eastAsia"/>
                <w:color w:val="000000"/>
                <w:sz w:val="24"/>
                <w:lang w:val="en-US" w:eastAsia="zh-CN"/>
              </w:rPr>
              <w:t>水系图</w:t>
            </w:r>
          </w:p>
          <w:p w14:paraId="364582A2">
            <w:pPr>
              <w:spacing w:line="360" w:lineRule="auto"/>
              <w:rPr>
                <w:rFonts w:hint="eastAsia"/>
                <w:color w:val="000000"/>
                <w:sz w:val="24"/>
                <w:lang w:val="en-US" w:eastAsia="zh-CN"/>
              </w:rPr>
            </w:pPr>
            <w:r>
              <w:rPr>
                <w:rFonts w:hint="eastAsia"/>
                <w:color w:val="000000"/>
                <w:sz w:val="24"/>
              </w:rPr>
              <w:t>附图</w:t>
            </w:r>
            <w:r>
              <w:rPr>
                <w:color w:val="000000"/>
                <w:sz w:val="24"/>
              </w:rPr>
              <w:t>6</w:t>
            </w:r>
            <w:r>
              <w:rPr>
                <w:rFonts w:hint="eastAsia"/>
                <w:color w:val="000000"/>
                <w:sz w:val="24"/>
                <w:lang w:val="en-US" w:eastAsia="zh-CN"/>
              </w:rPr>
              <w:t>建设项目与江苏省生态环境分区管控比对图</w:t>
            </w:r>
          </w:p>
          <w:p w14:paraId="6FEEB1F3">
            <w:pPr>
              <w:spacing w:line="360" w:lineRule="auto"/>
              <w:rPr>
                <w:color w:val="000000"/>
                <w:sz w:val="24"/>
              </w:rPr>
            </w:pPr>
            <w:r>
              <w:rPr>
                <w:rFonts w:hint="eastAsia"/>
                <w:color w:val="000000"/>
                <w:sz w:val="24"/>
              </w:rPr>
              <w:t>附图</w:t>
            </w:r>
            <w:r>
              <w:rPr>
                <w:color w:val="000000"/>
                <w:sz w:val="24"/>
              </w:rPr>
              <w:t>7</w:t>
            </w:r>
            <w:r>
              <w:rPr>
                <w:rFonts w:hint="eastAsia"/>
                <w:color w:val="000000"/>
                <w:sz w:val="24"/>
                <w:lang w:val="en-US" w:eastAsia="zh-CN"/>
              </w:rPr>
              <w:t>环评报告公示截图</w:t>
            </w:r>
          </w:p>
          <w:p w14:paraId="6D472751">
            <w:pPr>
              <w:spacing w:line="360" w:lineRule="auto"/>
              <w:rPr>
                <w:sz w:val="24"/>
              </w:rPr>
            </w:pPr>
          </w:p>
          <w:p w14:paraId="6A7B6633">
            <w:pPr>
              <w:spacing w:line="360" w:lineRule="auto"/>
              <w:rPr>
                <w:rFonts w:hint="eastAsia" w:eastAsia="宋体"/>
                <w:sz w:val="24"/>
                <w:lang w:eastAsia="zh-CN"/>
              </w:rPr>
            </w:pPr>
            <w:r>
              <w:rPr>
                <w:rFonts w:hint="eastAsia"/>
                <w:sz w:val="24"/>
              </w:rPr>
              <w:t>附件</w:t>
            </w:r>
            <w:r>
              <w:rPr>
                <w:sz w:val="24"/>
              </w:rPr>
              <w:t>1</w:t>
            </w:r>
            <w:r>
              <w:rPr>
                <w:rFonts w:hint="eastAsia"/>
                <w:sz w:val="24"/>
                <w:lang w:val="en-US" w:eastAsia="zh-CN"/>
              </w:rPr>
              <w:t>备案证</w:t>
            </w:r>
          </w:p>
          <w:p w14:paraId="58C2C101">
            <w:pPr>
              <w:spacing w:line="360" w:lineRule="auto"/>
              <w:rPr>
                <w:rFonts w:hint="eastAsia"/>
                <w:color w:val="000000"/>
                <w:sz w:val="24"/>
                <w:lang w:val="en-US" w:eastAsia="zh-CN"/>
              </w:rPr>
            </w:pPr>
            <w:r>
              <w:rPr>
                <w:rFonts w:hint="eastAsia"/>
                <w:sz w:val="24"/>
              </w:rPr>
              <w:t>附件</w:t>
            </w:r>
            <w:r>
              <w:rPr>
                <w:sz w:val="24"/>
              </w:rPr>
              <w:t>2</w:t>
            </w:r>
            <w:r>
              <w:rPr>
                <w:rFonts w:hint="eastAsia"/>
                <w:color w:val="000000"/>
                <w:sz w:val="24"/>
                <w:lang w:val="en-US" w:eastAsia="zh-CN"/>
              </w:rPr>
              <w:t>土地证</w:t>
            </w:r>
          </w:p>
          <w:p w14:paraId="7747530C">
            <w:pPr>
              <w:spacing w:line="360" w:lineRule="auto"/>
              <w:rPr>
                <w:rFonts w:hint="default"/>
                <w:color w:val="000000"/>
                <w:sz w:val="24"/>
                <w:lang w:val="en-US" w:eastAsia="zh-CN"/>
              </w:rPr>
            </w:pPr>
            <w:r>
              <w:rPr>
                <w:rFonts w:hint="eastAsia"/>
                <w:color w:val="000000"/>
                <w:sz w:val="24"/>
                <w:lang w:val="en-US" w:eastAsia="zh-CN"/>
              </w:rPr>
              <w:t>附件3租赁合同</w:t>
            </w:r>
          </w:p>
          <w:p w14:paraId="6201A633">
            <w:pPr>
              <w:spacing w:line="360" w:lineRule="auto"/>
              <w:rPr>
                <w:rFonts w:hint="eastAsia"/>
                <w:color w:val="000000"/>
                <w:sz w:val="24"/>
              </w:rPr>
            </w:pPr>
            <w:r>
              <w:rPr>
                <w:rFonts w:hint="eastAsia"/>
                <w:color w:val="000000"/>
                <w:sz w:val="24"/>
              </w:rPr>
              <w:t>附件</w:t>
            </w:r>
            <w:r>
              <w:rPr>
                <w:rFonts w:hint="eastAsia"/>
                <w:color w:val="000000"/>
                <w:sz w:val="24"/>
                <w:lang w:val="en-US" w:eastAsia="zh-CN"/>
              </w:rPr>
              <w:t>4</w:t>
            </w:r>
            <w:r>
              <w:rPr>
                <w:rFonts w:hint="eastAsia"/>
                <w:color w:val="000000"/>
                <w:sz w:val="24"/>
              </w:rPr>
              <w:t>城镇污水排入排水管网许可证</w:t>
            </w:r>
          </w:p>
          <w:p w14:paraId="0F84573F">
            <w:pPr>
              <w:spacing w:line="360" w:lineRule="auto"/>
              <w:rPr>
                <w:rFonts w:hint="eastAsia"/>
                <w:color w:val="000000"/>
                <w:sz w:val="24"/>
                <w:lang w:eastAsia="zh-CN"/>
              </w:rPr>
            </w:pPr>
            <w:r>
              <w:rPr>
                <w:rFonts w:hint="eastAsia"/>
                <w:color w:val="000000"/>
                <w:sz w:val="24"/>
              </w:rPr>
              <w:t>附件</w:t>
            </w:r>
            <w:r>
              <w:rPr>
                <w:rFonts w:hint="eastAsia"/>
                <w:color w:val="000000"/>
                <w:sz w:val="24"/>
                <w:lang w:val="en-US" w:eastAsia="zh-CN"/>
              </w:rPr>
              <w:t>5</w:t>
            </w:r>
            <w:r>
              <w:rPr>
                <w:rFonts w:hint="eastAsia"/>
                <w:color w:val="000000"/>
                <w:sz w:val="24"/>
              </w:rPr>
              <w:t>污水处理排放委托及收费协议</w:t>
            </w:r>
            <w:r>
              <w:rPr>
                <w:rFonts w:hint="eastAsia"/>
                <w:color w:val="000000"/>
                <w:sz w:val="24"/>
                <w:lang w:eastAsia="zh-CN"/>
              </w:rPr>
              <w:t>（</w:t>
            </w:r>
            <w:r>
              <w:rPr>
                <w:rFonts w:hint="eastAsia"/>
                <w:color w:val="000000"/>
                <w:sz w:val="24"/>
                <w:lang w:val="en-US" w:eastAsia="zh-CN"/>
              </w:rPr>
              <w:t>喷织废水</w:t>
            </w:r>
            <w:r>
              <w:rPr>
                <w:rFonts w:hint="eastAsia"/>
                <w:color w:val="000000"/>
                <w:sz w:val="24"/>
                <w:lang w:eastAsia="zh-CN"/>
              </w:rPr>
              <w:t>）</w:t>
            </w:r>
          </w:p>
          <w:p w14:paraId="40721061">
            <w:pPr>
              <w:spacing w:line="360" w:lineRule="auto"/>
              <w:rPr>
                <w:rFonts w:hint="eastAsia"/>
                <w:color w:val="000000"/>
                <w:sz w:val="24"/>
              </w:rPr>
            </w:pPr>
            <w:r>
              <w:rPr>
                <w:rFonts w:hint="eastAsia"/>
                <w:color w:val="000000"/>
                <w:sz w:val="24"/>
              </w:rPr>
              <w:t>附件</w:t>
            </w:r>
            <w:r>
              <w:rPr>
                <w:rFonts w:hint="eastAsia"/>
                <w:color w:val="000000"/>
                <w:sz w:val="24"/>
                <w:lang w:val="en-US" w:eastAsia="zh-CN"/>
              </w:rPr>
              <w:t>6</w:t>
            </w:r>
            <w:r>
              <w:rPr>
                <w:rFonts w:hint="eastAsia"/>
                <w:color w:val="000000"/>
                <w:sz w:val="24"/>
              </w:rPr>
              <w:t>建设项目污水环评现场勘查意见书</w:t>
            </w:r>
          </w:p>
          <w:p w14:paraId="6F7B3718">
            <w:pPr>
              <w:spacing w:line="360" w:lineRule="auto"/>
              <w:rPr>
                <w:rFonts w:hint="eastAsia"/>
                <w:color w:val="000000"/>
                <w:sz w:val="24"/>
              </w:rPr>
            </w:pPr>
            <w:r>
              <w:rPr>
                <w:rFonts w:hint="eastAsia"/>
                <w:color w:val="000000"/>
                <w:sz w:val="24"/>
              </w:rPr>
              <w:t>附件</w:t>
            </w:r>
            <w:r>
              <w:rPr>
                <w:rFonts w:hint="eastAsia"/>
                <w:color w:val="000000"/>
                <w:sz w:val="24"/>
                <w:lang w:val="en-US" w:eastAsia="zh-CN"/>
              </w:rPr>
              <w:t>7</w:t>
            </w:r>
            <w:r>
              <w:rPr>
                <w:rFonts w:hint="eastAsia"/>
                <w:color w:val="000000"/>
                <w:sz w:val="24"/>
              </w:rPr>
              <w:t>建设项目环境保护审批现场勘察表</w:t>
            </w:r>
          </w:p>
          <w:p w14:paraId="710A6BF0">
            <w:pPr>
              <w:spacing w:line="360" w:lineRule="auto"/>
              <w:rPr>
                <w:rFonts w:hint="default" w:eastAsia="宋体"/>
                <w:color w:val="000000"/>
                <w:sz w:val="24"/>
                <w:lang w:val="en-US" w:eastAsia="zh-CN"/>
              </w:rPr>
            </w:pPr>
            <w:r>
              <w:rPr>
                <w:rFonts w:hint="eastAsia"/>
                <w:color w:val="000000"/>
                <w:sz w:val="24"/>
                <w:lang w:val="en-US" w:eastAsia="zh-CN"/>
              </w:rPr>
              <w:t>附件8完善行政审批手续申请表</w:t>
            </w:r>
          </w:p>
          <w:p w14:paraId="4C3565F2">
            <w:pPr>
              <w:spacing w:line="360" w:lineRule="auto"/>
              <w:rPr>
                <w:rFonts w:hint="eastAsia"/>
                <w:color w:val="000000"/>
                <w:sz w:val="24"/>
                <w:lang w:val="en-US" w:eastAsia="zh-CN"/>
              </w:rPr>
            </w:pPr>
            <w:r>
              <w:rPr>
                <w:rFonts w:hint="eastAsia"/>
                <w:color w:val="000000"/>
                <w:sz w:val="24"/>
                <w:lang w:val="en-US" w:eastAsia="zh-CN"/>
              </w:rPr>
              <w:t>附件9区政府关于桃源镇总体规划修编的批复</w:t>
            </w:r>
          </w:p>
          <w:p w14:paraId="52A8A9DE">
            <w:pPr>
              <w:spacing w:line="360" w:lineRule="auto"/>
              <w:rPr>
                <w:rFonts w:hint="default" w:eastAsia="宋体"/>
                <w:color w:val="000000"/>
                <w:sz w:val="24"/>
                <w:lang w:val="en-US" w:eastAsia="zh-CN"/>
              </w:rPr>
            </w:pPr>
            <w:r>
              <w:rPr>
                <w:rFonts w:hint="eastAsia"/>
                <w:color w:val="000000"/>
                <w:sz w:val="24"/>
                <w:lang w:val="en-US" w:eastAsia="zh-CN"/>
              </w:rPr>
              <w:t>附件10噪声检测报告</w:t>
            </w:r>
          </w:p>
          <w:p w14:paraId="7AF872E7">
            <w:pPr>
              <w:spacing w:line="360" w:lineRule="auto"/>
              <w:rPr>
                <w:rFonts w:hint="eastAsia"/>
                <w:color w:val="000000"/>
                <w:sz w:val="24"/>
                <w:lang w:val="en-US" w:eastAsia="zh-CN"/>
              </w:rPr>
            </w:pPr>
            <w:r>
              <w:rPr>
                <w:rFonts w:hint="eastAsia"/>
                <w:color w:val="000000"/>
                <w:sz w:val="24"/>
                <w:lang w:val="en-US" w:eastAsia="zh-CN"/>
              </w:rPr>
              <w:t>附件11江苏省生态环境分区管控综合查询报告书</w:t>
            </w:r>
          </w:p>
          <w:p w14:paraId="502BB365">
            <w:pPr>
              <w:spacing w:line="360" w:lineRule="auto"/>
              <w:rPr>
                <w:rFonts w:hint="eastAsia"/>
                <w:color w:val="000000"/>
                <w:sz w:val="24"/>
                <w:lang w:val="en-US" w:eastAsia="zh-CN"/>
              </w:rPr>
            </w:pPr>
            <w:r>
              <w:rPr>
                <w:rFonts w:hint="eastAsia"/>
                <w:color w:val="000000"/>
                <w:sz w:val="24"/>
                <w:lang w:val="en-US" w:eastAsia="zh-CN"/>
              </w:rPr>
              <w:t>附件12技术咨询合同</w:t>
            </w:r>
          </w:p>
          <w:p w14:paraId="760591AB">
            <w:pPr>
              <w:spacing w:line="360" w:lineRule="auto"/>
              <w:rPr>
                <w:rFonts w:hint="default"/>
                <w:color w:val="000000"/>
                <w:sz w:val="24"/>
                <w:lang w:val="en-US" w:eastAsia="zh-CN"/>
              </w:rPr>
            </w:pPr>
            <w:r>
              <w:rPr>
                <w:rFonts w:hint="default"/>
                <w:color w:val="000000"/>
                <w:sz w:val="24"/>
                <w:lang w:val="en-US" w:eastAsia="zh-CN"/>
              </w:rPr>
              <w:t>附件1</w:t>
            </w:r>
            <w:r>
              <w:rPr>
                <w:rFonts w:hint="eastAsia"/>
                <w:color w:val="000000"/>
                <w:sz w:val="24"/>
                <w:lang w:val="en-US" w:eastAsia="zh-CN"/>
              </w:rPr>
              <w:t>3桃源镇喷水织造企业情况说明</w:t>
            </w:r>
          </w:p>
          <w:p w14:paraId="6AA7DA1B">
            <w:pPr>
              <w:spacing w:line="360" w:lineRule="auto"/>
              <w:rPr>
                <w:rFonts w:hint="default" w:eastAsia="宋体"/>
                <w:color w:val="000000"/>
                <w:sz w:val="24"/>
                <w:lang w:val="en-US" w:eastAsia="zh-CN"/>
              </w:rPr>
            </w:pPr>
            <w:r>
              <w:rPr>
                <w:rFonts w:hint="eastAsia"/>
                <w:color w:val="000000"/>
                <w:sz w:val="24"/>
                <w:lang w:val="en-US" w:eastAsia="zh-CN"/>
              </w:rPr>
              <w:t xml:space="preserve">                                                                                     </w:t>
            </w:r>
          </w:p>
          <w:p w14:paraId="478AF21F">
            <w:pPr>
              <w:pStyle w:val="22"/>
              <w:adjustRightInd w:val="0"/>
              <w:snapToGrid w:val="0"/>
              <w:spacing w:before="0" w:beforeAutospacing="0" w:after="0" w:afterAutospacing="0" w:line="360" w:lineRule="auto"/>
              <w:ind w:right="54"/>
              <w:outlineLvl w:val="0"/>
            </w:pPr>
          </w:p>
          <w:p w14:paraId="0A1985C0">
            <w:pPr>
              <w:pStyle w:val="22"/>
              <w:adjustRightInd w:val="0"/>
              <w:snapToGrid w:val="0"/>
              <w:spacing w:before="0" w:beforeAutospacing="0" w:after="0" w:afterAutospacing="0" w:line="360" w:lineRule="auto"/>
              <w:ind w:right="54"/>
              <w:outlineLvl w:val="0"/>
            </w:pPr>
          </w:p>
        </w:tc>
      </w:tr>
    </w:tbl>
    <w:p w14:paraId="6BECCF98">
      <w:pPr>
        <w:pStyle w:val="22"/>
        <w:adjustRightInd w:val="0"/>
        <w:snapToGrid w:val="0"/>
        <w:spacing w:before="0" w:beforeAutospacing="0" w:after="0" w:afterAutospacing="0" w:line="240" w:lineRule="exact"/>
        <w:ind w:right="57"/>
        <w:outlineLvl w:val="9"/>
      </w:pPr>
    </w:p>
    <w:sectPr>
      <w:headerReference r:id="rId7" w:type="even"/>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9284C1B-7FCD-480C-9A1C-0B8886FBC149}"/>
  </w:font>
  <w:font w:name="黑体">
    <w:panose1 w:val="02010609060101010101"/>
    <w:charset w:val="86"/>
    <w:family w:val="auto"/>
    <w:pitch w:val="default"/>
    <w:sig w:usb0="800002BF" w:usb1="38CF7CFA" w:usb2="00000016" w:usb3="00000000" w:csb0="00040001" w:csb1="00000000"/>
    <w:embedRegular r:id="rId2" w:fontKey="{E40F9460-1AE2-43E5-B244-8E64FF312C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F710505-AE7D-42A9-8CA2-D1A346FEC75A}"/>
  </w:font>
  <w:font w:name="楷体_GB2312">
    <w:panose1 w:val="02010609030101010101"/>
    <w:charset w:val="86"/>
    <w:family w:val="auto"/>
    <w:pitch w:val="default"/>
    <w:sig w:usb0="00000001" w:usb1="080E0000" w:usb2="00000000" w:usb3="00000000" w:csb0="00040000" w:csb1="00000000"/>
    <w:embedRegular r:id="rId4" w:fontKey="{04FBE728-1B33-4D7D-952B-A5C9A1D3547D}"/>
  </w:font>
  <w:font w:name="仿宋_GB2312">
    <w:panose1 w:val="02010609030101010101"/>
    <w:charset w:val="86"/>
    <w:family w:val="auto"/>
    <w:pitch w:val="default"/>
    <w:sig w:usb0="00000001" w:usb1="080E0000" w:usb2="00000000" w:usb3="00000000" w:csb0="00040000" w:csb1="00000000"/>
    <w:embedRegular r:id="rId5" w:fontKey="{CF0E28FA-7CAF-4051-A6E1-DEFDDBB3EBE1}"/>
  </w:font>
  <w:font w:name="Arial Unicode MS">
    <w:altName w:val="宋体"/>
    <w:panose1 w:val="020B0604020202020204"/>
    <w:charset w:val="86"/>
    <w:family w:val="auto"/>
    <w:pitch w:val="default"/>
    <w:sig w:usb0="00000000" w:usb1="00000000" w:usb2="0000003F" w:usb3="00000000" w:csb0="603F01FF" w:csb1="FFFF0000"/>
  </w:font>
  <w:font w:name="P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embedRegular r:id="rId6" w:fontKey="{7279A660-4A3D-4425-90D1-DF5D0A06F000}"/>
  </w:font>
  <w:font w:name="等线">
    <w:panose1 w:val="02010600030101010101"/>
    <w:charset w:val="86"/>
    <w:family w:val="auto"/>
    <w:pitch w:val="default"/>
    <w:sig w:usb0="A00002BF" w:usb1="38CF7CFA" w:usb2="00000016" w:usb3="00000000" w:csb0="0004000F" w:csb1="00000000"/>
    <w:embedRegular r:id="rId7" w:fontKey="{C61DA329-9C7D-469C-8F2F-58FDA8894D05}"/>
  </w:font>
  <w:font w:name="方正小标宋_GBK">
    <w:panose1 w:val="02000000000000000000"/>
    <w:charset w:val="86"/>
    <w:family w:val="auto"/>
    <w:pitch w:val="default"/>
    <w:sig w:usb0="A00002BF" w:usb1="38CF7CFA" w:usb2="00082016" w:usb3="00000000" w:csb0="00040001" w:csb1="00000000"/>
    <w:embedRegular r:id="rId8" w:fontKey="{884B84E0-0791-4B4E-BF05-7AF47BC434CC}"/>
  </w:font>
  <w:font w:name="Cambria">
    <w:panose1 w:val="02040503050406030204"/>
    <w:charset w:val="00"/>
    <w:family w:val="auto"/>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embedRegular r:id="rId9" w:fontKey="{5A6082F4-5E68-4D2F-9F25-FD896FDC582E}"/>
  </w:font>
  <w:font w:name="Wingdings 2">
    <w:panose1 w:val="05020102010507070707"/>
    <w:charset w:val="02"/>
    <w:family w:val="auto"/>
    <w:pitch w:val="default"/>
    <w:sig w:usb0="00000000" w:usb1="00000000" w:usb2="00000000" w:usb3="00000000" w:csb0="80000000" w:csb1="00000000"/>
    <w:embedRegular r:id="rId10" w:fontKey="{E5AF3411-961C-478F-8AAC-04193B42CF66}"/>
  </w:font>
  <w:font w:name="宋?">
    <w:altName w:val="宋体"/>
    <w:panose1 w:val="00000000000000000000"/>
    <w:charset w:val="81"/>
    <w:family w:val="auto"/>
    <w:pitch w:val="default"/>
    <w:sig w:usb0="00000000" w:usb1="00000000" w:usb2="00000010" w:usb3="00000000" w:csb0="00080000" w:csb1="00000000"/>
    <w:embedRegular r:id="rId11" w:fontKey="{39D70637-9F60-4230-BA9D-00D3F584BC93}"/>
  </w:font>
  <w:font w:name="TimesNewRomanPSMT">
    <w:altName w:val="MS Gothic"/>
    <w:panose1 w:val="00000000000000000000"/>
    <w:charset w:val="80"/>
    <w:family w:val="auto"/>
    <w:pitch w:val="default"/>
    <w:sig w:usb0="00000000" w:usb1="00000000" w:usb2="00000010" w:usb3="00000000" w:csb0="00020000" w:csb1="00000000"/>
    <w:embedRegular r:id="rId12" w:fontKey="{A2BE894B-B391-4B4A-8661-752C0A5BDC35}"/>
  </w:font>
  <w:font w:name="MS Gothic">
    <w:panose1 w:val="020B0609070205080204"/>
    <w:charset w:val="80"/>
    <w:family w:val="auto"/>
    <w:pitch w:val="default"/>
    <w:sig w:usb0="E00002FF" w:usb1="6AC7FDFB" w:usb2="08000012" w:usb3="00000000" w:csb0="4002009F" w:csb1="DFD70000"/>
  </w:font>
  <w:font w:name="Cambria Math">
    <w:panose1 w:val="02040503050406030204"/>
    <w:charset w:val="00"/>
    <w:family w:val="auto"/>
    <w:pitch w:val="default"/>
    <w:sig w:usb0="E00006FF" w:usb1="420024FF" w:usb2="02000000" w:usb3="00000000" w:csb0="2000019F" w:csb1="00000000"/>
    <w:embedRegular r:id="rId13" w:fontKey="{B106F512-084F-4408-81F7-DFF8A6FB3598}"/>
  </w:font>
  <w:font w:name="Arial Black">
    <w:panose1 w:val="020B0A04020102020204"/>
    <w:charset w:val="00"/>
    <w:family w:val="swiss"/>
    <w:pitch w:val="default"/>
    <w:sig w:usb0="A00002AF" w:usb1="400078FB" w:usb2="00000000" w:usb3="00000000" w:csb0="6000009F" w:csb1="DFD70000"/>
    <w:embedRegular r:id="rId14" w:fontKey="{7A026773-93F8-4E2B-8D82-20AB93F2C75A}"/>
  </w:font>
  <w:font w:name="WPSEMBED4">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EA596">
    <w:pPr>
      <w:pStyle w:val="1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5623C">
    <w:pPr>
      <w:pStyle w:val="17"/>
      <w:framePr w:wrap="around" w:vAnchor="text" w:hAnchor="margin" w:xAlign="center" w:y="1"/>
      <w:rPr>
        <w:rStyle w:val="30"/>
      </w:rPr>
    </w:pPr>
    <w:r>
      <w:fldChar w:fldCharType="begin"/>
    </w:r>
    <w:r>
      <w:rPr>
        <w:rStyle w:val="30"/>
      </w:rPr>
      <w:instrText xml:space="preserve">PAGE  </w:instrText>
    </w:r>
    <w:r>
      <w:fldChar w:fldCharType="separate"/>
    </w:r>
    <w:r>
      <w:fldChar w:fldCharType="end"/>
    </w:r>
  </w:p>
  <w:p w14:paraId="4AF6D916">
    <w:pPr>
      <w:pStyle w:val="1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03AA0">
    <w:pPr>
      <w:pStyle w:val="17"/>
      <w:framePr w:wrap="around" w:vAnchor="text" w:hAnchor="page" w:x="5261" w:y="-372"/>
      <w:jc w:val="center"/>
      <w:rPr>
        <w:rStyle w:val="30"/>
        <w:sz w:val="28"/>
        <w:szCs w:val="28"/>
      </w:rPr>
    </w:pPr>
    <w:r>
      <w:rPr>
        <w:rStyle w:val="30"/>
        <w:sz w:val="28"/>
        <w:szCs w:val="28"/>
      </w:rPr>
      <w:t>—</w:t>
    </w:r>
    <w:r>
      <w:rPr>
        <w:rStyle w:val="30"/>
        <w:sz w:val="21"/>
        <w:szCs w:val="21"/>
      </w:rPr>
      <w:t xml:space="preserve">  </w:t>
    </w:r>
    <w:r>
      <w:rPr>
        <w:sz w:val="21"/>
        <w:szCs w:val="21"/>
      </w:rPr>
      <w:fldChar w:fldCharType="begin"/>
    </w:r>
    <w:r>
      <w:rPr>
        <w:rStyle w:val="30"/>
        <w:sz w:val="21"/>
        <w:szCs w:val="21"/>
      </w:rPr>
      <w:instrText xml:space="preserve">PAGE  </w:instrText>
    </w:r>
    <w:r>
      <w:rPr>
        <w:sz w:val="21"/>
        <w:szCs w:val="21"/>
      </w:rPr>
      <w:fldChar w:fldCharType="separate"/>
    </w:r>
    <w:r>
      <w:rPr>
        <w:rStyle w:val="30"/>
        <w:sz w:val="21"/>
        <w:szCs w:val="21"/>
      </w:rPr>
      <w:t>20</w:t>
    </w:r>
    <w:r>
      <w:rPr>
        <w:sz w:val="21"/>
        <w:szCs w:val="21"/>
      </w:rPr>
      <w:fldChar w:fldCharType="end"/>
    </w:r>
    <w:r>
      <w:rPr>
        <w:rStyle w:val="30"/>
        <w:sz w:val="21"/>
        <w:szCs w:val="21"/>
      </w:rPr>
      <w:t xml:space="preserve">  </w:t>
    </w:r>
    <w:r>
      <w:rPr>
        <w:rStyle w:val="30"/>
        <w:sz w:val="28"/>
        <w:szCs w:val="28"/>
      </w:rPr>
      <w:t>—</w:t>
    </w:r>
  </w:p>
  <w:p w14:paraId="48E23330">
    <w:pPr>
      <w:pStyle w:val="17"/>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78E90">
    <w:pPr>
      <w:pStyle w:val="17"/>
      <w:framePr w:wrap="around" w:vAnchor="text" w:hAnchor="margin" w:xAlign="center" w:y="1"/>
      <w:rPr>
        <w:rStyle w:val="30"/>
        <w:rFonts w:ascii="宋体"/>
        <w:sz w:val="28"/>
        <w:szCs w:val="28"/>
      </w:rPr>
    </w:pPr>
    <w:r>
      <w:rPr>
        <w:rStyle w:val="30"/>
        <w:rFonts w:ascii="宋体" w:hAnsi="宋体"/>
        <w:sz w:val="28"/>
        <w:szCs w:val="28"/>
      </w:rPr>
      <w:t>—</w:t>
    </w:r>
    <w:r>
      <w:rPr>
        <w:rStyle w:val="30"/>
        <w:rFonts w:ascii="宋体" w:hAnsi="宋体"/>
        <w:sz w:val="20"/>
      </w:rPr>
      <w:t xml:space="preserve">  </w:t>
    </w:r>
    <w:r>
      <w:rPr>
        <w:sz w:val="21"/>
        <w:szCs w:val="21"/>
      </w:rPr>
      <w:fldChar w:fldCharType="begin"/>
    </w:r>
    <w:r>
      <w:rPr>
        <w:rStyle w:val="30"/>
        <w:sz w:val="21"/>
        <w:szCs w:val="21"/>
      </w:rPr>
      <w:instrText xml:space="preserve">PAGE  </w:instrText>
    </w:r>
    <w:r>
      <w:rPr>
        <w:sz w:val="21"/>
        <w:szCs w:val="21"/>
      </w:rPr>
      <w:fldChar w:fldCharType="separate"/>
    </w:r>
    <w:r>
      <w:rPr>
        <w:rStyle w:val="30"/>
        <w:sz w:val="21"/>
        <w:szCs w:val="21"/>
      </w:rPr>
      <w:t>55</w:t>
    </w:r>
    <w:r>
      <w:rPr>
        <w:sz w:val="21"/>
        <w:szCs w:val="21"/>
      </w:rPr>
      <w:fldChar w:fldCharType="end"/>
    </w:r>
    <w:r>
      <w:rPr>
        <w:rStyle w:val="30"/>
        <w:sz w:val="21"/>
        <w:szCs w:val="21"/>
      </w:rPr>
      <w:t xml:space="preserve">  </w:t>
    </w:r>
    <w:r>
      <w:rPr>
        <w:rStyle w:val="30"/>
        <w:rFonts w:ascii="宋体" w:hAnsi="宋体"/>
        <w:sz w:val="28"/>
        <w:szCs w:val="28"/>
      </w:rPr>
      <w:t>—</w:t>
    </w:r>
  </w:p>
  <w:p w14:paraId="2AA9FB0C">
    <w:pPr>
      <w:pStyle w:val="17"/>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AC9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710A48"/>
    <w:multiLevelType w:val="singleLevel"/>
    <w:tmpl w:val="C1710A48"/>
    <w:lvl w:ilvl="0" w:tentative="0">
      <w:start w:val="4"/>
      <w:numFmt w:val="decimal"/>
      <w:suff w:val="nothing"/>
      <w:lvlText w:val="%1、"/>
      <w:lvlJc w:val="left"/>
      <w:rPr>
        <w:rFonts w:cs="Times New Roman"/>
      </w:rPr>
    </w:lvl>
  </w:abstractNum>
  <w:abstractNum w:abstractNumId="1">
    <w:nsid w:val="E5072731"/>
    <w:multiLevelType w:val="singleLevel"/>
    <w:tmpl w:val="E5072731"/>
    <w:lvl w:ilvl="0" w:tentative="0">
      <w:start w:val="2"/>
      <w:numFmt w:val="decimal"/>
      <w:suff w:val="nothing"/>
      <w:lvlText w:val="（%1）"/>
      <w:lvlJc w:val="left"/>
    </w:lvl>
  </w:abstractNum>
  <w:abstractNum w:abstractNumId="2">
    <w:nsid w:val="06524281"/>
    <w:multiLevelType w:val="singleLevel"/>
    <w:tmpl w:val="06524281"/>
    <w:lvl w:ilvl="0" w:tentative="0">
      <w:start w:val="1"/>
      <w:numFmt w:val="decimal"/>
      <w:suff w:val="nothing"/>
      <w:lvlText w:val="%1、"/>
      <w:lvlJc w:val="left"/>
    </w:lvl>
  </w:abstractNum>
  <w:abstractNum w:abstractNumId="3">
    <w:nsid w:val="2B6CBAA8"/>
    <w:multiLevelType w:val="singleLevel"/>
    <w:tmpl w:val="2B6CBAA8"/>
    <w:lvl w:ilvl="0" w:tentative="0">
      <w:start w:val="1"/>
      <w:numFmt w:val="bullet"/>
      <w:pStyle w:val="13"/>
      <w:lvlText w:val=""/>
      <w:lvlJc w:val="left"/>
      <w:pPr>
        <w:tabs>
          <w:tab w:val="left" w:pos="2040"/>
        </w:tabs>
        <w:ind w:left="2040" w:hanging="360"/>
      </w:pPr>
      <w:rPr>
        <w:rFonts w:hint="default" w:ascii="Wingdings" w:hAnsi="Wingdings"/>
      </w:rPr>
    </w:lvl>
  </w:abstractNum>
  <w:abstractNum w:abstractNumId="4">
    <w:nsid w:val="70A83033"/>
    <w:multiLevelType w:val="multilevel"/>
    <w:tmpl w:val="70A83033"/>
    <w:lvl w:ilvl="0" w:tentative="0">
      <w:start w:val="1"/>
      <w:numFmt w:val="decimal"/>
      <w:lvlText w:val="%1."/>
      <w:lvlJc w:val="left"/>
      <w:pPr>
        <w:tabs>
          <w:tab w:val="left" w:pos="300"/>
        </w:tabs>
        <w:ind w:left="300" w:hanging="300"/>
      </w:pPr>
      <w:rPr>
        <w:rFonts w:hint="default" w:cs="Times New Roman"/>
        <w:b/>
      </w:rPr>
    </w:lvl>
    <w:lvl w:ilvl="1" w:tentative="0">
      <w:start w:val="1"/>
      <w:numFmt w:val="decimal"/>
      <w:isLgl/>
      <w:lvlText w:val="%1.%2"/>
      <w:lvlJc w:val="left"/>
      <w:pPr>
        <w:tabs>
          <w:tab w:val="left" w:pos="720"/>
        </w:tabs>
        <w:ind w:left="720" w:hanging="720"/>
      </w:pPr>
      <w:rPr>
        <w:rFonts w:hint="default" w:cs="Times New Roman"/>
        <w:b/>
      </w:rPr>
    </w:lvl>
    <w:lvl w:ilvl="2" w:tentative="0">
      <w:start w:val="1"/>
      <w:numFmt w:val="decimal"/>
      <w:isLgl/>
      <w:lvlText w:val="%1.%2.%3"/>
      <w:lvlJc w:val="left"/>
      <w:pPr>
        <w:tabs>
          <w:tab w:val="left" w:pos="4406"/>
        </w:tabs>
        <w:ind w:left="4406" w:hanging="720"/>
      </w:pPr>
      <w:rPr>
        <w:rFonts w:hint="default" w:cs="Times New Roman"/>
        <w:b/>
      </w:rPr>
    </w:lvl>
    <w:lvl w:ilvl="3" w:tentative="0">
      <w:start w:val="1"/>
      <w:numFmt w:val="decimal"/>
      <w:pStyle w:val="65"/>
      <w:isLgl/>
      <w:lvlText w:val="%1.%2.%3.%4"/>
      <w:lvlJc w:val="left"/>
      <w:pPr>
        <w:tabs>
          <w:tab w:val="left" w:pos="1080"/>
        </w:tabs>
        <w:ind w:left="1080" w:hanging="1080"/>
      </w:pPr>
      <w:rPr>
        <w:rFonts w:hint="default" w:cs="Times New Roman"/>
        <w:b/>
      </w:rPr>
    </w:lvl>
    <w:lvl w:ilvl="4" w:tentative="0">
      <w:start w:val="1"/>
      <w:numFmt w:val="decimal"/>
      <w:isLgl/>
      <w:lvlText w:val="%1.%2.%3.%4.%5"/>
      <w:lvlJc w:val="left"/>
      <w:pPr>
        <w:tabs>
          <w:tab w:val="left" w:pos="1440"/>
        </w:tabs>
        <w:ind w:left="1440" w:hanging="1440"/>
      </w:pPr>
      <w:rPr>
        <w:rFonts w:hint="default" w:cs="Times New Roman"/>
        <w:b/>
      </w:rPr>
    </w:lvl>
    <w:lvl w:ilvl="5" w:tentative="0">
      <w:start w:val="1"/>
      <w:numFmt w:val="decimal"/>
      <w:isLgl/>
      <w:lvlText w:val="%1.%2.%3.%4.%5.%6"/>
      <w:lvlJc w:val="left"/>
      <w:pPr>
        <w:tabs>
          <w:tab w:val="left" w:pos="1800"/>
        </w:tabs>
        <w:ind w:left="1800" w:hanging="1800"/>
      </w:pPr>
      <w:rPr>
        <w:rFonts w:hint="default" w:cs="Times New Roman"/>
        <w:b/>
      </w:rPr>
    </w:lvl>
    <w:lvl w:ilvl="6" w:tentative="0">
      <w:start w:val="1"/>
      <w:numFmt w:val="decimal"/>
      <w:isLgl/>
      <w:lvlText w:val="%1.%2.%3.%4.%5.%6.%7"/>
      <w:lvlJc w:val="left"/>
      <w:pPr>
        <w:tabs>
          <w:tab w:val="left" w:pos="2160"/>
        </w:tabs>
        <w:ind w:left="2160" w:hanging="2160"/>
      </w:pPr>
      <w:rPr>
        <w:rFonts w:hint="default" w:cs="Times New Roman"/>
        <w:b/>
      </w:rPr>
    </w:lvl>
    <w:lvl w:ilvl="7" w:tentative="0">
      <w:start w:val="1"/>
      <w:numFmt w:val="decimal"/>
      <w:isLgl/>
      <w:lvlText w:val="%1.%2.%3.%4.%5.%6.%7.%8"/>
      <w:lvlJc w:val="left"/>
      <w:pPr>
        <w:tabs>
          <w:tab w:val="left" w:pos="2160"/>
        </w:tabs>
        <w:ind w:left="2160" w:hanging="2160"/>
      </w:pPr>
      <w:rPr>
        <w:rFonts w:hint="default" w:cs="Times New Roman"/>
        <w:b/>
      </w:rPr>
    </w:lvl>
    <w:lvl w:ilvl="8" w:tentative="0">
      <w:start w:val="1"/>
      <w:numFmt w:val="decimal"/>
      <w:isLgl/>
      <w:lvlText w:val="%1.%2.%3.%4.%5.%6.%7.%8.%9"/>
      <w:lvlJc w:val="left"/>
      <w:pPr>
        <w:tabs>
          <w:tab w:val="left" w:pos="2520"/>
        </w:tabs>
        <w:ind w:left="2520" w:hanging="2520"/>
      </w:pPr>
      <w:rPr>
        <w:rFonts w:hint="default" w:cs="Times New Roman"/>
        <w:b/>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wOTdmYzA5NWMwODkxNzBjNDZhZDQ3OWZjMTc5MGEifQ=="/>
    <w:docVar w:name="KSO_WPS_MARK_KEY" w:val="2f6faf6e-17bb-437b-9157-3628d37f6b20"/>
  </w:docVars>
  <w:rsids>
    <w:rsidRoot w:val="00172A27"/>
    <w:rsid w:val="001766ED"/>
    <w:rsid w:val="0018099E"/>
    <w:rsid w:val="00205814"/>
    <w:rsid w:val="00244A7A"/>
    <w:rsid w:val="00281FA8"/>
    <w:rsid w:val="00305CE7"/>
    <w:rsid w:val="003D1C62"/>
    <w:rsid w:val="00482420"/>
    <w:rsid w:val="00496DA9"/>
    <w:rsid w:val="00542A63"/>
    <w:rsid w:val="005574FC"/>
    <w:rsid w:val="005E0AA6"/>
    <w:rsid w:val="007E79DC"/>
    <w:rsid w:val="0091440B"/>
    <w:rsid w:val="00AD558A"/>
    <w:rsid w:val="00B0507A"/>
    <w:rsid w:val="00B840C6"/>
    <w:rsid w:val="00D26917"/>
    <w:rsid w:val="00DE2903"/>
    <w:rsid w:val="00F83533"/>
    <w:rsid w:val="00FF5D04"/>
    <w:rsid w:val="01054DCD"/>
    <w:rsid w:val="010B2E65"/>
    <w:rsid w:val="01243C35"/>
    <w:rsid w:val="01353907"/>
    <w:rsid w:val="013E54DE"/>
    <w:rsid w:val="0150037C"/>
    <w:rsid w:val="016025FC"/>
    <w:rsid w:val="0166457E"/>
    <w:rsid w:val="0172145C"/>
    <w:rsid w:val="017D4F5C"/>
    <w:rsid w:val="01845684"/>
    <w:rsid w:val="018C519F"/>
    <w:rsid w:val="0196171D"/>
    <w:rsid w:val="01971B90"/>
    <w:rsid w:val="01997563"/>
    <w:rsid w:val="019E4D88"/>
    <w:rsid w:val="01BD35AB"/>
    <w:rsid w:val="01C506B1"/>
    <w:rsid w:val="01C810B9"/>
    <w:rsid w:val="01CE61B8"/>
    <w:rsid w:val="01D03B06"/>
    <w:rsid w:val="01D16067"/>
    <w:rsid w:val="01D62C0E"/>
    <w:rsid w:val="01EA5991"/>
    <w:rsid w:val="01EA5B99"/>
    <w:rsid w:val="01FB2325"/>
    <w:rsid w:val="020923AA"/>
    <w:rsid w:val="020E2058"/>
    <w:rsid w:val="020E6AD8"/>
    <w:rsid w:val="021120DD"/>
    <w:rsid w:val="021B6523"/>
    <w:rsid w:val="02235B0E"/>
    <w:rsid w:val="022831DB"/>
    <w:rsid w:val="023000CF"/>
    <w:rsid w:val="02301FCF"/>
    <w:rsid w:val="023A2E4D"/>
    <w:rsid w:val="026176B4"/>
    <w:rsid w:val="02693733"/>
    <w:rsid w:val="026D327B"/>
    <w:rsid w:val="02713E77"/>
    <w:rsid w:val="027456AC"/>
    <w:rsid w:val="02874388"/>
    <w:rsid w:val="02880C6E"/>
    <w:rsid w:val="02A0574B"/>
    <w:rsid w:val="02AF7852"/>
    <w:rsid w:val="02B17DEA"/>
    <w:rsid w:val="02B24CD3"/>
    <w:rsid w:val="02B640B5"/>
    <w:rsid w:val="02C10646"/>
    <w:rsid w:val="02D45932"/>
    <w:rsid w:val="02E22E6D"/>
    <w:rsid w:val="02EC2B7D"/>
    <w:rsid w:val="03293B44"/>
    <w:rsid w:val="033332A6"/>
    <w:rsid w:val="03386F9E"/>
    <w:rsid w:val="03461BE6"/>
    <w:rsid w:val="03493020"/>
    <w:rsid w:val="035F40DD"/>
    <w:rsid w:val="036439CE"/>
    <w:rsid w:val="03757E97"/>
    <w:rsid w:val="037F221D"/>
    <w:rsid w:val="038B0753"/>
    <w:rsid w:val="038D51FF"/>
    <w:rsid w:val="038F3245"/>
    <w:rsid w:val="03912F41"/>
    <w:rsid w:val="03941436"/>
    <w:rsid w:val="03A52548"/>
    <w:rsid w:val="03C50E3C"/>
    <w:rsid w:val="03C638F5"/>
    <w:rsid w:val="03E00877"/>
    <w:rsid w:val="03E47515"/>
    <w:rsid w:val="03FD515B"/>
    <w:rsid w:val="03FE4FA5"/>
    <w:rsid w:val="04021749"/>
    <w:rsid w:val="04085E3C"/>
    <w:rsid w:val="040D6D41"/>
    <w:rsid w:val="041078B8"/>
    <w:rsid w:val="04181D4D"/>
    <w:rsid w:val="041A7C13"/>
    <w:rsid w:val="043B1B46"/>
    <w:rsid w:val="043F081A"/>
    <w:rsid w:val="044F0706"/>
    <w:rsid w:val="04581CB1"/>
    <w:rsid w:val="04595087"/>
    <w:rsid w:val="046449A2"/>
    <w:rsid w:val="04653F60"/>
    <w:rsid w:val="04661837"/>
    <w:rsid w:val="04753301"/>
    <w:rsid w:val="04837E20"/>
    <w:rsid w:val="048F1A9B"/>
    <w:rsid w:val="04950238"/>
    <w:rsid w:val="04A40A52"/>
    <w:rsid w:val="04B25135"/>
    <w:rsid w:val="04B54A0D"/>
    <w:rsid w:val="04B87362"/>
    <w:rsid w:val="04C425F6"/>
    <w:rsid w:val="04D01847"/>
    <w:rsid w:val="04E172B4"/>
    <w:rsid w:val="04E5429E"/>
    <w:rsid w:val="04E63509"/>
    <w:rsid w:val="04E70360"/>
    <w:rsid w:val="04E85F2E"/>
    <w:rsid w:val="0500658B"/>
    <w:rsid w:val="05080FE1"/>
    <w:rsid w:val="050B0AD1"/>
    <w:rsid w:val="051216E7"/>
    <w:rsid w:val="051536FE"/>
    <w:rsid w:val="0520485B"/>
    <w:rsid w:val="053D4E1B"/>
    <w:rsid w:val="054364BD"/>
    <w:rsid w:val="05492A89"/>
    <w:rsid w:val="0552412D"/>
    <w:rsid w:val="055A5762"/>
    <w:rsid w:val="056647DF"/>
    <w:rsid w:val="05695BD3"/>
    <w:rsid w:val="05790131"/>
    <w:rsid w:val="0596630B"/>
    <w:rsid w:val="05A25054"/>
    <w:rsid w:val="05A47918"/>
    <w:rsid w:val="05B60A3D"/>
    <w:rsid w:val="05B82AAB"/>
    <w:rsid w:val="05D6061E"/>
    <w:rsid w:val="05E1122E"/>
    <w:rsid w:val="0603173B"/>
    <w:rsid w:val="06116039"/>
    <w:rsid w:val="06252291"/>
    <w:rsid w:val="065778B1"/>
    <w:rsid w:val="065A703E"/>
    <w:rsid w:val="06707C73"/>
    <w:rsid w:val="06990B1C"/>
    <w:rsid w:val="06A0637A"/>
    <w:rsid w:val="06A27213"/>
    <w:rsid w:val="06A320C0"/>
    <w:rsid w:val="06A82D00"/>
    <w:rsid w:val="06AE7966"/>
    <w:rsid w:val="06B30158"/>
    <w:rsid w:val="06CF61F5"/>
    <w:rsid w:val="06D265D8"/>
    <w:rsid w:val="06D575E9"/>
    <w:rsid w:val="06D7510F"/>
    <w:rsid w:val="06E329C6"/>
    <w:rsid w:val="06EA4C3B"/>
    <w:rsid w:val="06FF2B5E"/>
    <w:rsid w:val="071874D5"/>
    <w:rsid w:val="071A1FC6"/>
    <w:rsid w:val="071C0D73"/>
    <w:rsid w:val="071C19C6"/>
    <w:rsid w:val="07292EE8"/>
    <w:rsid w:val="072A2BB3"/>
    <w:rsid w:val="073A1E93"/>
    <w:rsid w:val="073B10E6"/>
    <w:rsid w:val="074A1D85"/>
    <w:rsid w:val="07577003"/>
    <w:rsid w:val="07636030"/>
    <w:rsid w:val="076775B0"/>
    <w:rsid w:val="076A5F83"/>
    <w:rsid w:val="07705CC0"/>
    <w:rsid w:val="0776344D"/>
    <w:rsid w:val="07796987"/>
    <w:rsid w:val="077C7F6A"/>
    <w:rsid w:val="07846919"/>
    <w:rsid w:val="079C7D7D"/>
    <w:rsid w:val="07A170D4"/>
    <w:rsid w:val="07BE5732"/>
    <w:rsid w:val="07CC0430"/>
    <w:rsid w:val="07CC1DB5"/>
    <w:rsid w:val="07F12200"/>
    <w:rsid w:val="07F86735"/>
    <w:rsid w:val="07F9658E"/>
    <w:rsid w:val="07FD6DF7"/>
    <w:rsid w:val="07FE25A7"/>
    <w:rsid w:val="080261BB"/>
    <w:rsid w:val="080C528C"/>
    <w:rsid w:val="081128A2"/>
    <w:rsid w:val="08187EB9"/>
    <w:rsid w:val="082F13E8"/>
    <w:rsid w:val="08320C02"/>
    <w:rsid w:val="08320F44"/>
    <w:rsid w:val="0833080F"/>
    <w:rsid w:val="084762C4"/>
    <w:rsid w:val="084A5DB4"/>
    <w:rsid w:val="08594552"/>
    <w:rsid w:val="0866523C"/>
    <w:rsid w:val="086826A5"/>
    <w:rsid w:val="086D0FF4"/>
    <w:rsid w:val="086E53D7"/>
    <w:rsid w:val="088A64CF"/>
    <w:rsid w:val="089216D5"/>
    <w:rsid w:val="08A92ADB"/>
    <w:rsid w:val="08BD11E5"/>
    <w:rsid w:val="08C031CE"/>
    <w:rsid w:val="08CE0793"/>
    <w:rsid w:val="08DB6CDD"/>
    <w:rsid w:val="08E523C9"/>
    <w:rsid w:val="090728DE"/>
    <w:rsid w:val="09090913"/>
    <w:rsid w:val="090D27AF"/>
    <w:rsid w:val="091A3B11"/>
    <w:rsid w:val="09230190"/>
    <w:rsid w:val="093E42A0"/>
    <w:rsid w:val="094E3682"/>
    <w:rsid w:val="096D3B08"/>
    <w:rsid w:val="09722434"/>
    <w:rsid w:val="0992356F"/>
    <w:rsid w:val="09A514F4"/>
    <w:rsid w:val="09AD771A"/>
    <w:rsid w:val="09B5698F"/>
    <w:rsid w:val="09B74667"/>
    <w:rsid w:val="09CB6FCF"/>
    <w:rsid w:val="09D87224"/>
    <w:rsid w:val="09DA5642"/>
    <w:rsid w:val="09DF25C2"/>
    <w:rsid w:val="09EC6FD7"/>
    <w:rsid w:val="09F1610B"/>
    <w:rsid w:val="09FD2492"/>
    <w:rsid w:val="09FD66D9"/>
    <w:rsid w:val="0A08663A"/>
    <w:rsid w:val="0A1265BB"/>
    <w:rsid w:val="0A1341F3"/>
    <w:rsid w:val="0A1827EB"/>
    <w:rsid w:val="0A1B2EC8"/>
    <w:rsid w:val="0A235758"/>
    <w:rsid w:val="0A256BFA"/>
    <w:rsid w:val="0A4756F2"/>
    <w:rsid w:val="0A481E7F"/>
    <w:rsid w:val="0A4C7A07"/>
    <w:rsid w:val="0A693642"/>
    <w:rsid w:val="0A71756C"/>
    <w:rsid w:val="0A8607B2"/>
    <w:rsid w:val="0A87784F"/>
    <w:rsid w:val="0A943317"/>
    <w:rsid w:val="0AA413E9"/>
    <w:rsid w:val="0AAB7716"/>
    <w:rsid w:val="0AB26AC6"/>
    <w:rsid w:val="0AB51320"/>
    <w:rsid w:val="0ABE2142"/>
    <w:rsid w:val="0AD35565"/>
    <w:rsid w:val="0AF10769"/>
    <w:rsid w:val="0B072C11"/>
    <w:rsid w:val="0B1A752A"/>
    <w:rsid w:val="0B1B6555"/>
    <w:rsid w:val="0B2D3352"/>
    <w:rsid w:val="0B2E376B"/>
    <w:rsid w:val="0B367E19"/>
    <w:rsid w:val="0B3B3792"/>
    <w:rsid w:val="0B413740"/>
    <w:rsid w:val="0B5430F1"/>
    <w:rsid w:val="0B786E60"/>
    <w:rsid w:val="0B8769D7"/>
    <w:rsid w:val="0B8912F8"/>
    <w:rsid w:val="0B957346"/>
    <w:rsid w:val="0B971310"/>
    <w:rsid w:val="0BB840E9"/>
    <w:rsid w:val="0BB865F1"/>
    <w:rsid w:val="0BC030EF"/>
    <w:rsid w:val="0BD92769"/>
    <w:rsid w:val="0BDD3955"/>
    <w:rsid w:val="0BE37CA1"/>
    <w:rsid w:val="0BF56037"/>
    <w:rsid w:val="0BFA0E17"/>
    <w:rsid w:val="0C014E95"/>
    <w:rsid w:val="0C03126A"/>
    <w:rsid w:val="0C0369A6"/>
    <w:rsid w:val="0C072C79"/>
    <w:rsid w:val="0C304E24"/>
    <w:rsid w:val="0C4048EE"/>
    <w:rsid w:val="0C4C4CEB"/>
    <w:rsid w:val="0C6F3B75"/>
    <w:rsid w:val="0C6F7B97"/>
    <w:rsid w:val="0C715722"/>
    <w:rsid w:val="0C727688"/>
    <w:rsid w:val="0C970E9C"/>
    <w:rsid w:val="0C985340"/>
    <w:rsid w:val="0C9D0BCF"/>
    <w:rsid w:val="0C9F5E37"/>
    <w:rsid w:val="0CA35D73"/>
    <w:rsid w:val="0CBC3AA6"/>
    <w:rsid w:val="0CC22BD4"/>
    <w:rsid w:val="0CC25AAE"/>
    <w:rsid w:val="0CD914B5"/>
    <w:rsid w:val="0CE9456C"/>
    <w:rsid w:val="0CEA36C2"/>
    <w:rsid w:val="0CF21543"/>
    <w:rsid w:val="0CF24ECF"/>
    <w:rsid w:val="0CFB148C"/>
    <w:rsid w:val="0D056F2A"/>
    <w:rsid w:val="0D175DE3"/>
    <w:rsid w:val="0D2515DE"/>
    <w:rsid w:val="0D295F98"/>
    <w:rsid w:val="0D2C5A88"/>
    <w:rsid w:val="0D3678D6"/>
    <w:rsid w:val="0D3B691F"/>
    <w:rsid w:val="0D3D766C"/>
    <w:rsid w:val="0D433F72"/>
    <w:rsid w:val="0D434F46"/>
    <w:rsid w:val="0D4A7260"/>
    <w:rsid w:val="0D4F0832"/>
    <w:rsid w:val="0D5C45C0"/>
    <w:rsid w:val="0D643A32"/>
    <w:rsid w:val="0D756147"/>
    <w:rsid w:val="0D976E5A"/>
    <w:rsid w:val="0D9B7B45"/>
    <w:rsid w:val="0DA6583B"/>
    <w:rsid w:val="0DA77262"/>
    <w:rsid w:val="0DA815B3"/>
    <w:rsid w:val="0DB15833"/>
    <w:rsid w:val="0DB461AA"/>
    <w:rsid w:val="0DCF7A68"/>
    <w:rsid w:val="0DD26630"/>
    <w:rsid w:val="0DE279E8"/>
    <w:rsid w:val="0DEE323A"/>
    <w:rsid w:val="0DEF2DBD"/>
    <w:rsid w:val="0DFE4EC3"/>
    <w:rsid w:val="0DFF4117"/>
    <w:rsid w:val="0E0524D4"/>
    <w:rsid w:val="0E0B7D94"/>
    <w:rsid w:val="0E0E108A"/>
    <w:rsid w:val="0E10726F"/>
    <w:rsid w:val="0E141CA7"/>
    <w:rsid w:val="0E1E5391"/>
    <w:rsid w:val="0E264BEA"/>
    <w:rsid w:val="0E345A4C"/>
    <w:rsid w:val="0E3D0C75"/>
    <w:rsid w:val="0E3D193D"/>
    <w:rsid w:val="0E451D7C"/>
    <w:rsid w:val="0E6F3EAD"/>
    <w:rsid w:val="0E722040"/>
    <w:rsid w:val="0E776173"/>
    <w:rsid w:val="0E8A2A67"/>
    <w:rsid w:val="0E905A81"/>
    <w:rsid w:val="0EA0784E"/>
    <w:rsid w:val="0EB40C93"/>
    <w:rsid w:val="0EBD2E3C"/>
    <w:rsid w:val="0EC51CF1"/>
    <w:rsid w:val="0ECE5049"/>
    <w:rsid w:val="0ED42C39"/>
    <w:rsid w:val="0EDB64FD"/>
    <w:rsid w:val="0EE84BEE"/>
    <w:rsid w:val="0EE91E83"/>
    <w:rsid w:val="0EF11E12"/>
    <w:rsid w:val="0EF92D78"/>
    <w:rsid w:val="0F19203C"/>
    <w:rsid w:val="0F1C3AFD"/>
    <w:rsid w:val="0F303B5A"/>
    <w:rsid w:val="0F4B10DD"/>
    <w:rsid w:val="0F4E3FAD"/>
    <w:rsid w:val="0F5744A3"/>
    <w:rsid w:val="0F691DA6"/>
    <w:rsid w:val="0F6E2388"/>
    <w:rsid w:val="0F77606B"/>
    <w:rsid w:val="0F7A6F7F"/>
    <w:rsid w:val="0F7F2D67"/>
    <w:rsid w:val="0F7F6343"/>
    <w:rsid w:val="0F8648F6"/>
    <w:rsid w:val="0F924FA1"/>
    <w:rsid w:val="0F94421F"/>
    <w:rsid w:val="0F9973D1"/>
    <w:rsid w:val="0F9F69E6"/>
    <w:rsid w:val="0FB96D88"/>
    <w:rsid w:val="0FC05908"/>
    <w:rsid w:val="0FC84B70"/>
    <w:rsid w:val="0FCE07BC"/>
    <w:rsid w:val="0FD06B9F"/>
    <w:rsid w:val="0FD53874"/>
    <w:rsid w:val="0FDC70F3"/>
    <w:rsid w:val="0FDE128A"/>
    <w:rsid w:val="0FDF508C"/>
    <w:rsid w:val="0FE32D76"/>
    <w:rsid w:val="0FE871A3"/>
    <w:rsid w:val="0FEC4814"/>
    <w:rsid w:val="0FF73C08"/>
    <w:rsid w:val="0FFE1DA9"/>
    <w:rsid w:val="1004758E"/>
    <w:rsid w:val="10090F42"/>
    <w:rsid w:val="10197E8F"/>
    <w:rsid w:val="102853F9"/>
    <w:rsid w:val="102A1392"/>
    <w:rsid w:val="10340142"/>
    <w:rsid w:val="10486DC1"/>
    <w:rsid w:val="105769DE"/>
    <w:rsid w:val="106B4B98"/>
    <w:rsid w:val="107F26DA"/>
    <w:rsid w:val="10864733"/>
    <w:rsid w:val="1089220B"/>
    <w:rsid w:val="10923E54"/>
    <w:rsid w:val="10AD7059"/>
    <w:rsid w:val="10CD30DE"/>
    <w:rsid w:val="10D421FF"/>
    <w:rsid w:val="10D425EB"/>
    <w:rsid w:val="10DD6D2D"/>
    <w:rsid w:val="10E072B6"/>
    <w:rsid w:val="110546D0"/>
    <w:rsid w:val="11097A96"/>
    <w:rsid w:val="110A4333"/>
    <w:rsid w:val="1112446A"/>
    <w:rsid w:val="113427EC"/>
    <w:rsid w:val="113849FC"/>
    <w:rsid w:val="113D2012"/>
    <w:rsid w:val="1149458E"/>
    <w:rsid w:val="11494E5B"/>
    <w:rsid w:val="11567963"/>
    <w:rsid w:val="115B693C"/>
    <w:rsid w:val="115E0B93"/>
    <w:rsid w:val="116A0B52"/>
    <w:rsid w:val="11730AE3"/>
    <w:rsid w:val="11785740"/>
    <w:rsid w:val="11844D14"/>
    <w:rsid w:val="11895257"/>
    <w:rsid w:val="119A2EC2"/>
    <w:rsid w:val="119B43DD"/>
    <w:rsid w:val="119F2CCD"/>
    <w:rsid w:val="11AB78C4"/>
    <w:rsid w:val="11B65A10"/>
    <w:rsid w:val="11BC7F56"/>
    <w:rsid w:val="11BF29F6"/>
    <w:rsid w:val="11C158D4"/>
    <w:rsid w:val="11EA4414"/>
    <w:rsid w:val="11F96EEE"/>
    <w:rsid w:val="121F796A"/>
    <w:rsid w:val="122375E8"/>
    <w:rsid w:val="1226519C"/>
    <w:rsid w:val="122A65A7"/>
    <w:rsid w:val="1230601B"/>
    <w:rsid w:val="12383E59"/>
    <w:rsid w:val="12453AF7"/>
    <w:rsid w:val="12495049"/>
    <w:rsid w:val="125374AC"/>
    <w:rsid w:val="12584344"/>
    <w:rsid w:val="125C08EE"/>
    <w:rsid w:val="12677C09"/>
    <w:rsid w:val="128B3251"/>
    <w:rsid w:val="1290485A"/>
    <w:rsid w:val="129220FD"/>
    <w:rsid w:val="12BC1C89"/>
    <w:rsid w:val="12CA1FCB"/>
    <w:rsid w:val="12CC7AF2"/>
    <w:rsid w:val="12CD45BC"/>
    <w:rsid w:val="12E14DFB"/>
    <w:rsid w:val="12E34E3B"/>
    <w:rsid w:val="12EC0194"/>
    <w:rsid w:val="12EC4418"/>
    <w:rsid w:val="12F06155"/>
    <w:rsid w:val="12F6758B"/>
    <w:rsid w:val="12F773AA"/>
    <w:rsid w:val="12FE6E2A"/>
    <w:rsid w:val="130838E5"/>
    <w:rsid w:val="130D362F"/>
    <w:rsid w:val="13267A75"/>
    <w:rsid w:val="13275128"/>
    <w:rsid w:val="132E0705"/>
    <w:rsid w:val="1331204B"/>
    <w:rsid w:val="133236CD"/>
    <w:rsid w:val="134578A4"/>
    <w:rsid w:val="135875D7"/>
    <w:rsid w:val="13654854"/>
    <w:rsid w:val="136D0728"/>
    <w:rsid w:val="136F66CF"/>
    <w:rsid w:val="137837D5"/>
    <w:rsid w:val="137E6912"/>
    <w:rsid w:val="138A5BED"/>
    <w:rsid w:val="13923D70"/>
    <w:rsid w:val="13AA5959"/>
    <w:rsid w:val="13B27AB8"/>
    <w:rsid w:val="13B660AC"/>
    <w:rsid w:val="13BC6D3C"/>
    <w:rsid w:val="13C34C6E"/>
    <w:rsid w:val="13CE4A0B"/>
    <w:rsid w:val="13D002CF"/>
    <w:rsid w:val="13D33304"/>
    <w:rsid w:val="13E76BAD"/>
    <w:rsid w:val="13F94D82"/>
    <w:rsid w:val="13FA095B"/>
    <w:rsid w:val="140A39B3"/>
    <w:rsid w:val="14142AEA"/>
    <w:rsid w:val="141C0AF8"/>
    <w:rsid w:val="142E67E6"/>
    <w:rsid w:val="143E4A1F"/>
    <w:rsid w:val="143E60BA"/>
    <w:rsid w:val="14433D9A"/>
    <w:rsid w:val="14445DAD"/>
    <w:rsid w:val="14515CFB"/>
    <w:rsid w:val="14554845"/>
    <w:rsid w:val="1456425F"/>
    <w:rsid w:val="145D0B4E"/>
    <w:rsid w:val="14640782"/>
    <w:rsid w:val="14757D15"/>
    <w:rsid w:val="14795A57"/>
    <w:rsid w:val="147A37CF"/>
    <w:rsid w:val="147C72F5"/>
    <w:rsid w:val="147E4E1C"/>
    <w:rsid w:val="1488058A"/>
    <w:rsid w:val="148D47B9"/>
    <w:rsid w:val="14C60571"/>
    <w:rsid w:val="14CD7B51"/>
    <w:rsid w:val="14ED1E7B"/>
    <w:rsid w:val="14F400F5"/>
    <w:rsid w:val="14F80B71"/>
    <w:rsid w:val="150177FB"/>
    <w:rsid w:val="15067F8B"/>
    <w:rsid w:val="150A49B0"/>
    <w:rsid w:val="15155054"/>
    <w:rsid w:val="15196901"/>
    <w:rsid w:val="151F3D1C"/>
    <w:rsid w:val="15273705"/>
    <w:rsid w:val="152D4306"/>
    <w:rsid w:val="152F25BA"/>
    <w:rsid w:val="153F1690"/>
    <w:rsid w:val="15485429"/>
    <w:rsid w:val="154A4906"/>
    <w:rsid w:val="154E3C4B"/>
    <w:rsid w:val="15581B10"/>
    <w:rsid w:val="156206A5"/>
    <w:rsid w:val="156D6384"/>
    <w:rsid w:val="15783F61"/>
    <w:rsid w:val="158C5316"/>
    <w:rsid w:val="158D3A3F"/>
    <w:rsid w:val="159B7AD7"/>
    <w:rsid w:val="159C346D"/>
    <w:rsid w:val="15AE3F55"/>
    <w:rsid w:val="15BA205C"/>
    <w:rsid w:val="15C47699"/>
    <w:rsid w:val="15CB20B7"/>
    <w:rsid w:val="15D5070E"/>
    <w:rsid w:val="15D66ED9"/>
    <w:rsid w:val="15E476A1"/>
    <w:rsid w:val="15E74187"/>
    <w:rsid w:val="15FF3D3A"/>
    <w:rsid w:val="162300A6"/>
    <w:rsid w:val="162419F3"/>
    <w:rsid w:val="162B4B9C"/>
    <w:rsid w:val="162E44A0"/>
    <w:rsid w:val="16337E88"/>
    <w:rsid w:val="163A6261"/>
    <w:rsid w:val="164002A0"/>
    <w:rsid w:val="1664196F"/>
    <w:rsid w:val="16655D64"/>
    <w:rsid w:val="16673E9F"/>
    <w:rsid w:val="166E0ACA"/>
    <w:rsid w:val="16731D94"/>
    <w:rsid w:val="167E206D"/>
    <w:rsid w:val="167E22F8"/>
    <w:rsid w:val="16852D9F"/>
    <w:rsid w:val="16905894"/>
    <w:rsid w:val="16906A8A"/>
    <w:rsid w:val="1699418F"/>
    <w:rsid w:val="16BA319D"/>
    <w:rsid w:val="16BD44B8"/>
    <w:rsid w:val="16BF4D5E"/>
    <w:rsid w:val="16CA259A"/>
    <w:rsid w:val="16D071C1"/>
    <w:rsid w:val="16D90A2F"/>
    <w:rsid w:val="16D974A6"/>
    <w:rsid w:val="16E00B16"/>
    <w:rsid w:val="16E573D4"/>
    <w:rsid w:val="16E61420"/>
    <w:rsid w:val="16ED5008"/>
    <w:rsid w:val="17011D34"/>
    <w:rsid w:val="1711307D"/>
    <w:rsid w:val="17171557"/>
    <w:rsid w:val="171D6FAB"/>
    <w:rsid w:val="173008D1"/>
    <w:rsid w:val="17316275"/>
    <w:rsid w:val="173E14F4"/>
    <w:rsid w:val="173F7F67"/>
    <w:rsid w:val="1753696C"/>
    <w:rsid w:val="17547C85"/>
    <w:rsid w:val="17697FD7"/>
    <w:rsid w:val="176C7143"/>
    <w:rsid w:val="17753588"/>
    <w:rsid w:val="17764CDC"/>
    <w:rsid w:val="177F6AB5"/>
    <w:rsid w:val="1786728C"/>
    <w:rsid w:val="178A3AD7"/>
    <w:rsid w:val="17920939"/>
    <w:rsid w:val="17A728DB"/>
    <w:rsid w:val="17B172B6"/>
    <w:rsid w:val="17B40B54"/>
    <w:rsid w:val="17C80157"/>
    <w:rsid w:val="17CE7E68"/>
    <w:rsid w:val="17E045F0"/>
    <w:rsid w:val="17E72553"/>
    <w:rsid w:val="17E9747F"/>
    <w:rsid w:val="180841A7"/>
    <w:rsid w:val="180A1F09"/>
    <w:rsid w:val="180F222F"/>
    <w:rsid w:val="181B1D9C"/>
    <w:rsid w:val="182358D8"/>
    <w:rsid w:val="1824217E"/>
    <w:rsid w:val="1831173C"/>
    <w:rsid w:val="183335F6"/>
    <w:rsid w:val="183A374F"/>
    <w:rsid w:val="18450A85"/>
    <w:rsid w:val="18522553"/>
    <w:rsid w:val="18585984"/>
    <w:rsid w:val="186C7A34"/>
    <w:rsid w:val="187360ED"/>
    <w:rsid w:val="1875158C"/>
    <w:rsid w:val="1876583D"/>
    <w:rsid w:val="18917A87"/>
    <w:rsid w:val="18956BD8"/>
    <w:rsid w:val="18A12CF5"/>
    <w:rsid w:val="18BA2933"/>
    <w:rsid w:val="18C75DFA"/>
    <w:rsid w:val="18D174B4"/>
    <w:rsid w:val="18D717DF"/>
    <w:rsid w:val="18D806C7"/>
    <w:rsid w:val="18E00FA2"/>
    <w:rsid w:val="18EB6361"/>
    <w:rsid w:val="18F1322A"/>
    <w:rsid w:val="18F27B86"/>
    <w:rsid w:val="190709DE"/>
    <w:rsid w:val="190E24E6"/>
    <w:rsid w:val="19135D94"/>
    <w:rsid w:val="19395765"/>
    <w:rsid w:val="194859F8"/>
    <w:rsid w:val="194F425A"/>
    <w:rsid w:val="19520625"/>
    <w:rsid w:val="195C76F5"/>
    <w:rsid w:val="195E6FCA"/>
    <w:rsid w:val="19612025"/>
    <w:rsid w:val="19655023"/>
    <w:rsid w:val="196F567B"/>
    <w:rsid w:val="19801636"/>
    <w:rsid w:val="198509FA"/>
    <w:rsid w:val="1986007D"/>
    <w:rsid w:val="198C4E5F"/>
    <w:rsid w:val="198D2398"/>
    <w:rsid w:val="19921EE8"/>
    <w:rsid w:val="199E42DE"/>
    <w:rsid w:val="19B327BD"/>
    <w:rsid w:val="19B75231"/>
    <w:rsid w:val="19B945F6"/>
    <w:rsid w:val="19BC6185"/>
    <w:rsid w:val="19C2363A"/>
    <w:rsid w:val="19C257AA"/>
    <w:rsid w:val="19E51250"/>
    <w:rsid w:val="19E51499"/>
    <w:rsid w:val="19E97D73"/>
    <w:rsid w:val="19F618F8"/>
    <w:rsid w:val="19F73B0E"/>
    <w:rsid w:val="19FD2C86"/>
    <w:rsid w:val="1A037B71"/>
    <w:rsid w:val="1A0F29BA"/>
    <w:rsid w:val="1A187AC0"/>
    <w:rsid w:val="1A3C0202"/>
    <w:rsid w:val="1A4B3E61"/>
    <w:rsid w:val="1A526A0C"/>
    <w:rsid w:val="1A5E02D9"/>
    <w:rsid w:val="1A6525DA"/>
    <w:rsid w:val="1A674BDF"/>
    <w:rsid w:val="1A6C2697"/>
    <w:rsid w:val="1A6C5716"/>
    <w:rsid w:val="1A7550B9"/>
    <w:rsid w:val="1A7937EA"/>
    <w:rsid w:val="1A80142C"/>
    <w:rsid w:val="1A855DF6"/>
    <w:rsid w:val="1A8B7370"/>
    <w:rsid w:val="1A8D7935"/>
    <w:rsid w:val="1AA45F89"/>
    <w:rsid w:val="1AB84DF8"/>
    <w:rsid w:val="1AE9320B"/>
    <w:rsid w:val="1AEF6E14"/>
    <w:rsid w:val="1AF170D8"/>
    <w:rsid w:val="1AF844CE"/>
    <w:rsid w:val="1AFE6CB6"/>
    <w:rsid w:val="1B195CB1"/>
    <w:rsid w:val="1B2B737F"/>
    <w:rsid w:val="1B2C7D7E"/>
    <w:rsid w:val="1B2D30F7"/>
    <w:rsid w:val="1B330E9B"/>
    <w:rsid w:val="1B43291B"/>
    <w:rsid w:val="1B51581C"/>
    <w:rsid w:val="1B606BA1"/>
    <w:rsid w:val="1B721452"/>
    <w:rsid w:val="1B775278"/>
    <w:rsid w:val="1B842DF4"/>
    <w:rsid w:val="1B9333CD"/>
    <w:rsid w:val="1BA47E6A"/>
    <w:rsid w:val="1BAA1831"/>
    <w:rsid w:val="1BAB7696"/>
    <w:rsid w:val="1BB27AA1"/>
    <w:rsid w:val="1BB33257"/>
    <w:rsid w:val="1BB36B00"/>
    <w:rsid w:val="1BCF41AF"/>
    <w:rsid w:val="1BD11C33"/>
    <w:rsid w:val="1BD45CA4"/>
    <w:rsid w:val="1BEC2FB3"/>
    <w:rsid w:val="1BEC6B0F"/>
    <w:rsid w:val="1BF5780F"/>
    <w:rsid w:val="1BFC0D31"/>
    <w:rsid w:val="1C161DDD"/>
    <w:rsid w:val="1C3A5DDF"/>
    <w:rsid w:val="1C3F5862"/>
    <w:rsid w:val="1C41576A"/>
    <w:rsid w:val="1C444B9D"/>
    <w:rsid w:val="1C681BC1"/>
    <w:rsid w:val="1C71170A"/>
    <w:rsid w:val="1C731E9C"/>
    <w:rsid w:val="1C765C9F"/>
    <w:rsid w:val="1C7A37FF"/>
    <w:rsid w:val="1C7F15B3"/>
    <w:rsid w:val="1C874A89"/>
    <w:rsid w:val="1C8B1061"/>
    <w:rsid w:val="1CAA6093"/>
    <w:rsid w:val="1CAC2742"/>
    <w:rsid w:val="1CB03FE0"/>
    <w:rsid w:val="1CBC1C20"/>
    <w:rsid w:val="1CCB2BC8"/>
    <w:rsid w:val="1CD1424B"/>
    <w:rsid w:val="1CD7703E"/>
    <w:rsid w:val="1CFE2569"/>
    <w:rsid w:val="1CFF3BC8"/>
    <w:rsid w:val="1D036806"/>
    <w:rsid w:val="1D3A6632"/>
    <w:rsid w:val="1D457206"/>
    <w:rsid w:val="1D531B64"/>
    <w:rsid w:val="1D544216"/>
    <w:rsid w:val="1D63299D"/>
    <w:rsid w:val="1D632B53"/>
    <w:rsid w:val="1D6C193E"/>
    <w:rsid w:val="1D6E7261"/>
    <w:rsid w:val="1D7065FD"/>
    <w:rsid w:val="1D715E5C"/>
    <w:rsid w:val="1D756FD8"/>
    <w:rsid w:val="1D8A0F84"/>
    <w:rsid w:val="1D8D2573"/>
    <w:rsid w:val="1D940758"/>
    <w:rsid w:val="1D942FC1"/>
    <w:rsid w:val="1D9F3DCB"/>
    <w:rsid w:val="1DA0111B"/>
    <w:rsid w:val="1DA12787"/>
    <w:rsid w:val="1DAB7ABB"/>
    <w:rsid w:val="1DAE5592"/>
    <w:rsid w:val="1DAF6557"/>
    <w:rsid w:val="1DB00010"/>
    <w:rsid w:val="1DCA0A85"/>
    <w:rsid w:val="1DCB1624"/>
    <w:rsid w:val="1DDB1959"/>
    <w:rsid w:val="1DE71C83"/>
    <w:rsid w:val="1DF57095"/>
    <w:rsid w:val="1E1124CF"/>
    <w:rsid w:val="1E1556CA"/>
    <w:rsid w:val="1E192F15"/>
    <w:rsid w:val="1E252E2B"/>
    <w:rsid w:val="1E391DB3"/>
    <w:rsid w:val="1E42510C"/>
    <w:rsid w:val="1E432C32"/>
    <w:rsid w:val="1E4C5F8E"/>
    <w:rsid w:val="1E5E1F5C"/>
    <w:rsid w:val="1E635082"/>
    <w:rsid w:val="1E6F4D29"/>
    <w:rsid w:val="1E75793A"/>
    <w:rsid w:val="1E764DB5"/>
    <w:rsid w:val="1E7A5903"/>
    <w:rsid w:val="1E824F77"/>
    <w:rsid w:val="1EA121D8"/>
    <w:rsid w:val="1EA374D2"/>
    <w:rsid w:val="1EA836B4"/>
    <w:rsid w:val="1EAA4A5F"/>
    <w:rsid w:val="1EB0218B"/>
    <w:rsid w:val="1EB109E6"/>
    <w:rsid w:val="1EB3718E"/>
    <w:rsid w:val="1EBA3850"/>
    <w:rsid w:val="1EBB30B5"/>
    <w:rsid w:val="1EDE6278"/>
    <w:rsid w:val="1EE94DC8"/>
    <w:rsid w:val="1EEC4255"/>
    <w:rsid w:val="1F091FF2"/>
    <w:rsid w:val="1F0D2666"/>
    <w:rsid w:val="1F240CB5"/>
    <w:rsid w:val="1F330EF8"/>
    <w:rsid w:val="1F356A1F"/>
    <w:rsid w:val="1F451626"/>
    <w:rsid w:val="1F460E6C"/>
    <w:rsid w:val="1F467C6F"/>
    <w:rsid w:val="1F533F4A"/>
    <w:rsid w:val="1F5F51A1"/>
    <w:rsid w:val="1F693A18"/>
    <w:rsid w:val="1F714B49"/>
    <w:rsid w:val="1F875B17"/>
    <w:rsid w:val="1F974C4D"/>
    <w:rsid w:val="1F99183C"/>
    <w:rsid w:val="1F9A4C33"/>
    <w:rsid w:val="1F9B6D2D"/>
    <w:rsid w:val="1F9C76EA"/>
    <w:rsid w:val="1FA00F50"/>
    <w:rsid w:val="1FBB4A1E"/>
    <w:rsid w:val="1FD5349E"/>
    <w:rsid w:val="1FD55D41"/>
    <w:rsid w:val="1FE346CD"/>
    <w:rsid w:val="200E50DC"/>
    <w:rsid w:val="201A79C2"/>
    <w:rsid w:val="201E1C07"/>
    <w:rsid w:val="201E6FC3"/>
    <w:rsid w:val="20243A52"/>
    <w:rsid w:val="20607ACB"/>
    <w:rsid w:val="206747FF"/>
    <w:rsid w:val="20684BD2"/>
    <w:rsid w:val="207F2647"/>
    <w:rsid w:val="20850B98"/>
    <w:rsid w:val="20872F31"/>
    <w:rsid w:val="20A16773"/>
    <w:rsid w:val="20A51982"/>
    <w:rsid w:val="20AE4CDA"/>
    <w:rsid w:val="20B322F1"/>
    <w:rsid w:val="20BB2CAB"/>
    <w:rsid w:val="20C0056A"/>
    <w:rsid w:val="20C31A79"/>
    <w:rsid w:val="20C52165"/>
    <w:rsid w:val="20C6272F"/>
    <w:rsid w:val="20EF2BFD"/>
    <w:rsid w:val="20F6042F"/>
    <w:rsid w:val="20F73983"/>
    <w:rsid w:val="210B214C"/>
    <w:rsid w:val="21113303"/>
    <w:rsid w:val="211514D5"/>
    <w:rsid w:val="21186CA9"/>
    <w:rsid w:val="211C60E8"/>
    <w:rsid w:val="21254871"/>
    <w:rsid w:val="212E5E1B"/>
    <w:rsid w:val="213608D5"/>
    <w:rsid w:val="213F0832"/>
    <w:rsid w:val="21470912"/>
    <w:rsid w:val="214E3DC8"/>
    <w:rsid w:val="21613AFB"/>
    <w:rsid w:val="21751354"/>
    <w:rsid w:val="21780E44"/>
    <w:rsid w:val="218423A9"/>
    <w:rsid w:val="2197751D"/>
    <w:rsid w:val="21AA3516"/>
    <w:rsid w:val="21AD478D"/>
    <w:rsid w:val="21B77FCD"/>
    <w:rsid w:val="21C35F1E"/>
    <w:rsid w:val="21C46094"/>
    <w:rsid w:val="21C67E02"/>
    <w:rsid w:val="21D27F99"/>
    <w:rsid w:val="21E01EA3"/>
    <w:rsid w:val="21E169EA"/>
    <w:rsid w:val="21E9748E"/>
    <w:rsid w:val="21EB06F8"/>
    <w:rsid w:val="21EB5ABA"/>
    <w:rsid w:val="21EF4908"/>
    <w:rsid w:val="21F7620D"/>
    <w:rsid w:val="22060F0F"/>
    <w:rsid w:val="221D369C"/>
    <w:rsid w:val="22334D14"/>
    <w:rsid w:val="223B07F0"/>
    <w:rsid w:val="223D6DA5"/>
    <w:rsid w:val="22452FAB"/>
    <w:rsid w:val="22496F84"/>
    <w:rsid w:val="224F3AF6"/>
    <w:rsid w:val="22554670"/>
    <w:rsid w:val="225B679C"/>
    <w:rsid w:val="226338A3"/>
    <w:rsid w:val="22645EEA"/>
    <w:rsid w:val="226F0499"/>
    <w:rsid w:val="229E2B2D"/>
    <w:rsid w:val="229E76B2"/>
    <w:rsid w:val="22AE0FC2"/>
    <w:rsid w:val="22D447A0"/>
    <w:rsid w:val="22D71A68"/>
    <w:rsid w:val="22DF410D"/>
    <w:rsid w:val="22EE11B0"/>
    <w:rsid w:val="22F4099F"/>
    <w:rsid w:val="22FB111A"/>
    <w:rsid w:val="230706D2"/>
    <w:rsid w:val="23106C14"/>
    <w:rsid w:val="23140F9B"/>
    <w:rsid w:val="23167D3D"/>
    <w:rsid w:val="232149CB"/>
    <w:rsid w:val="23242BB4"/>
    <w:rsid w:val="233C0087"/>
    <w:rsid w:val="23447230"/>
    <w:rsid w:val="235A5E54"/>
    <w:rsid w:val="235F15ED"/>
    <w:rsid w:val="235F2A76"/>
    <w:rsid w:val="236773C3"/>
    <w:rsid w:val="237C10C0"/>
    <w:rsid w:val="237E1180"/>
    <w:rsid w:val="23863CED"/>
    <w:rsid w:val="23922DE7"/>
    <w:rsid w:val="2395611D"/>
    <w:rsid w:val="23983A20"/>
    <w:rsid w:val="239B4F56"/>
    <w:rsid w:val="23AD74CB"/>
    <w:rsid w:val="23AE0B4E"/>
    <w:rsid w:val="23B107E7"/>
    <w:rsid w:val="23BF2B98"/>
    <w:rsid w:val="23D95F46"/>
    <w:rsid w:val="23E40A13"/>
    <w:rsid w:val="23F70746"/>
    <w:rsid w:val="240366A5"/>
    <w:rsid w:val="24190849"/>
    <w:rsid w:val="241C1F5B"/>
    <w:rsid w:val="24276EB2"/>
    <w:rsid w:val="24303173"/>
    <w:rsid w:val="24305262"/>
    <w:rsid w:val="2435301D"/>
    <w:rsid w:val="24355492"/>
    <w:rsid w:val="243B6E75"/>
    <w:rsid w:val="243D776E"/>
    <w:rsid w:val="24443260"/>
    <w:rsid w:val="245254CF"/>
    <w:rsid w:val="245D3030"/>
    <w:rsid w:val="245D7FFB"/>
    <w:rsid w:val="246102B6"/>
    <w:rsid w:val="24741D97"/>
    <w:rsid w:val="24883A94"/>
    <w:rsid w:val="248F710D"/>
    <w:rsid w:val="249479B1"/>
    <w:rsid w:val="24A84E40"/>
    <w:rsid w:val="24AE5C72"/>
    <w:rsid w:val="24B76A25"/>
    <w:rsid w:val="24B76D91"/>
    <w:rsid w:val="24BF043F"/>
    <w:rsid w:val="24C21928"/>
    <w:rsid w:val="24CA7C09"/>
    <w:rsid w:val="24CE594B"/>
    <w:rsid w:val="24D61B67"/>
    <w:rsid w:val="24DF2E79"/>
    <w:rsid w:val="24E3577B"/>
    <w:rsid w:val="24EF29EC"/>
    <w:rsid w:val="250A2735"/>
    <w:rsid w:val="250F53CE"/>
    <w:rsid w:val="251C0093"/>
    <w:rsid w:val="252214A4"/>
    <w:rsid w:val="2535374E"/>
    <w:rsid w:val="25354E8F"/>
    <w:rsid w:val="253634F0"/>
    <w:rsid w:val="254554E2"/>
    <w:rsid w:val="254676BC"/>
    <w:rsid w:val="254856B7"/>
    <w:rsid w:val="255A6303"/>
    <w:rsid w:val="25626093"/>
    <w:rsid w:val="256C686C"/>
    <w:rsid w:val="2576348C"/>
    <w:rsid w:val="2577703E"/>
    <w:rsid w:val="25816E4C"/>
    <w:rsid w:val="25850E1C"/>
    <w:rsid w:val="25B6136F"/>
    <w:rsid w:val="25B763DF"/>
    <w:rsid w:val="25BC1216"/>
    <w:rsid w:val="25BC3E78"/>
    <w:rsid w:val="25C428AA"/>
    <w:rsid w:val="25CB62F9"/>
    <w:rsid w:val="25D649BC"/>
    <w:rsid w:val="25D725DE"/>
    <w:rsid w:val="25D953CB"/>
    <w:rsid w:val="25D9578E"/>
    <w:rsid w:val="25DC7BF4"/>
    <w:rsid w:val="25DE48E9"/>
    <w:rsid w:val="25E82A3D"/>
    <w:rsid w:val="25EF2BB6"/>
    <w:rsid w:val="25F17177"/>
    <w:rsid w:val="25F34F3E"/>
    <w:rsid w:val="25FC2044"/>
    <w:rsid w:val="261310D6"/>
    <w:rsid w:val="2613129A"/>
    <w:rsid w:val="26164E0B"/>
    <w:rsid w:val="261D1FBA"/>
    <w:rsid w:val="261D737F"/>
    <w:rsid w:val="26282E39"/>
    <w:rsid w:val="264D464E"/>
    <w:rsid w:val="26541209"/>
    <w:rsid w:val="265A320F"/>
    <w:rsid w:val="265B7FC3"/>
    <w:rsid w:val="267473A3"/>
    <w:rsid w:val="267A5302"/>
    <w:rsid w:val="267F67D1"/>
    <w:rsid w:val="26895B50"/>
    <w:rsid w:val="26BC5523"/>
    <w:rsid w:val="26C62652"/>
    <w:rsid w:val="26D406C1"/>
    <w:rsid w:val="26D82824"/>
    <w:rsid w:val="26D83166"/>
    <w:rsid w:val="26EF1BA9"/>
    <w:rsid w:val="26EF3957"/>
    <w:rsid w:val="26F21DDA"/>
    <w:rsid w:val="26F64328"/>
    <w:rsid w:val="26FE2B53"/>
    <w:rsid w:val="27282B77"/>
    <w:rsid w:val="27315DD3"/>
    <w:rsid w:val="27345B41"/>
    <w:rsid w:val="273C5CCA"/>
    <w:rsid w:val="273F7CC7"/>
    <w:rsid w:val="27405AD9"/>
    <w:rsid w:val="27532138"/>
    <w:rsid w:val="2753544B"/>
    <w:rsid w:val="27577AEE"/>
    <w:rsid w:val="275C5122"/>
    <w:rsid w:val="275D6B12"/>
    <w:rsid w:val="27635754"/>
    <w:rsid w:val="27707B85"/>
    <w:rsid w:val="27984543"/>
    <w:rsid w:val="27C86E0E"/>
    <w:rsid w:val="27CF1CA7"/>
    <w:rsid w:val="27E234BC"/>
    <w:rsid w:val="27E5752B"/>
    <w:rsid w:val="27F43060"/>
    <w:rsid w:val="27FE6547"/>
    <w:rsid w:val="28025F3B"/>
    <w:rsid w:val="28041684"/>
    <w:rsid w:val="28044940"/>
    <w:rsid w:val="280B656E"/>
    <w:rsid w:val="28416434"/>
    <w:rsid w:val="284B1061"/>
    <w:rsid w:val="28551C09"/>
    <w:rsid w:val="28564ACC"/>
    <w:rsid w:val="28594272"/>
    <w:rsid w:val="286C2EFF"/>
    <w:rsid w:val="28777F5F"/>
    <w:rsid w:val="288A2311"/>
    <w:rsid w:val="288A7DDB"/>
    <w:rsid w:val="2890116A"/>
    <w:rsid w:val="289C5BF7"/>
    <w:rsid w:val="28A95D87"/>
    <w:rsid w:val="28AE7A00"/>
    <w:rsid w:val="28B67CC7"/>
    <w:rsid w:val="28BA3B86"/>
    <w:rsid w:val="28C90BAA"/>
    <w:rsid w:val="28D3286B"/>
    <w:rsid w:val="28D449CC"/>
    <w:rsid w:val="28E13773"/>
    <w:rsid w:val="28E4375B"/>
    <w:rsid w:val="28E5403C"/>
    <w:rsid w:val="28EF7C3E"/>
    <w:rsid w:val="28F234FF"/>
    <w:rsid w:val="28FA4E36"/>
    <w:rsid w:val="290A0F1C"/>
    <w:rsid w:val="29121B7F"/>
    <w:rsid w:val="291A423D"/>
    <w:rsid w:val="2920429C"/>
    <w:rsid w:val="29210862"/>
    <w:rsid w:val="293D5638"/>
    <w:rsid w:val="293E0BC6"/>
    <w:rsid w:val="293F27CA"/>
    <w:rsid w:val="294D4752"/>
    <w:rsid w:val="2956295F"/>
    <w:rsid w:val="295F5274"/>
    <w:rsid w:val="297D16EE"/>
    <w:rsid w:val="298A7967"/>
    <w:rsid w:val="298E0913"/>
    <w:rsid w:val="298E7457"/>
    <w:rsid w:val="299B7DC6"/>
    <w:rsid w:val="29A0156E"/>
    <w:rsid w:val="29AC1FD3"/>
    <w:rsid w:val="29B413E7"/>
    <w:rsid w:val="29B82494"/>
    <w:rsid w:val="29C076E2"/>
    <w:rsid w:val="29C130D3"/>
    <w:rsid w:val="29C64C71"/>
    <w:rsid w:val="29C82365"/>
    <w:rsid w:val="29C86C78"/>
    <w:rsid w:val="29D30045"/>
    <w:rsid w:val="29DD218D"/>
    <w:rsid w:val="29E90E77"/>
    <w:rsid w:val="29F660A7"/>
    <w:rsid w:val="29F9369C"/>
    <w:rsid w:val="29FF3178"/>
    <w:rsid w:val="2A132E42"/>
    <w:rsid w:val="2A194AF5"/>
    <w:rsid w:val="2A4D26D4"/>
    <w:rsid w:val="2A4F4AA9"/>
    <w:rsid w:val="2A610E82"/>
    <w:rsid w:val="2A6401B8"/>
    <w:rsid w:val="2A6B1334"/>
    <w:rsid w:val="2A6D7070"/>
    <w:rsid w:val="2A84085A"/>
    <w:rsid w:val="2A874355"/>
    <w:rsid w:val="2A890CA6"/>
    <w:rsid w:val="2A8F082C"/>
    <w:rsid w:val="2A994305"/>
    <w:rsid w:val="2AA2159A"/>
    <w:rsid w:val="2AA84549"/>
    <w:rsid w:val="2AC24A4E"/>
    <w:rsid w:val="2AC91D50"/>
    <w:rsid w:val="2ACF31D8"/>
    <w:rsid w:val="2AD1624A"/>
    <w:rsid w:val="2AD32C9F"/>
    <w:rsid w:val="2AE5754B"/>
    <w:rsid w:val="2AEA2557"/>
    <w:rsid w:val="2AF05EF0"/>
    <w:rsid w:val="2AF35C03"/>
    <w:rsid w:val="2AF505FC"/>
    <w:rsid w:val="2AF675E8"/>
    <w:rsid w:val="2AFC2AA0"/>
    <w:rsid w:val="2AFE1A16"/>
    <w:rsid w:val="2AFE23BA"/>
    <w:rsid w:val="2B054B6B"/>
    <w:rsid w:val="2B0D4423"/>
    <w:rsid w:val="2B115961"/>
    <w:rsid w:val="2B1F58BF"/>
    <w:rsid w:val="2B2160A9"/>
    <w:rsid w:val="2B2426AA"/>
    <w:rsid w:val="2B247696"/>
    <w:rsid w:val="2B330D0F"/>
    <w:rsid w:val="2B675630"/>
    <w:rsid w:val="2B7841A6"/>
    <w:rsid w:val="2B7963FB"/>
    <w:rsid w:val="2BB11E5C"/>
    <w:rsid w:val="2BC26BE9"/>
    <w:rsid w:val="2BC27F72"/>
    <w:rsid w:val="2BC35FF1"/>
    <w:rsid w:val="2BCB58E6"/>
    <w:rsid w:val="2BD33847"/>
    <w:rsid w:val="2BDD6474"/>
    <w:rsid w:val="2BF135D6"/>
    <w:rsid w:val="2C016606"/>
    <w:rsid w:val="2C02536C"/>
    <w:rsid w:val="2C0547C6"/>
    <w:rsid w:val="2C0954BB"/>
    <w:rsid w:val="2C1A4694"/>
    <w:rsid w:val="2C1B0EE8"/>
    <w:rsid w:val="2C412EA7"/>
    <w:rsid w:val="2C534988"/>
    <w:rsid w:val="2C5612A5"/>
    <w:rsid w:val="2C583D4C"/>
    <w:rsid w:val="2C6239D1"/>
    <w:rsid w:val="2C7216FE"/>
    <w:rsid w:val="2C7A0167"/>
    <w:rsid w:val="2C841719"/>
    <w:rsid w:val="2C8B4122"/>
    <w:rsid w:val="2C8E0462"/>
    <w:rsid w:val="2C937E06"/>
    <w:rsid w:val="2C9E7BC7"/>
    <w:rsid w:val="2CA14FEA"/>
    <w:rsid w:val="2CA30524"/>
    <w:rsid w:val="2CB00CDF"/>
    <w:rsid w:val="2CDB64D3"/>
    <w:rsid w:val="2CFB12A7"/>
    <w:rsid w:val="2D0406FD"/>
    <w:rsid w:val="2D0637A8"/>
    <w:rsid w:val="2D085772"/>
    <w:rsid w:val="2D0B0DBF"/>
    <w:rsid w:val="2D0F6178"/>
    <w:rsid w:val="2D3C366E"/>
    <w:rsid w:val="2D4549FF"/>
    <w:rsid w:val="2D497F94"/>
    <w:rsid w:val="2D5F5CFD"/>
    <w:rsid w:val="2D6055AE"/>
    <w:rsid w:val="2D632D02"/>
    <w:rsid w:val="2D636E4D"/>
    <w:rsid w:val="2D734AAD"/>
    <w:rsid w:val="2D776454"/>
    <w:rsid w:val="2D9C057F"/>
    <w:rsid w:val="2D9E07DF"/>
    <w:rsid w:val="2DB024DE"/>
    <w:rsid w:val="2DB44479"/>
    <w:rsid w:val="2DC93154"/>
    <w:rsid w:val="2DD611BE"/>
    <w:rsid w:val="2DD903A8"/>
    <w:rsid w:val="2DD9710F"/>
    <w:rsid w:val="2DDD6BFF"/>
    <w:rsid w:val="2DFF3D5F"/>
    <w:rsid w:val="2E0E4C07"/>
    <w:rsid w:val="2E177A29"/>
    <w:rsid w:val="2E1F0FC6"/>
    <w:rsid w:val="2E312AA7"/>
    <w:rsid w:val="2E332AA1"/>
    <w:rsid w:val="2E3D68D2"/>
    <w:rsid w:val="2E440655"/>
    <w:rsid w:val="2E4427DA"/>
    <w:rsid w:val="2E514EF7"/>
    <w:rsid w:val="2E5F1C45"/>
    <w:rsid w:val="2E6F330A"/>
    <w:rsid w:val="2E705AEB"/>
    <w:rsid w:val="2E813A2E"/>
    <w:rsid w:val="2E81758A"/>
    <w:rsid w:val="2E8A2220"/>
    <w:rsid w:val="2EB229E3"/>
    <w:rsid w:val="2EBD0E37"/>
    <w:rsid w:val="2EC13E2B"/>
    <w:rsid w:val="2EC47345"/>
    <w:rsid w:val="2ECB345D"/>
    <w:rsid w:val="2ED2428A"/>
    <w:rsid w:val="2EE20276"/>
    <w:rsid w:val="2EE67CD4"/>
    <w:rsid w:val="2EF10DD9"/>
    <w:rsid w:val="2EF91817"/>
    <w:rsid w:val="2EFF6222"/>
    <w:rsid w:val="2F067332"/>
    <w:rsid w:val="2F0D407F"/>
    <w:rsid w:val="2F0D7070"/>
    <w:rsid w:val="2F1E64F6"/>
    <w:rsid w:val="2F2701B6"/>
    <w:rsid w:val="2F2B3D4C"/>
    <w:rsid w:val="2F304C82"/>
    <w:rsid w:val="2F327FAD"/>
    <w:rsid w:val="2F430CE4"/>
    <w:rsid w:val="2F46489B"/>
    <w:rsid w:val="2F466F34"/>
    <w:rsid w:val="2F4744A7"/>
    <w:rsid w:val="2F47605F"/>
    <w:rsid w:val="2F4772C6"/>
    <w:rsid w:val="2F495922"/>
    <w:rsid w:val="2F4C62DB"/>
    <w:rsid w:val="2F5C3B54"/>
    <w:rsid w:val="2F656EAC"/>
    <w:rsid w:val="2F8310E0"/>
    <w:rsid w:val="2F833432"/>
    <w:rsid w:val="2F84625D"/>
    <w:rsid w:val="2F8C4439"/>
    <w:rsid w:val="2F8C5E77"/>
    <w:rsid w:val="2F8E05E0"/>
    <w:rsid w:val="2F986B1B"/>
    <w:rsid w:val="2FA15A0A"/>
    <w:rsid w:val="2FA4264D"/>
    <w:rsid w:val="2FA52A98"/>
    <w:rsid w:val="2FB3602C"/>
    <w:rsid w:val="2FBA3998"/>
    <w:rsid w:val="2FC00586"/>
    <w:rsid w:val="2FC92BF4"/>
    <w:rsid w:val="2FCA28F3"/>
    <w:rsid w:val="2FCA4353"/>
    <w:rsid w:val="2FD60848"/>
    <w:rsid w:val="2FDA5862"/>
    <w:rsid w:val="2FDE6C5E"/>
    <w:rsid w:val="2FE50990"/>
    <w:rsid w:val="300140D2"/>
    <w:rsid w:val="30180F16"/>
    <w:rsid w:val="301E3D63"/>
    <w:rsid w:val="30313158"/>
    <w:rsid w:val="30322324"/>
    <w:rsid w:val="303E74EF"/>
    <w:rsid w:val="30406F02"/>
    <w:rsid w:val="304D122A"/>
    <w:rsid w:val="305111DE"/>
    <w:rsid w:val="30586842"/>
    <w:rsid w:val="30617439"/>
    <w:rsid w:val="30675BBA"/>
    <w:rsid w:val="306C431F"/>
    <w:rsid w:val="30754D55"/>
    <w:rsid w:val="30755662"/>
    <w:rsid w:val="30797C15"/>
    <w:rsid w:val="307F0807"/>
    <w:rsid w:val="30823A8E"/>
    <w:rsid w:val="30890DB9"/>
    <w:rsid w:val="308B70BE"/>
    <w:rsid w:val="30A92DC8"/>
    <w:rsid w:val="30B57CC4"/>
    <w:rsid w:val="30BE0205"/>
    <w:rsid w:val="30C45585"/>
    <w:rsid w:val="30C86099"/>
    <w:rsid w:val="30E315FF"/>
    <w:rsid w:val="30E437BE"/>
    <w:rsid w:val="30E738F1"/>
    <w:rsid w:val="30F10937"/>
    <w:rsid w:val="30F229C1"/>
    <w:rsid w:val="30F32296"/>
    <w:rsid w:val="30F878AC"/>
    <w:rsid w:val="31102A6C"/>
    <w:rsid w:val="31102C85"/>
    <w:rsid w:val="31102E48"/>
    <w:rsid w:val="311E2685"/>
    <w:rsid w:val="31201969"/>
    <w:rsid w:val="31222B4D"/>
    <w:rsid w:val="31224929"/>
    <w:rsid w:val="31273D62"/>
    <w:rsid w:val="313A50D3"/>
    <w:rsid w:val="314F3970"/>
    <w:rsid w:val="316A07AA"/>
    <w:rsid w:val="316E01DA"/>
    <w:rsid w:val="31716E7B"/>
    <w:rsid w:val="31723B02"/>
    <w:rsid w:val="319000D6"/>
    <w:rsid w:val="31957F8C"/>
    <w:rsid w:val="319B5707"/>
    <w:rsid w:val="319D54FA"/>
    <w:rsid w:val="31B22096"/>
    <w:rsid w:val="31B22151"/>
    <w:rsid w:val="31C11014"/>
    <w:rsid w:val="31CE5713"/>
    <w:rsid w:val="31D65E3F"/>
    <w:rsid w:val="31DA3958"/>
    <w:rsid w:val="31E22A36"/>
    <w:rsid w:val="31E27428"/>
    <w:rsid w:val="31EF69E6"/>
    <w:rsid w:val="31F04F1C"/>
    <w:rsid w:val="31F77B64"/>
    <w:rsid w:val="31F938DC"/>
    <w:rsid w:val="3200110E"/>
    <w:rsid w:val="3200317A"/>
    <w:rsid w:val="320329AC"/>
    <w:rsid w:val="320C1861"/>
    <w:rsid w:val="321413D7"/>
    <w:rsid w:val="321F2FC9"/>
    <w:rsid w:val="322577D6"/>
    <w:rsid w:val="32340DB8"/>
    <w:rsid w:val="323928EB"/>
    <w:rsid w:val="324178CF"/>
    <w:rsid w:val="32420EA7"/>
    <w:rsid w:val="32481430"/>
    <w:rsid w:val="32587458"/>
    <w:rsid w:val="3264344B"/>
    <w:rsid w:val="32660CA1"/>
    <w:rsid w:val="328116C4"/>
    <w:rsid w:val="328A0A33"/>
    <w:rsid w:val="32931F82"/>
    <w:rsid w:val="3297178C"/>
    <w:rsid w:val="32A93554"/>
    <w:rsid w:val="32AA7C0B"/>
    <w:rsid w:val="32AB26B5"/>
    <w:rsid w:val="32B12408"/>
    <w:rsid w:val="32B2449E"/>
    <w:rsid w:val="32B55A55"/>
    <w:rsid w:val="32D14858"/>
    <w:rsid w:val="32E64D93"/>
    <w:rsid w:val="32ED45E0"/>
    <w:rsid w:val="32F13120"/>
    <w:rsid w:val="33090F60"/>
    <w:rsid w:val="330D3BC9"/>
    <w:rsid w:val="331035D3"/>
    <w:rsid w:val="33145D2C"/>
    <w:rsid w:val="331D0BAE"/>
    <w:rsid w:val="331F2C8E"/>
    <w:rsid w:val="3324596F"/>
    <w:rsid w:val="33303667"/>
    <w:rsid w:val="333604F0"/>
    <w:rsid w:val="3341378C"/>
    <w:rsid w:val="33770F5C"/>
    <w:rsid w:val="33774058"/>
    <w:rsid w:val="337C47C4"/>
    <w:rsid w:val="338E2C31"/>
    <w:rsid w:val="339E473B"/>
    <w:rsid w:val="33AC27B5"/>
    <w:rsid w:val="33B977C6"/>
    <w:rsid w:val="33BF6438"/>
    <w:rsid w:val="33C148CD"/>
    <w:rsid w:val="33C87A09"/>
    <w:rsid w:val="33E04D53"/>
    <w:rsid w:val="33E90EA0"/>
    <w:rsid w:val="33EC7B9C"/>
    <w:rsid w:val="33F06ACD"/>
    <w:rsid w:val="34012F1B"/>
    <w:rsid w:val="34080D6F"/>
    <w:rsid w:val="34100013"/>
    <w:rsid w:val="3421711A"/>
    <w:rsid w:val="34356023"/>
    <w:rsid w:val="3437447E"/>
    <w:rsid w:val="34390907"/>
    <w:rsid w:val="343F77C4"/>
    <w:rsid w:val="34491A66"/>
    <w:rsid w:val="344D51E1"/>
    <w:rsid w:val="34584243"/>
    <w:rsid w:val="345D2848"/>
    <w:rsid w:val="346F1641"/>
    <w:rsid w:val="34703364"/>
    <w:rsid w:val="34757B91"/>
    <w:rsid w:val="348222AE"/>
    <w:rsid w:val="348524E3"/>
    <w:rsid w:val="349415D2"/>
    <w:rsid w:val="34980548"/>
    <w:rsid w:val="34983880"/>
    <w:rsid w:val="349B3370"/>
    <w:rsid w:val="349E48DA"/>
    <w:rsid w:val="34A917D2"/>
    <w:rsid w:val="34AC6A12"/>
    <w:rsid w:val="34C46423"/>
    <w:rsid w:val="34D32B0A"/>
    <w:rsid w:val="34FA3BF3"/>
    <w:rsid w:val="34FE035F"/>
    <w:rsid w:val="34FE03F1"/>
    <w:rsid w:val="35001E3E"/>
    <w:rsid w:val="35066A3B"/>
    <w:rsid w:val="35123632"/>
    <w:rsid w:val="35142EDA"/>
    <w:rsid w:val="351729F7"/>
    <w:rsid w:val="351975ED"/>
    <w:rsid w:val="35223149"/>
    <w:rsid w:val="35262C3A"/>
    <w:rsid w:val="35301317"/>
    <w:rsid w:val="35305866"/>
    <w:rsid w:val="353F1C96"/>
    <w:rsid w:val="355358D3"/>
    <w:rsid w:val="35586B6B"/>
    <w:rsid w:val="35604349"/>
    <w:rsid w:val="3568295F"/>
    <w:rsid w:val="358515A1"/>
    <w:rsid w:val="358645DA"/>
    <w:rsid w:val="359E033D"/>
    <w:rsid w:val="35A41DB0"/>
    <w:rsid w:val="35A514F9"/>
    <w:rsid w:val="35A65B28"/>
    <w:rsid w:val="35BD20E4"/>
    <w:rsid w:val="35D00DF7"/>
    <w:rsid w:val="35DF3C76"/>
    <w:rsid w:val="35E87EEF"/>
    <w:rsid w:val="35F03248"/>
    <w:rsid w:val="35F97693"/>
    <w:rsid w:val="35FC399A"/>
    <w:rsid w:val="36097188"/>
    <w:rsid w:val="361C228F"/>
    <w:rsid w:val="36217932"/>
    <w:rsid w:val="3627310D"/>
    <w:rsid w:val="3628478F"/>
    <w:rsid w:val="362F5B1E"/>
    <w:rsid w:val="363E0D98"/>
    <w:rsid w:val="363F79C6"/>
    <w:rsid w:val="36482F81"/>
    <w:rsid w:val="365A0A03"/>
    <w:rsid w:val="365D041B"/>
    <w:rsid w:val="36647880"/>
    <w:rsid w:val="367479D5"/>
    <w:rsid w:val="3676374D"/>
    <w:rsid w:val="368470CC"/>
    <w:rsid w:val="36A209E6"/>
    <w:rsid w:val="36B50719"/>
    <w:rsid w:val="36D87CBE"/>
    <w:rsid w:val="36DE12F2"/>
    <w:rsid w:val="36E42DAC"/>
    <w:rsid w:val="36EF5FC1"/>
    <w:rsid w:val="370E1BD7"/>
    <w:rsid w:val="3720190B"/>
    <w:rsid w:val="3733381C"/>
    <w:rsid w:val="37357164"/>
    <w:rsid w:val="3753243F"/>
    <w:rsid w:val="375E11F6"/>
    <w:rsid w:val="37623CD1"/>
    <w:rsid w:val="376D2DA2"/>
    <w:rsid w:val="3771383C"/>
    <w:rsid w:val="378A5DAD"/>
    <w:rsid w:val="3793123B"/>
    <w:rsid w:val="379320DC"/>
    <w:rsid w:val="379F0A81"/>
    <w:rsid w:val="37A8268A"/>
    <w:rsid w:val="37C52BDE"/>
    <w:rsid w:val="37CB1054"/>
    <w:rsid w:val="37E35E05"/>
    <w:rsid w:val="37E56DDC"/>
    <w:rsid w:val="37E66CE8"/>
    <w:rsid w:val="37F232A7"/>
    <w:rsid w:val="37F25163"/>
    <w:rsid w:val="37FB0978"/>
    <w:rsid w:val="380E0584"/>
    <w:rsid w:val="380F7912"/>
    <w:rsid w:val="3810706C"/>
    <w:rsid w:val="38141050"/>
    <w:rsid w:val="382219A2"/>
    <w:rsid w:val="38327B47"/>
    <w:rsid w:val="383D41FD"/>
    <w:rsid w:val="384F2065"/>
    <w:rsid w:val="3862042D"/>
    <w:rsid w:val="38635F53"/>
    <w:rsid w:val="386D476C"/>
    <w:rsid w:val="386E46AB"/>
    <w:rsid w:val="38752E7D"/>
    <w:rsid w:val="38771144"/>
    <w:rsid w:val="387D65FD"/>
    <w:rsid w:val="3882287D"/>
    <w:rsid w:val="388E4356"/>
    <w:rsid w:val="389A4932"/>
    <w:rsid w:val="38A327F3"/>
    <w:rsid w:val="38A65E3F"/>
    <w:rsid w:val="38BF38A4"/>
    <w:rsid w:val="38F372D7"/>
    <w:rsid w:val="38FD33AC"/>
    <w:rsid w:val="390016D9"/>
    <w:rsid w:val="390037A2"/>
    <w:rsid w:val="3905525C"/>
    <w:rsid w:val="391D3E4B"/>
    <w:rsid w:val="392230FF"/>
    <w:rsid w:val="392576AC"/>
    <w:rsid w:val="393D2C48"/>
    <w:rsid w:val="39432B7F"/>
    <w:rsid w:val="39607F31"/>
    <w:rsid w:val="39657B4A"/>
    <w:rsid w:val="39745D84"/>
    <w:rsid w:val="397C1E1E"/>
    <w:rsid w:val="397C3770"/>
    <w:rsid w:val="39842625"/>
    <w:rsid w:val="39B114B9"/>
    <w:rsid w:val="39BD1208"/>
    <w:rsid w:val="39D0586A"/>
    <w:rsid w:val="39D07618"/>
    <w:rsid w:val="39D07647"/>
    <w:rsid w:val="39F50E2C"/>
    <w:rsid w:val="39F52A1B"/>
    <w:rsid w:val="39F72DF7"/>
    <w:rsid w:val="39FB00A4"/>
    <w:rsid w:val="39FD7407"/>
    <w:rsid w:val="3A056A4A"/>
    <w:rsid w:val="3A105C66"/>
    <w:rsid w:val="3A197EEE"/>
    <w:rsid w:val="3A213355"/>
    <w:rsid w:val="3A3130D5"/>
    <w:rsid w:val="3A440D4A"/>
    <w:rsid w:val="3A4D2A17"/>
    <w:rsid w:val="3A543DA5"/>
    <w:rsid w:val="3A683CF4"/>
    <w:rsid w:val="3A706705"/>
    <w:rsid w:val="3A7210F2"/>
    <w:rsid w:val="3A72247D"/>
    <w:rsid w:val="3A7262AF"/>
    <w:rsid w:val="3A73785D"/>
    <w:rsid w:val="3A9047F3"/>
    <w:rsid w:val="3A904AB7"/>
    <w:rsid w:val="3AAB40D7"/>
    <w:rsid w:val="3AAD2378"/>
    <w:rsid w:val="3AB4242E"/>
    <w:rsid w:val="3ADC48A5"/>
    <w:rsid w:val="3ADD1FEC"/>
    <w:rsid w:val="3AE243A8"/>
    <w:rsid w:val="3AE570F3"/>
    <w:rsid w:val="3AF215C1"/>
    <w:rsid w:val="3AF31810"/>
    <w:rsid w:val="3AF45588"/>
    <w:rsid w:val="3AFB444F"/>
    <w:rsid w:val="3B043A1D"/>
    <w:rsid w:val="3B084B8F"/>
    <w:rsid w:val="3B0B7F6D"/>
    <w:rsid w:val="3B3D7EF1"/>
    <w:rsid w:val="3B555A62"/>
    <w:rsid w:val="3B563B4D"/>
    <w:rsid w:val="3B5A10F2"/>
    <w:rsid w:val="3B634251"/>
    <w:rsid w:val="3B6B724C"/>
    <w:rsid w:val="3B707CFC"/>
    <w:rsid w:val="3B7346FF"/>
    <w:rsid w:val="3B7F12F6"/>
    <w:rsid w:val="3B883A2E"/>
    <w:rsid w:val="3B8E32E7"/>
    <w:rsid w:val="3B8E367D"/>
    <w:rsid w:val="3B965B95"/>
    <w:rsid w:val="3BA15A70"/>
    <w:rsid w:val="3BBC58B0"/>
    <w:rsid w:val="3BC629D1"/>
    <w:rsid w:val="3BC62A80"/>
    <w:rsid w:val="3BCA0C4A"/>
    <w:rsid w:val="3BD80A06"/>
    <w:rsid w:val="3BF53366"/>
    <w:rsid w:val="3C06429A"/>
    <w:rsid w:val="3C0812EB"/>
    <w:rsid w:val="3C102F41"/>
    <w:rsid w:val="3C110DE0"/>
    <w:rsid w:val="3C1B6889"/>
    <w:rsid w:val="3C270B87"/>
    <w:rsid w:val="3C362628"/>
    <w:rsid w:val="3C4542ED"/>
    <w:rsid w:val="3C4D2768"/>
    <w:rsid w:val="3C5A141B"/>
    <w:rsid w:val="3C7A1ABD"/>
    <w:rsid w:val="3C7A386B"/>
    <w:rsid w:val="3C8270C1"/>
    <w:rsid w:val="3C8347C6"/>
    <w:rsid w:val="3C862210"/>
    <w:rsid w:val="3C884BA3"/>
    <w:rsid w:val="3C94296D"/>
    <w:rsid w:val="3CAA4196"/>
    <w:rsid w:val="3CAE3557"/>
    <w:rsid w:val="3CB30C25"/>
    <w:rsid w:val="3CB6189E"/>
    <w:rsid w:val="3CBC20D5"/>
    <w:rsid w:val="3CBC5735"/>
    <w:rsid w:val="3CD92F92"/>
    <w:rsid w:val="3CDC62D4"/>
    <w:rsid w:val="3CE43076"/>
    <w:rsid w:val="3CF3200B"/>
    <w:rsid w:val="3CF94902"/>
    <w:rsid w:val="3D0A362A"/>
    <w:rsid w:val="3D163786"/>
    <w:rsid w:val="3D404AB5"/>
    <w:rsid w:val="3D4C16AB"/>
    <w:rsid w:val="3D54230E"/>
    <w:rsid w:val="3D550DAB"/>
    <w:rsid w:val="3D6D0EC7"/>
    <w:rsid w:val="3D70729D"/>
    <w:rsid w:val="3D8212BD"/>
    <w:rsid w:val="3D983C27"/>
    <w:rsid w:val="3D994F8E"/>
    <w:rsid w:val="3DA61D19"/>
    <w:rsid w:val="3DA6754E"/>
    <w:rsid w:val="3DB556D7"/>
    <w:rsid w:val="3DBA6615"/>
    <w:rsid w:val="3DD11BB1"/>
    <w:rsid w:val="3DD418EB"/>
    <w:rsid w:val="3DD56C0C"/>
    <w:rsid w:val="3DDD2303"/>
    <w:rsid w:val="3DEC2546"/>
    <w:rsid w:val="3DEF180D"/>
    <w:rsid w:val="3DF044B2"/>
    <w:rsid w:val="3DF805CC"/>
    <w:rsid w:val="3DFC4E7F"/>
    <w:rsid w:val="3E0166B6"/>
    <w:rsid w:val="3E0B50C2"/>
    <w:rsid w:val="3E1D4B75"/>
    <w:rsid w:val="3E214905"/>
    <w:rsid w:val="3E264182"/>
    <w:rsid w:val="3E2A77F1"/>
    <w:rsid w:val="3E32264F"/>
    <w:rsid w:val="3E3B77AB"/>
    <w:rsid w:val="3E3E3F6E"/>
    <w:rsid w:val="3E3F6B1A"/>
    <w:rsid w:val="3E4252D9"/>
    <w:rsid w:val="3E467DCB"/>
    <w:rsid w:val="3E4740D5"/>
    <w:rsid w:val="3E5661DC"/>
    <w:rsid w:val="3E907C2F"/>
    <w:rsid w:val="3E925F20"/>
    <w:rsid w:val="3E933797"/>
    <w:rsid w:val="3EB412B6"/>
    <w:rsid w:val="3EBE3EE3"/>
    <w:rsid w:val="3EC30DB5"/>
    <w:rsid w:val="3ECD2378"/>
    <w:rsid w:val="3ED90D1D"/>
    <w:rsid w:val="3EDC57AD"/>
    <w:rsid w:val="3EF94CDF"/>
    <w:rsid w:val="3F012022"/>
    <w:rsid w:val="3F036249"/>
    <w:rsid w:val="3F1B0955"/>
    <w:rsid w:val="3F1E31CF"/>
    <w:rsid w:val="3F283A52"/>
    <w:rsid w:val="3F3B4420"/>
    <w:rsid w:val="3F4C5993"/>
    <w:rsid w:val="3F552B07"/>
    <w:rsid w:val="3F5A3A7F"/>
    <w:rsid w:val="3F5B40F4"/>
    <w:rsid w:val="3F5F1E28"/>
    <w:rsid w:val="3F6D6075"/>
    <w:rsid w:val="3F895BC8"/>
    <w:rsid w:val="3F8C2D1A"/>
    <w:rsid w:val="3F966B9F"/>
    <w:rsid w:val="3FAC745B"/>
    <w:rsid w:val="3FAE3F57"/>
    <w:rsid w:val="3FC41290"/>
    <w:rsid w:val="3FDB0AC5"/>
    <w:rsid w:val="3FDB2873"/>
    <w:rsid w:val="3FDE5A59"/>
    <w:rsid w:val="3FEE25A6"/>
    <w:rsid w:val="3FF13525"/>
    <w:rsid w:val="3FF52C80"/>
    <w:rsid w:val="3FF82B5B"/>
    <w:rsid w:val="3FFB67F8"/>
    <w:rsid w:val="3FFD0999"/>
    <w:rsid w:val="400943E7"/>
    <w:rsid w:val="400973E0"/>
    <w:rsid w:val="400C5EB9"/>
    <w:rsid w:val="400E0E9A"/>
    <w:rsid w:val="401D2496"/>
    <w:rsid w:val="4033495A"/>
    <w:rsid w:val="403C21B3"/>
    <w:rsid w:val="403D244D"/>
    <w:rsid w:val="40430CA5"/>
    <w:rsid w:val="40442135"/>
    <w:rsid w:val="405C44D2"/>
    <w:rsid w:val="406665E0"/>
    <w:rsid w:val="407962C3"/>
    <w:rsid w:val="408D14D1"/>
    <w:rsid w:val="40905B6B"/>
    <w:rsid w:val="4095597C"/>
    <w:rsid w:val="40993106"/>
    <w:rsid w:val="409D1DE9"/>
    <w:rsid w:val="40A2464F"/>
    <w:rsid w:val="40AA5378"/>
    <w:rsid w:val="40BA08D6"/>
    <w:rsid w:val="40BC26A4"/>
    <w:rsid w:val="40BE2B06"/>
    <w:rsid w:val="40D519B8"/>
    <w:rsid w:val="40D75730"/>
    <w:rsid w:val="40D81790"/>
    <w:rsid w:val="40D84324"/>
    <w:rsid w:val="40FA4F7A"/>
    <w:rsid w:val="4107668D"/>
    <w:rsid w:val="411B561D"/>
    <w:rsid w:val="411E2466"/>
    <w:rsid w:val="411F77BE"/>
    <w:rsid w:val="412B7DF6"/>
    <w:rsid w:val="41350D1D"/>
    <w:rsid w:val="413606A8"/>
    <w:rsid w:val="41390A92"/>
    <w:rsid w:val="41395AA3"/>
    <w:rsid w:val="413A2C90"/>
    <w:rsid w:val="413C37E5"/>
    <w:rsid w:val="413E130B"/>
    <w:rsid w:val="413E2B63"/>
    <w:rsid w:val="414319B1"/>
    <w:rsid w:val="41434B73"/>
    <w:rsid w:val="414A006F"/>
    <w:rsid w:val="415B658A"/>
    <w:rsid w:val="416824DA"/>
    <w:rsid w:val="416D1FB5"/>
    <w:rsid w:val="41736541"/>
    <w:rsid w:val="4176647B"/>
    <w:rsid w:val="417E5BAB"/>
    <w:rsid w:val="41824E23"/>
    <w:rsid w:val="41894C7C"/>
    <w:rsid w:val="41951050"/>
    <w:rsid w:val="419B19F6"/>
    <w:rsid w:val="41C62CEA"/>
    <w:rsid w:val="41C94EB3"/>
    <w:rsid w:val="41D015EE"/>
    <w:rsid w:val="41D9558A"/>
    <w:rsid w:val="41E77C57"/>
    <w:rsid w:val="420625A2"/>
    <w:rsid w:val="420B38E3"/>
    <w:rsid w:val="421513CB"/>
    <w:rsid w:val="421C7123"/>
    <w:rsid w:val="42213106"/>
    <w:rsid w:val="42240501"/>
    <w:rsid w:val="422C1AAB"/>
    <w:rsid w:val="424439FF"/>
    <w:rsid w:val="4246491B"/>
    <w:rsid w:val="4253528A"/>
    <w:rsid w:val="42703C80"/>
    <w:rsid w:val="42813BA5"/>
    <w:rsid w:val="428D5136"/>
    <w:rsid w:val="42913407"/>
    <w:rsid w:val="42A45AE6"/>
    <w:rsid w:val="42A54802"/>
    <w:rsid w:val="42B63434"/>
    <w:rsid w:val="42C24FD0"/>
    <w:rsid w:val="42D24401"/>
    <w:rsid w:val="42DB7916"/>
    <w:rsid w:val="42DD6902"/>
    <w:rsid w:val="42EB32CE"/>
    <w:rsid w:val="43031913"/>
    <w:rsid w:val="43091E17"/>
    <w:rsid w:val="430E28CE"/>
    <w:rsid w:val="431D2A0C"/>
    <w:rsid w:val="43382D8B"/>
    <w:rsid w:val="433E55F2"/>
    <w:rsid w:val="4344691B"/>
    <w:rsid w:val="43452E25"/>
    <w:rsid w:val="434C281A"/>
    <w:rsid w:val="434D1CD9"/>
    <w:rsid w:val="43562841"/>
    <w:rsid w:val="43637AC9"/>
    <w:rsid w:val="436C51DF"/>
    <w:rsid w:val="43707776"/>
    <w:rsid w:val="4382178C"/>
    <w:rsid w:val="4384412A"/>
    <w:rsid w:val="438557AF"/>
    <w:rsid w:val="438576C5"/>
    <w:rsid w:val="43933260"/>
    <w:rsid w:val="43BC275F"/>
    <w:rsid w:val="43D85A47"/>
    <w:rsid w:val="43D9356D"/>
    <w:rsid w:val="43F42155"/>
    <w:rsid w:val="43FE3F5F"/>
    <w:rsid w:val="44021C7F"/>
    <w:rsid w:val="440E3217"/>
    <w:rsid w:val="441C376E"/>
    <w:rsid w:val="443261F1"/>
    <w:rsid w:val="44390021"/>
    <w:rsid w:val="44395D04"/>
    <w:rsid w:val="445906FB"/>
    <w:rsid w:val="446472DA"/>
    <w:rsid w:val="446B7F31"/>
    <w:rsid w:val="446E1F07"/>
    <w:rsid w:val="44712E06"/>
    <w:rsid w:val="447174BB"/>
    <w:rsid w:val="44900E56"/>
    <w:rsid w:val="44965602"/>
    <w:rsid w:val="44B55D88"/>
    <w:rsid w:val="44B65434"/>
    <w:rsid w:val="44B813D4"/>
    <w:rsid w:val="44B905F4"/>
    <w:rsid w:val="44BA4038"/>
    <w:rsid w:val="44C036BD"/>
    <w:rsid w:val="44C71617"/>
    <w:rsid w:val="44D04970"/>
    <w:rsid w:val="44D86B0F"/>
    <w:rsid w:val="44E41ED5"/>
    <w:rsid w:val="44E65086"/>
    <w:rsid w:val="44F17BFA"/>
    <w:rsid w:val="44FF0DB1"/>
    <w:rsid w:val="45102FBE"/>
    <w:rsid w:val="451505D5"/>
    <w:rsid w:val="4517259F"/>
    <w:rsid w:val="45287A02"/>
    <w:rsid w:val="452B7DF8"/>
    <w:rsid w:val="452C3BB0"/>
    <w:rsid w:val="45316114"/>
    <w:rsid w:val="453B25D8"/>
    <w:rsid w:val="45442347"/>
    <w:rsid w:val="4545354D"/>
    <w:rsid w:val="45533430"/>
    <w:rsid w:val="455E1F7C"/>
    <w:rsid w:val="456D6CA8"/>
    <w:rsid w:val="45700D32"/>
    <w:rsid w:val="457F787C"/>
    <w:rsid w:val="4583011C"/>
    <w:rsid w:val="459052C6"/>
    <w:rsid w:val="459E3078"/>
    <w:rsid w:val="45A10B7D"/>
    <w:rsid w:val="45AB0A76"/>
    <w:rsid w:val="45B93B37"/>
    <w:rsid w:val="45D85B67"/>
    <w:rsid w:val="45E05087"/>
    <w:rsid w:val="45E245DB"/>
    <w:rsid w:val="45E529EA"/>
    <w:rsid w:val="45E561F9"/>
    <w:rsid w:val="45E858D0"/>
    <w:rsid w:val="45EA5542"/>
    <w:rsid w:val="45F34E5C"/>
    <w:rsid w:val="45F67D7B"/>
    <w:rsid w:val="45F96148"/>
    <w:rsid w:val="460348D1"/>
    <w:rsid w:val="460436F4"/>
    <w:rsid w:val="4612476D"/>
    <w:rsid w:val="4618037D"/>
    <w:rsid w:val="461865CE"/>
    <w:rsid w:val="46357E8A"/>
    <w:rsid w:val="46380A1F"/>
    <w:rsid w:val="463E4D14"/>
    <w:rsid w:val="464060FB"/>
    <w:rsid w:val="46420213"/>
    <w:rsid w:val="46517D32"/>
    <w:rsid w:val="465861FD"/>
    <w:rsid w:val="465B64BB"/>
    <w:rsid w:val="46674E60"/>
    <w:rsid w:val="46686C31"/>
    <w:rsid w:val="46762255"/>
    <w:rsid w:val="46787D24"/>
    <w:rsid w:val="46896345"/>
    <w:rsid w:val="46C04E4C"/>
    <w:rsid w:val="46C63E9C"/>
    <w:rsid w:val="46C6427C"/>
    <w:rsid w:val="46C93D6D"/>
    <w:rsid w:val="46E22739"/>
    <w:rsid w:val="46EC3837"/>
    <w:rsid w:val="46FA3C5C"/>
    <w:rsid w:val="46FA78FD"/>
    <w:rsid w:val="47152B0E"/>
    <w:rsid w:val="471913A5"/>
    <w:rsid w:val="472D60AA"/>
    <w:rsid w:val="47320EEB"/>
    <w:rsid w:val="474A00D9"/>
    <w:rsid w:val="47607747"/>
    <w:rsid w:val="47740AD9"/>
    <w:rsid w:val="47835CCA"/>
    <w:rsid w:val="478B308C"/>
    <w:rsid w:val="47A47B8B"/>
    <w:rsid w:val="47AD2D46"/>
    <w:rsid w:val="47AE5B4B"/>
    <w:rsid w:val="47AE7044"/>
    <w:rsid w:val="47B440D5"/>
    <w:rsid w:val="47B8654C"/>
    <w:rsid w:val="47B916EB"/>
    <w:rsid w:val="47C3256A"/>
    <w:rsid w:val="47C80402"/>
    <w:rsid w:val="47CC6B42"/>
    <w:rsid w:val="47E24441"/>
    <w:rsid w:val="47ED3A8B"/>
    <w:rsid w:val="47FD1C99"/>
    <w:rsid w:val="47FD3CCE"/>
    <w:rsid w:val="4803505C"/>
    <w:rsid w:val="480E290B"/>
    <w:rsid w:val="48235FA1"/>
    <w:rsid w:val="48261527"/>
    <w:rsid w:val="48425B85"/>
    <w:rsid w:val="4847568C"/>
    <w:rsid w:val="48522F43"/>
    <w:rsid w:val="485407C7"/>
    <w:rsid w:val="4857586E"/>
    <w:rsid w:val="48592672"/>
    <w:rsid w:val="4860600B"/>
    <w:rsid w:val="487A1E2A"/>
    <w:rsid w:val="48851BD0"/>
    <w:rsid w:val="48890643"/>
    <w:rsid w:val="48912668"/>
    <w:rsid w:val="489451D8"/>
    <w:rsid w:val="48947B7C"/>
    <w:rsid w:val="48A22238"/>
    <w:rsid w:val="48A24875"/>
    <w:rsid w:val="48A40B02"/>
    <w:rsid w:val="48A70039"/>
    <w:rsid w:val="48AA0A8A"/>
    <w:rsid w:val="48C804D3"/>
    <w:rsid w:val="48DA7B6B"/>
    <w:rsid w:val="48DB5895"/>
    <w:rsid w:val="48DC2683"/>
    <w:rsid w:val="48EA3B26"/>
    <w:rsid w:val="48F43B85"/>
    <w:rsid w:val="49063BCB"/>
    <w:rsid w:val="490C4042"/>
    <w:rsid w:val="49117305"/>
    <w:rsid w:val="49262B2D"/>
    <w:rsid w:val="49262EB2"/>
    <w:rsid w:val="49282FCC"/>
    <w:rsid w:val="492C3F14"/>
    <w:rsid w:val="49351245"/>
    <w:rsid w:val="49373210"/>
    <w:rsid w:val="4953791E"/>
    <w:rsid w:val="49572DFB"/>
    <w:rsid w:val="4957694E"/>
    <w:rsid w:val="495825DA"/>
    <w:rsid w:val="495F2991"/>
    <w:rsid w:val="4962179E"/>
    <w:rsid w:val="49693E74"/>
    <w:rsid w:val="496F0653"/>
    <w:rsid w:val="49726573"/>
    <w:rsid w:val="49785F7B"/>
    <w:rsid w:val="4989182E"/>
    <w:rsid w:val="49971591"/>
    <w:rsid w:val="49A5461D"/>
    <w:rsid w:val="49A60395"/>
    <w:rsid w:val="49A62143"/>
    <w:rsid w:val="49B14177"/>
    <w:rsid w:val="49B31524"/>
    <w:rsid w:val="49CF6F3D"/>
    <w:rsid w:val="49E65525"/>
    <w:rsid w:val="49F97882"/>
    <w:rsid w:val="4A0A3D88"/>
    <w:rsid w:val="4A1A088D"/>
    <w:rsid w:val="4A1B519B"/>
    <w:rsid w:val="4A271D5E"/>
    <w:rsid w:val="4A366C60"/>
    <w:rsid w:val="4A3B0C1C"/>
    <w:rsid w:val="4A451330"/>
    <w:rsid w:val="4A4F27DB"/>
    <w:rsid w:val="4A563B69"/>
    <w:rsid w:val="4A704A61"/>
    <w:rsid w:val="4A791A90"/>
    <w:rsid w:val="4A871F75"/>
    <w:rsid w:val="4A8C0235"/>
    <w:rsid w:val="4A9138C5"/>
    <w:rsid w:val="4A984651"/>
    <w:rsid w:val="4A9E2E1A"/>
    <w:rsid w:val="4A9F1FB3"/>
    <w:rsid w:val="4AA66DFD"/>
    <w:rsid w:val="4AB4263E"/>
    <w:rsid w:val="4AB50890"/>
    <w:rsid w:val="4ABB577A"/>
    <w:rsid w:val="4ABC3794"/>
    <w:rsid w:val="4ABE2A8F"/>
    <w:rsid w:val="4AC72AD7"/>
    <w:rsid w:val="4ADA1F63"/>
    <w:rsid w:val="4ADB66D4"/>
    <w:rsid w:val="4AE4195E"/>
    <w:rsid w:val="4AF11AD7"/>
    <w:rsid w:val="4AF12DA6"/>
    <w:rsid w:val="4AFF47E8"/>
    <w:rsid w:val="4B0326F8"/>
    <w:rsid w:val="4B1E117A"/>
    <w:rsid w:val="4B1E132F"/>
    <w:rsid w:val="4B241572"/>
    <w:rsid w:val="4B275C4D"/>
    <w:rsid w:val="4B3043BA"/>
    <w:rsid w:val="4B31299F"/>
    <w:rsid w:val="4B3E5B32"/>
    <w:rsid w:val="4B4E4840"/>
    <w:rsid w:val="4B533C05"/>
    <w:rsid w:val="4B5856BF"/>
    <w:rsid w:val="4B747061"/>
    <w:rsid w:val="4B8E2902"/>
    <w:rsid w:val="4B9363D5"/>
    <w:rsid w:val="4BB06DB8"/>
    <w:rsid w:val="4BB51B23"/>
    <w:rsid w:val="4BC863A1"/>
    <w:rsid w:val="4BE96317"/>
    <w:rsid w:val="4BF00726"/>
    <w:rsid w:val="4BF453E8"/>
    <w:rsid w:val="4BF841D3"/>
    <w:rsid w:val="4C107D48"/>
    <w:rsid w:val="4C137523"/>
    <w:rsid w:val="4C1C3D28"/>
    <w:rsid w:val="4C26121A"/>
    <w:rsid w:val="4C283F94"/>
    <w:rsid w:val="4C2A2BB8"/>
    <w:rsid w:val="4C303F46"/>
    <w:rsid w:val="4C312014"/>
    <w:rsid w:val="4C4B52F4"/>
    <w:rsid w:val="4C5948B1"/>
    <w:rsid w:val="4C6B4A45"/>
    <w:rsid w:val="4C88556D"/>
    <w:rsid w:val="4C8A5D4C"/>
    <w:rsid w:val="4C8C1137"/>
    <w:rsid w:val="4C9813E8"/>
    <w:rsid w:val="4CA46E0E"/>
    <w:rsid w:val="4CA85525"/>
    <w:rsid w:val="4CBE77A4"/>
    <w:rsid w:val="4CC30ED8"/>
    <w:rsid w:val="4CDF7E46"/>
    <w:rsid w:val="4CEC4C74"/>
    <w:rsid w:val="4CED534E"/>
    <w:rsid w:val="4CEE62DB"/>
    <w:rsid w:val="4CF37072"/>
    <w:rsid w:val="4D01600E"/>
    <w:rsid w:val="4D0B7697"/>
    <w:rsid w:val="4D0D6339"/>
    <w:rsid w:val="4D1D096E"/>
    <w:rsid w:val="4D5D0C8E"/>
    <w:rsid w:val="4D600EC9"/>
    <w:rsid w:val="4D615438"/>
    <w:rsid w:val="4D7204C6"/>
    <w:rsid w:val="4D73431C"/>
    <w:rsid w:val="4D75797B"/>
    <w:rsid w:val="4D7762D0"/>
    <w:rsid w:val="4D7A191D"/>
    <w:rsid w:val="4D7B7211"/>
    <w:rsid w:val="4D7F33D7"/>
    <w:rsid w:val="4D814A59"/>
    <w:rsid w:val="4D906B4D"/>
    <w:rsid w:val="4D9A4EDE"/>
    <w:rsid w:val="4D9C4A8E"/>
    <w:rsid w:val="4DA92202"/>
    <w:rsid w:val="4DAE7CEA"/>
    <w:rsid w:val="4DB1767E"/>
    <w:rsid w:val="4DB6662C"/>
    <w:rsid w:val="4DC46900"/>
    <w:rsid w:val="4DCE1C69"/>
    <w:rsid w:val="4DCF262C"/>
    <w:rsid w:val="4DD3102D"/>
    <w:rsid w:val="4DD74FC1"/>
    <w:rsid w:val="4DD8074F"/>
    <w:rsid w:val="4DDA04FF"/>
    <w:rsid w:val="4DE167DD"/>
    <w:rsid w:val="4DE34E80"/>
    <w:rsid w:val="4DF56AA7"/>
    <w:rsid w:val="4E0467D7"/>
    <w:rsid w:val="4E130D1F"/>
    <w:rsid w:val="4E213BD3"/>
    <w:rsid w:val="4E214614"/>
    <w:rsid w:val="4E2B70BB"/>
    <w:rsid w:val="4E496100"/>
    <w:rsid w:val="4E533B10"/>
    <w:rsid w:val="4E5F1907"/>
    <w:rsid w:val="4E6E603C"/>
    <w:rsid w:val="4E772300"/>
    <w:rsid w:val="4E7E543D"/>
    <w:rsid w:val="4E886196"/>
    <w:rsid w:val="4E9E163B"/>
    <w:rsid w:val="4E9F7009"/>
    <w:rsid w:val="4EA9609C"/>
    <w:rsid w:val="4EB47AF7"/>
    <w:rsid w:val="4EB70E3E"/>
    <w:rsid w:val="4EBB3F9B"/>
    <w:rsid w:val="4ED07D21"/>
    <w:rsid w:val="4ED41F08"/>
    <w:rsid w:val="4EDE7C89"/>
    <w:rsid w:val="4EE00EC5"/>
    <w:rsid w:val="4EE2326E"/>
    <w:rsid w:val="4EEF2C61"/>
    <w:rsid w:val="4EF61DD1"/>
    <w:rsid w:val="4F0168C6"/>
    <w:rsid w:val="4F144D58"/>
    <w:rsid w:val="4F18038A"/>
    <w:rsid w:val="4F181D81"/>
    <w:rsid w:val="4F18680D"/>
    <w:rsid w:val="4F2A2ECF"/>
    <w:rsid w:val="4F367AC5"/>
    <w:rsid w:val="4F3B332E"/>
    <w:rsid w:val="4F3E697A"/>
    <w:rsid w:val="4F4421E2"/>
    <w:rsid w:val="4F4C72E9"/>
    <w:rsid w:val="4F4F6674"/>
    <w:rsid w:val="4F6262BD"/>
    <w:rsid w:val="4F701847"/>
    <w:rsid w:val="4F7702AB"/>
    <w:rsid w:val="4F8623FE"/>
    <w:rsid w:val="4F9C4678"/>
    <w:rsid w:val="4FA15035"/>
    <w:rsid w:val="4FAD02ED"/>
    <w:rsid w:val="4FB10B24"/>
    <w:rsid w:val="4FB12E0A"/>
    <w:rsid w:val="4FB2158F"/>
    <w:rsid w:val="4FB42A47"/>
    <w:rsid w:val="4FBA4253"/>
    <w:rsid w:val="4FC43323"/>
    <w:rsid w:val="4FDA2B47"/>
    <w:rsid w:val="4FDF015D"/>
    <w:rsid w:val="4FE167A3"/>
    <w:rsid w:val="4FF26144"/>
    <w:rsid w:val="4FFF782C"/>
    <w:rsid w:val="50090642"/>
    <w:rsid w:val="500B71A4"/>
    <w:rsid w:val="5012408F"/>
    <w:rsid w:val="50171AC6"/>
    <w:rsid w:val="50233F34"/>
    <w:rsid w:val="502B5150"/>
    <w:rsid w:val="503D056A"/>
    <w:rsid w:val="50406E4E"/>
    <w:rsid w:val="50424937"/>
    <w:rsid w:val="50451D3B"/>
    <w:rsid w:val="50487B81"/>
    <w:rsid w:val="504B2268"/>
    <w:rsid w:val="504B57F2"/>
    <w:rsid w:val="505A5A36"/>
    <w:rsid w:val="505C0F03"/>
    <w:rsid w:val="506968FB"/>
    <w:rsid w:val="50735214"/>
    <w:rsid w:val="507F724A"/>
    <w:rsid w:val="50817820"/>
    <w:rsid w:val="50834F8C"/>
    <w:rsid w:val="50897C3C"/>
    <w:rsid w:val="508A631B"/>
    <w:rsid w:val="508B3E41"/>
    <w:rsid w:val="5091704F"/>
    <w:rsid w:val="50A1095B"/>
    <w:rsid w:val="50A1234C"/>
    <w:rsid w:val="50AC11E4"/>
    <w:rsid w:val="50B0429D"/>
    <w:rsid w:val="50C17863"/>
    <w:rsid w:val="50C21573"/>
    <w:rsid w:val="50C332AA"/>
    <w:rsid w:val="50D11D3D"/>
    <w:rsid w:val="50DF6D0D"/>
    <w:rsid w:val="51077BCA"/>
    <w:rsid w:val="51143E36"/>
    <w:rsid w:val="51172EEC"/>
    <w:rsid w:val="513702C6"/>
    <w:rsid w:val="513C433A"/>
    <w:rsid w:val="5144505A"/>
    <w:rsid w:val="51487A2C"/>
    <w:rsid w:val="51556929"/>
    <w:rsid w:val="515A09E8"/>
    <w:rsid w:val="515C4CC4"/>
    <w:rsid w:val="51635294"/>
    <w:rsid w:val="51956D25"/>
    <w:rsid w:val="519A7DC4"/>
    <w:rsid w:val="51A5108F"/>
    <w:rsid w:val="51A74CAA"/>
    <w:rsid w:val="51AE428B"/>
    <w:rsid w:val="51B31BC1"/>
    <w:rsid w:val="51B977CF"/>
    <w:rsid w:val="51E20EDC"/>
    <w:rsid w:val="51E41A5B"/>
    <w:rsid w:val="51EE6435"/>
    <w:rsid w:val="51F021AD"/>
    <w:rsid w:val="51F16987"/>
    <w:rsid w:val="51F63F1B"/>
    <w:rsid w:val="51FE0D6E"/>
    <w:rsid w:val="52044E1D"/>
    <w:rsid w:val="520E2E26"/>
    <w:rsid w:val="520F2674"/>
    <w:rsid w:val="52164189"/>
    <w:rsid w:val="522F6471"/>
    <w:rsid w:val="52392F23"/>
    <w:rsid w:val="5239783D"/>
    <w:rsid w:val="52416E80"/>
    <w:rsid w:val="524D5852"/>
    <w:rsid w:val="526C74C3"/>
    <w:rsid w:val="526E44CD"/>
    <w:rsid w:val="526F0D33"/>
    <w:rsid w:val="527903F5"/>
    <w:rsid w:val="528A6330"/>
    <w:rsid w:val="528B637A"/>
    <w:rsid w:val="529133F1"/>
    <w:rsid w:val="52AF02BB"/>
    <w:rsid w:val="52AF3DBD"/>
    <w:rsid w:val="52B61649"/>
    <w:rsid w:val="52B83BB6"/>
    <w:rsid w:val="52BB7DFA"/>
    <w:rsid w:val="52CB56EE"/>
    <w:rsid w:val="52DB2E5E"/>
    <w:rsid w:val="52E77071"/>
    <w:rsid w:val="52EA12F3"/>
    <w:rsid w:val="52F94373"/>
    <w:rsid w:val="53062281"/>
    <w:rsid w:val="5313553A"/>
    <w:rsid w:val="53135DC6"/>
    <w:rsid w:val="53146E17"/>
    <w:rsid w:val="53202F66"/>
    <w:rsid w:val="53281E1B"/>
    <w:rsid w:val="532A6836"/>
    <w:rsid w:val="534D74AF"/>
    <w:rsid w:val="534F55EA"/>
    <w:rsid w:val="536C1D08"/>
    <w:rsid w:val="536F55B6"/>
    <w:rsid w:val="537D6E41"/>
    <w:rsid w:val="538A1AD2"/>
    <w:rsid w:val="538B4884"/>
    <w:rsid w:val="53952E53"/>
    <w:rsid w:val="53986FA1"/>
    <w:rsid w:val="53A815DD"/>
    <w:rsid w:val="53AC0356"/>
    <w:rsid w:val="53AF087C"/>
    <w:rsid w:val="53BD42D4"/>
    <w:rsid w:val="53C03E02"/>
    <w:rsid w:val="53C953AC"/>
    <w:rsid w:val="53EE72C6"/>
    <w:rsid w:val="53F003EF"/>
    <w:rsid w:val="540B13F1"/>
    <w:rsid w:val="540B7773"/>
    <w:rsid w:val="5417525C"/>
    <w:rsid w:val="541771E9"/>
    <w:rsid w:val="541A6B51"/>
    <w:rsid w:val="54260518"/>
    <w:rsid w:val="54336CC9"/>
    <w:rsid w:val="5438608E"/>
    <w:rsid w:val="54430373"/>
    <w:rsid w:val="544669FD"/>
    <w:rsid w:val="545574C5"/>
    <w:rsid w:val="545E3D46"/>
    <w:rsid w:val="545F361A"/>
    <w:rsid w:val="54876977"/>
    <w:rsid w:val="549E4143"/>
    <w:rsid w:val="54AD7595"/>
    <w:rsid w:val="54B25E40"/>
    <w:rsid w:val="54BE459A"/>
    <w:rsid w:val="54D46E00"/>
    <w:rsid w:val="54E01871"/>
    <w:rsid w:val="54E67898"/>
    <w:rsid w:val="54ED6E78"/>
    <w:rsid w:val="54FB7079"/>
    <w:rsid w:val="5504431A"/>
    <w:rsid w:val="5516017D"/>
    <w:rsid w:val="55171D5C"/>
    <w:rsid w:val="55194A4A"/>
    <w:rsid w:val="55354676"/>
    <w:rsid w:val="55392BD9"/>
    <w:rsid w:val="553C597C"/>
    <w:rsid w:val="55402AC2"/>
    <w:rsid w:val="55437CB7"/>
    <w:rsid w:val="554A7E27"/>
    <w:rsid w:val="554C2A2C"/>
    <w:rsid w:val="555A1668"/>
    <w:rsid w:val="555B416B"/>
    <w:rsid w:val="555D3FFE"/>
    <w:rsid w:val="55674E7D"/>
    <w:rsid w:val="556A671B"/>
    <w:rsid w:val="556B4035"/>
    <w:rsid w:val="5575017C"/>
    <w:rsid w:val="55757E11"/>
    <w:rsid w:val="55886BA1"/>
    <w:rsid w:val="5591600D"/>
    <w:rsid w:val="55943798"/>
    <w:rsid w:val="55A206F9"/>
    <w:rsid w:val="55BE3295"/>
    <w:rsid w:val="55C0173B"/>
    <w:rsid w:val="55CC368F"/>
    <w:rsid w:val="55D51354"/>
    <w:rsid w:val="55DF4BE8"/>
    <w:rsid w:val="55EE3E3C"/>
    <w:rsid w:val="55F409FE"/>
    <w:rsid w:val="55FB7373"/>
    <w:rsid w:val="55FD211F"/>
    <w:rsid w:val="56053BDD"/>
    <w:rsid w:val="5608544B"/>
    <w:rsid w:val="560950E0"/>
    <w:rsid w:val="561A5A4B"/>
    <w:rsid w:val="562D7964"/>
    <w:rsid w:val="563446C2"/>
    <w:rsid w:val="563565ED"/>
    <w:rsid w:val="56440315"/>
    <w:rsid w:val="564C7BCE"/>
    <w:rsid w:val="565634E8"/>
    <w:rsid w:val="56587A30"/>
    <w:rsid w:val="565A21AA"/>
    <w:rsid w:val="565E2B72"/>
    <w:rsid w:val="565F3782"/>
    <w:rsid w:val="56602EF6"/>
    <w:rsid w:val="56663489"/>
    <w:rsid w:val="566832A7"/>
    <w:rsid w:val="566F10FD"/>
    <w:rsid w:val="567B1855"/>
    <w:rsid w:val="567B7416"/>
    <w:rsid w:val="567C0E13"/>
    <w:rsid w:val="567C3D09"/>
    <w:rsid w:val="569E667C"/>
    <w:rsid w:val="56AA6134"/>
    <w:rsid w:val="56AF5AF8"/>
    <w:rsid w:val="56B80083"/>
    <w:rsid w:val="56C67249"/>
    <w:rsid w:val="56D36FB6"/>
    <w:rsid w:val="56DC7FCD"/>
    <w:rsid w:val="56E37F83"/>
    <w:rsid w:val="56F91B04"/>
    <w:rsid w:val="56FC04D0"/>
    <w:rsid w:val="57032983"/>
    <w:rsid w:val="5705494D"/>
    <w:rsid w:val="57055CB3"/>
    <w:rsid w:val="570D735E"/>
    <w:rsid w:val="57173052"/>
    <w:rsid w:val="572D5EB9"/>
    <w:rsid w:val="57312105"/>
    <w:rsid w:val="573A47F4"/>
    <w:rsid w:val="574261D1"/>
    <w:rsid w:val="574D23FA"/>
    <w:rsid w:val="575612E0"/>
    <w:rsid w:val="57605364"/>
    <w:rsid w:val="5765537C"/>
    <w:rsid w:val="576A47B0"/>
    <w:rsid w:val="57731D85"/>
    <w:rsid w:val="57853398"/>
    <w:rsid w:val="5798756F"/>
    <w:rsid w:val="579E061E"/>
    <w:rsid w:val="579F2B50"/>
    <w:rsid w:val="57AF0644"/>
    <w:rsid w:val="57B303A3"/>
    <w:rsid w:val="57BD4A5B"/>
    <w:rsid w:val="57C62A10"/>
    <w:rsid w:val="57C70491"/>
    <w:rsid w:val="57CA16F3"/>
    <w:rsid w:val="57CB5CDA"/>
    <w:rsid w:val="57DD7AEF"/>
    <w:rsid w:val="57EF2F07"/>
    <w:rsid w:val="57F77651"/>
    <w:rsid w:val="58066460"/>
    <w:rsid w:val="580E58D8"/>
    <w:rsid w:val="580F6D68"/>
    <w:rsid w:val="581F48DC"/>
    <w:rsid w:val="583152CE"/>
    <w:rsid w:val="583354EA"/>
    <w:rsid w:val="58346A24"/>
    <w:rsid w:val="58447867"/>
    <w:rsid w:val="58450B68"/>
    <w:rsid w:val="5846521D"/>
    <w:rsid w:val="58474AF1"/>
    <w:rsid w:val="585039A6"/>
    <w:rsid w:val="58580A6A"/>
    <w:rsid w:val="586B0507"/>
    <w:rsid w:val="58774DB2"/>
    <w:rsid w:val="587B56FB"/>
    <w:rsid w:val="587C0C3F"/>
    <w:rsid w:val="58921AD3"/>
    <w:rsid w:val="58956858"/>
    <w:rsid w:val="58B10679"/>
    <w:rsid w:val="58BC28DC"/>
    <w:rsid w:val="58D740C7"/>
    <w:rsid w:val="58DC0145"/>
    <w:rsid w:val="58EE3AE1"/>
    <w:rsid w:val="58F05189"/>
    <w:rsid w:val="58F212EB"/>
    <w:rsid w:val="58F307D5"/>
    <w:rsid w:val="58F3101F"/>
    <w:rsid w:val="58FA528A"/>
    <w:rsid w:val="5900361E"/>
    <w:rsid w:val="59350DEE"/>
    <w:rsid w:val="5935604A"/>
    <w:rsid w:val="5939268C"/>
    <w:rsid w:val="593C3F2A"/>
    <w:rsid w:val="593D68F2"/>
    <w:rsid w:val="59623355"/>
    <w:rsid w:val="596A30C0"/>
    <w:rsid w:val="596B490D"/>
    <w:rsid w:val="5972012C"/>
    <w:rsid w:val="59864BB0"/>
    <w:rsid w:val="598D29D8"/>
    <w:rsid w:val="598F71DF"/>
    <w:rsid w:val="59927FEE"/>
    <w:rsid w:val="59965D30"/>
    <w:rsid w:val="599A6FAF"/>
    <w:rsid w:val="599B4709"/>
    <w:rsid w:val="59C21096"/>
    <w:rsid w:val="59C63F80"/>
    <w:rsid w:val="59E0732E"/>
    <w:rsid w:val="59E720E8"/>
    <w:rsid w:val="59F9006D"/>
    <w:rsid w:val="59FA2EA9"/>
    <w:rsid w:val="5A056A12"/>
    <w:rsid w:val="5A0E434D"/>
    <w:rsid w:val="5A181C21"/>
    <w:rsid w:val="5A1D69CB"/>
    <w:rsid w:val="5A236E98"/>
    <w:rsid w:val="5A2A46CB"/>
    <w:rsid w:val="5A2E7D17"/>
    <w:rsid w:val="5A393967"/>
    <w:rsid w:val="5A395DA5"/>
    <w:rsid w:val="5A3B286D"/>
    <w:rsid w:val="5A421A14"/>
    <w:rsid w:val="5A4E45EF"/>
    <w:rsid w:val="5A527871"/>
    <w:rsid w:val="5A731374"/>
    <w:rsid w:val="5A7406CF"/>
    <w:rsid w:val="5A7A5D25"/>
    <w:rsid w:val="5A8F7A3A"/>
    <w:rsid w:val="5A904FD4"/>
    <w:rsid w:val="5A941811"/>
    <w:rsid w:val="5A996F37"/>
    <w:rsid w:val="5AA755E3"/>
    <w:rsid w:val="5ABF62C1"/>
    <w:rsid w:val="5AD52888"/>
    <w:rsid w:val="5ADA7E9F"/>
    <w:rsid w:val="5AE32EB4"/>
    <w:rsid w:val="5AF947C9"/>
    <w:rsid w:val="5B060C94"/>
    <w:rsid w:val="5B076365"/>
    <w:rsid w:val="5B13515F"/>
    <w:rsid w:val="5B1453FE"/>
    <w:rsid w:val="5B1B6721"/>
    <w:rsid w:val="5B2C6CD4"/>
    <w:rsid w:val="5B2F01EA"/>
    <w:rsid w:val="5B42334E"/>
    <w:rsid w:val="5B503CBD"/>
    <w:rsid w:val="5B7114D5"/>
    <w:rsid w:val="5B73752C"/>
    <w:rsid w:val="5B7C6858"/>
    <w:rsid w:val="5B8F2A37"/>
    <w:rsid w:val="5B9938B6"/>
    <w:rsid w:val="5BA02E96"/>
    <w:rsid w:val="5BA2776E"/>
    <w:rsid w:val="5BAA35EF"/>
    <w:rsid w:val="5BC13A95"/>
    <w:rsid w:val="5BC16969"/>
    <w:rsid w:val="5BD20B76"/>
    <w:rsid w:val="5BD743DE"/>
    <w:rsid w:val="5BDF79D4"/>
    <w:rsid w:val="5BE069CE"/>
    <w:rsid w:val="5BF40AEC"/>
    <w:rsid w:val="5C001E95"/>
    <w:rsid w:val="5C036210"/>
    <w:rsid w:val="5C0C7E11"/>
    <w:rsid w:val="5C12559D"/>
    <w:rsid w:val="5C1B782B"/>
    <w:rsid w:val="5C1E6D45"/>
    <w:rsid w:val="5C245875"/>
    <w:rsid w:val="5C2634D8"/>
    <w:rsid w:val="5C2957D7"/>
    <w:rsid w:val="5C38447A"/>
    <w:rsid w:val="5C484A27"/>
    <w:rsid w:val="5C533A65"/>
    <w:rsid w:val="5C6C7DD7"/>
    <w:rsid w:val="5C735EB5"/>
    <w:rsid w:val="5C835072"/>
    <w:rsid w:val="5CA55F7B"/>
    <w:rsid w:val="5CA70254"/>
    <w:rsid w:val="5CAE4CAF"/>
    <w:rsid w:val="5CC44962"/>
    <w:rsid w:val="5CC606DB"/>
    <w:rsid w:val="5CD96B84"/>
    <w:rsid w:val="5CDA3F26"/>
    <w:rsid w:val="5CDF5BEB"/>
    <w:rsid w:val="5CE96453"/>
    <w:rsid w:val="5CEB47DB"/>
    <w:rsid w:val="5CFD7E74"/>
    <w:rsid w:val="5D081262"/>
    <w:rsid w:val="5D107BA8"/>
    <w:rsid w:val="5D267F6F"/>
    <w:rsid w:val="5D3715D8"/>
    <w:rsid w:val="5D4C4156"/>
    <w:rsid w:val="5D4C5837"/>
    <w:rsid w:val="5D4C659F"/>
    <w:rsid w:val="5D4F6922"/>
    <w:rsid w:val="5D6B07EC"/>
    <w:rsid w:val="5D6D4FFA"/>
    <w:rsid w:val="5D803F4F"/>
    <w:rsid w:val="5D81369C"/>
    <w:rsid w:val="5D82090B"/>
    <w:rsid w:val="5D83037A"/>
    <w:rsid w:val="5D832C2F"/>
    <w:rsid w:val="5D8A140E"/>
    <w:rsid w:val="5D9862E9"/>
    <w:rsid w:val="5D9A56C3"/>
    <w:rsid w:val="5D9B79CB"/>
    <w:rsid w:val="5DB06C95"/>
    <w:rsid w:val="5DB52BC5"/>
    <w:rsid w:val="5DC12BDF"/>
    <w:rsid w:val="5DC13151"/>
    <w:rsid w:val="5DD9443E"/>
    <w:rsid w:val="5DEA3250"/>
    <w:rsid w:val="5E011217"/>
    <w:rsid w:val="5E051D9C"/>
    <w:rsid w:val="5E08087F"/>
    <w:rsid w:val="5E192A8C"/>
    <w:rsid w:val="5E1E68F7"/>
    <w:rsid w:val="5E224037"/>
    <w:rsid w:val="5E282CCF"/>
    <w:rsid w:val="5E2D4A30"/>
    <w:rsid w:val="5E2E3A79"/>
    <w:rsid w:val="5E3F3128"/>
    <w:rsid w:val="5E4045E7"/>
    <w:rsid w:val="5E49279E"/>
    <w:rsid w:val="5E527E8C"/>
    <w:rsid w:val="5E5D50D2"/>
    <w:rsid w:val="5E5F6487"/>
    <w:rsid w:val="5E6661CA"/>
    <w:rsid w:val="5E6C2174"/>
    <w:rsid w:val="5E705C15"/>
    <w:rsid w:val="5E7646B6"/>
    <w:rsid w:val="5E8E5228"/>
    <w:rsid w:val="5E93283E"/>
    <w:rsid w:val="5E975130"/>
    <w:rsid w:val="5E9D3853"/>
    <w:rsid w:val="5EAA6F92"/>
    <w:rsid w:val="5EB90EE3"/>
    <w:rsid w:val="5EC17640"/>
    <w:rsid w:val="5EC56770"/>
    <w:rsid w:val="5ED5133B"/>
    <w:rsid w:val="5EDC255A"/>
    <w:rsid w:val="5EE15B4F"/>
    <w:rsid w:val="5EF420AB"/>
    <w:rsid w:val="5F324C8B"/>
    <w:rsid w:val="5F506981"/>
    <w:rsid w:val="5F592AFE"/>
    <w:rsid w:val="5F5F4E16"/>
    <w:rsid w:val="5F684676"/>
    <w:rsid w:val="5F7637F7"/>
    <w:rsid w:val="5F7A1C50"/>
    <w:rsid w:val="5F7C05C5"/>
    <w:rsid w:val="5F832683"/>
    <w:rsid w:val="5F842A2D"/>
    <w:rsid w:val="5F872646"/>
    <w:rsid w:val="5F8776EE"/>
    <w:rsid w:val="5FA913B5"/>
    <w:rsid w:val="5FAD2CDA"/>
    <w:rsid w:val="5FB02F22"/>
    <w:rsid w:val="5FB675BD"/>
    <w:rsid w:val="5FB76A00"/>
    <w:rsid w:val="5FBA1B9B"/>
    <w:rsid w:val="5FBA3DFB"/>
    <w:rsid w:val="5FC15189"/>
    <w:rsid w:val="5FC30F01"/>
    <w:rsid w:val="5FC47BB7"/>
    <w:rsid w:val="5FCA3622"/>
    <w:rsid w:val="5FCD5EB1"/>
    <w:rsid w:val="5FD348D4"/>
    <w:rsid w:val="5FD51606"/>
    <w:rsid w:val="5FDC7E02"/>
    <w:rsid w:val="5FE00D38"/>
    <w:rsid w:val="5FE43136"/>
    <w:rsid w:val="5FE61766"/>
    <w:rsid w:val="5FED1A34"/>
    <w:rsid w:val="5FF47F0B"/>
    <w:rsid w:val="5FF7504F"/>
    <w:rsid w:val="5FFA17ED"/>
    <w:rsid w:val="5FFC4413"/>
    <w:rsid w:val="600339F4"/>
    <w:rsid w:val="60190F32"/>
    <w:rsid w:val="602A7636"/>
    <w:rsid w:val="60365498"/>
    <w:rsid w:val="6038228F"/>
    <w:rsid w:val="60427B6A"/>
    <w:rsid w:val="604326ED"/>
    <w:rsid w:val="604C764D"/>
    <w:rsid w:val="605D3104"/>
    <w:rsid w:val="60624676"/>
    <w:rsid w:val="6062696C"/>
    <w:rsid w:val="607468AA"/>
    <w:rsid w:val="607641C6"/>
    <w:rsid w:val="608A688B"/>
    <w:rsid w:val="6094761E"/>
    <w:rsid w:val="60955CDE"/>
    <w:rsid w:val="60962352"/>
    <w:rsid w:val="60B90C1E"/>
    <w:rsid w:val="60C2411E"/>
    <w:rsid w:val="611618F4"/>
    <w:rsid w:val="613A00F7"/>
    <w:rsid w:val="61402066"/>
    <w:rsid w:val="61483DB4"/>
    <w:rsid w:val="615C6D49"/>
    <w:rsid w:val="616D381B"/>
    <w:rsid w:val="617F70AA"/>
    <w:rsid w:val="618E4624"/>
    <w:rsid w:val="619310C7"/>
    <w:rsid w:val="61931421"/>
    <w:rsid w:val="61AD1E69"/>
    <w:rsid w:val="61B03707"/>
    <w:rsid w:val="61B52ACC"/>
    <w:rsid w:val="61BC4533"/>
    <w:rsid w:val="61D513C0"/>
    <w:rsid w:val="61D932AC"/>
    <w:rsid w:val="61E12FCC"/>
    <w:rsid w:val="61E95C00"/>
    <w:rsid w:val="61EE1B3B"/>
    <w:rsid w:val="61F142E6"/>
    <w:rsid w:val="61F1480D"/>
    <w:rsid w:val="61F651DA"/>
    <w:rsid w:val="61FD278D"/>
    <w:rsid w:val="61FE26C5"/>
    <w:rsid w:val="620F042E"/>
    <w:rsid w:val="62127F1E"/>
    <w:rsid w:val="621842B5"/>
    <w:rsid w:val="622B1E20"/>
    <w:rsid w:val="623A400D"/>
    <w:rsid w:val="624102F3"/>
    <w:rsid w:val="62436F7C"/>
    <w:rsid w:val="62440C7F"/>
    <w:rsid w:val="62620EA5"/>
    <w:rsid w:val="62622B7D"/>
    <w:rsid w:val="62683FE2"/>
    <w:rsid w:val="626A65C4"/>
    <w:rsid w:val="626C70F7"/>
    <w:rsid w:val="6271733B"/>
    <w:rsid w:val="6280036F"/>
    <w:rsid w:val="6280132C"/>
    <w:rsid w:val="62B72874"/>
    <w:rsid w:val="62C52956"/>
    <w:rsid w:val="62CE653B"/>
    <w:rsid w:val="62D07C7B"/>
    <w:rsid w:val="62D1212E"/>
    <w:rsid w:val="62D45EE4"/>
    <w:rsid w:val="62D90A3C"/>
    <w:rsid w:val="62DF2BC6"/>
    <w:rsid w:val="62E551E2"/>
    <w:rsid w:val="62F76739"/>
    <w:rsid w:val="630239F3"/>
    <w:rsid w:val="631931D8"/>
    <w:rsid w:val="63225AEA"/>
    <w:rsid w:val="6327307F"/>
    <w:rsid w:val="632C64AF"/>
    <w:rsid w:val="63307853"/>
    <w:rsid w:val="63344891"/>
    <w:rsid w:val="63377A7A"/>
    <w:rsid w:val="633A597E"/>
    <w:rsid w:val="633B16F7"/>
    <w:rsid w:val="633D7D22"/>
    <w:rsid w:val="63511A2B"/>
    <w:rsid w:val="63536A40"/>
    <w:rsid w:val="637864A7"/>
    <w:rsid w:val="637F71B2"/>
    <w:rsid w:val="639F1BAF"/>
    <w:rsid w:val="63B15515"/>
    <w:rsid w:val="63B552F8"/>
    <w:rsid w:val="63B95DD5"/>
    <w:rsid w:val="63D30291"/>
    <w:rsid w:val="63FB2B9B"/>
    <w:rsid w:val="63FC0E86"/>
    <w:rsid w:val="640B4692"/>
    <w:rsid w:val="641D7175"/>
    <w:rsid w:val="6421340B"/>
    <w:rsid w:val="642344A2"/>
    <w:rsid w:val="642A77A1"/>
    <w:rsid w:val="642E74E2"/>
    <w:rsid w:val="644B15DB"/>
    <w:rsid w:val="646031C3"/>
    <w:rsid w:val="647B0DFA"/>
    <w:rsid w:val="64805D2F"/>
    <w:rsid w:val="648715CC"/>
    <w:rsid w:val="64947310"/>
    <w:rsid w:val="64A901F2"/>
    <w:rsid w:val="64AF7CA6"/>
    <w:rsid w:val="64B477AE"/>
    <w:rsid w:val="64CE0B72"/>
    <w:rsid w:val="64D77029"/>
    <w:rsid w:val="64D94D23"/>
    <w:rsid w:val="64DD55CE"/>
    <w:rsid w:val="64E060B2"/>
    <w:rsid w:val="64E262CE"/>
    <w:rsid w:val="64EA33D4"/>
    <w:rsid w:val="64FD4EB5"/>
    <w:rsid w:val="64FF6BAD"/>
    <w:rsid w:val="65156071"/>
    <w:rsid w:val="65207558"/>
    <w:rsid w:val="65256EAA"/>
    <w:rsid w:val="652B2F74"/>
    <w:rsid w:val="6530528B"/>
    <w:rsid w:val="65331D5D"/>
    <w:rsid w:val="65331F13"/>
    <w:rsid w:val="65336B29"/>
    <w:rsid w:val="653765C2"/>
    <w:rsid w:val="653D52B2"/>
    <w:rsid w:val="65492969"/>
    <w:rsid w:val="654B50E5"/>
    <w:rsid w:val="655C1705"/>
    <w:rsid w:val="655D7702"/>
    <w:rsid w:val="658E5336"/>
    <w:rsid w:val="659375C8"/>
    <w:rsid w:val="65A03AAB"/>
    <w:rsid w:val="65A50295"/>
    <w:rsid w:val="65B043D2"/>
    <w:rsid w:val="65C43C25"/>
    <w:rsid w:val="65CE6852"/>
    <w:rsid w:val="65D042AD"/>
    <w:rsid w:val="65D64D90"/>
    <w:rsid w:val="65E923EA"/>
    <w:rsid w:val="65EF7ACC"/>
    <w:rsid w:val="6602179D"/>
    <w:rsid w:val="66123504"/>
    <w:rsid w:val="66170870"/>
    <w:rsid w:val="6618760C"/>
    <w:rsid w:val="663340D6"/>
    <w:rsid w:val="66342B59"/>
    <w:rsid w:val="66373E26"/>
    <w:rsid w:val="664A1DF0"/>
    <w:rsid w:val="66550C7C"/>
    <w:rsid w:val="66560D21"/>
    <w:rsid w:val="66570776"/>
    <w:rsid w:val="665C2657"/>
    <w:rsid w:val="666E44D5"/>
    <w:rsid w:val="667016B7"/>
    <w:rsid w:val="66705094"/>
    <w:rsid w:val="667E3DD4"/>
    <w:rsid w:val="668F1D3A"/>
    <w:rsid w:val="66983C89"/>
    <w:rsid w:val="669C425A"/>
    <w:rsid w:val="669D5217"/>
    <w:rsid w:val="669E7FD2"/>
    <w:rsid w:val="66A676F1"/>
    <w:rsid w:val="66AA03AC"/>
    <w:rsid w:val="66B57AB9"/>
    <w:rsid w:val="66BD3B89"/>
    <w:rsid w:val="66CA36E1"/>
    <w:rsid w:val="66CA417A"/>
    <w:rsid w:val="66CA7430"/>
    <w:rsid w:val="66D82907"/>
    <w:rsid w:val="67050051"/>
    <w:rsid w:val="670E3A3A"/>
    <w:rsid w:val="67112548"/>
    <w:rsid w:val="6712276E"/>
    <w:rsid w:val="67220C03"/>
    <w:rsid w:val="673213DD"/>
    <w:rsid w:val="67380427"/>
    <w:rsid w:val="67412CAF"/>
    <w:rsid w:val="67491003"/>
    <w:rsid w:val="67555A5D"/>
    <w:rsid w:val="67674868"/>
    <w:rsid w:val="676A5052"/>
    <w:rsid w:val="676B3F3A"/>
    <w:rsid w:val="67735718"/>
    <w:rsid w:val="677A5CD6"/>
    <w:rsid w:val="67816362"/>
    <w:rsid w:val="67871CA1"/>
    <w:rsid w:val="67893D52"/>
    <w:rsid w:val="679766E8"/>
    <w:rsid w:val="679D092C"/>
    <w:rsid w:val="67A27F96"/>
    <w:rsid w:val="67A41618"/>
    <w:rsid w:val="67DE7FD8"/>
    <w:rsid w:val="67DF4515"/>
    <w:rsid w:val="67EE08F1"/>
    <w:rsid w:val="67F44949"/>
    <w:rsid w:val="67F85C34"/>
    <w:rsid w:val="68132EF5"/>
    <w:rsid w:val="6820664C"/>
    <w:rsid w:val="68211702"/>
    <w:rsid w:val="682F64A8"/>
    <w:rsid w:val="68350CE4"/>
    <w:rsid w:val="68395D68"/>
    <w:rsid w:val="683F6F01"/>
    <w:rsid w:val="686B0388"/>
    <w:rsid w:val="686F74D7"/>
    <w:rsid w:val="68727968"/>
    <w:rsid w:val="688A3028"/>
    <w:rsid w:val="68957BB3"/>
    <w:rsid w:val="68A2789F"/>
    <w:rsid w:val="68AD63C2"/>
    <w:rsid w:val="68BC0EE4"/>
    <w:rsid w:val="68C11AC8"/>
    <w:rsid w:val="68CF31CA"/>
    <w:rsid w:val="68DA7967"/>
    <w:rsid w:val="68DD74D8"/>
    <w:rsid w:val="68E51EE8"/>
    <w:rsid w:val="68F241F9"/>
    <w:rsid w:val="69003FE9"/>
    <w:rsid w:val="69015C29"/>
    <w:rsid w:val="691C49C1"/>
    <w:rsid w:val="692112C9"/>
    <w:rsid w:val="69324B5A"/>
    <w:rsid w:val="69351AA8"/>
    <w:rsid w:val="69417FC4"/>
    <w:rsid w:val="69482477"/>
    <w:rsid w:val="694858F0"/>
    <w:rsid w:val="695465A4"/>
    <w:rsid w:val="69586B5E"/>
    <w:rsid w:val="6961756C"/>
    <w:rsid w:val="6966717F"/>
    <w:rsid w:val="697C2E5E"/>
    <w:rsid w:val="69821E2D"/>
    <w:rsid w:val="69884B3C"/>
    <w:rsid w:val="698C6808"/>
    <w:rsid w:val="699257FF"/>
    <w:rsid w:val="6994390F"/>
    <w:rsid w:val="69984A38"/>
    <w:rsid w:val="69992CD3"/>
    <w:rsid w:val="69B47B0D"/>
    <w:rsid w:val="69C73CE4"/>
    <w:rsid w:val="69C9510B"/>
    <w:rsid w:val="69CF0A1E"/>
    <w:rsid w:val="69D1246D"/>
    <w:rsid w:val="69D81A4D"/>
    <w:rsid w:val="69DD483F"/>
    <w:rsid w:val="69E04D5B"/>
    <w:rsid w:val="69ED6F02"/>
    <w:rsid w:val="69F044E9"/>
    <w:rsid w:val="69F60125"/>
    <w:rsid w:val="69F66377"/>
    <w:rsid w:val="69F745C9"/>
    <w:rsid w:val="6A005059"/>
    <w:rsid w:val="6A077F06"/>
    <w:rsid w:val="6A097E59"/>
    <w:rsid w:val="6A0D0A81"/>
    <w:rsid w:val="6A0E546F"/>
    <w:rsid w:val="6A0F7894"/>
    <w:rsid w:val="6A193EAF"/>
    <w:rsid w:val="6A1F669D"/>
    <w:rsid w:val="6A213ED0"/>
    <w:rsid w:val="6A3D2C1C"/>
    <w:rsid w:val="6A4315BC"/>
    <w:rsid w:val="6A49294B"/>
    <w:rsid w:val="6A535578"/>
    <w:rsid w:val="6A586006"/>
    <w:rsid w:val="6A5D1F52"/>
    <w:rsid w:val="6A6B52B8"/>
    <w:rsid w:val="6A7177BA"/>
    <w:rsid w:val="6A7C7E1F"/>
    <w:rsid w:val="6A7E5E07"/>
    <w:rsid w:val="6A8A0AA1"/>
    <w:rsid w:val="6A952428"/>
    <w:rsid w:val="6A9C6F1F"/>
    <w:rsid w:val="6A9F3F1F"/>
    <w:rsid w:val="6AA61A1F"/>
    <w:rsid w:val="6AA62D1F"/>
    <w:rsid w:val="6AB6190B"/>
    <w:rsid w:val="6AB76E56"/>
    <w:rsid w:val="6ABC20AE"/>
    <w:rsid w:val="6ACF10A2"/>
    <w:rsid w:val="6AD20B92"/>
    <w:rsid w:val="6ADE7686"/>
    <w:rsid w:val="6AF60813"/>
    <w:rsid w:val="6AFC5404"/>
    <w:rsid w:val="6AFF52FC"/>
    <w:rsid w:val="6AFF63B3"/>
    <w:rsid w:val="6B0074AE"/>
    <w:rsid w:val="6B19231D"/>
    <w:rsid w:val="6B1C5B5B"/>
    <w:rsid w:val="6B217424"/>
    <w:rsid w:val="6B2A0087"/>
    <w:rsid w:val="6B2D7B77"/>
    <w:rsid w:val="6B3037B2"/>
    <w:rsid w:val="6B451364"/>
    <w:rsid w:val="6B4762F6"/>
    <w:rsid w:val="6B4820C3"/>
    <w:rsid w:val="6B4B4C62"/>
    <w:rsid w:val="6B525830"/>
    <w:rsid w:val="6B5415A7"/>
    <w:rsid w:val="6B546B21"/>
    <w:rsid w:val="6B574014"/>
    <w:rsid w:val="6B63196B"/>
    <w:rsid w:val="6B71426E"/>
    <w:rsid w:val="6B7747FD"/>
    <w:rsid w:val="6B7800FD"/>
    <w:rsid w:val="6B7A67AF"/>
    <w:rsid w:val="6B814558"/>
    <w:rsid w:val="6B821F33"/>
    <w:rsid w:val="6B8F0831"/>
    <w:rsid w:val="6B9678B6"/>
    <w:rsid w:val="6B984B84"/>
    <w:rsid w:val="6B9866CD"/>
    <w:rsid w:val="6B9B01DE"/>
    <w:rsid w:val="6BAE5BB5"/>
    <w:rsid w:val="6BB12556"/>
    <w:rsid w:val="6BB306BC"/>
    <w:rsid w:val="6BB805D1"/>
    <w:rsid w:val="6BCB6A79"/>
    <w:rsid w:val="6BEF307E"/>
    <w:rsid w:val="6BF56C52"/>
    <w:rsid w:val="6BFE540B"/>
    <w:rsid w:val="6C1256EA"/>
    <w:rsid w:val="6C1A04F7"/>
    <w:rsid w:val="6C1A634D"/>
    <w:rsid w:val="6C262F44"/>
    <w:rsid w:val="6C2D29B7"/>
    <w:rsid w:val="6C303DC2"/>
    <w:rsid w:val="6C3D6E92"/>
    <w:rsid w:val="6C4B4A70"/>
    <w:rsid w:val="6C66047D"/>
    <w:rsid w:val="6C68355C"/>
    <w:rsid w:val="6C7D4B2E"/>
    <w:rsid w:val="6C803E37"/>
    <w:rsid w:val="6C80411E"/>
    <w:rsid w:val="6C8E6A89"/>
    <w:rsid w:val="6C976F8A"/>
    <w:rsid w:val="6C9C075E"/>
    <w:rsid w:val="6CA42BEA"/>
    <w:rsid w:val="6CAA23D4"/>
    <w:rsid w:val="6CB93DB8"/>
    <w:rsid w:val="6CBF6EF4"/>
    <w:rsid w:val="6CC8224D"/>
    <w:rsid w:val="6CEB34E8"/>
    <w:rsid w:val="6CF85EC5"/>
    <w:rsid w:val="6CFB0D6C"/>
    <w:rsid w:val="6CFD7AE5"/>
    <w:rsid w:val="6CFD7C5F"/>
    <w:rsid w:val="6D062869"/>
    <w:rsid w:val="6D0D7DA4"/>
    <w:rsid w:val="6D0E38A3"/>
    <w:rsid w:val="6D27263F"/>
    <w:rsid w:val="6D2D0302"/>
    <w:rsid w:val="6D3A3D6E"/>
    <w:rsid w:val="6D400035"/>
    <w:rsid w:val="6D41164D"/>
    <w:rsid w:val="6D435308"/>
    <w:rsid w:val="6D480FD8"/>
    <w:rsid w:val="6D4D2E0E"/>
    <w:rsid w:val="6D595571"/>
    <w:rsid w:val="6D5B500F"/>
    <w:rsid w:val="6D5F4E79"/>
    <w:rsid w:val="6D6261FE"/>
    <w:rsid w:val="6D6F32B1"/>
    <w:rsid w:val="6D814635"/>
    <w:rsid w:val="6D8223FC"/>
    <w:rsid w:val="6D825D40"/>
    <w:rsid w:val="6D8B07C8"/>
    <w:rsid w:val="6D8B53E1"/>
    <w:rsid w:val="6DA21E39"/>
    <w:rsid w:val="6DAA5EF7"/>
    <w:rsid w:val="6DB34CEB"/>
    <w:rsid w:val="6DB35745"/>
    <w:rsid w:val="6DB56CBE"/>
    <w:rsid w:val="6DC82FF0"/>
    <w:rsid w:val="6DD760D2"/>
    <w:rsid w:val="6DDB2EA4"/>
    <w:rsid w:val="6DE21A33"/>
    <w:rsid w:val="6DF46B4F"/>
    <w:rsid w:val="6DF70B9F"/>
    <w:rsid w:val="6E05302D"/>
    <w:rsid w:val="6E0B0643"/>
    <w:rsid w:val="6E104395"/>
    <w:rsid w:val="6E1A70B2"/>
    <w:rsid w:val="6E322CF5"/>
    <w:rsid w:val="6E337B9A"/>
    <w:rsid w:val="6E380D0C"/>
    <w:rsid w:val="6E3F222F"/>
    <w:rsid w:val="6E4B261D"/>
    <w:rsid w:val="6E533D98"/>
    <w:rsid w:val="6E5D69C5"/>
    <w:rsid w:val="6E644C28"/>
    <w:rsid w:val="6E69248F"/>
    <w:rsid w:val="6E7004A6"/>
    <w:rsid w:val="6E72333D"/>
    <w:rsid w:val="6E8A131C"/>
    <w:rsid w:val="6E964EF7"/>
    <w:rsid w:val="6E9A66EC"/>
    <w:rsid w:val="6E9C74ED"/>
    <w:rsid w:val="6EA434F0"/>
    <w:rsid w:val="6EA445F4"/>
    <w:rsid w:val="6EA74152"/>
    <w:rsid w:val="6EB54C13"/>
    <w:rsid w:val="6EC46886"/>
    <w:rsid w:val="6ED963DF"/>
    <w:rsid w:val="6EE8446A"/>
    <w:rsid w:val="6EF060B5"/>
    <w:rsid w:val="6EFC61DE"/>
    <w:rsid w:val="6EFD09A0"/>
    <w:rsid w:val="6F146B46"/>
    <w:rsid w:val="6F212EC1"/>
    <w:rsid w:val="6F2C2ECD"/>
    <w:rsid w:val="6F306D85"/>
    <w:rsid w:val="6F513B0B"/>
    <w:rsid w:val="6F540AA2"/>
    <w:rsid w:val="6F547D7B"/>
    <w:rsid w:val="6F5953DE"/>
    <w:rsid w:val="6F5D32A0"/>
    <w:rsid w:val="6F5F0B87"/>
    <w:rsid w:val="6F600F73"/>
    <w:rsid w:val="6F63625D"/>
    <w:rsid w:val="6F665D41"/>
    <w:rsid w:val="6F6F075E"/>
    <w:rsid w:val="6F713950"/>
    <w:rsid w:val="6F760EA8"/>
    <w:rsid w:val="6F782DA8"/>
    <w:rsid w:val="6F8053E0"/>
    <w:rsid w:val="6F993A2D"/>
    <w:rsid w:val="6F9A44ED"/>
    <w:rsid w:val="6F9B1553"/>
    <w:rsid w:val="6FAD1286"/>
    <w:rsid w:val="6FB22D40"/>
    <w:rsid w:val="6FB41412"/>
    <w:rsid w:val="6FB767E8"/>
    <w:rsid w:val="6FBC37DE"/>
    <w:rsid w:val="6FBD18A2"/>
    <w:rsid w:val="6FBF4FB9"/>
    <w:rsid w:val="6FC325D7"/>
    <w:rsid w:val="6FC4358D"/>
    <w:rsid w:val="6FD57803"/>
    <w:rsid w:val="6FE0340A"/>
    <w:rsid w:val="6FE32EFA"/>
    <w:rsid w:val="6FE9470B"/>
    <w:rsid w:val="6FF033C7"/>
    <w:rsid w:val="700C0883"/>
    <w:rsid w:val="70137154"/>
    <w:rsid w:val="701726E0"/>
    <w:rsid w:val="703674CE"/>
    <w:rsid w:val="70500165"/>
    <w:rsid w:val="70751B2B"/>
    <w:rsid w:val="707870C5"/>
    <w:rsid w:val="70810BBD"/>
    <w:rsid w:val="708244C1"/>
    <w:rsid w:val="708C6116"/>
    <w:rsid w:val="7095586B"/>
    <w:rsid w:val="70985F24"/>
    <w:rsid w:val="70AB621E"/>
    <w:rsid w:val="70BC1343"/>
    <w:rsid w:val="70C4783D"/>
    <w:rsid w:val="70C76378"/>
    <w:rsid w:val="70DE72DA"/>
    <w:rsid w:val="70F01D72"/>
    <w:rsid w:val="71052712"/>
    <w:rsid w:val="71107D1F"/>
    <w:rsid w:val="71221260"/>
    <w:rsid w:val="712215CC"/>
    <w:rsid w:val="71241A1C"/>
    <w:rsid w:val="712B2DAA"/>
    <w:rsid w:val="712F259B"/>
    <w:rsid w:val="713D717D"/>
    <w:rsid w:val="71404FF8"/>
    <w:rsid w:val="7146712D"/>
    <w:rsid w:val="714C0205"/>
    <w:rsid w:val="715916C6"/>
    <w:rsid w:val="71866233"/>
    <w:rsid w:val="71986E7F"/>
    <w:rsid w:val="719F0332"/>
    <w:rsid w:val="71A1306D"/>
    <w:rsid w:val="71A165C4"/>
    <w:rsid w:val="71A60683"/>
    <w:rsid w:val="71CF19BA"/>
    <w:rsid w:val="71D52E2E"/>
    <w:rsid w:val="71DB7118"/>
    <w:rsid w:val="71E76106"/>
    <w:rsid w:val="71F238C8"/>
    <w:rsid w:val="71F47640"/>
    <w:rsid w:val="72014A6F"/>
    <w:rsid w:val="72027BC6"/>
    <w:rsid w:val="72181581"/>
    <w:rsid w:val="722C2B09"/>
    <w:rsid w:val="7244311E"/>
    <w:rsid w:val="724D0AFE"/>
    <w:rsid w:val="724D67DD"/>
    <w:rsid w:val="72536115"/>
    <w:rsid w:val="7258372B"/>
    <w:rsid w:val="726864EB"/>
    <w:rsid w:val="726D5D13"/>
    <w:rsid w:val="72777687"/>
    <w:rsid w:val="727E1346"/>
    <w:rsid w:val="728C4565"/>
    <w:rsid w:val="72936E59"/>
    <w:rsid w:val="72A27E7C"/>
    <w:rsid w:val="72A83A22"/>
    <w:rsid w:val="72AA253A"/>
    <w:rsid w:val="72AF3B15"/>
    <w:rsid w:val="72B80E00"/>
    <w:rsid w:val="72CE3C4C"/>
    <w:rsid w:val="72CF78A8"/>
    <w:rsid w:val="72D500BF"/>
    <w:rsid w:val="72D8486C"/>
    <w:rsid w:val="72E079C4"/>
    <w:rsid w:val="72E53030"/>
    <w:rsid w:val="72F21DD2"/>
    <w:rsid w:val="72F35CE0"/>
    <w:rsid w:val="72F40829"/>
    <w:rsid w:val="72F47060"/>
    <w:rsid w:val="72FC74D2"/>
    <w:rsid w:val="73171838"/>
    <w:rsid w:val="73196B42"/>
    <w:rsid w:val="731C7DF0"/>
    <w:rsid w:val="732127B7"/>
    <w:rsid w:val="73221F8B"/>
    <w:rsid w:val="732A7184"/>
    <w:rsid w:val="733454E7"/>
    <w:rsid w:val="73393941"/>
    <w:rsid w:val="733972BD"/>
    <w:rsid w:val="733F6699"/>
    <w:rsid w:val="734874ED"/>
    <w:rsid w:val="734B14E2"/>
    <w:rsid w:val="73591E51"/>
    <w:rsid w:val="735B0460"/>
    <w:rsid w:val="736667A4"/>
    <w:rsid w:val="73722F12"/>
    <w:rsid w:val="73731DED"/>
    <w:rsid w:val="737E18B7"/>
    <w:rsid w:val="73881790"/>
    <w:rsid w:val="738C69FF"/>
    <w:rsid w:val="73944605"/>
    <w:rsid w:val="73A55AC9"/>
    <w:rsid w:val="73BF029A"/>
    <w:rsid w:val="73CE3C03"/>
    <w:rsid w:val="73DB747A"/>
    <w:rsid w:val="73DC213A"/>
    <w:rsid w:val="73DC4C50"/>
    <w:rsid w:val="73DD7754"/>
    <w:rsid w:val="73E87E72"/>
    <w:rsid w:val="740542B2"/>
    <w:rsid w:val="74061483"/>
    <w:rsid w:val="742F2BB2"/>
    <w:rsid w:val="7434612B"/>
    <w:rsid w:val="745148D6"/>
    <w:rsid w:val="745F51EC"/>
    <w:rsid w:val="746639C2"/>
    <w:rsid w:val="74777A98"/>
    <w:rsid w:val="747829C4"/>
    <w:rsid w:val="7480340D"/>
    <w:rsid w:val="74853EF2"/>
    <w:rsid w:val="7489001F"/>
    <w:rsid w:val="748C1F3E"/>
    <w:rsid w:val="74985842"/>
    <w:rsid w:val="74A015C7"/>
    <w:rsid w:val="74A62F76"/>
    <w:rsid w:val="74AB66DC"/>
    <w:rsid w:val="74B45D96"/>
    <w:rsid w:val="74C517D1"/>
    <w:rsid w:val="74CA6436"/>
    <w:rsid w:val="74D41F4E"/>
    <w:rsid w:val="74D53256"/>
    <w:rsid w:val="74D873D7"/>
    <w:rsid w:val="74F00593"/>
    <w:rsid w:val="74FE7C75"/>
    <w:rsid w:val="74FF6D12"/>
    <w:rsid w:val="750D6CB7"/>
    <w:rsid w:val="75247457"/>
    <w:rsid w:val="7538187E"/>
    <w:rsid w:val="753B71DD"/>
    <w:rsid w:val="753C37D8"/>
    <w:rsid w:val="75410DEE"/>
    <w:rsid w:val="7557416E"/>
    <w:rsid w:val="756021F7"/>
    <w:rsid w:val="75742F72"/>
    <w:rsid w:val="757545F4"/>
    <w:rsid w:val="758331B5"/>
    <w:rsid w:val="758C6EDC"/>
    <w:rsid w:val="759E1430"/>
    <w:rsid w:val="75A03D67"/>
    <w:rsid w:val="75A5083B"/>
    <w:rsid w:val="75AF3FAA"/>
    <w:rsid w:val="75CD2682"/>
    <w:rsid w:val="75CE76D3"/>
    <w:rsid w:val="75D166E3"/>
    <w:rsid w:val="75D82B18"/>
    <w:rsid w:val="75E33C54"/>
    <w:rsid w:val="75F47FF3"/>
    <w:rsid w:val="760553A8"/>
    <w:rsid w:val="76121A56"/>
    <w:rsid w:val="76161308"/>
    <w:rsid w:val="761E2EDE"/>
    <w:rsid w:val="76311976"/>
    <w:rsid w:val="764C0E61"/>
    <w:rsid w:val="764C7A4B"/>
    <w:rsid w:val="764D5213"/>
    <w:rsid w:val="76524935"/>
    <w:rsid w:val="76571F4C"/>
    <w:rsid w:val="766A6123"/>
    <w:rsid w:val="766B0B94"/>
    <w:rsid w:val="767124AC"/>
    <w:rsid w:val="768F2D17"/>
    <w:rsid w:val="769431A0"/>
    <w:rsid w:val="76950D6D"/>
    <w:rsid w:val="76A42B08"/>
    <w:rsid w:val="76A43C1D"/>
    <w:rsid w:val="76A944F7"/>
    <w:rsid w:val="76AD7DBE"/>
    <w:rsid w:val="76B2549B"/>
    <w:rsid w:val="76B34DC5"/>
    <w:rsid w:val="76C92BA3"/>
    <w:rsid w:val="76D11FC2"/>
    <w:rsid w:val="76D13A7D"/>
    <w:rsid w:val="76D75C11"/>
    <w:rsid w:val="76E47C83"/>
    <w:rsid w:val="76EC70A4"/>
    <w:rsid w:val="76ED44C9"/>
    <w:rsid w:val="76FB0A8E"/>
    <w:rsid w:val="7705682C"/>
    <w:rsid w:val="77060137"/>
    <w:rsid w:val="7708668C"/>
    <w:rsid w:val="77274014"/>
    <w:rsid w:val="773932F8"/>
    <w:rsid w:val="77447586"/>
    <w:rsid w:val="7747584D"/>
    <w:rsid w:val="77573E97"/>
    <w:rsid w:val="775B09E1"/>
    <w:rsid w:val="77752FD1"/>
    <w:rsid w:val="777A6FA6"/>
    <w:rsid w:val="779416A9"/>
    <w:rsid w:val="77AF5BD2"/>
    <w:rsid w:val="77C16E38"/>
    <w:rsid w:val="77D47797"/>
    <w:rsid w:val="77DA7BF8"/>
    <w:rsid w:val="77E872FF"/>
    <w:rsid w:val="77ED2F50"/>
    <w:rsid w:val="77F008AA"/>
    <w:rsid w:val="77F20932"/>
    <w:rsid w:val="77F3781A"/>
    <w:rsid w:val="77FF2F41"/>
    <w:rsid w:val="780377D7"/>
    <w:rsid w:val="780D4FB8"/>
    <w:rsid w:val="7813790D"/>
    <w:rsid w:val="781C169F"/>
    <w:rsid w:val="781E783D"/>
    <w:rsid w:val="78200134"/>
    <w:rsid w:val="783A61D4"/>
    <w:rsid w:val="784F737E"/>
    <w:rsid w:val="785647FB"/>
    <w:rsid w:val="78733B32"/>
    <w:rsid w:val="789B6166"/>
    <w:rsid w:val="789F751B"/>
    <w:rsid w:val="78A31478"/>
    <w:rsid w:val="78A36BF5"/>
    <w:rsid w:val="78B87855"/>
    <w:rsid w:val="78BC49E1"/>
    <w:rsid w:val="78CD5127"/>
    <w:rsid w:val="78DA2C59"/>
    <w:rsid w:val="78E05A5A"/>
    <w:rsid w:val="78EC2E1F"/>
    <w:rsid w:val="78F85C68"/>
    <w:rsid w:val="78FB5758"/>
    <w:rsid w:val="7913466E"/>
    <w:rsid w:val="791D56CF"/>
    <w:rsid w:val="7923019B"/>
    <w:rsid w:val="792A3953"/>
    <w:rsid w:val="792C3B64"/>
    <w:rsid w:val="793242EA"/>
    <w:rsid w:val="794753EB"/>
    <w:rsid w:val="79697EBE"/>
    <w:rsid w:val="797C62EB"/>
    <w:rsid w:val="7989236E"/>
    <w:rsid w:val="798B0912"/>
    <w:rsid w:val="799F4335"/>
    <w:rsid w:val="79A3118B"/>
    <w:rsid w:val="79A454A8"/>
    <w:rsid w:val="79D63AE0"/>
    <w:rsid w:val="79F87B05"/>
    <w:rsid w:val="7A080935"/>
    <w:rsid w:val="7A101646"/>
    <w:rsid w:val="7A190A91"/>
    <w:rsid w:val="7A1A7578"/>
    <w:rsid w:val="7A1B2A02"/>
    <w:rsid w:val="7A2025CB"/>
    <w:rsid w:val="7A233ABC"/>
    <w:rsid w:val="7A293BFF"/>
    <w:rsid w:val="7A304F8E"/>
    <w:rsid w:val="7A3400A3"/>
    <w:rsid w:val="7A381810"/>
    <w:rsid w:val="7A3945A5"/>
    <w:rsid w:val="7A3A1D46"/>
    <w:rsid w:val="7A406FE4"/>
    <w:rsid w:val="7A41719B"/>
    <w:rsid w:val="7A48677B"/>
    <w:rsid w:val="7A4B1DC7"/>
    <w:rsid w:val="7A5015BA"/>
    <w:rsid w:val="7A7255A6"/>
    <w:rsid w:val="7A7632E8"/>
    <w:rsid w:val="7A7F6792"/>
    <w:rsid w:val="7A85352B"/>
    <w:rsid w:val="7A8E221F"/>
    <w:rsid w:val="7A902D98"/>
    <w:rsid w:val="7A995229"/>
    <w:rsid w:val="7AA00365"/>
    <w:rsid w:val="7AA008BF"/>
    <w:rsid w:val="7AB12572"/>
    <w:rsid w:val="7AB14320"/>
    <w:rsid w:val="7AD46261"/>
    <w:rsid w:val="7AD77D75"/>
    <w:rsid w:val="7AD924B1"/>
    <w:rsid w:val="7AD95625"/>
    <w:rsid w:val="7AE57589"/>
    <w:rsid w:val="7AF9035A"/>
    <w:rsid w:val="7AFB1A3F"/>
    <w:rsid w:val="7B025360"/>
    <w:rsid w:val="7B03675F"/>
    <w:rsid w:val="7B073F40"/>
    <w:rsid w:val="7B095F0A"/>
    <w:rsid w:val="7B0F54EB"/>
    <w:rsid w:val="7B1623D5"/>
    <w:rsid w:val="7B267376"/>
    <w:rsid w:val="7B307B23"/>
    <w:rsid w:val="7B364067"/>
    <w:rsid w:val="7B4949D3"/>
    <w:rsid w:val="7B497A3C"/>
    <w:rsid w:val="7B560A24"/>
    <w:rsid w:val="7B5641E6"/>
    <w:rsid w:val="7B655433"/>
    <w:rsid w:val="7B790A1A"/>
    <w:rsid w:val="7B8239E9"/>
    <w:rsid w:val="7B937ECA"/>
    <w:rsid w:val="7B9967F5"/>
    <w:rsid w:val="7B9A6B62"/>
    <w:rsid w:val="7BA7127F"/>
    <w:rsid w:val="7BA875E4"/>
    <w:rsid w:val="7BAE78E8"/>
    <w:rsid w:val="7BB265A2"/>
    <w:rsid w:val="7BC3463D"/>
    <w:rsid w:val="7BC97448"/>
    <w:rsid w:val="7BCA793F"/>
    <w:rsid w:val="7BD227A0"/>
    <w:rsid w:val="7BDE7397"/>
    <w:rsid w:val="7BF3536A"/>
    <w:rsid w:val="7C013085"/>
    <w:rsid w:val="7C056D62"/>
    <w:rsid w:val="7C0E60D1"/>
    <w:rsid w:val="7C122B9D"/>
    <w:rsid w:val="7C240B22"/>
    <w:rsid w:val="7C3220E2"/>
    <w:rsid w:val="7C3E1BE4"/>
    <w:rsid w:val="7C470082"/>
    <w:rsid w:val="7C473E64"/>
    <w:rsid w:val="7C594C70"/>
    <w:rsid w:val="7C624981"/>
    <w:rsid w:val="7C694787"/>
    <w:rsid w:val="7C9467C0"/>
    <w:rsid w:val="7C962172"/>
    <w:rsid w:val="7C9C5EB4"/>
    <w:rsid w:val="7CAD0B17"/>
    <w:rsid w:val="7CB43C54"/>
    <w:rsid w:val="7CBA5CEB"/>
    <w:rsid w:val="7CEA58C8"/>
    <w:rsid w:val="7CF36E72"/>
    <w:rsid w:val="7D01740A"/>
    <w:rsid w:val="7D042727"/>
    <w:rsid w:val="7D0753DD"/>
    <w:rsid w:val="7D2B26D3"/>
    <w:rsid w:val="7D380D29"/>
    <w:rsid w:val="7D3E3E65"/>
    <w:rsid w:val="7D4067C0"/>
    <w:rsid w:val="7D416ACE"/>
    <w:rsid w:val="7D435758"/>
    <w:rsid w:val="7D5A6071"/>
    <w:rsid w:val="7D6573C7"/>
    <w:rsid w:val="7D8950E1"/>
    <w:rsid w:val="7D8A34CA"/>
    <w:rsid w:val="7D8E0949"/>
    <w:rsid w:val="7D960B47"/>
    <w:rsid w:val="7D965A4F"/>
    <w:rsid w:val="7DBC3708"/>
    <w:rsid w:val="7DC223A1"/>
    <w:rsid w:val="7DC91981"/>
    <w:rsid w:val="7DCE6802"/>
    <w:rsid w:val="7DD81BC4"/>
    <w:rsid w:val="7DDA357B"/>
    <w:rsid w:val="7DDC0C74"/>
    <w:rsid w:val="7DE85681"/>
    <w:rsid w:val="7DF369FE"/>
    <w:rsid w:val="7E056EE5"/>
    <w:rsid w:val="7E066731"/>
    <w:rsid w:val="7E090641"/>
    <w:rsid w:val="7E0E3838"/>
    <w:rsid w:val="7E175822"/>
    <w:rsid w:val="7E1C41A7"/>
    <w:rsid w:val="7E245210"/>
    <w:rsid w:val="7E336FAC"/>
    <w:rsid w:val="7E40126C"/>
    <w:rsid w:val="7E4D185D"/>
    <w:rsid w:val="7E5F6222"/>
    <w:rsid w:val="7E67284F"/>
    <w:rsid w:val="7E68119A"/>
    <w:rsid w:val="7E73705C"/>
    <w:rsid w:val="7E896AD1"/>
    <w:rsid w:val="7E9802A8"/>
    <w:rsid w:val="7E9F26E2"/>
    <w:rsid w:val="7EA36676"/>
    <w:rsid w:val="7EB40DD0"/>
    <w:rsid w:val="7EBE068F"/>
    <w:rsid w:val="7ED3091C"/>
    <w:rsid w:val="7EE2259A"/>
    <w:rsid w:val="7EE60311"/>
    <w:rsid w:val="7EF00996"/>
    <w:rsid w:val="7EF7251E"/>
    <w:rsid w:val="7F030EC3"/>
    <w:rsid w:val="7F046EE9"/>
    <w:rsid w:val="7F19282F"/>
    <w:rsid w:val="7F304D45"/>
    <w:rsid w:val="7F3823EB"/>
    <w:rsid w:val="7F3D597D"/>
    <w:rsid w:val="7F5C76B2"/>
    <w:rsid w:val="7F6D458E"/>
    <w:rsid w:val="7F6F2A9A"/>
    <w:rsid w:val="7F792F33"/>
    <w:rsid w:val="7F7F6589"/>
    <w:rsid w:val="7F802513"/>
    <w:rsid w:val="7F824394"/>
    <w:rsid w:val="7F946A12"/>
    <w:rsid w:val="7F950788"/>
    <w:rsid w:val="7F955728"/>
    <w:rsid w:val="7FA009E5"/>
    <w:rsid w:val="7FA47961"/>
    <w:rsid w:val="7FAD3E96"/>
    <w:rsid w:val="7FAE52D2"/>
    <w:rsid w:val="7FB727AA"/>
    <w:rsid w:val="7FDF548C"/>
    <w:rsid w:val="7FE62858"/>
    <w:rsid w:val="7FF015C4"/>
    <w:rsid w:val="7FFA22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nhideWhenUsed="0" w:uiPriority="99" w:semiHidden="0" w:name="heading 3" w:locked="1"/>
    <w:lsdException w:qFormat="1" w:unhideWhenUsed="0" w:uiPriority="99" w:semiHidden="0" w:name="heading 4" w:locked="1"/>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ocked="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0" w:semiHidden="0"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qFormat="1" w:unhideWhenUsed="0"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qFormat="1" w:unhideWhenUsed="0" w:uiPriority="99" w:semiHidden="0"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ocked="1"/>
    <w:lsdException w:qFormat="1" w:unhideWhenUsed="0" w:uiPriority="99" w:semiHidden="0" w:name="Body Text Indent 3" w:locked="1"/>
    <w:lsdException w:qFormat="1" w:unhideWhenUsed="0" w:uiPriority="0" w:semiHidden="0" w:name="Block Text" w:locked="1"/>
    <w:lsdException w:qFormat="1" w:unhideWhenUsed="0" w:uiPriority="99" w:semiHidden="0" w:name="Hyperlink" w:locked="1"/>
    <w:lsdException w:uiPriority="99" w:name="FollowedHyperlink" w:locked="1"/>
    <w:lsdException w:qFormat="1" w:unhideWhenUsed="0" w:uiPriority="99" w:semiHidden="0" w:name="Strong" w:locked="1"/>
    <w:lsdException w:qFormat="1" w:unhideWhenUsed="0" w:uiPriority="99" w:semiHidden="0" w:name="Emphasis"/>
    <w:lsdException w:qFormat="1" w:unhideWhenUsed="0" w:uiPriority="99" w:name="Document Map" w:locked="1"/>
    <w:lsdException w:qFormat="1" w:unhideWhenUsed="0" w:uiPriority="99" w:semiHidden="0"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2"/>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83"/>
    <w:qFormat/>
    <w:locked/>
    <w:uiPriority w:val="99"/>
    <w:pPr>
      <w:spacing w:before="66"/>
      <w:ind w:left="678" w:hanging="240"/>
      <w:outlineLvl w:val="1"/>
    </w:pPr>
    <w:rPr>
      <w:rFonts w:ascii="宋体" w:hAnsi="宋体" w:cs="宋体"/>
      <w:sz w:val="24"/>
      <w:lang w:eastAsia="en-US"/>
    </w:rPr>
  </w:style>
  <w:style w:type="paragraph" w:styleId="4">
    <w:name w:val="heading 3"/>
    <w:basedOn w:val="1"/>
    <w:next w:val="1"/>
    <w:link w:val="84"/>
    <w:qFormat/>
    <w:locked/>
    <w:uiPriority w:val="99"/>
    <w:pPr>
      <w:keepNext/>
      <w:keepLines/>
      <w:spacing w:before="260" w:after="260" w:line="416" w:lineRule="auto"/>
      <w:ind w:firstLine="200" w:firstLineChars="200"/>
      <w:outlineLvl w:val="2"/>
    </w:pPr>
    <w:rPr>
      <w:b/>
      <w:bCs/>
      <w:sz w:val="32"/>
      <w:szCs w:val="32"/>
    </w:rPr>
  </w:style>
  <w:style w:type="paragraph" w:styleId="5">
    <w:name w:val="heading 4"/>
    <w:basedOn w:val="1"/>
    <w:next w:val="6"/>
    <w:link w:val="85"/>
    <w:qFormat/>
    <w:locked/>
    <w:uiPriority w:val="99"/>
    <w:pPr>
      <w:keepNext/>
      <w:keepLines/>
      <w:adjustRightInd w:val="0"/>
      <w:snapToGrid w:val="0"/>
      <w:textAlignment w:val="baseline"/>
      <w:outlineLvl w:val="3"/>
    </w:pPr>
    <w:rPr>
      <w:rFonts w:ascii="黑体" w:eastAsia="黑体"/>
      <w:b/>
      <w:kern w:val="0"/>
      <w:sz w:val="28"/>
    </w:rPr>
  </w:style>
  <w:style w:type="character" w:default="1" w:styleId="28">
    <w:name w:val="Default Paragraph Font"/>
    <w:semiHidden/>
    <w:qFormat/>
    <w:uiPriority w:val="99"/>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locked/>
    <w:uiPriority w:val="99"/>
    <w:pPr>
      <w:ind w:firstLine="420" w:firstLineChars="200"/>
    </w:pPr>
    <w:rPr>
      <w:rFonts w:hint="eastAsia"/>
    </w:rPr>
  </w:style>
  <w:style w:type="paragraph" w:styleId="7">
    <w:name w:val="Document Map"/>
    <w:basedOn w:val="1"/>
    <w:link w:val="87"/>
    <w:semiHidden/>
    <w:qFormat/>
    <w:locked/>
    <w:uiPriority w:val="99"/>
    <w:pPr>
      <w:shd w:val="clear" w:color="auto" w:fill="000080"/>
    </w:pPr>
  </w:style>
  <w:style w:type="paragraph" w:styleId="8">
    <w:name w:val="annotation text"/>
    <w:basedOn w:val="1"/>
    <w:link w:val="88"/>
    <w:semiHidden/>
    <w:qFormat/>
    <w:uiPriority w:val="99"/>
    <w:pPr>
      <w:jc w:val="left"/>
    </w:pPr>
    <w:rPr>
      <w:kern w:val="0"/>
      <w:sz w:val="24"/>
      <w:szCs w:val="20"/>
    </w:rPr>
  </w:style>
  <w:style w:type="paragraph" w:styleId="9">
    <w:name w:val="Body Text"/>
    <w:basedOn w:val="1"/>
    <w:next w:val="1"/>
    <w:link w:val="86"/>
    <w:qFormat/>
    <w:uiPriority w:val="99"/>
    <w:pPr>
      <w:widowControl/>
      <w:snapToGrid w:val="0"/>
      <w:spacing w:before="60" w:after="160" w:line="259" w:lineRule="auto"/>
      <w:ind w:right="113"/>
    </w:pPr>
    <w:rPr>
      <w:kern w:val="0"/>
      <w:sz w:val="18"/>
      <w:szCs w:val="20"/>
    </w:rPr>
  </w:style>
  <w:style w:type="paragraph" w:styleId="10">
    <w:name w:val="Body Text Indent"/>
    <w:basedOn w:val="1"/>
    <w:link w:val="89"/>
    <w:qFormat/>
    <w:uiPriority w:val="99"/>
    <w:pPr>
      <w:spacing w:after="120"/>
      <w:ind w:left="420" w:leftChars="200"/>
    </w:pPr>
    <w:rPr>
      <w:kern w:val="0"/>
      <w:sz w:val="24"/>
      <w:szCs w:val="20"/>
    </w:rPr>
  </w:style>
  <w:style w:type="paragraph" w:styleId="11">
    <w:name w:val="Block Text"/>
    <w:basedOn w:val="1"/>
    <w:qFormat/>
    <w:locked/>
    <w:uiPriority w:val="0"/>
    <w:pPr>
      <w:spacing w:before="120" w:beforeLines="0"/>
      <w:ind w:left="113" w:right="113"/>
    </w:pPr>
    <w:rPr>
      <w:rFonts w:ascii="Arial" w:hAnsi="Arial"/>
      <w:kern w:val="24"/>
      <w:sz w:val="24"/>
    </w:rPr>
  </w:style>
  <w:style w:type="paragraph" w:styleId="12">
    <w:name w:val="Plain Text"/>
    <w:basedOn w:val="1"/>
    <w:link w:val="90"/>
    <w:qFormat/>
    <w:locked/>
    <w:uiPriority w:val="99"/>
    <w:rPr>
      <w:rFonts w:ascii="宋体" w:hAnsi="Courier New" w:cs="Courier New"/>
      <w:szCs w:val="21"/>
    </w:rPr>
  </w:style>
  <w:style w:type="paragraph" w:styleId="13">
    <w:name w:val="List Bullet 5"/>
    <w:basedOn w:val="1"/>
    <w:semiHidden/>
    <w:qFormat/>
    <w:locked/>
    <w:uiPriority w:val="99"/>
    <w:pPr>
      <w:numPr>
        <w:ilvl w:val="0"/>
        <w:numId w:val="1"/>
      </w:numPr>
    </w:pPr>
  </w:style>
  <w:style w:type="paragraph" w:styleId="14">
    <w:name w:val="Date"/>
    <w:basedOn w:val="1"/>
    <w:next w:val="1"/>
    <w:link w:val="91"/>
    <w:qFormat/>
    <w:uiPriority w:val="99"/>
    <w:pPr>
      <w:ind w:left="100" w:leftChars="2500"/>
    </w:pPr>
    <w:rPr>
      <w:kern w:val="0"/>
      <w:sz w:val="24"/>
      <w:szCs w:val="20"/>
    </w:rPr>
  </w:style>
  <w:style w:type="paragraph" w:styleId="15">
    <w:name w:val="Body Text Indent 2"/>
    <w:basedOn w:val="1"/>
    <w:link w:val="92"/>
    <w:qFormat/>
    <w:locked/>
    <w:uiPriority w:val="99"/>
    <w:pPr>
      <w:ind w:firstLine="420" w:firstLineChars="200"/>
    </w:pPr>
    <w:rPr>
      <w:rFonts w:ascii="楷体_GB2312" w:eastAsia="楷体_GB2312"/>
    </w:rPr>
  </w:style>
  <w:style w:type="paragraph" w:styleId="16">
    <w:name w:val="Balloon Text"/>
    <w:basedOn w:val="1"/>
    <w:link w:val="93"/>
    <w:semiHidden/>
    <w:qFormat/>
    <w:uiPriority w:val="99"/>
    <w:rPr>
      <w:kern w:val="0"/>
      <w:sz w:val="18"/>
      <w:szCs w:val="20"/>
    </w:rPr>
  </w:style>
  <w:style w:type="paragraph" w:styleId="17">
    <w:name w:val="footer"/>
    <w:basedOn w:val="1"/>
    <w:link w:val="94"/>
    <w:qFormat/>
    <w:uiPriority w:val="99"/>
    <w:pPr>
      <w:tabs>
        <w:tab w:val="center" w:pos="4153"/>
        <w:tab w:val="right" w:pos="8306"/>
      </w:tabs>
      <w:snapToGrid w:val="0"/>
      <w:jc w:val="left"/>
    </w:pPr>
    <w:rPr>
      <w:kern w:val="0"/>
      <w:sz w:val="18"/>
      <w:szCs w:val="20"/>
    </w:rPr>
  </w:style>
  <w:style w:type="paragraph" w:styleId="18">
    <w:name w:val="header"/>
    <w:basedOn w:val="1"/>
    <w:link w:val="95"/>
    <w:qFormat/>
    <w:uiPriority w:val="99"/>
    <w:pPr>
      <w:pBdr>
        <w:bottom w:val="single" w:color="auto" w:sz="6" w:space="1"/>
      </w:pBdr>
      <w:tabs>
        <w:tab w:val="center" w:pos="4153"/>
        <w:tab w:val="right" w:pos="8306"/>
      </w:tabs>
      <w:snapToGrid w:val="0"/>
      <w:jc w:val="center"/>
    </w:pPr>
    <w:rPr>
      <w:kern w:val="0"/>
      <w:sz w:val="18"/>
      <w:szCs w:val="20"/>
    </w:rPr>
  </w:style>
  <w:style w:type="paragraph" w:styleId="19">
    <w:name w:val="toc 1"/>
    <w:basedOn w:val="1"/>
    <w:next w:val="1"/>
    <w:semiHidden/>
    <w:qFormat/>
    <w:locked/>
    <w:uiPriority w:val="99"/>
  </w:style>
  <w:style w:type="paragraph" w:styleId="20">
    <w:name w:val="List"/>
    <w:basedOn w:val="1"/>
    <w:qFormat/>
    <w:locked/>
    <w:uiPriority w:val="0"/>
    <w:pPr>
      <w:spacing w:line="320" w:lineRule="exact"/>
      <w:jc w:val="center"/>
    </w:pPr>
    <w:rPr>
      <w:rFonts w:ascii="宋体"/>
      <w:szCs w:val="20"/>
    </w:rPr>
  </w:style>
  <w:style w:type="paragraph" w:styleId="21">
    <w:name w:val="Body Text Indent 3"/>
    <w:basedOn w:val="1"/>
    <w:link w:val="96"/>
    <w:qFormat/>
    <w:locked/>
    <w:uiPriority w:val="99"/>
    <w:pPr>
      <w:snapToGrid w:val="0"/>
      <w:spacing w:line="312" w:lineRule="auto"/>
      <w:ind w:firstLine="555"/>
    </w:pPr>
    <w:rPr>
      <w:rFonts w:eastAsia="仿宋_GB2312"/>
      <w:color w:val="FF0000"/>
      <w:sz w:val="28"/>
      <w:szCs w:val="20"/>
    </w:rPr>
  </w:style>
  <w:style w:type="paragraph" w:styleId="22">
    <w:name w:val="Normal (Web)"/>
    <w:basedOn w:val="1"/>
    <w:link w:val="99"/>
    <w:qFormat/>
    <w:uiPriority w:val="99"/>
    <w:pPr>
      <w:widowControl/>
      <w:spacing w:before="100" w:beforeAutospacing="1" w:after="100" w:afterAutospacing="1"/>
      <w:jc w:val="left"/>
    </w:pPr>
    <w:rPr>
      <w:rFonts w:ascii="宋体" w:hAnsi="宋体"/>
      <w:kern w:val="0"/>
      <w:sz w:val="24"/>
      <w:szCs w:val="20"/>
    </w:rPr>
  </w:style>
  <w:style w:type="paragraph" w:styleId="23">
    <w:name w:val="Title"/>
    <w:basedOn w:val="1"/>
    <w:next w:val="1"/>
    <w:qFormat/>
    <w:uiPriority w:val="0"/>
    <w:pPr>
      <w:spacing w:before="240" w:after="60"/>
      <w:jc w:val="center"/>
      <w:outlineLvl w:val="0"/>
    </w:pPr>
    <w:rPr>
      <w:rFonts w:ascii="Arial" w:hAnsi="Arial" w:cs="Arial"/>
      <w:b/>
      <w:bCs/>
      <w:sz w:val="32"/>
      <w:szCs w:val="32"/>
    </w:rPr>
  </w:style>
  <w:style w:type="paragraph" w:styleId="24">
    <w:name w:val="annotation subject"/>
    <w:basedOn w:val="8"/>
    <w:next w:val="8"/>
    <w:link w:val="97"/>
    <w:semiHidden/>
    <w:qFormat/>
    <w:uiPriority w:val="99"/>
    <w:rPr>
      <w:b/>
      <w:kern w:val="2"/>
    </w:rPr>
  </w:style>
  <w:style w:type="paragraph" w:styleId="25">
    <w:name w:val="Body Text First Indent 2"/>
    <w:basedOn w:val="10"/>
    <w:next w:val="1"/>
    <w:link w:val="98"/>
    <w:qFormat/>
    <w:locked/>
    <w:uiPriority w:val="99"/>
    <w:pPr>
      <w:ind w:firstLine="420" w:firstLineChars="200"/>
    </w:pPr>
  </w:style>
  <w:style w:type="table" w:styleId="27">
    <w:name w:val="Table Grid"/>
    <w:basedOn w:val="2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locked/>
    <w:uiPriority w:val="99"/>
    <w:rPr>
      <w:rFonts w:cs="Times New Roman"/>
      <w:b/>
    </w:rPr>
  </w:style>
  <w:style w:type="character" w:styleId="30">
    <w:name w:val="page number"/>
    <w:basedOn w:val="28"/>
    <w:qFormat/>
    <w:locked/>
    <w:uiPriority w:val="99"/>
    <w:rPr>
      <w:rFonts w:cs="Times New Roman"/>
    </w:rPr>
  </w:style>
  <w:style w:type="character" w:styleId="31">
    <w:name w:val="Emphasis"/>
    <w:basedOn w:val="28"/>
    <w:qFormat/>
    <w:uiPriority w:val="99"/>
    <w:rPr>
      <w:rFonts w:cs="Times New Roman"/>
      <w:i/>
      <w:iCs/>
    </w:rPr>
  </w:style>
  <w:style w:type="character" w:styleId="32">
    <w:name w:val="Hyperlink"/>
    <w:basedOn w:val="28"/>
    <w:qFormat/>
    <w:locked/>
    <w:uiPriority w:val="99"/>
    <w:rPr>
      <w:rFonts w:cs="Times New Roman"/>
      <w:color w:val="0000FF"/>
      <w:u w:val="single"/>
    </w:rPr>
  </w:style>
  <w:style w:type="character" w:styleId="33">
    <w:name w:val="annotation reference"/>
    <w:basedOn w:val="28"/>
    <w:semiHidden/>
    <w:qFormat/>
    <w:uiPriority w:val="99"/>
    <w:rPr>
      <w:rFonts w:cs="Times New Roman"/>
      <w:sz w:val="21"/>
    </w:rPr>
  </w:style>
  <w:style w:type="paragraph" w:customStyle="1" w:styleId="34">
    <w:name w:val="段"/>
    <w:next w:val="1"/>
    <w:qFormat/>
    <w:uiPriority w:val="0"/>
    <w:pPr>
      <w:autoSpaceDE w:val="0"/>
      <w:autoSpaceDN w:val="0"/>
      <w:ind w:firstLine="200"/>
      <w:jc w:val="both"/>
    </w:pPr>
    <w:rPr>
      <w:rFonts w:ascii="宋体" w:hAnsi="Calibri" w:eastAsia="宋体" w:cs="Times New Roman"/>
      <w:sz w:val="21"/>
      <w:lang w:val="en-US" w:eastAsia="zh-CN" w:bidi="ar-SA"/>
    </w:rPr>
  </w:style>
  <w:style w:type="paragraph" w:customStyle="1" w:styleId="35">
    <w:name w:val="Default"/>
    <w:qFormat/>
    <w:uiPriority w:val="99"/>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36">
    <w:name w:val="表格"/>
    <w:basedOn w:val="37"/>
    <w:next w:val="1"/>
    <w:link w:val="103"/>
    <w:qFormat/>
    <w:uiPriority w:val="99"/>
    <w:pPr>
      <w:adjustRightInd w:val="0"/>
      <w:spacing w:beforeLines="10" w:afterLines="10"/>
    </w:pPr>
    <w:rPr>
      <w:rFonts w:hAnsi="Times New Roman" w:eastAsia="宋体"/>
      <w:spacing w:val="0"/>
      <w:kern w:val="0"/>
      <w:sz w:val="21"/>
    </w:rPr>
  </w:style>
  <w:style w:type="paragraph" w:customStyle="1" w:styleId="37">
    <w:name w:val="表格文字"/>
    <w:basedOn w:val="38"/>
    <w:qFormat/>
    <w:uiPriority w:val="99"/>
    <w:rPr>
      <w:rFonts w:ascii="宋体" w:hAnsi="宋体" w:eastAsia="仿宋_GB2312"/>
      <w:kern w:val="44"/>
    </w:rPr>
  </w:style>
  <w:style w:type="paragraph" w:customStyle="1" w:styleId="38">
    <w:name w:val="表标题"/>
    <w:basedOn w:val="9"/>
    <w:next w:val="9"/>
    <w:qFormat/>
    <w:uiPriority w:val="99"/>
    <w:pPr>
      <w:spacing w:after="0" w:line="400" w:lineRule="exact"/>
      <w:jc w:val="center"/>
    </w:pPr>
    <w:rPr>
      <w:spacing w:val="-4"/>
      <w:sz w:val="24"/>
    </w:rPr>
  </w:style>
  <w:style w:type="paragraph" w:customStyle="1" w:styleId="39">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kern w:val="0"/>
      <w:szCs w:val="20"/>
    </w:rPr>
  </w:style>
  <w:style w:type="paragraph" w:customStyle="1" w:styleId="40">
    <w:name w:val="List Paragraph1"/>
    <w:basedOn w:val="1"/>
    <w:qFormat/>
    <w:uiPriority w:val="99"/>
    <w:pPr>
      <w:ind w:left="438"/>
    </w:pPr>
    <w:rPr>
      <w:rFonts w:ascii="宋体" w:hAnsi="宋体" w:cs="宋体"/>
      <w:lang w:eastAsia="en-US"/>
    </w:rPr>
  </w:style>
  <w:style w:type="paragraph" w:customStyle="1" w:styleId="41">
    <w:name w:val="报告正文"/>
    <w:basedOn w:val="1"/>
    <w:qFormat/>
    <w:uiPriority w:val="99"/>
    <w:pPr>
      <w:adjustRightInd w:val="0"/>
      <w:spacing w:beforeLines="25" w:line="360" w:lineRule="auto"/>
      <w:ind w:firstLine="482"/>
      <w:textAlignment w:val="baseline"/>
    </w:pPr>
    <w:rPr>
      <w:rFonts w:ascii="宋体" w:hAnsi="宋体"/>
      <w:kern w:val="24"/>
      <w:sz w:val="24"/>
    </w:rPr>
  </w:style>
  <w:style w:type="paragraph" w:customStyle="1" w:styleId="42">
    <w:name w:val="Table Paragraph"/>
    <w:basedOn w:val="1"/>
    <w:qFormat/>
    <w:uiPriority w:val="99"/>
    <w:pPr>
      <w:autoSpaceDE w:val="0"/>
      <w:autoSpaceDN w:val="0"/>
      <w:adjustRightInd w:val="0"/>
      <w:jc w:val="left"/>
    </w:pPr>
    <w:rPr>
      <w:kern w:val="0"/>
      <w:sz w:val="24"/>
    </w:rPr>
  </w:style>
  <w:style w:type="paragraph" w:customStyle="1" w:styleId="43">
    <w:name w:val="表格内容"/>
    <w:basedOn w:val="1"/>
    <w:qFormat/>
    <w:uiPriority w:val="99"/>
    <w:pPr>
      <w:overflowPunct w:val="0"/>
      <w:adjustRightInd w:val="0"/>
      <w:spacing w:before="40" w:after="60" w:line="200" w:lineRule="atLeast"/>
      <w:textAlignment w:val="baseline"/>
    </w:pPr>
    <w:rPr>
      <w:rFonts w:ascii="Arial" w:hAnsi="Arial" w:eastAsia="仿宋_GB2312"/>
      <w:kern w:val="0"/>
      <w:sz w:val="24"/>
    </w:rPr>
  </w:style>
  <w:style w:type="paragraph" w:customStyle="1" w:styleId="44">
    <w:name w:val="表头1"/>
    <w:basedOn w:val="12"/>
    <w:qFormat/>
    <w:uiPriority w:val="99"/>
    <w:pPr>
      <w:spacing w:line="360" w:lineRule="auto"/>
      <w:jc w:val="center"/>
    </w:pPr>
    <w:rPr>
      <w:rFonts w:ascii="Times New Roman" w:hAnsi="Times New Roman" w:cs="Times New Roman"/>
      <w:b/>
      <w:color w:val="000000"/>
      <w:kern w:val="0"/>
      <w:sz w:val="24"/>
      <w:szCs w:val="20"/>
    </w:rPr>
  </w:style>
  <w:style w:type="paragraph" w:customStyle="1" w:styleId="45">
    <w:name w:val="图表内容"/>
    <w:basedOn w:val="1"/>
    <w:qFormat/>
    <w:uiPriority w:val="99"/>
    <w:pPr>
      <w:jc w:val="center"/>
    </w:pPr>
  </w:style>
  <w:style w:type="paragraph" w:customStyle="1" w:styleId="46">
    <w:name w:val="正文4号"/>
    <w:qFormat/>
    <w:uiPriority w:val="99"/>
    <w:pPr>
      <w:widowControl w:val="0"/>
      <w:spacing w:line="360" w:lineRule="auto"/>
      <w:ind w:firstLine="200" w:firstLineChars="200"/>
      <w:jc w:val="both"/>
    </w:pPr>
    <w:rPr>
      <w:rFonts w:ascii="Times New Roman" w:hAnsi="Times New Roman" w:eastAsia="宋体" w:cs="Times New Roman"/>
      <w:kern w:val="0"/>
      <w:sz w:val="24"/>
      <w:szCs w:val="24"/>
      <w:lang w:val="en-US" w:eastAsia="zh-CN" w:bidi="ar-SA"/>
    </w:rPr>
  </w:style>
  <w:style w:type="paragraph" w:customStyle="1" w:styleId="47">
    <w:name w:val="aurona"/>
    <w:basedOn w:val="1"/>
    <w:qFormat/>
    <w:uiPriority w:val="99"/>
    <w:pPr>
      <w:autoSpaceDE w:val="0"/>
      <w:autoSpaceDN w:val="0"/>
      <w:adjustRightInd w:val="0"/>
      <w:snapToGrid w:val="0"/>
      <w:jc w:val="center"/>
    </w:pPr>
    <w:rPr>
      <w:bCs/>
      <w:color w:val="000000"/>
      <w:kern w:val="0"/>
      <w:szCs w:val="21"/>
      <w:lang w:val="zh-CN"/>
    </w:rPr>
  </w:style>
  <w:style w:type="paragraph" w:customStyle="1" w:styleId="48">
    <w:name w:val="普通(网站)2"/>
    <w:basedOn w:val="1"/>
    <w:qFormat/>
    <w:uiPriority w:val="99"/>
    <w:pPr>
      <w:widowControl/>
      <w:spacing w:before="100" w:beforeAutospacing="1" w:after="100" w:afterAutospacing="1"/>
      <w:jc w:val="left"/>
    </w:pPr>
    <w:rPr>
      <w:rFonts w:ascii="宋体" w:hAnsi="宋体"/>
      <w:sz w:val="24"/>
      <w:szCs w:val="20"/>
    </w:rPr>
  </w:style>
  <w:style w:type="paragraph" w:customStyle="1" w:styleId="49">
    <w:name w:val="Default1"/>
    <w:qFormat/>
    <w:uiPriority w:val="99"/>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50">
    <w:name w:val="Body text|2"/>
    <w:basedOn w:val="1"/>
    <w:qFormat/>
    <w:uiPriority w:val="99"/>
    <w:pPr>
      <w:shd w:val="clear" w:color="auto" w:fill="FFFFFF"/>
      <w:spacing w:before="180" w:after="1020" w:line="300" w:lineRule="exact"/>
      <w:jc w:val="center"/>
    </w:pPr>
    <w:rPr>
      <w:rFonts w:ascii="PMingLiUfalt" w:hAnsi="PMingLiUfalt" w:eastAsia="PMingLiUfalt" w:cs="PMingLiUfalt"/>
      <w:spacing w:val="40"/>
      <w:sz w:val="30"/>
      <w:szCs w:val="30"/>
    </w:rPr>
  </w:style>
  <w:style w:type="paragraph" w:customStyle="1" w:styleId="51">
    <w:name w:val="卓龙正文"/>
    <w:basedOn w:val="1"/>
    <w:qFormat/>
    <w:uiPriority w:val="99"/>
    <w:pPr>
      <w:tabs>
        <w:tab w:val="left" w:pos="1021"/>
      </w:tabs>
      <w:spacing w:line="360" w:lineRule="auto"/>
      <w:ind w:firstLine="200" w:firstLineChars="200"/>
    </w:pPr>
    <w:rPr>
      <w:rFonts w:ascii="Calibri" w:hAnsi="Calibri"/>
      <w:sz w:val="24"/>
    </w:rPr>
  </w:style>
  <w:style w:type="paragraph" w:customStyle="1" w:styleId="52">
    <w:name w:val="正文_10"/>
    <w:qFormat/>
    <w:uiPriority w:val="99"/>
    <w:pPr>
      <w:widowControl w:val="0"/>
      <w:jc w:val="both"/>
    </w:pPr>
    <w:rPr>
      <w:rFonts w:ascii="Times New Roman" w:hAnsi="Times New Roman" w:eastAsia="宋体" w:cs="Times New Roman"/>
      <w:kern w:val="0"/>
      <w:sz w:val="20"/>
      <w:szCs w:val="20"/>
      <w:lang w:val="en-US" w:eastAsia="zh-CN" w:bidi="ar-SA"/>
    </w:rPr>
  </w:style>
  <w:style w:type="paragraph" w:customStyle="1" w:styleId="53">
    <w:name w:val="常用表头样式"/>
    <w:qFormat/>
    <w:uiPriority w:val="99"/>
    <w:pPr>
      <w:tabs>
        <w:tab w:val="left" w:pos="2220"/>
        <w:tab w:val="center" w:pos="4156"/>
      </w:tabs>
      <w:overflowPunct w:val="0"/>
      <w:autoSpaceDE w:val="0"/>
      <w:autoSpaceDN w:val="0"/>
      <w:adjustRightInd w:val="0"/>
      <w:spacing w:line="360" w:lineRule="auto"/>
      <w:jc w:val="center"/>
      <w:textAlignment w:val="baseline"/>
    </w:pPr>
    <w:rPr>
      <w:rFonts w:ascii="黑体" w:hAnsi="黑体" w:eastAsia="仿宋" w:cs="Times New Roman"/>
      <w:b/>
      <w:bCs/>
      <w:kern w:val="28"/>
      <w:sz w:val="20"/>
      <w:szCs w:val="28"/>
      <w:lang w:val="en-US" w:eastAsia="zh-CN" w:bidi="ar-SA"/>
    </w:rPr>
  </w:style>
  <w:style w:type="paragraph" w:customStyle="1" w:styleId="54">
    <w:name w:val="表格字体KX"/>
    <w:basedOn w:val="1"/>
    <w:next w:val="1"/>
    <w:qFormat/>
    <w:uiPriority w:val="99"/>
    <w:pPr>
      <w:overflowPunct w:val="0"/>
      <w:adjustRightInd w:val="0"/>
      <w:snapToGrid w:val="0"/>
      <w:spacing w:beforeLines="20" w:afterLines="20"/>
      <w:jc w:val="center"/>
    </w:pPr>
    <w:rPr>
      <w:color w:val="000000"/>
      <w:kern w:val="0"/>
      <w:szCs w:val="21"/>
    </w:rPr>
  </w:style>
  <w:style w:type="paragraph" w:customStyle="1" w:styleId="55">
    <w:name w:val="YJ表格字体"/>
    <w:basedOn w:val="1"/>
    <w:qFormat/>
    <w:uiPriority w:val="99"/>
    <w:pPr>
      <w:widowControl/>
      <w:adjustRightInd w:val="0"/>
      <w:snapToGrid w:val="0"/>
      <w:spacing w:beforeLines="20" w:afterLines="20"/>
      <w:jc w:val="center"/>
    </w:pPr>
    <w:rPr>
      <w:color w:val="000000"/>
      <w:kern w:val="28"/>
    </w:rPr>
  </w:style>
  <w:style w:type="paragraph" w:customStyle="1" w:styleId="56">
    <w:name w:val="表格（方）"/>
    <w:qFormat/>
    <w:uiPriority w:val="99"/>
    <w:pPr>
      <w:spacing w:beforeLines="20" w:afterLines="20"/>
      <w:jc w:val="center"/>
    </w:pPr>
    <w:rPr>
      <w:rFonts w:ascii="Times New Roman" w:hAnsi="Times New Roman" w:eastAsia="宋体" w:cs="Times New Roman"/>
      <w:kern w:val="0"/>
      <w:sz w:val="20"/>
      <w:szCs w:val="24"/>
      <w:lang w:val="en-US" w:eastAsia="zh-CN" w:bidi="ar-SA"/>
    </w:rPr>
  </w:style>
  <w:style w:type="paragraph" w:customStyle="1" w:styleId="57">
    <w:name w:val="【方】表格字体"/>
    <w:qFormat/>
    <w:uiPriority w:val="99"/>
    <w:pPr>
      <w:spacing w:beforeLines="20" w:afterLines="20"/>
      <w:jc w:val="center"/>
    </w:pPr>
    <w:rPr>
      <w:rFonts w:ascii="Times New Roman" w:hAnsi="Times New Roman" w:eastAsia="宋体" w:cs="Times New Roman"/>
      <w:kern w:val="0"/>
      <w:sz w:val="20"/>
      <w:szCs w:val="24"/>
      <w:lang w:val="en-US" w:eastAsia="zh-CN" w:bidi="ar-SA"/>
    </w:rPr>
  </w:style>
  <w:style w:type="paragraph" w:customStyle="1" w:styleId="58">
    <w:name w:val="表格字体"/>
    <w:basedOn w:val="59"/>
    <w:next w:val="1"/>
    <w:qFormat/>
    <w:uiPriority w:val="99"/>
    <w:pPr>
      <w:adjustRightInd w:val="0"/>
      <w:snapToGrid w:val="0"/>
      <w:spacing w:beforeLines="20" w:afterLines="20"/>
      <w:ind w:right="2" w:rightChars="1"/>
      <w:jc w:val="center"/>
    </w:pPr>
    <w:rPr>
      <w:kern w:val="0"/>
      <w:szCs w:val="21"/>
    </w:rPr>
  </w:style>
  <w:style w:type="paragraph" w:customStyle="1" w:styleId="59">
    <w:name w:val="正文1"/>
    <w:qFormat/>
    <w:uiPriority w:val="0"/>
    <w:pPr>
      <w:jc w:val="both"/>
    </w:pPr>
    <w:rPr>
      <w:rFonts w:ascii="等线" w:hAnsi="等线" w:eastAsia="宋体" w:cs="宋体"/>
      <w:kern w:val="2"/>
      <w:sz w:val="21"/>
      <w:szCs w:val="21"/>
      <w:lang w:val="en-US" w:eastAsia="zh-CN" w:bidi="ar-SA"/>
    </w:rPr>
  </w:style>
  <w:style w:type="paragraph" w:customStyle="1" w:styleId="60">
    <w:name w:val="正文 4"/>
    <w:basedOn w:val="1"/>
    <w:qFormat/>
    <w:uiPriority w:val="99"/>
    <w:pPr>
      <w:overflowPunct w:val="0"/>
      <w:adjustRightInd w:val="0"/>
      <w:snapToGrid w:val="0"/>
      <w:spacing w:line="360" w:lineRule="auto"/>
      <w:ind w:firstLine="480" w:firstLineChars="200"/>
      <w:jc w:val="left"/>
    </w:pPr>
    <w:rPr>
      <w:sz w:val="24"/>
    </w:rPr>
  </w:style>
  <w:style w:type="paragraph" w:customStyle="1" w:styleId="61">
    <w:name w:val="表头（方）"/>
    <w:basedOn w:val="1"/>
    <w:qFormat/>
    <w:uiPriority w:val="99"/>
    <w:pPr>
      <w:widowControl/>
      <w:adjustRightInd w:val="0"/>
      <w:snapToGrid w:val="0"/>
      <w:spacing w:beforeLines="50" w:afterLines="20"/>
      <w:jc w:val="center"/>
    </w:pPr>
    <w:rPr>
      <w:b/>
      <w:kern w:val="0"/>
      <w:sz w:val="24"/>
    </w:rPr>
  </w:style>
  <w:style w:type="paragraph" w:customStyle="1" w:styleId="62">
    <w:name w:val="表格文字（方）"/>
    <w:qFormat/>
    <w:uiPriority w:val="99"/>
    <w:pPr>
      <w:spacing w:beforeLines="10" w:afterLines="10"/>
      <w:jc w:val="center"/>
    </w:pPr>
    <w:rPr>
      <w:rFonts w:ascii="Times New Roman" w:hAnsi="Times New Roman" w:eastAsia="宋体" w:cs="Times New Roman"/>
      <w:kern w:val="0"/>
      <w:sz w:val="20"/>
      <w:szCs w:val="21"/>
      <w:lang w:val="en-US" w:eastAsia="zh-CN" w:bidi="ar-SA"/>
    </w:rPr>
  </w:style>
  <w:style w:type="paragraph" w:customStyle="1" w:styleId="63">
    <w:name w:val="方--表头"/>
    <w:basedOn w:val="1"/>
    <w:qFormat/>
    <w:uiPriority w:val="99"/>
    <w:pPr>
      <w:widowControl/>
      <w:adjustRightInd w:val="0"/>
      <w:snapToGrid w:val="0"/>
      <w:spacing w:line="360" w:lineRule="auto"/>
      <w:jc w:val="center"/>
    </w:pPr>
    <w:rPr>
      <w:b/>
      <w:kern w:val="0"/>
      <w:sz w:val="24"/>
    </w:rPr>
  </w:style>
  <w:style w:type="paragraph" w:customStyle="1" w:styleId="64">
    <w:name w:val="正文KX"/>
    <w:basedOn w:val="1"/>
    <w:qFormat/>
    <w:uiPriority w:val="99"/>
    <w:pPr>
      <w:overflowPunct w:val="0"/>
      <w:adjustRightInd w:val="0"/>
      <w:snapToGrid w:val="0"/>
      <w:spacing w:line="360" w:lineRule="auto"/>
      <w:ind w:firstLine="472" w:firstLineChars="200"/>
      <w:jc w:val="left"/>
    </w:pPr>
    <w:rPr>
      <w:rFonts w:cs="Calibri"/>
      <w:spacing w:val="-2"/>
      <w:kern w:val="0"/>
      <w:sz w:val="24"/>
    </w:rPr>
  </w:style>
  <w:style w:type="paragraph" w:customStyle="1" w:styleId="65">
    <w:name w:val="四级大纲KX"/>
    <w:basedOn w:val="1"/>
    <w:next w:val="1"/>
    <w:qFormat/>
    <w:uiPriority w:val="99"/>
    <w:pPr>
      <w:numPr>
        <w:ilvl w:val="3"/>
        <w:numId w:val="2"/>
      </w:numPr>
      <w:tabs>
        <w:tab w:val="left" w:pos="0"/>
        <w:tab w:val="left" w:pos="300"/>
      </w:tabs>
      <w:adjustRightInd w:val="0"/>
      <w:snapToGrid w:val="0"/>
      <w:spacing w:line="360" w:lineRule="auto"/>
      <w:outlineLvl w:val="3"/>
    </w:pPr>
    <w:rPr>
      <w:rFonts w:cs="Calibri"/>
      <w:b/>
    </w:rPr>
  </w:style>
  <w:style w:type="paragraph" w:customStyle="1" w:styleId="66">
    <w:name w:val="正文3"/>
    <w:basedOn w:val="1"/>
    <w:qFormat/>
    <w:uiPriority w:val="99"/>
    <w:pPr>
      <w:widowControl/>
      <w:autoSpaceDE w:val="0"/>
      <w:autoSpaceDN w:val="0"/>
      <w:adjustRightInd w:val="0"/>
      <w:snapToGrid w:val="0"/>
      <w:spacing w:line="360" w:lineRule="auto"/>
      <w:ind w:firstLine="480"/>
      <w:jc w:val="left"/>
    </w:pPr>
    <w:rPr>
      <w:kern w:val="0"/>
    </w:rPr>
  </w:style>
  <w:style w:type="paragraph" w:customStyle="1" w:styleId="67">
    <w:name w:val="样式3"/>
    <w:basedOn w:val="4"/>
    <w:next w:val="9"/>
    <w:qFormat/>
    <w:uiPriority w:val="99"/>
    <w:pPr>
      <w:tabs>
        <w:tab w:val="left" w:pos="0"/>
        <w:tab w:val="left" w:pos="574"/>
      </w:tabs>
      <w:adjustRightInd w:val="0"/>
      <w:snapToGrid w:val="0"/>
      <w:spacing w:beforeLines="50" w:after="0" w:line="360" w:lineRule="auto"/>
      <w:ind w:firstLine="0" w:firstLineChars="0"/>
      <w:outlineLvl w:val="3"/>
    </w:pPr>
    <w:rPr>
      <w:color w:val="000000"/>
      <w:kern w:val="0"/>
      <w:sz w:val="24"/>
      <w:szCs w:val="28"/>
    </w:rPr>
  </w:style>
  <w:style w:type="paragraph" w:customStyle="1" w:styleId="68">
    <w:name w:val="PIM 11"/>
    <w:basedOn w:val="1"/>
    <w:next w:val="9"/>
    <w:qFormat/>
    <w:uiPriority w:val="99"/>
    <w:pPr>
      <w:keepNext/>
      <w:keepLines/>
      <w:tabs>
        <w:tab w:val="left" w:pos="1080"/>
      </w:tabs>
      <w:adjustRightInd w:val="0"/>
      <w:snapToGrid w:val="0"/>
      <w:spacing w:beforeLines="50" w:line="360" w:lineRule="auto"/>
      <w:outlineLvl w:val="0"/>
    </w:pPr>
    <w:rPr>
      <w:color w:val="000000"/>
      <w:kern w:val="44"/>
      <w:sz w:val="32"/>
      <w:szCs w:val="44"/>
    </w:rPr>
  </w:style>
  <w:style w:type="paragraph" w:customStyle="1" w:styleId="69">
    <w:name w:val="样式2"/>
    <w:basedOn w:val="3"/>
    <w:next w:val="9"/>
    <w:link w:val="105"/>
    <w:qFormat/>
    <w:uiPriority w:val="99"/>
    <w:pPr>
      <w:adjustRightInd w:val="0"/>
      <w:snapToGrid w:val="0"/>
      <w:spacing w:beforeLines="50" w:line="360" w:lineRule="auto"/>
      <w:ind w:left="-135" w:leftChars="-135" w:hanging="282" w:hangingChars="94"/>
      <w:jc w:val="center"/>
    </w:pPr>
    <w:rPr>
      <w:rFonts w:ascii="Calibri" w:hAnsi="Calibri" w:eastAsia="方正小标宋_GBK" w:cs="Times New Roman"/>
      <w:color w:val="000000"/>
      <w:sz w:val="30"/>
    </w:rPr>
  </w:style>
  <w:style w:type="paragraph" w:customStyle="1" w:styleId="70">
    <w:name w:val="S表格P2"/>
    <w:qFormat/>
    <w:uiPriority w:val="99"/>
    <w:pPr>
      <w:snapToGrid w:val="0"/>
      <w:jc w:val="center"/>
    </w:pPr>
    <w:rPr>
      <w:rFonts w:ascii="Times New Roman" w:hAnsi="Times New Roman" w:eastAsia="宋体" w:cs="Times New Roman"/>
      <w:kern w:val="0"/>
      <w:sz w:val="20"/>
      <w:szCs w:val="21"/>
      <w:lang w:val="en-US" w:eastAsia="zh-CN" w:bidi="ar-SA"/>
    </w:rPr>
  </w:style>
  <w:style w:type="paragraph" w:customStyle="1" w:styleId="71">
    <w:name w:val="表头"/>
    <w:basedOn w:val="1"/>
    <w:qFormat/>
    <w:uiPriority w:val="99"/>
    <w:pPr>
      <w:adjustRightInd w:val="0"/>
      <w:spacing w:before="80" w:after="80"/>
      <w:jc w:val="center"/>
      <w:textAlignment w:val="baseline"/>
    </w:pPr>
    <w:rPr>
      <w:rFonts w:ascii="仿宋_GB2312" w:hAnsi="宋体" w:eastAsia="仿宋_GB2312"/>
      <w:sz w:val="24"/>
    </w:rPr>
  </w:style>
  <w:style w:type="paragraph" w:customStyle="1" w:styleId="72">
    <w:name w:val="s正文"/>
    <w:basedOn w:val="1"/>
    <w:qFormat/>
    <w:uiPriority w:val="99"/>
    <w:pPr>
      <w:overflowPunct w:val="0"/>
      <w:adjustRightInd w:val="0"/>
      <w:snapToGrid w:val="0"/>
      <w:spacing w:line="360" w:lineRule="auto"/>
      <w:ind w:firstLine="200" w:firstLineChars="200"/>
      <w:jc w:val="left"/>
    </w:pPr>
  </w:style>
  <w:style w:type="paragraph" w:customStyle="1" w:styleId="73">
    <w:name w:val="S表格标题"/>
    <w:basedOn w:val="1"/>
    <w:qFormat/>
    <w:uiPriority w:val="99"/>
    <w:pPr>
      <w:widowControl/>
      <w:spacing w:beforeLines="20" w:afterLines="20"/>
    </w:pPr>
    <w:rPr>
      <w:b/>
      <w:color w:val="000000"/>
      <w:kern w:val="28"/>
    </w:rPr>
  </w:style>
  <w:style w:type="paragraph" w:customStyle="1" w:styleId="74">
    <w:name w:val="reader-word-layer reader-word-s21-11"/>
    <w:basedOn w:val="1"/>
    <w:qFormat/>
    <w:uiPriority w:val="99"/>
    <w:pPr>
      <w:widowControl/>
      <w:spacing w:before="100" w:beforeAutospacing="1" w:after="100" w:afterAutospacing="1"/>
      <w:jc w:val="left"/>
    </w:pPr>
    <w:rPr>
      <w:rFonts w:ascii="宋体" w:hAnsi="宋体" w:cs="宋体"/>
      <w:kern w:val="0"/>
      <w:sz w:val="24"/>
    </w:rPr>
  </w:style>
  <w:style w:type="paragraph" w:customStyle="1" w:styleId="75">
    <w:name w:val="A表格"/>
    <w:basedOn w:val="1"/>
    <w:qFormat/>
    <w:uiPriority w:val="99"/>
    <w:pPr>
      <w:jc w:val="center"/>
    </w:pPr>
    <w:rPr>
      <w:szCs w:val="21"/>
    </w:rPr>
  </w:style>
  <w:style w:type="paragraph" w:customStyle="1" w:styleId="76">
    <w:name w:val="111正文"/>
    <w:basedOn w:val="1"/>
    <w:qFormat/>
    <w:uiPriority w:val="99"/>
    <w:pPr>
      <w:tabs>
        <w:tab w:val="left" w:pos="600"/>
      </w:tabs>
      <w:spacing w:line="360" w:lineRule="auto"/>
      <w:ind w:firstLine="200" w:firstLineChars="200"/>
    </w:pPr>
    <w:rPr>
      <w:sz w:val="24"/>
    </w:rPr>
  </w:style>
  <w:style w:type="paragraph" w:customStyle="1" w:styleId="77">
    <w:name w:val="1正文"/>
    <w:basedOn w:val="1"/>
    <w:qFormat/>
    <w:uiPriority w:val="99"/>
    <w:pPr>
      <w:spacing w:line="360" w:lineRule="auto"/>
      <w:ind w:firstLine="200" w:firstLineChars="200"/>
    </w:pPr>
    <w:rPr>
      <w:rFonts w:cs="宋体"/>
      <w:sz w:val="24"/>
      <w:szCs w:val="20"/>
    </w:rPr>
  </w:style>
  <w:style w:type="paragraph" w:customStyle="1" w:styleId="78">
    <w:name w:val="无间隔2"/>
    <w:qFormat/>
    <w:uiPriority w:val="99"/>
    <w:pPr>
      <w:widowControl w:val="0"/>
      <w:ind w:firstLine="560" w:firstLineChars="200"/>
      <w:jc w:val="both"/>
    </w:pPr>
    <w:rPr>
      <w:rFonts w:ascii="Times New Roman" w:hAnsi="Times New Roman" w:eastAsia="宋体" w:cs="Times New Roman"/>
      <w:kern w:val="0"/>
      <w:sz w:val="28"/>
      <w:szCs w:val="28"/>
      <w:lang w:val="en-US" w:eastAsia="zh-CN" w:bidi="ar-SA"/>
    </w:rPr>
  </w:style>
  <w:style w:type="paragraph" w:customStyle="1" w:styleId="79">
    <w:name w:val="WPSOffice手动目录 1"/>
    <w:qFormat/>
    <w:uiPriority w:val="99"/>
    <w:rPr>
      <w:rFonts w:ascii="Times New Roman" w:hAnsi="Times New Roman" w:eastAsia="宋体" w:cs="Times New Roman"/>
      <w:kern w:val="0"/>
      <w:sz w:val="20"/>
      <w:szCs w:val="20"/>
      <w:lang w:val="en-US" w:eastAsia="zh-CN" w:bidi="ar-SA"/>
    </w:rPr>
  </w:style>
  <w:style w:type="paragraph" w:customStyle="1" w:styleId="80">
    <w:name w:val="（新格式）表格"/>
    <w:basedOn w:val="56"/>
    <w:qFormat/>
    <w:uiPriority w:val="0"/>
    <w:pPr>
      <w:topLinePunct/>
    </w:pPr>
    <w:rPr>
      <w:rFonts w:hint="eastAsia" w:ascii="Times New Roman" w:hAnsi="Times New Roman"/>
      <w:sz w:val="21"/>
    </w:rPr>
  </w:style>
  <w:style w:type="paragraph" w:customStyle="1" w:styleId="81">
    <w:name w:val="（新格式）表头"/>
    <w:basedOn w:val="61"/>
    <w:link w:val="108"/>
    <w:qFormat/>
    <w:uiPriority w:val="0"/>
    <w:pPr>
      <w:topLinePunct/>
      <w:adjustRightInd w:val="0"/>
      <w:snapToGrid w:val="0"/>
      <w:spacing w:line="240" w:lineRule="auto"/>
      <w:ind w:firstLine="0" w:firstLineChars="0"/>
      <w:jc w:val="center"/>
    </w:pPr>
    <w:rPr>
      <w:rFonts w:hint="eastAsia" w:ascii="Times New Roman" w:hAnsi="Times New Roman" w:eastAsia="宋体"/>
      <w:sz w:val="21"/>
    </w:rPr>
  </w:style>
  <w:style w:type="character" w:customStyle="1" w:styleId="82">
    <w:name w:val="Heading 1 Char"/>
    <w:basedOn w:val="28"/>
    <w:link w:val="2"/>
    <w:qFormat/>
    <w:locked/>
    <w:uiPriority w:val="99"/>
    <w:rPr>
      <w:rFonts w:cs="Times New Roman"/>
      <w:b/>
      <w:bCs/>
      <w:kern w:val="44"/>
      <w:sz w:val="44"/>
      <w:szCs w:val="44"/>
    </w:rPr>
  </w:style>
  <w:style w:type="character" w:customStyle="1" w:styleId="83">
    <w:name w:val="Heading 2 Char"/>
    <w:basedOn w:val="28"/>
    <w:link w:val="3"/>
    <w:semiHidden/>
    <w:qFormat/>
    <w:locked/>
    <w:uiPriority w:val="99"/>
    <w:rPr>
      <w:rFonts w:ascii="Cambria" w:hAnsi="Cambria" w:eastAsia="宋体" w:cs="黑体"/>
      <w:b/>
      <w:bCs/>
      <w:sz w:val="32"/>
      <w:szCs w:val="32"/>
    </w:rPr>
  </w:style>
  <w:style w:type="character" w:customStyle="1" w:styleId="84">
    <w:name w:val="Heading 3 Char"/>
    <w:basedOn w:val="28"/>
    <w:link w:val="4"/>
    <w:semiHidden/>
    <w:qFormat/>
    <w:locked/>
    <w:uiPriority w:val="99"/>
    <w:rPr>
      <w:rFonts w:cs="Times New Roman"/>
      <w:b/>
      <w:bCs/>
      <w:sz w:val="32"/>
      <w:szCs w:val="32"/>
    </w:rPr>
  </w:style>
  <w:style w:type="character" w:customStyle="1" w:styleId="85">
    <w:name w:val="Heading 4 Char"/>
    <w:basedOn w:val="28"/>
    <w:link w:val="5"/>
    <w:semiHidden/>
    <w:qFormat/>
    <w:locked/>
    <w:uiPriority w:val="99"/>
    <w:rPr>
      <w:rFonts w:ascii="Cambria" w:hAnsi="Cambria" w:eastAsia="宋体" w:cs="黑体"/>
      <w:b/>
      <w:bCs/>
      <w:sz w:val="28"/>
      <w:szCs w:val="28"/>
    </w:rPr>
  </w:style>
  <w:style w:type="character" w:customStyle="1" w:styleId="86">
    <w:name w:val="Body Text Char"/>
    <w:basedOn w:val="28"/>
    <w:link w:val="9"/>
    <w:qFormat/>
    <w:locked/>
    <w:uiPriority w:val="99"/>
    <w:rPr>
      <w:rFonts w:cs="Times New Roman"/>
      <w:sz w:val="18"/>
    </w:rPr>
  </w:style>
  <w:style w:type="character" w:customStyle="1" w:styleId="87">
    <w:name w:val="Document Map Char"/>
    <w:basedOn w:val="28"/>
    <w:link w:val="7"/>
    <w:semiHidden/>
    <w:qFormat/>
    <w:locked/>
    <w:uiPriority w:val="99"/>
    <w:rPr>
      <w:rFonts w:cs="Times New Roman"/>
      <w:sz w:val="16"/>
      <w:szCs w:val="16"/>
    </w:rPr>
  </w:style>
  <w:style w:type="character" w:customStyle="1" w:styleId="88">
    <w:name w:val="Comment Text Char"/>
    <w:basedOn w:val="28"/>
    <w:link w:val="8"/>
    <w:qFormat/>
    <w:locked/>
    <w:uiPriority w:val="99"/>
    <w:rPr>
      <w:rFonts w:ascii="Times New Roman" w:hAnsi="Times New Roman" w:eastAsia="宋体" w:cs="Times New Roman"/>
      <w:sz w:val="24"/>
    </w:rPr>
  </w:style>
  <w:style w:type="character" w:customStyle="1" w:styleId="89">
    <w:name w:val="Body Text Indent Char"/>
    <w:basedOn w:val="28"/>
    <w:link w:val="10"/>
    <w:semiHidden/>
    <w:qFormat/>
    <w:locked/>
    <w:uiPriority w:val="99"/>
    <w:rPr>
      <w:rFonts w:ascii="Times New Roman" w:hAnsi="Times New Roman" w:eastAsia="宋体" w:cs="Times New Roman"/>
      <w:sz w:val="24"/>
    </w:rPr>
  </w:style>
  <w:style w:type="character" w:customStyle="1" w:styleId="90">
    <w:name w:val="Plain Text Char"/>
    <w:basedOn w:val="28"/>
    <w:link w:val="12"/>
    <w:semiHidden/>
    <w:qFormat/>
    <w:locked/>
    <w:uiPriority w:val="99"/>
    <w:rPr>
      <w:rFonts w:ascii="宋体" w:hAnsi="Courier New" w:cs="Courier New"/>
      <w:sz w:val="21"/>
      <w:szCs w:val="21"/>
    </w:rPr>
  </w:style>
  <w:style w:type="character" w:customStyle="1" w:styleId="91">
    <w:name w:val="Date Char"/>
    <w:basedOn w:val="28"/>
    <w:link w:val="14"/>
    <w:qFormat/>
    <w:locked/>
    <w:uiPriority w:val="99"/>
    <w:rPr>
      <w:rFonts w:ascii="Times New Roman" w:hAnsi="Times New Roman" w:eastAsia="宋体" w:cs="Times New Roman"/>
      <w:sz w:val="24"/>
    </w:rPr>
  </w:style>
  <w:style w:type="character" w:customStyle="1" w:styleId="92">
    <w:name w:val="Body Text Indent 2 Char"/>
    <w:basedOn w:val="28"/>
    <w:link w:val="15"/>
    <w:semiHidden/>
    <w:qFormat/>
    <w:locked/>
    <w:uiPriority w:val="99"/>
    <w:rPr>
      <w:rFonts w:cs="Times New Roman"/>
      <w:sz w:val="24"/>
      <w:szCs w:val="24"/>
    </w:rPr>
  </w:style>
  <w:style w:type="character" w:customStyle="1" w:styleId="93">
    <w:name w:val="Balloon Text Char"/>
    <w:basedOn w:val="28"/>
    <w:link w:val="16"/>
    <w:semiHidden/>
    <w:qFormat/>
    <w:locked/>
    <w:uiPriority w:val="99"/>
    <w:rPr>
      <w:rFonts w:ascii="Times New Roman" w:hAnsi="Times New Roman" w:eastAsia="宋体" w:cs="Times New Roman"/>
      <w:sz w:val="18"/>
    </w:rPr>
  </w:style>
  <w:style w:type="character" w:customStyle="1" w:styleId="94">
    <w:name w:val="Footer Char"/>
    <w:basedOn w:val="28"/>
    <w:link w:val="17"/>
    <w:qFormat/>
    <w:locked/>
    <w:uiPriority w:val="99"/>
    <w:rPr>
      <w:rFonts w:cs="Times New Roman"/>
      <w:sz w:val="18"/>
    </w:rPr>
  </w:style>
  <w:style w:type="character" w:customStyle="1" w:styleId="95">
    <w:name w:val="Header Char"/>
    <w:basedOn w:val="28"/>
    <w:link w:val="18"/>
    <w:qFormat/>
    <w:locked/>
    <w:uiPriority w:val="99"/>
    <w:rPr>
      <w:rFonts w:cs="Times New Roman"/>
      <w:sz w:val="18"/>
    </w:rPr>
  </w:style>
  <w:style w:type="character" w:customStyle="1" w:styleId="96">
    <w:name w:val="Body Text Indent 3 Char"/>
    <w:basedOn w:val="28"/>
    <w:link w:val="21"/>
    <w:semiHidden/>
    <w:qFormat/>
    <w:locked/>
    <w:uiPriority w:val="99"/>
    <w:rPr>
      <w:rFonts w:cs="Times New Roman"/>
      <w:sz w:val="16"/>
      <w:szCs w:val="16"/>
    </w:rPr>
  </w:style>
  <w:style w:type="character" w:customStyle="1" w:styleId="97">
    <w:name w:val="Comment Subject Char"/>
    <w:basedOn w:val="88"/>
    <w:link w:val="24"/>
    <w:semiHidden/>
    <w:qFormat/>
    <w:locked/>
    <w:uiPriority w:val="99"/>
    <w:rPr>
      <w:b/>
      <w:kern w:val="2"/>
    </w:rPr>
  </w:style>
  <w:style w:type="character" w:customStyle="1" w:styleId="98">
    <w:name w:val="Body Text First Indent 2 Char"/>
    <w:basedOn w:val="89"/>
    <w:link w:val="25"/>
    <w:semiHidden/>
    <w:qFormat/>
    <w:locked/>
    <w:uiPriority w:val="99"/>
    <w:rPr>
      <w:szCs w:val="24"/>
    </w:rPr>
  </w:style>
  <w:style w:type="character" w:customStyle="1" w:styleId="99">
    <w:name w:val="Normal (Web) Char"/>
    <w:link w:val="22"/>
    <w:qFormat/>
    <w:locked/>
    <w:uiPriority w:val="99"/>
    <w:rPr>
      <w:rFonts w:ascii="宋体" w:hAnsi="宋体" w:eastAsia="宋体"/>
      <w:sz w:val="24"/>
    </w:rPr>
  </w:style>
  <w:style w:type="character" w:customStyle="1" w:styleId="100">
    <w:name w:val="日期 字符"/>
    <w:semiHidden/>
    <w:qFormat/>
    <w:uiPriority w:val="99"/>
    <w:rPr>
      <w:rFonts w:ascii="Times New Roman" w:hAnsi="Times New Roman" w:eastAsia="宋体"/>
      <w:sz w:val="24"/>
    </w:rPr>
  </w:style>
  <w:style w:type="character" w:customStyle="1" w:styleId="101">
    <w:name w:val="正文文本 字符1"/>
    <w:semiHidden/>
    <w:qFormat/>
    <w:uiPriority w:val="99"/>
    <w:rPr>
      <w:rFonts w:ascii="Times New Roman" w:hAnsi="Times New Roman" w:eastAsia="宋体"/>
      <w:sz w:val="24"/>
    </w:rPr>
  </w:style>
  <w:style w:type="character" w:customStyle="1" w:styleId="102">
    <w:name w:val="批注文字 字符1"/>
    <w:semiHidden/>
    <w:qFormat/>
    <w:uiPriority w:val="99"/>
    <w:rPr>
      <w:rFonts w:ascii="Times New Roman" w:hAnsi="Times New Roman" w:eastAsia="宋体"/>
      <w:sz w:val="24"/>
    </w:rPr>
  </w:style>
  <w:style w:type="character" w:customStyle="1" w:styleId="103">
    <w:name w:val="表格 Char"/>
    <w:link w:val="36"/>
    <w:qFormat/>
    <w:locked/>
    <w:uiPriority w:val="99"/>
    <w:rPr>
      <w:rFonts w:ascii="宋体"/>
      <w:sz w:val="21"/>
    </w:rPr>
  </w:style>
  <w:style w:type="character" w:customStyle="1" w:styleId="104">
    <w:name w:val="页脚 字符"/>
    <w:basedOn w:val="28"/>
    <w:qFormat/>
    <w:uiPriority w:val="99"/>
    <w:rPr>
      <w:rFonts w:cs="Times New Roman"/>
    </w:rPr>
  </w:style>
  <w:style w:type="character" w:customStyle="1" w:styleId="105">
    <w:name w:val="样式2 Char"/>
    <w:basedOn w:val="28"/>
    <w:link w:val="69"/>
    <w:qFormat/>
    <w:locked/>
    <w:uiPriority w:val="99"/>
    <w:rPr>
      <w:rFonts w:ascii="Calibri" w:hAnsi="Calibri" w:eastAsia="方正小标宋_GBK" w:cs="Times New Roman"/>
      <w:color w:val="000000"/>
      <w:sz w:val="30"/>
    </w:rPr>
  </w:style>
  <w:style w:type="character" w:customStyle="1" w:styleId="106">
    <w:name w:val="font11"/>
    <w:basedOn w:val="28"/>
    <w:qFormat/>
    <w:uiPriority w:val="99"/>
    <w:rPr>
      <w:rFonts w:ascii="Times New Roman" w:hAnsi="Times New Roman" w:cs="Times New Roman"/>
      <w:color w:val="FF0000"/>
      <w:sz w:val="20"/>
      <w:szCs w:val="20"/>
      <w:u w:val="none"/>
    </w:rPr>
  </w:style>
  <w:style w:type="character" w:customStyle="1" w:styleId="107">
    <w:name w:val="content-right_1thtn"/>
    <w:basedOn w:val="28"/>
    <w:qFormat/>
    <w:uiPriority w:val="99"/>
    <w:rPr>
      <w:rFonts w:cs="Times New Roman"/>
    </w:rPr>
  </w:style>
  <w:style w:type="character" w:customStyle="1" w:styleId="108">
    <w:name w:val="（新格式）表头 Char"/>
    <w:link w:val="81"/>
    <w:qFormat/>
    <w:uiPriority w:val="0"/>
    <w:rPr>
      <w:rFonts w:hint="eastAsia" w:ascii="Times New Roman" w:hAnsi="Times New Roman" w:eastAsia="宋体"/>
      <w:sz w:val="21"/>
    </w:rPr>
  </w:style>
  <w:style w:type="character" w:customStyle="1" w:styleId="109">
    <w:name w:val="表格字体 Char Char"/>
    <w:qFormat/>
    <w:uiPriority w:val="0"/>
    <w:rPr>
      <w:rFonts w:ascii="Times New Roman" w:hAnsi="Times New Roman"/>
      <w:snapToGrid w:val="0"/>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numbering" Target="numbering.xml"/><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emf"/><Relationship Id="rId15" Type="http://schemas.openxmlformats.org/officeDocument/2006/relationships/image" Target="media/image4.png"/><Relationship Id="rId14" Type="http://schemas.openxmlformats.org/officeDocument/2006/relationships/image" Target="media/image3.emf"/><Relationship Id="rId13" Type="http://schemas.openxmlformats.org/officeDocument/2006/relationships/oleObject" Target="embeddings/oleObject3.bin"/><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36438e6c-0d02-45c5-96e7-5b3c2377b1a9</errorID>
      <errorWord>1、与《长三角生态绿色一体化发展示范区国土空间总体规划（2021-2035年）》相符性分析</errorWord>
      <group>L1_AI</group>
      <groupName>深度校对</groupName>
      <ability>L2_AI_Title</ability>
      <abilityName>标题检查</abilityName>
      <candidateList/>
      <explain>相同层级标题序号格式前后文不一致。前文一级标题使用“一、”，此处二级标题使用“1、”，与后文二级标题使用“（一）”等格式不一致，且一级标题与二级标题序号格式衔接不规范。</explain>
      <paraID> 7C6F90A</paraID>
      <start>0</start>
      <end>45</end>
      <status>unmodified</status>
      <modifiedWord/>
      <trackRevisions>false</trackRevisions>
    </reviewItem>
    <reviewItem>
      <errorID>582c56b1-529c-437d-865a-e8598bc47492</errorID>
      <errorWord>层次</errorWord>
      <group>L1_AI</group>
      <groupName>深度校对</groupName>
      <ability>L2_AI_Grammar</ability>
      <abilityName>语法纠错</abilityName>
      <candidateList>
        <item>一层次</item>
      </candidateList>
      <explain/>
      <paraID>46CB1722</paraID>
      <start>44</start>
      <end>46</end>
      <status>unmodified</status>
      <modifiedWord/>
      <trackRevisions>false</trackRevisions>
    </reviewItem>
    <reviewItem>
      <errorID>69b763c5-1d54-453d-b637-4eac3c7948bb</errorID>
      <errorWord>1.生态优先、绿色低碳发展 </errorWord>
      <group>L1_AI</group>
      <groupName>深度校对</groupName>
      <ability>L2_AI_Title</ability>
      <abilityName>标题检查</abilityName>
      <candidateList/>
      <explain>相邻标题序号不连续。前文二级标题“（三）空间战略”下，直接出现三级标题“1.生态优先、绿色低碳发展 ”，中间缺少二级标题与三级标题之间合理的序号过渡；且后续三级标题“2.创新驱动、高质量发展 ”等连续出现，均存在此类相邻标题序号不连续的问题。</explain>
      <paraID>1D2AF73C</paraID>
      <start>0</start>
      <end>14</end>
      <status>unmodified</status>
      <modifiedWord/>
      <trackRevisions>false</trackRevisions>
    </reviewItem>
    <reviewItem>
      <errorID>7cecf040-d8d4-4b11-9e3e-31f7d0a068fd</errorID>
      <errorWord>链接</errorWord>
      <group>L1_AI</group>
      <groupName>深度校对</groupName>
      <ability>L2_AI_Word</ability>
      <abilityName>字词纠错</abilityName>
      <candidateList>
        <item>连接</item>
      </candidateList>
      <explain>（联接）liánjiē〈动〉❶（事物）互相衔接：山岭～。❷使连接：～线路。</explain>
      <paraID>5AB1CEE7</paraID>
      <start>97</start>
      <end>99</end>
      <status>unmodified</status>
      <modifiedWord/>
      <trackRevisions>false</trackRevisions>
    </reviewItem>
    <reviewItem>
      <errorID>1f157a81-38f0-4ee5-ba02-7d4e27b78cb1</errorID>
      <errorWord>。</errorWord>
      <group>L1_AI</group>
      <groupName>深度校对</groupName>
      <ability>L2_AI_Punc</ability>
      <abilityName>标点纠错</abilityName>
      <candidateList>
        <item>，</item>
      </candidateList>
      <explain/>
      <paraID>5AB1CEE7</paraID>
      <start>182</start>
      <end>183</end>
      <status>unmodified</status>
      <modifiedWord/>
      <trackRevisions>false</trackRevisions>
    </reviewItem>
    <reviewItem>
      <errorID>1a8d9db5-6cda-4335-900d-2ccbb9583d7e</errorID>
      <errorWord>生态和</errorWord>
      <group>L1_Word</group>
      <groupName>字词问题</groupName>
      <ability>L2_Typo</ability>
      <abilityName>字词错误</abilityName>
      <candidateList>
        <item>生态</item>
      </candidateList>
      <explain/>
      <paraID>56F28301</paraID>
      <start>5</start>
      <end>8</end>
      <status>unmodified</status>
      <modifiedWord/>
      <trackRevisions>false</trackRevisions>
    </reviewItem>
    <reviewItem>
      <errorID>d9846c93-9190-4e76-87e5-87ed50afc603</errorID>
      <errorWord>城镇开发建设2020年</errorWord>
      <group>L1_AI</group>
      <groupName>深度校对</groupName>
      <ability>L2_AI_Word</ability>
      <abilityName>字词纠错</abilityName>
      <candidateList>
        <item>2020年城镇开发建设</item>
      </candidateList>
      <explain/>
      <paraID>4F42773B</paraID>
      <start>10</start>
      <end>21</end>
      <status>unmodified</status>
      <modifiedWord/>
      <trackRevisions>false</trackRevisions>
    </reviewItem>
    <reviewItem>
      <errorID>cf092b12-1cd5-4de6-8277-109c00c2b551</errorID>
      <errorWord>-</errorWord>
      <group>L1_Format</group>
      <groupName>格式问题</groupName>
      <ability>L2_HalfPunc</ability>
      <abilityName>全半角检查</abilityName>
      <candidateList>
        <item>－</item>
      </candidateList>
      <explain>文本全半角错误。</explain>
      <paraID>34256F9D</paraID>
      <start>38</start>
      <end>39</end>
      <status>unmodified</status>
      <modifiedWord/>
      <trackRevisions>false</trackRevisions>
    </reviewItem>
    <reviewItem>
      <errorID>c64fb7f5-77e0-433a-8503-62e1126dc917</errorID>
      <errorWord>-</errorWord>
      <group>L1_Format</group>
      <groupName>格式问题</groupName>
      <ability>L2_HalfPunc</ability>
      <abilityName>全半角检查</abilityName>
      <candidateList>
        <item>－</item>
      </candidateList>
      <explain>文本全半角错误。</explain>
      <paraID>34256F9D</paraID>
      <start>46</start>
      <end>47</end>
      <status>unmodified</status>
      <modifiedWord/>
      <trackRevisions>false</trackRevisions>
    </reviewItem>
    <reviewItem>
      <errorID>c9512f51-d655-4dd1-bbe4-25f36d7cd92b</errorID>
      <errorWord>-</errorWord>
      <group>L1_Format</group>
      <groupName>格式问题</groupName>
      <ability>L2_HalfPunc</ability>
      <abilityName>全半角检查</abilityName>
      <candidateList>
        <item>－</item>
      </candidateList>
      <explain>文本全半角错误。</explain>
      <paraID>34256F9D</paraID>
      <start>54</start>
      <end>55</end>
      <status>unmodified</status>
      <modifiedWord/>
      <trackRevisions>false</trackRevisions>
    </reviewItem>
    <reviewItem>
      <errorID>64801d40-f2aa-4fa7-8e95-ebac193e434a</errorID>
      <errorWord>-</errorWord>
      <group>L1_Format</group>
      <groupName>格式问题</groupName>
      <ability>L2_HalfPunc</ability>
      <abilityName>全半角检查</abilityName>
      <candidateList>
        <item>－</item>
      </candidateList>
      <explain>文本全半角错误。</explain>
      <paraID>34256F9D</paraID>
      <start>57</start>
      <end>58</end>
      <status>unmodified</status>
      <modifiedWord/>
      <trackRevisions>false</trackRevisions>
    </reviewItem>
    <reviewItem>
      <errorID>4a0deea3-64d7-4b2b-b5ce-bf62cfbb1865</errorID>
      <errorWord>-</errorWord>
      <group>L1_Format</group>
      <groupName>格式问题</groupName>
      <ability>L2_HalfPunc</ability>
      <abilityName>全半角检查</abilityName>
      <candidateList>
        <item>－</item>
      </candidateList>
      <explain>文本全半角错误。</explain>
      <paraID>34256F9D</paraID>
      <start>67</start>
      <end>68</end>
      <status>unmodified</status>
      <modifiedWord/>
      <trackRevisions>false</trackRevisions>
    </reviewItem>
    <reviewItem>
      <errorID>83dcf101-c148-4aa6-abf0-cada35275179</errorID>
      <errorWord>一级清水</errorWord>
      <group>L1_Knowledge</group>
      <groupName>知识性问题</groupName>
      <ability>L2_Idiom</ability>
      <abilityName>成语和诗歌</abilityName>
      <candidateList>
        <item>一泓清水</item>
      </candidateList>
      <explain>又深又广。</explain>
      <paraID>4E4397DC</paraID>
      <start>0</start>
      <end>4</end>
      <status>unmodified</status>
      <modifiedWord/>
      <trackRevisions>false</trackRevisions>
    </reviewItem>
    <reviewItem>
      <errorID>5b581c2b-6d34-4c0f-9e5e-46bfcf141cc7</errorID>
      <errorWord>；</errorWord>
      <group>L1_Word</group>
      <groupName>字词问题</groupName>
      <ability>L2_Typo</ability>
      <abilityName>字词错误</abilityName>
      <candidateList>
        <item>；在</item>
      </candidateList>
      <explain/>
      <paraID>4E4397DC</paraID>
      <start>185</start>
      <end>186</end>
      <status>unmodified</status>
      <modifiedWord/>
      <trackRevisions>false</trackRevisions>
    </reviewItem>
    <reviewItem>
      <errorID>e897cab6-cb29-40f1-8639-4b5b059bde06</errorID>
      <errorWord>保育</errorWord>
      <group>L1_AI</group>
      <groupName>深度校对</groupName>
      <ability>L2_AI_Grammar</ability>
      <abilityName>语法纠错</abilityName>
      <candidateList>
        <item>以保育</item>
      </candidateList>
      <explain/>
      <paraID>112B896F</paraID>
      <start>32</start>
      <end>34</end>
      <status>unmodified</status>
      <modifiedWord/>
      <trackRevisions>false</trackRevisions>
    </reviewItem>
    <reviewItem>
      <errorID>de1e371c-d70d-4c8e-b7ab-ec131c8a990a</errorID>
      <errorWord>-</errorWord>
      <group>L1_Format</group>
      <groupName>格式问题</groupName>
      <ability>L2_HalfPunc</ability>
      <abilityName>全半角检查</abilityName>
      <candidateList>
        <item>－</item>
      </candidateList>
      <explain>文本全半角错误。</explain>
      <paraID>112B896F</paraID>
      <start>110</start>
      <end>111</end>
      <status>unmodified</status>
      <modifiedWord/>
      <trackRevisions>false</trackRevisions>
    </reviewItem>
    <reviewItem>
      <errorID>9160fcab-4f48-4edb-9996-5c953a6f5e01</errorID>
      <errorWord>-</errorWord>
      <group>L1_Format</group>
      <groupName>格式问题</groupName>
      <ability>L2_HalfPunc</ability>
      <abilityName>全半角检查</abilityName>
      <candidateList>
        <item>－</item>
      </candidateList>
      <explain>文本全半角错误。</explain>
      <paraID>112B896F</paraID>
      <start>112</start>
      <end>113</end>
      <status>unmodified</status>
      <modifiedWord/>
      <trackRevisions>false</trackRevisions>
    </reviewItem>
    <reviewItem>
      <errorID>9cae7be4-db50-4bcd-9369-a2f254dfbc73</errorID>
      <errorWord>废污水</errorWord>
      <group>L1_AI</group>
      <groupName>深度校对</groupName>
      <ability>L2_AI_Grammar</ability>
      <abilityName>语法纠错</abilityName>
      <candidateList>
        <item>废水</item>
      </candidateList>
      <explain/>
      <paraID>5C5381DD</paraID>
      <start>83</start>
      <end>86</end>
      <status>unmodified</status>
      <modifiedWord/>
      <trackRevisions>false</trackRevisions>
    </reviewItem>
    <reviewItem>
      <errorID>726449fc-f982-436b-b4a8-3d0619ef1687</errorID>
      <errorWord>污</errorWord>
      <group>L1_Word</group>
      <groupName>字词问题</groupName>
      <ability>L2_Typo</ability>
      <abilityName>字词错误</abilityName>
      <candidateList>
        <item>污染</item>
      </candidateList>
      <explain/>
      <paraID>15FCE7A0</paraID>
      <start>21</start>
      <end>22</end>
      <status>unmodified</status>
      <modifiedWord/>
      <trackRevisions>false</trackRevisions>
    </reviewItem>
    <reviewItem>
      <errorID>2f999816-7d78-4a1b-99c3-2a5d8d580582</errorID>
      <errorWord>III类</errorWord>
      <group>L1_Knowledge</group>
      <groupName>知识性问题</groupName>
      <ability>L2_Knowledge</ability>
      <abilityName>其他知识</abilityName>
      <candidateList>
        <item>Ⅲ类</item>
      </candidateList>
      <explain/>
      <paraID>2E4C08A5</paraID>
      <start>72</start>
      <end>76</end>
      <status>unmodified</status>
      <modifiedWord/>
      <trackRevisions>false</trackRevisions>
    </reviewItem>
    <reviewItem>
      <errorID>57b7ec73-fc95-4898-9ded-7e2e0001a93b</errorID>
      <errorWord>IV类</errorWord>
      <group>L1_Knowledge</group>
      <groupName>知识性问题</groupName>
      <ability>L2_Knowledge</ability>
      <abilityName>其他知识</abilityName>
      <candidateList>
        <item>Ⅳ类</item>
      </candidateList>
      <explain/>
      <paraID>2E4C08A5</paraID>
      <start>105</start>
      <end>108</end>
      <status>unmodified</status>
      <modifiedWord/>
      <trackRevisions>false</trackRevisions>
    </reviewItem>
    <reviewItem>
      <errorID>77b28729-7ec9-4092-9694-f71c99d280d5</errorID>
      <errorWord>一盆</errorWord>
      <group>L1_Knowledge</group>
      <groupName>知识性问题</groupName>
      <ability>L2_Knowledge</ability>
      <abilityName>其他知识</abilityName>
      <candidateList>
        <item>一汪</item>
      </candidateList>
      <explain/>
      <paraID>2E4C08A5</paraID>
      <start>218</start>
      <end>220</end>
      <status>unmodified</status>
      <modifiedWord/>
      <trackRevisions>false</trackRevisions>
    </reviewItem>
    <reviewItem>
      <errorID>b6ddf28a-091c-46af-be41-db8fc965350f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182507EF</paraID>
      <start>169</start>
      <end>170</end>
      <status>unmodified</status>
      <modifiedWord/>
      <trackRevisions>false</trackRevisions>
    </reviewItem>
    <reviewItem>
      <errorID>fc0e0f06-0697-4e9b-b510-18637c043b61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10DE40E7</paraID>
      <start>0</start>
      <end>2</end>
      <status>unmodified</status>
      <modifiedWord/>
      <trackRevisions>false</trackRevisions>
    </reviewItem>
    <reviewItem>
      <errorID>dd08918b-44fb-4eda-99ba-6c434f35b7a9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7B5E446F</paraID>
      <start>0</start>
      <end>2</end>
      <status>unmodified</status>
      <modifiedWord/>
      <trackRevisions>false</trackRevisions>
    </reviewItem>
    <reviewItem>
      <errorID>9507e647-fac7-4ffb-836b-64c3fb0f248c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53F3DBD</paraID>
      <start>0</start>
      <end>2</end>
      <status>unmodified</status>
      <modifiedWord/>
      <trackRevisions>false</trackRevisions>
    </reviewItem>
    <reviewItem>
      <errorID>1363775e-b557-4f11-acf3-5c219335d6c4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27E145C0</paraID>
      <start>0</start>
      <end>2</end>
      <status>unmodified</status>
      <modifiedWord/>
      <trackRevisions>false</trackRevisions>
    </reviewItem>
    <reviewItem>
      <errorID>d317f57b-bc33-4520-8b3d-4d0b92c1b8cd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10EB2053</paraID>
      <start>0</start>
      <end>2</end>
      <status>unmodified</status>
      <modifiedWord/>
      <trackRevisions>false</trackRevisions>
    </reviewItem>
    <reviewItem>
      <errorID>0490a448-764b-479d-b803-550f91d70f02</errorID>
      <errorWord>在其</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❼〈介〉表示时间、处所、范围、条件等：事情发生～去年｜～礼堂开会｜这件事～方式上还可以研究｜～他的帮助下，我取得了较好的成绩。❽〈副〉正在：风～刮，雨～下｜姐姐～做功课。</explain>
      <paraID>3DA84828</paraID>
      <start>92</start>
      <end>94</end>
      <status>unmodified</status>
      <modifiedWord/>
      <trackRevisions>false</trackRevisions>
    </reviewItem>
    <reviewItem>
      <errorID>8444fbfa-e4ac-4b21-b862-0a6f20a1cf68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3F4FEAF9</paraID>
      <start>0</start>
      <end>2</end>
      <status>unmodified</status>
      <modifiedWord/>
      <trackRevisions>false</trackRevisions>
    </reviewItem>
    <reviewItem>
      <errorID>8612f3c5-12ce-4c9b-bacb-1598ce583927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DD67572</paraID>
      <start>0</start>
      <end>2</end>
      <status>unmodified</status>
      <modifiedWord/>
      <trackRevisions>false</trackRevisions>
    </reviewItem>
    <reviewItem>
      <errorID>071c67a0-7a23-42e1-8c94-d6dc17d52f30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69B18268</paraID>
      <start>0</start>
      <end>2</end>
      <status>unmodified</status>
      <modifiedWord/>
      <trackRevisions>false</trackRevisions>
    </reviewItem>
    <reviewItem>
      <errorID>11d38031-0a7b-436e-a648-c973794786db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3FB421C7</paraID>
      <start>0</start>
      <end>2</end>
      <status>unmodified</status>
      <modifiedWord/>
      <trackRevisions>false</trackRevisions>
    </reviewItem>
    <reviewItem>
      <errorID>ce28df63-a820-4f45-980d-d9afb1414344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7A0994ED</paraID>
      <start>0</start>
      <end>2</end>
      <status>unmodified</status>
      <modifiedWord/>
      <trackRevisions>false</trackRevisions>
    </reviewItem>
    <reviewItem>
      <errorID>b0009607-1eec-4139-8f0a-53554e93defa</errorID>
      <errorWord>时</errorWord>
      <group>L1_Word</group>
      <groupName>字词问题</groupName>
      <ability>L2_Typo</ability>
      <abilityName>字词错误</abilityName>
      <candidateList>
        <item>时计</item>
      </candidateList>
      <explain/>
      <paraID>210B9D14</paraID>
      <start>45</start>
      <end>46</end>
      <status>unmodified</status>
      <modifiedWord/>
      <trackRevisions>false</trackRevisions>
    </reviewItem>
    <reviewItem>
      <errorID>1b670bb2-eb44-4ce4-a625-3f0b4c54faeb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248B805B</paraID>
      <start>0</start>
      <end>2</end>
      <status>unmodified</status>
      <modifiedWord/>
      <trackRevisions>false</trackRevisions>
    </reviewItem>
    <reviewItem>
      <errorID>9e5a3d64-fe16-4878-9eb1-14e16ff77058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65409BF8</paraID>
      <start>0</start>
      <end>2</end>
      <status>unmodified</status>
      <modifiedWord/>
      <trackRevisions>false</trackRevisions>
    </reviewItem>
    <reviewItem>
      <errorID>576bc72e-ba18-49e7-9d12-647577d65131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AEE992F</paraID>
      <start>0</start>
      <end>2</end>
      <status>unmodified</status>
      <modifiedWord/>
      <trackRevisions>false</trackRevisions>
    </reviewItem>
    <reviewItem>
      <errorID>bd0318a1-a2e8-4d1e-9fc4-76589874e5f5</errorID>
      <errorWord>交界</errorWord>
      <group>L1_Word</group>
      <groupName>字词问题</groupName>
      <ability>L2_Typo</ability>
      <abilityName>字词错误</abilityName>
      <candidateList>
        <item>交接</item>
      </candidateList>
      <explain/>
      <paraID>2A3FD432</paraID>
      <start>59</start>
      <end>61</end>
      <status>unmodified</status>
      <modifiedWord/>
      <trackRevisions>false</trackRevisions>
    </reviewItem>
    <reviewItem>
      <errorID>e4973f33-e87b-4cbb-9b73-30195e47b066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2501F6F5</paraID>
      <start>0</start>
      <end>2</end>
      <status>unmodified</status>
      <modifiedWord/>
      <trackRevisions>false</trackRevisions>
    </reviewItem>
    <reviewItem>
      <errorID>5e215d57-0a2f-4179-b7a9-f3b5ad5b2bac</errorID>
      <errorWord>[2025]466号</errorWord>
      <group>L1_Knowledge</group>
      <groupName>知识性问题</groupName>
      <ability>L2_Knowledge</ability>
      <abilityName>其他知识</abilityName>
      <candidateList>
        <item>〔2025〕466号</item>
      </candidateList>
      <explain>发文字号格式错误。</explain>
      <paraID> C8EFAD4</paraID>
      <start>24</start>
      <end>34</end>
      <status>unmodified</status>
      <modifiedWord/>
      <trackRevisions>false</trackRevisions>
    </reviewItem>
    <reviewItem>
      <errorID>b6e3de76-ac54-4606-b978-c631ac5cdcb1</errorID>
      <errorWord>(</errorWord>
      <group>L1_Format</group>
      <groupName>格式问题</groupName>
      <ability>L2_HalfPunc</ability>
      <abilityName>全半角检查</abilityName>
      <candidateList>
        <item>（</item>
      </candidateList>
      <explain>文本全半角错误。</explain>
      <paraID>49AD34FE</paraID>
      <start>11</start>
      <end>12</end>
      <status>unmodified</status>
      <modifiedWord/>
      <trackRevisions>false</trackRevisions>
    </reviewItem>
    <reviewItem>
      <errorID>fc022f1b-d99d-4a47-a385-f909e572283e</errorID>
      <errorWord>)</errorWord>
      <group>L1_Format</group>
      <groupName>格式问题</groupName>
      <ability>L2_HalfPunc</ability>
      <abilityName>全半角检查</abilityName>
      <candidateList>
        <item>）</item>
      </candidateList>
      <explain>文本全半角错误。</explain>
      <paraID>49AD34FE</paraID>
      <start>18</start>
      <end>19</end>
      <status>unmodified</status>
      <modifiedWord/>
      <trackRevisions>false</trackRevisions>
    </reviewItem>
    <reviewItem>
      <errorID>3e7e4550-7ba0-46be-842e-1253bbc893c2</errorID>
      <errorWord>[2022]260号</errorWord>
      <group>L1_Knowledge</group>
      <groupName>知识性问题</groupName>
      <ability>L2_Knowledge</ability>
      <abilityName>其他知识</abilityName>
      <candidateList>
        <item>〔2022〕260号</item>
      </candidateList>
      <explain>发文字号格式错误。</explain>
      <paraID>7A102158</paraID>
      <start>78</start>
      <end>88</end>
      <status>unmodified</status>
      <modifiedWord/>
      <trackRevisions>false</trackRevisions>
    </reviewItem>
    <reviewItem>
      <errorID>67f8d04d-dd44-44ba-9357-ae74fa898cff</errorID>
      <errorWord>[2023]44号</errorWord>
      <group>L1_Knowledge</group>
      <groupName>知识性问题</groupName>
      <ability>L2_Knowledge</ability>
      <abilityName>其他知识</abilityName>
      <candidateList>
        <item>〔2023〕44号</item>
      </candidateList>
      <explain>发文字号格式错误。</explain>
      <paraID> 14F219F</paraID>
      <start>79</start>
      <end>88</end>
      <status>unmodified</status>
      <modifiedWord/>
      <trackRevisions>false</trackRevisions>
    </reviewItem>
    <reviewItem>
      <errorID>df9cb8e0-3a5c-490c-bc59-2c1291cd6ef6</errorID>
      <errorWord>[2018]32号</errorWord>
      <group>L1_Knowledge</group>
      <groupName>知识性问题</groupName>
      <ability>L2_Knowledge</ability>
      <abilityName>其他知识</abilityName>
      <candidateList>
        <item>〔2018〕32号</item>
      </candidateList>
      <explain>发文字号格式错误。</explain>
      <paraID>334CF649</paraID>
      <start>25</start>
      <end>34</end>
      <status>unmodified</status>
      <modifiedWord/>
      <trackRevisions>false</trackRevisions>
    </reviewItem>
    <reviewItem>
      <errorID>d7c5bcf4-f92e-4aa1-94dd-c0c39930bc74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293FFEDC</paraID>
      <start>0</start>
      <end>2</end>
      <status>unmodified</status>
      <modifiedWord/>
      <trackRevisions>false</trackRevisions>
    </reviewItem>
    <reviewItem>
      <errorID>73882dad-1965-4c6f-818a-31bf16228012</errorID>
      <errorWord>(</errorWord>
      <group>L1_Format</group>
      <groupName>格式问题</groupName>
      <ability>L2_HalfPunc</ability>
      <abilityName>全半角检查</abilityName>
      <candidateList>
        <item>（</item>
      </candidateList>
      <explain>文本全半角错误。</explain>
      <paraID>5436CB4A</paraID>
      <start>15</start>
      <end>16</end>
      <status>unmodified</status>
      <modifiedWord/>
      <trackRevisions>false</trackRevisions>
    </reviewItem>
    <reviewItem>
      <errorID>6ddf3ac8-7aec-4b68-86d6-9f964bcff627</errorID>
      <errorWord>)</errorWord>
      <group>L1_Format</group>
      <groupName>格式问题</groupName>
      <ability>L2_HalfPunc</ability>
      <abilityName>全半角检查</abilityName>
      <candidateList>
        <item>）</item>
      </candidateList>
      <explain>文本全半角错误。</explain>
      <paraID>5436CB4A</paraID>
      <start>24</start>
      <end>25</end>
      <status>unmodified</status>
      <modifiedWord/>
      <trackRevisions>false</trackRevisions>
    </reviewItem>
    <reviewItem>
      <errorID>c54ef7bd-31a9-4742-b602-1febb82a3d6a</errorID>
      <errorWord>[2023]2号</errorWord>
      <group>L1_Knowledge</group>
      <groupName>知识性问题</groupName>
      <ability>L2_Knowledge</ability>
      <abilityName>其他知识</abilityName>
      <candidateList>
        <item>〔2023〕2号</item>
      </candidateList>
      <explain>发文字号格式错误。</explain>
      <paraID>5436CB4A</paraID>
      <start>39</start>
      <end>47</end>
      <status>unmodified</status>
      <modifiedWord/>
      <trackRevisions>false</trackRevisions>
    </reviewItem>
    <reviewItem>
      <errorID>1eeae397-4d8a-4fe1-9380-9337cb934c43</errorID>
      <errorWord>其它</errorWord>
      <group>L1_Word</group>
      <groupName>字词问题</groupName>
      <ability>L2_Alias</ability>
      <abilityName>也作/曾用词</abilityName>
      <candidateList>
        <item>其他</item>
      </candidateList>
      <explain>词汇[其它]为不规范表述或旧称，其规范书面表述为[其他]。</explain>
      <paraID>44E5C9CF</paraID>
      <start>23</start>
      <end>25</end>
      <status>unmodified</status>
      <modifiedWord/>
      <trackRevisions>false</trackRevisions>
    </reviewItem>
    <reviewItem>
      <errorID>56900119-b654-4f8f-8625-35dab6f8df64</errorID>
      <errorWord>(</errorWord>
      <group>L1_Format</group>
      <groupName>格式问题</groupName>
      <ability>L2_HalfPunc</ability>
      <abilityName>全半角检查</abilityName>
      <candidateList>
        <item>（</item>
      </candidateList>
      <explain>文本全半角错误。</explain>
      <paraID>44E5C9CF</paraID>
      <start>100</start>
      <end>101</end>
      <status>unmodified</status>
      <modifiedWord/>
      <trackRevisions>false</trackRevisions>
    </reviewItem>
    <reviewItem>
      <errorID>5d230f21-9150-4317-b51f-b53a93961a90</errorID>
      <errorWord>)</errorWord>
      <group>L1_Format</group>
      <groupName>格式问题</groupName>
      <ability>L2_HalfPunc</ability>
      <abilityName>全半角检查</abilityName>
      <candidateList>
        <item>）</item>
      </candidateList>
      <explain>文本全半角错误。</explain>
      <paraID>44E5C9CF</paraID>
      <start>104</start>
      <end>105</end>
      <status>unmodified</status>
      <modifiedWord/>
      <trackRevisions>false</trackRevisions>
    </reviewItem>
    <reviewItem>
      <errorID>6aa413e9-6780-4cf7-889f-ee71a0c683bc</errorID>
      <errorWord>污水厂</errorWord>
      <group>L1_Word</group>
      <groupName>字词问题</groupName>
      <ability>L2_Typo</ability>
      <abilityName>字词错误</abilityName>
      <candidateList>
        <item>污水处理厂</item>
      </candidateList>
      <explain/>
      <paraID>188D56D4</paraID>
      <start>3</start>
      <end>6</end>
      <status>unmodified</status>
      <modifiedWord/>
      <trackRevisions>false</trackRevisions>
    </reviewItem>
    <reviewItem>
      <errorID>88c1f611-5770-4f25-b9f2-869b9894ccaa</errorID>
      <errorWord>(</errorWord>
      <group>L1_Format</group>
      <groupName>格式问题</groupName>
      <ability>L2_HalfPunc</ability>
      <abilityName>全半角检查</abilityName>
      <candidateList>
        <item>（</item>
      </candidateList>
      <explain>文本全半角错误。</explain>
      <paraID>188D56D4</paraID>
      <start>6</start>
      <end>7</end>
      <status>unmodified</status>
      <modifiedWord/>
      <trackRevisions>false</trackRevisions>
    </reviewItem>
    <reviewItem>
      <errorID>82f49791-b5f1-45e6-9c8a-2ac15cccd05b</errorID>
      <errorWord>)</errorWord>
      <group>L1_Format</group>
      <groupName>格式问题</groupName>
      <ability>L2_HalfPunc</ability>
      <abilityName>全半角检查</abilityName>
      <candidateList>
        <item>）</item>
      </candidateList>
      <explain>文本全半角错误。</explain>
      <paraID>188D56D4</paraID>
      <start>8</start>
      <end>9</end>
      <status>unmodified</status>
      <modifiedWord/>
      <trackRevisions>false</trackRevisions>
    </reviewItem>
    <reviewItem>
      <errorID>54381011-e7a7-4ff4-86ae-a2cdae70b068</errorID>
      <errorWord>标</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188D56D4</paraID>
      <start>10</start>
      <end>11</end>
      <status>unmodified</status>
      <modifiedWord/>
      <trackRevisions>false</trackRevisions>
    </reviewItem>
    <reviewItem>
      <errorID>4d99f74e-12f4-49a9-af7f-6e8c905bf00e</errorID>
      <errorWord>(</errorWord>
      <group>L1_Format</group>
      <groupName>格式问题</groupName>
      <ability>L2_HalfPunc</ability>
      <abilityName>全半角检查</abilityName>
      <candidateList>
        <item>（</item>
      </candidateList>
      <explain>文本全半角错误。</explain>
      <paraID>188D56D4</paraID>
      <start>30</start>
      <end>31</end>
      <status>unmodified</status>
      <modifiedWord/>
      <trackRevisions>false</trackRevisions>
    </reviewItem>
    <reviewItem>
      <errorID>ffaae5ad-5267-4fee-870a-15a9460e3d69</errorID>
      <errorWord>)</errorWord>
      <group>L1_Format</group>
      <groupName>格式问题</groupName>
      <ability>L2_HalfPunc</ability>
      <abilityName>全半角检查</abilityName>
      <candidateList>
        <item>）</item>
      </candidateList>
      <explain>文本全半角错误。</explain>
      <paraID>188D56D4</paraID>
      <start>32</start>
      <end>33</end>
      <status>unmodified</status>
      <modifiedWord/>
      <trackRevisions>false</trackRevisions>
    </reviewItem>
    <reviewItem>
      <errorID>a3862563-3324-4fcc-8359-6e1a8d57a221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188D56D4</paraID>
      <start>188</start>
      <end>189</end>
      <status>unmodified</status>
      <modifiedWord/>
      <trackRevisions>false</trackRevisions>
    </reviewItem>
    <reviewItem>
      <errorID>f95b0b5b-caf0-4e89-b41d-150e8f5d63fa</errorID>
      <errorWord>污水厂</errorWord>
      <group>L1_Word</group>
      <groupName>字词问题</groupName>
      <ability>L2_Typo</ability>
      <abilityName>字词错误</abilityName>
      <candidateList>
        <item>污水处理厂</item>
      </candidateList>
      <explain/>
      <paraID>2F19FBB0</paraID>
      <start>17</start>
      <end>20</end>
      <status>unmodified</status>
      <modifiedWord/>
      <trackRevisions>false</trackRevisions>
    </reviewItem>
    <reviewItem>
      <errorID>2b42801a-2081-4cdb-a555-02f3c77ccb25</errorID>
      <errorWord>(</errorWord>
      <group>L1_Format</group>
      <groupName>格式问题</groupName>
      <ability>L2_HalfPunc</ability>
      <abilityName>全半角检查</abilityName>
      <candidateList>
        <item>（</item>
      </candidateList>
      <explain>文本全半角错误。</explain>
      <paraID>2F19FBB0</paraID>
      <start>20</start>
      <end>21</end>
      <status>unmodified</status>
      <modifiedWord/>
      <trackRevisions>false</trackRevisions>
    </reviewItem>
    <reviewItem>
      <errorID>33b1f0e1-244d-4f10-9478-556ae0b5c256</errorID>
      <errorWord>)</errorWord>
      <group>L1_Format</group>
      <groupName>格式问题</groupName>
      <ability>L2_HalfPunc</ability>
      <abilityName>全半角检查</abilityName>
      <candidateList>
        <item>）</item>
      </candidateList>
      <explain>文本全半角错误。</explain>
      <paraID>2F19FBB0</paraID>
      <start>22</start>
      <end>23</end>
      <status>unmodified</status>
      <modifiedWord/>
      <trackRevisions>false</trackRevisions>
    </reviewItem>
    <reviewItem>
      <errorID>b3cabd86-ba90-45df-9405-6e1452f812b3</errorID>
      <errorWord>标向</errorWord>
      <group>L1_Word</group>
      <groupName>字词问题</groupName>
      <ability>L2_Typo</ability>
      <abilityName>字词错误</abilityName>
      <candidateList>
        <item>标线</item>
      </candidateList>
      <explain/>
      <paraID>2F19FBB0</paraID>
      <start>64</start>
      <end>66</end>
      <status>unmodified</status>
      <modifiedWord/>
      <trackRevisions>false</trackRevisions>
    </reviewItem>
    <reviewItem>
      <errorID>ecbabb65-8683-45d5-b22c-598d58601b60</errorID>
      <errorWord>标向</errorWord>
      <group>L1_Word</group>
      <groupName>字词问题</groupName>
      <ability>L2_Typo</ability>
      <abilityName>字词错误</abilityName>
      <candidateList>
        <item>标志</item>
      </candidateList>
      <explain>（标识）biāozhì❶〈名〉表明特征的记号：地图上有各种形式的～◇这篇作品是作者在创作上日趋成熟的～。❷〈动〉表明某种特征：这条生产线的建成投产，～着工厂的生产能力提高到了一个新的水平。</explain>
      <paraID>540A89AF</paraID>
      <start>25</start>
      <end>27</end>
      <status>unmodified</status>
      <modifiedWord/>
      <trackRevisions>false</trackRevisions>
    </reviewItem>
    <reviewItem>
      <errorID>6e0b6274-4707-4d65-b69a-13c6eb45eac8</errorID>
      <errorWord>(</errorWord>
      <group>L1_Format</group>
      <groupName>格式问题</groupName>
      <ability>L2_HalfPunc</ability>
      <abilityName>全半角检查</abilityName>
      <candidateList>
        <item>（</item>
      </candidateList>
      <explain>文本全半角错误。</explain>
      <paraID>685DBE2D</paraID>
      <start>52</start>
      <end>53</end>
      <status>unmodified</status>
      <modifiedWord/>
      <trackRevisions>false</trackRevisions>
    </reviewItem>
    <reviewItem>
      <errorID>bad5ed4b-bdd4-446f-a2eb-e821d4b0e230</errorID>
      <errorWord>)</errorWord>
      <group>L1_Format</group>
      <groupName>格式问题</groupName>
      <ability>L2_HalfPunc</ability>
      <abilityName>全半角检查</abilityName>
      <candidateList>
        <item>）</item>
      </candidateList>
      <explain>文本全半角错误。</explain>
      <paraID>685DBE2D</paraID>
      <start>54</start>
      <end>55</end>
      <status>unmodified</status>
      <modifiedWord/>
      <trackRevisions>false</trackRevisions>
    </reviewItem>
    <reviewItem>
      <errorID>135b3b26-7a4b-4523-a235-e1bd8adb6f4f</errorID>
      <errorWord>(</errorWord>
      <group>L1_Format</group>
      <groupName>格式问题</groupName>
      <ability>L2_HalfPunc</ability>
      <abilityName>全半角检查</abilityName>
      <candidateList>
        <item>（</item>
      </candidateList>
      <explain>文本全半角错误。</explain>
      <paraID>533FACF6</paraID>
      <start>18</start>
      <end>19</end>
      <status>unmodified</status>
      <modifiedWord/>
      <trackRevisions>false</trackRevisions>
    </reviewItem>
    <reviewItem>
      <errorID>81dd664f-a597-44f6-9bc5-6c6d81028b21</errorID>
      <errorWord>)</errorWord>
      <group>L1_Format</group>
      <groupName>格式问题</groupName>
      <ability>L2_HalfPunc</ability>
      <abilityName>全半角检查</abilityName>
      <candidateList>
        <item>）</item>
      </candidateList>
      <explain>文本全半角错误。</explain>
      <paraID>533FACF6</paraID>
      <start>27</start>
      <end>28</end>
      <status>unmodified</status>
      <modifiedWord/>
      <trackRevisions>false</trackRevisions>
    </reviewItem>
    <reviewItem>
      <errorID>2c2bdb81-93b5-4b13-99e4-afb02e6678ed</errorID>
      <errorWord>[2023]2号</errorWord>
      <group>L1_Knowledge</group>
      <groupName>知识性问题</groupName>
      <ability>L2_Knowledge</ability>
      <abilityName>其他知识</abilityName>
      <candidateList>
        <item>〔2023〕2号</item>
      </candidateList>
      <explain>发文字号格式错误。</explain>
      <paraID>533FACF6</paraID>
      <start>42</start>
      <end>50</end>
      <status>unmodified</status>
      <modifiedWord/>
      <trackRevisions>false</trackRevisions>
    </reviewItem>
    <reviewItem>
      <errorID>a8e1dd68-b647-4b08-b318-f287385c5fe1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579712C5</paraID>
      <start>0</start>
      <end>2</end>
      <status>unmodified</status>
      <modifiedWord/>
      <trackRevisions>false</trackRevisions>
    </reviewItem>
    <reviewItem>
      <errorID>26311595-e4f9-4069-9dc8-7343d51fdcf9</errorID>
      <errorWord>上线</errorWord>
      <group>L1_Word</group>
      <groupName>字词问题</groupName>
      <ability>L2_Typo</ability>
      <abilityName>字词错误</abilityName>
      <candidateList>
        <item>上限</item>
      </candidateList>
      <explain/>
      <paraID> 3F6D090</paraID>
      <start>28</start>
      <end>30</end>
      <status>unmodified</status>
      <modifiedWord/>
      <trackRevisions>false</trackRevisions>
    </reviewItem>
    <reviewItem>
      <errorID>636d2f23-4a10-4355-ad83-943cb798a0c2</errorID>
      <errorWord>III类</errorWord>
      <group>L1_Knowledge</group>
      <groupName>知识性问题</groupName>
      <ability>L2_Knowledge</ability>
      <abilityName>其他知识</abilityName>
      <candidateList>
        <item>Ⅲ类</item>
      </candidateList>
      <explain/>
      <paraID>596D1A2E</paraID>
      <start>196</start>
      <end>200</end>
      <status>unmodified</status>
      <modifiedWord/>
      <trackRevisions>false</trackRevisions>
    </reviewItem>
    <reviewItem>
      <errorID>4db87c7f-d12f-44fc-a662-2f90d3c570be</errorID>
      <errorWord>III类</errorWord>
      <group>L1_Knowledge</group>
      <groupName>知识性问题</groupName>
      <ability>L2_Knowledge</ability>
      <abilityName>其他知识</abilityName>
      <candidateList>
        <item>Ⅲ类</item>
      </candidateList>
      <explain/>
      <paraID>596D1A2E</paraID>
      <start>221</start>
      <end>225</end>
      <status>unmodified</status>
      <modifiedWord/>
      <trackRevisions>false</trackRevisions>
    </reviewItem>
    <reviewItem>
      <errorID>6c1eaad3-00ba-4159-a417-10108b393861</errorID>
      <errorWord>III类</errorWord>
      <group>L1_Knowledge</group>
      <groupName>知识性问题</groupName>
      <ability>L2_Knowledge</ability>
      <abilityName>其他知识</abilityName>
      <candidateList>
        <item>Ⅲ类</item>
      </candidateList>
      <explain/>
      <paraID>596D1A2E</paraID>
      <start>246</start>
      <end>250</end>
      <status>unmodified</status>
      <modifiedWord/>
      <trackRevisions>false</trackRevisions>
    </reviewItem>
    <reviewItem>
      <errorID>fccc560a-e3d5-4867-b166-b0b880d59044</errorID>
      <errorWord>IV类</errorWord>
      <group>L1_Knowledge</group>
      <groupName>知识性问题</groupName>
      <ability>L2_Knowledge</ability>
      <abilityName>其他知识</abilityName>
      <candidateList>
        <item>Ⅳ类</item>
      </candidateList>
      <explain/>
      <paraID>596D1A2E</paraID>
      <start>256</start>
      <end>259</end>
      <status>unmodified</status>
      <modifiedWord/>
      <trackRevisions>false</trackRevisions>
    </reviewItem>
    <reviewItem>
      <errorID>1b64817d-c56d-41bf-8d55-aa84743bf394</errorID>
      <errorWord>III类</errorWord>
      <group>L1_Knowledge</group>
      <groupName>知识性问题</groupName>
      <ability>L2_Knowledge</ability>
      <abilityName>其他知识</abilityName>
      <candidateList>
        <item>Ⅲ类</item>
      </candidateList>
      <explain/>
      <paraID>596D1A2E</paraID>
      <start>289</start>
      <end>293</end>
      <status>unmodified</status>
      <modifiedWord/>
      <trackRevisions>false</trackRevisions>
    </reviewItem>
    <reviewItem>
      <errorID>7cf270af-2d9d-44b1-b376-952bc017cbee</errorID>
      <errorWord>III类</errorWord>
      <group>L1_Knowledge</group>
      <groupName>知识性问题</groupName>
      <ability>L2_Knowledge</ability>
      <abilityName>其他知识</abilityName>
      <candidateList>
        <item>Ⅲ类</item>
      </candidateList>
      <explain/>
      <paraID>596D1A2E</paraID>
      <start>318</start>
      <end>322</end>
      <status>unmodified</status>
      <modifiedWord/>
      <trackRevisions>false</trackRevisions>
    </reviewItem>
    <reviewItem>
      <errorID>a3ed059c-2876-49b1-afcb-db3def13049c</errorID>
      <errorWord>IV类</errorWord>
      <group>L1_Knowledge</group>
      <groupName>知识性问题</groupName>
      <ability>L2_Knowledge</ability>
      <abilityName>其他知识</abilityName>
      <candidateList>
        <item>Ⅳ类</item>
      </candidateList>
      <explain/>
      <paraID>596D1A2E</paraID>
      <start>328</start>
      <end>331</end>
      <status>unmodified</status>
      <modifiedWord/>
      <trackRevisions>false</trackRevisions>
    </reviewItem>
    <reviewItem>
      <errorID>80ddf640-9947-4840-a22a-016d0369f557</errorID>
      <errorWord>(</errorWord>
      <group>L1_Format</group>
      <groupName>格式问题</groupName>
      <ability>L2_HalfPunc</ability>
      <abilityName>全半角检查</abilityName>
      <candidateList>
        <item>（</item>
      </candidateList>
      <explain>文本全半角错误。</explain>
      <paraID>38A2CB5F</paraID>
      <start>11</start>
      <end>12</end>
      <status>unmodified</status>
      <modifiedWord/>
      <trackRevisions>false</trackRevisions>
    </reviewItem>
    <reviewItem>
      <errorID>9309cfa4-440a-4325-a235-8889d8da6dc2</errorID>
      <errorWord>)</errorWord>
      <group>L1_Format</group>
      <groupName>格式问题</groupName>
      <ability>L2_HalfPunc</ability>
      <abilityName>全半角检查</abilityName>
      <candidateList>
        <item>）</item>
      </candidateList>
      <explain>文本全半角错误。</explain>
      <paraID>38A2CB5F</paraID>
      <start>18</start>
      <end>19</end>
      <status>unmodified</status>
      <modifiedWord/>
      <trackRevisions>false</trackRevisions>
    </reviewItem>
    <reviewItem>
      <errorID>1e404499-9cd5-40d3-befc-4b06f0ec8380</errorID>
      <errorWord>[2025]466号</errorWord>
      <group>L1_Knowledge</group>
      <groupName>知识性问题</groupName>
      <ability>L2_Knowledge</ability>
      <abilityName>其他知识</abilityName>
      <candidateList>
        <item>〔2025〕466号</item>
      </candidateList>
      <explain>发文字号格式错误。</explain>
      <paraID>2901130E</paraID>
      <start>24</start>
      <end>34</end>
      <status>unmodified</status>
      <modifiedWord/>
      <trackRevisions>false</trackRevisions>
    </reviewItem>
    <reviewItem>
      <errorID>ee2fb559-5c45-42fc-8179-7a89849f763d</errorID>
      <errorWord>[2022]55号</errorWord>
      <group>L1_Knowledge</group>
      <groupName>知识性问题</groupName>
      <ability>L2_Knowledge</ability>
      <abilityName>其他知识</abilityName>
      <candidateList>
        <item>〔2022〕55号</item>
      </candidateList>
      <explain>发文字号格式错误。</explain>
      <paraID> 1B8D920</paraID>
      <start>41</start>
      <end>50</end>
      <status>unmodified</status>
      <modifiedWord/>
      <trackRevisions>false</trackRevisions>
    </reviewItem>
    <reviewItem>
      <errorID>26643a5b-5b67-4056-8072-1204ef247c40</errorID>
      <errorWord>[2022]260号</errorWord>
      <group>L1_Knowledge</group>
      <groupName>知识性问题</groupName>
      <ability>L2_Knowledge</ability>
      <abilityName>其他知识</abilityName>
      <candidateList>
        <item>〔2022〕260号</item>
      </candidateList>
      <explain>发文字号格式错误。</explain>
      <paraID>1229F907</paraID>
      <start>78</start>
      <end>88</end>
      <status>unmodified</status>
      <modifiedWord/>
      <trackRevisions>false</trackRevisions>
    </reviewItem>
    <reviewItem>
      <errorID>9b669de3-ce87-435b-ac52-4ed3f93363b9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4BAECE08</paraID>
      <start>0</start>
      <end>2</end>
      <status>unmodified</status>
      <modifiedWord/>
      <trackRevisions>false</trackRevisions>
    </reviewItem>
    <reviewItem>
      <errorID>2856af3e-2043-4350-b8fa-d85727926328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2F4E254A</paraID>
      <start>0</start>
      <end>2</end>
      <status>unmodified</status>
      <modifiedWord/>
      <trackRevisions>false</trackRevisions>
    </reviewItem>
    <reviewItem>
      <errorID>757d38c1-f3b1-4d2a-b668-9b7ef903c8be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1CB22899</paraID>
      <start>0</start>
      <end>2</end>
      <status>unmodified</status>
      <modifiedWord/>
      <trackRevisions>false</trackRevisions>
    </reviewItem>
    <reviewItem>
      <errorID>681bb58c-8a7f-476a-af2d-26be6246d08a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71D93F7C</paraID>
      <start>0</start>
      <end>2</end>
      <status>unmodified</status>
      <modifiedWord/>
      <trackRevisions>false</trackRevisions>
    </reviewItem>
    <reviewItem>
      <errorID>a702aade-16a4-49e6-a1c7-22cccfefdfa5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7F46712B</paraID>
      <start>0</start>
      <end>2</end>
      <status>unmodified</status>
      <modifiedWord/>
      <trackRevisions>false</trackRevisions>
    </reviewItem>
    <reviewItem>
      <errorID>e246bfba-87ac-4e4e-9803-8112a0bd2cb2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25845E4</paraID>
      <start>0</start>
      <end>2</end>
      <status>unmodified</status>
      <modifiedWord/>
      <trackRevisions>false</trackRevisions>
    </reviewItem>
    <reviewItem>
      <errorID>f1ccf34f-e6be-4331-a6b2-4f22b93c6a14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AE8CF34</paraID>
      <start>0</start>
      <end>2</end>
      <status>unmodified</status>
      <modifiedWord/>
      <trackRevisions>false</trackRevisions>
    </reviewItem>
    <reviewItem>
      <errorID>4bc71f84-3f9a-4310-9ead-e197c98eac79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32FA324C</paraID>
      <start>0</start>
      <end>2</end>
      <status>unmodified</status>
      <modifiedWord/>
      <trackRevisions>false</trackRevisions>
    </reviewItem>
    <reviewItem>
      <errorID>f0479d97-ef39-4a8e-ae4a-d0b6f45a3a94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CCBE866</paraID>
      <start>0</start>
      <end>2</end>
      <status>unmodified</status>
      <modifiedWord/>
      <trackRevisions>false</trackRevisions>
    </reviewItem>
    <reviewItem>
      <errorID>8ef652a0-afee-4a5c-90ac-00e550b5b136</errorID>
      <errorWord>》</errorWord>
      <group>L1_Word</group>
      <groupName>字词问题</groupName>
      <ability>L2_Typo</ability>
      <abilityName>字词错误</abilityName>
      <candidateList>
        <item>》和</item>
      </candidateList>
      <explain/>
      <paraID>19C5C430</paraID>
      <start>51</start>
      <end>52</end>
      <status>unmodified</status>
      <modifiedWord/>
      <trackRevisions>false</trackRevisions>
    </reviewItem>
    <reviewItem>
      <errorID>53e40d1d-5b33-440b-ad43-71b5d697220b</errorID>
      <errorWord>[2020]1号</errorWord>
      <group>L1_Knowledge</group>
      <groupName>知识性问题</groupName>
      <ability>L2_Knowledge</ability>
      <abilityName>其他知识</abilityName>
      <candidateList>
        <item>〔2020〕1号</item>
      </candidateList>
      <explain>发文字号格式错误。</explain>
      <paraID>2539A3B5</paraID>
      <start>31</start>
      <end>39</end>
      <status>unmodified</status>
      <modifiedWord/>
      <trackRevisions>false</trackRevisions>
    </reviewItem>
    <reviewItem>
      <errorID>0fa1c743-4c29-4bc2-903e-7f7e365dde50</errorID>
      <errorWord>[2018]74号</errorWord>
      <group>L1_Knowledge</group>
      <groupName>知识性问题</groupName>
      <ability>L2_Knowledge</ability>
      <abilityName>其他知识</abilityName>
      <candidateList>
        <item>〔2018〕74号</item>
      </candidateList>
      <explain>发文字号格式错误。</explain>
      <paraID>2539A3B5</paraID>
      <start>71</start>
      <end>80</end>
      <status>unmodified</status>
      <modifiedWord/>
      <trackRevisions>false</trackRevisions>
    </reviewItem>
    <reviewItem>
      <errorID>79f4e745-0a60-4619-85eb-ae906bb38867</errorID>
      <errorWord>共抓大保护，不搞大开发</errorWord>
      <group>L1_Political</group>
      <groupName>政治性问题</groupName>
      <ability>L2_Keyword</ability>
      <abilityName>固定表述</abilityName>
      <candidateList>
        <item>共抓大保护、不搞大开发</item>
      </candidateList>
      <explain>注意检查当前固定表述标点是否使用规范。</explain>
      <paraID>13B59C5E</paraID>
      <start>14</start>
      <end>25</end>
      <status>unmodified</status>
      <modifiedWord/>
      <trackRevisions>false</trackRevisions>
    </reviewItem>
    <reviewItem>
      <errorID>9a170b6e-019f-4299-8a1e-05c1403a8081</errorID>
      <errorWord>耗能</errorWord>
      <group>L1_Word</group>
      <groupName>字词问题</groupName>
      <ability>L2_Typo</ability>
      <abilityName>字词错误</abilityName>
      <candidateList>
        <item>能耗</item>
      </candidateList>
      <explain/>
      <paraID>13B59C5E</paraID>
      <start>68</start>
      <end>70</end>
      <status>unmodified</status>
      <modifiedWord/>
      <trackRevisions>false</trackRevisions>
    </reviewItem>
    <reviewItem>
      <errorID>41e024a7-0c15-4d05-9542-f572be973a89</errorID>
      <errorWord>[2020]49号</errorWord>
      <group>L1_Knowledge</group>
      <groupName>知识性问题</groupName>
      <ability>L2_Knowledge</ability>
      <abilityName>其他知识</abilityName>
      <candidateList>
        <item>〔2020〕49号</item>
      </candidateList>
      <explain>发文字号格式错误。</explain>
      <paraID>50420318</paraID>
      <start>29</start>
      <end>38</end>
      <status>unmodified</status>
      <modifiedWord/>
      <trackRevisions>false</trackRevisions>
    </reviewItem>
    <reviewItem>
      <errorID>261fc459-9b87-4ee2-8002-9634bd028e17</errorID>
      <errorWord>[2020]1号</errorWord>
      <group>L1_Knowledge</group>
      <groupName>知识性问题</groupName>
      <ability>L2_Knowledge</ability>
      <abilityName>其他知识</abilityName>
      <candidateList>
        <item>〔2020〕1号</item>
      </candidateList>
      <explain>发文字号格式错误。</explain>
      <paraID>6C6C5259</paraID>
      <start>31</start>
      <end>39</end>
      <status>unmodified</status>
      <modifiedWord/>
      <trackRevisions>false</trackRevisions>
    </reviewItem>
    <reviewItem>
      <errorID>e00c36ea-fb52-49aa-b07c-3cfafc6faeff</errorID>
      <errorWord>[2018]74号</errorWord>
      <group>L1_Knowledge</group>
      <groupName>知识性问题</groupName>
      <ability>L2_Knowledge</ability>
      <abilityName>其他知识</abilityName>
      <candidateList>
        <item>〔2018〕74号</item>
      </candidateList>
      <explain>发文字号格式错误。</explain>
      <paraID>6C6C5259</paraID>
      <start>71</start>
      <end>80</end>
      <status>unmodified</status>
      <modifiedWord/>
      <trackRevisions>false</trackRevisions>
    </reviewItem>
    <reviewItem>
      <errorID>1ac69245-9f9d-47cf-ab88-8a3d523678be</errorID>
      <errorWord>山林水田湖草沙一体化保护</errorWord>
      <group>L1_Political</group>
      <groupName>政治性问题</groupName>
      <ability>L2_Keyword</ability>
      <abilityName>固定表述</abilityName>
      <candidateList>
        <item>山水林田湖草沙一体化保护</item>
      </candidateList>
      <explain>词汇“山水林田湖草沙一体化保护”在特定场景下为固定表述形式，请确认此处的“山林水田湖草沙一体化保护”是否存在不当。</explain>
      <paraID>6C6C5259</paraID>
      <start>133</start>
      <end>145</end>
      <status>unmodified</status>
      <modifiedWord/>
      <trackRevisions>false</trackRevisions>
    </reviewItem>
    <reviewItem>
      <errorID>42182363-2dcc-438b-9ca1-8c117e092198</errorID>
      <errorWord>[2016]60号</errorWord>
      <group>L1_Knowledge</group>
      <groupName>知识性问题</groupName>
      <ability>L2_Knowledge</ability>
      <abilityName>其他知识</abilityName>
      <candidateList>
        <item>〔2016〕60号</item>
      </candidateList>
      <explain>发文字号格式错误。</explain>
      <paraID>7587762C</paraID>
      <start>21</start>
      <end>30</end>
      <status>unmodified</status>
      <modifiedWord/>
      <trackRevisions>false</trackRevisions>
    </reviewItem>
    <reviewItem>
      <errorID>67270800-1d8d-454d-b4bb-fbe93872e56f</errorID>
      <errorWord>[2014]81号</errorWord>
      <group>L1_Knowledge</group>
      <groupName>知识性问题</groupName>
      <ability>L2_Knowledge</ability>
      <abilityName>其他知识</abilityName>
      <candidateList>
        <item>〔2014〕81号</item>
      </candidateList>
      <explain>发文字号格式错误。</explain>
      <paraID>7587762C</paraID>
      <start>54</start>
      <end>63</end>
      <status>unmodified</status>
      <modifiedWord/>
      <trackRevisions>false</trackRevisions>
    </reviewItem>
    <reviewItem>
      <errorID>a5000bb7-58bc-439e-90f2-b3cd61a611f7</errorID>
      <errorWord>[2017]102号</errorWord>
      <group>L1_Knowledge</group>
      <groupName>知识性问题</groupName>
      <ability>L2_Knowledge</ability>
      <abilityName>其他知识</abilityName>
      <candidateList>
        <item>〔2017〕102号</item>
      </candidateList>
      <explain>发文字号格式错误。</explain>
      <paraID>7587762C</paraID>
      <start>83</start>
      <end>93</end>
      <status>unmodified</status>
      <modifiedWord/>
      <trackRevisions>false</trackRevisions>
    </reviewItem>
    <reviewItem>
      <errorID>3509cd45-41fc-4d2e-a8e5-0ce620136ce4</errorID>
      <errorWord>[2019]17号</errorWord>
      <group>L1_Knowledge</group>
      <groupName>知识性问题</groupName>
      <ability>L2_Knowledge</ability>
      <abilityName>其他知识</abilityName>
      <candidateList>
        <item>〔2019〕17号</item>
      </candidateList>
      <explain>发文字号格式错误。</explain>
      <paraID>7587762C</paraID>
      <start>142</start>
      <end>151</end>
      <status>unmodified</status>
      <modifiedWord/>
      <trackRevisions>false</trackRevisions>
    </reviewItem>
    <reviewItem>
      <errorID>f700caad-f4e8-46a1-ad84-9a96052f1bd6</errorID>
      <errorWord>[2017]13号</errorWord>
      <group>L1_Knowledge</group>
      <groupName>知识性问题</groupName>
      <ability>L2_Knowledge</ability>
      <abilityName>其他知识</abilityName>
      <candidateList>
        <item>〔2017〕13号</item>
      </candidateList>
      <explain>发文字号格式错误。</explain>
      <paraID>7587762C</paraID>
      <start>179</start>
      <end>188</end>
      <status>unmodified</status>
      <modifiedWord/>
      <trackRevisions>false</trackRevisions>
    </reviewItem>
    <reviewItem>
      <errorID>632df5b4-f3f7-45d8-9ff2-acae2e4fa29b</errorID>
      <errorWord>[2017]108号</errorWord>
      <group>L1_Knowledge</group>
      <groupName>知识性问题</groupName>
      <ability>L2_Knowledge</ability>
      <abilityName>其他知识</abilityName>
      <candidateList>
        <item>〔2017〕108号</item>
      </candidateList>
      <explain>发文字号格式错误。</explain>
      <paraID>7587762C</paraID>
      <start>219</start>
      <end>229</end>
      <status>unmodified</status>
      <modifiedWord/>
      <trackRevisions>false</trackRevisions>
    </reviewItem>
    <reviewItem>
      <errorID>6834abd1-b650-4b7a-98b5-5cd4ce4a14c1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7587762C</paraID>
      <start>273</start>
      <end>274</end>
      <status>unmodified</status>
      <modifiedWord/>
      <trackRevisions>false</trackRevisions>
    </reviewItem>
    <reviewItem>
      <errorID>db67a188-a87a-4d43-9c9a-afde411ca796</errorID>
      <errorWord>[2018]6号</errorWord>
      <group>L1_Knowledge</group>
      <groupName>知识性问题</groupName>
      <ability>L2_Knowledge</ability>
      <abilityName>其他知识</abilityName>
      <candidateList>
        <item>〔2018〕6号</item>
      </candidateList>
      <explain>发文字号格式错误。</explain>
      <paraID>7587762C</paraID>
      <start>285</start>
      <end>293</end>
      <status>unmodified</status>
      <modifiedWord/>
      <trackRevisions>false</trackRevisions>
    </reviewItem>
    <reviewItem>
      <errorID>bf9ad0fa-7b9e-40e8-a6ae-c15fcbc9272f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7587762C</paraID>
      <start>326</start>
      <end>329</end>
      <status>unmodified</status>
      <modifiedWord/>
      <trackRevisions>false</trackRevisions>
    </reviewItem>
    <reviewItem>
      <errorID>c9988444-9b7a-4e46-86d2-f895dda74b49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4F09B628</paraID>
      <start>26</start>
      <end>27</end>
      <status>unmodified</status>
      <modifiedWord/>
      <trackRevisions>false</trackRevisions>
    </reviewItem>
    <reviewItem>
      <errorID>9d8e86bd-b5dc-4b32-853f-e130a96ce353</errorID>
      <errorWord>[2020]49号</errorWord>
      <group>L1_Knowledge</group>
      <groupName>知识性问题</groupName>
      <ability>L2_Knowledge</ability>
      <abilityName>其他知识</abilityName>
      <candidateList>
        <item>〔2020〕49号</item>
      </candidateList>
      <explain>发文字号格式错误。</explain>
      <paraID> FBD3CC5</paraID>
      <start>29</start>
      <end>38</end>
      <status>unmodified</status>
      <modifiedWord/>
      <trackRevisions>false</trackRevisions>
    </reviewItem>
    <reviewItem>
      <errorID>c9009b73-df89-48c3-8964-6bae150e794a</errorID>
      <errorWord>III类</errorWord>
      <group>L1_Knowledge</group>
      <groupName>知识性问题</groupName>
      <ability>L2_Knowledge</ability>
      <abilityName>其他知识</abilityName>
      <candidateList>
        <item>Ⅲ类</item>
      </candidateList>
      <explain/>
      <paraID>42A63FD3</paraID>
      <start>10</start>
      <end>14</end>
      <status>unmodified</status>
      <modifiedWord/>
      <trackRevisions>false</trackRevisions>
    </reviewItem>
    <reviewItem>
      <errorID>921dac5c-986b-46cc-b4c2-c91b5a9654a2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59D8D967</paraID>
      <start>0</start>
      <end>2</end>
      <status>unmodified</status>
      <modifiedWord/>
      <trackRevisions>false</trackRevisions>
    </reviewItem>
    <reviewItem>
      <errorID>41efe34f-a9e2-452a-9d56-95dca6cd9bd2</errorID>
      <errorWord>胜</errorWord>
      <group>L1_Word</group>
      <groupName>字词问题</groupName>
      <ability>L2_Typo</ability>
      <abilityName>字词错误</abilityName>
      <candidateList>
        <item>胜区</item>
      </candidateList>
      <explain/>
      <paraID>48FB1B35</paraID>
      <start>67</start>
      <end>68</end>
      <status>unmodified</status>
      <modifiedWord/>
      <trackRevisions>false</trackRevisions>
    </reviewItem>
    <reviewItem>
      <errorID>67fe0ac6-31d1-4f78-a286-158300ca8b39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B8161F2</paraID>
      <start>0</start>
      <end>2</end>
      <status>unmodified</status>
      <modifiedWord/>
      <trackRevisions>false</trackRevisions>
    </reviewItem>
    <reviewItem>
      <errorID>47d580c2-339a-4423-b495-d767ee8b7555</errorID>
      <errorWord>太湖流域管理条例</errorWord>
      <group>L1_Knowledge</group>
      <groupName>知识性问题</groupName>
      <ability>L2_Knowledge</ability>
      <abilityName>其他知识</abilityName>
      <candidateList>
        <item>《太湖流域管理条例》</item>
      </candidateList>
      <explain>完整法律法规名称需要加书名号，请注意检查。</explain>
      <paraID>326F328E</paraID>
      <start>7</start>
      <end>15</end>
      <status>unmodified</status>
      <modifiedWord/>
      <trackRevisions>false</trackRevisions>
    </reviewItem>
    <reviewItem>
      <errorID>d29971d0-01a9-47cb-845f-213dffb1c9ef</errorID>
      <errorWord>江苏省太湖水污染防治条例</errorWord>
      <group>L1_Knowledge</group>
      <groupName>知识性问题</groupName>
      <ability>L2_Knowledge</ability>
      <abilityName>其他知识</abilityName>
      <candidateList>
        <item>《江苏省太湖水污染防治条例》</item>
      </candidateList>
      <explain>完整法律法规名称需要加书名号，请注意检查。</explain>
      <paraID>734CFE22</paraID>
      <start>7</start>
      <end>19</end>
      <status>unmodified</status>
      <modifiedWord/>
      <trackRevisions>false</trackRevisions>
    </reviewItem>
    <reviewItem>
      <errorID>8d4ce14d-09cd-4442-962d-1978c97ff724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3A0116BF</paraID>
      <start>0</start>
      <end>2</end>
      <status>unmodified</status>
      <modifiedWord/>
      <trackRevisions>false</trackRevisions>
    </reviewItem>
    <reviewItem>
      <errorID>2c437cb1-c210-497b-95b7-5a895fa73ac3</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37B7E4AD</paraID>
      <start>106</start>
      <end>113</end>
      <status>unmodified</status>
      <modifiedWord/>
      <trackRevisions>false</trackRevisions>
    </reviewItem>
    <reviewItem>
      <errorID>53d08991-2bc1-478b-aa1d-83e16a402c7e</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37B7E4AD</paraID>
      <start>118</start>
      <end>125</end>
      <status>unmodified</status>
      <modifiedWord/>
      <trackRevisions>false</trackRevisions>
    </reviewItem>
    <reviewItem>
      <errorID>0a2bd43b-cf90-485e-9dbf-bd92df18c7ca</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37B7E4AD</paraID>
      <start>130</start>
      <end>137</end>
      <status>unmodified</status>
      <modifiedWord/>
      <trackRevisions>false</trackRevisions>
    </reviewItem>
    <reviewItem>
      <errorID>56667d5a-5ae3-4d22-b78c-6db542b9dcdc</errorID>
      <errorWord>战略新兴产业</errorWord>
      <group>L1_Political</group>
      <groupName>政治性问题</groupName>
      <ability>L2_Keyword</ability>
      <abilityName>固定表述</abilityName>
      <candidateList>
        <item>战略性新兴产业</item>
      </candidateList>
      <explain>词汇“战略性新兴产业”在特定场景下为固定表述形式，请确认此处的“战略新兴产业”是否存在不当。</explain>
      <paraID>6177BF4A</paraID>
      <start>1</start>
      <end>7</end>
      <status>unmodified</status>
      <modifiedWord/>
      <trackRevisions>false</trackRevisions>
    </reviewItem>
    <reviewItem>
      <errorID>2637fcaf-8fbe-4f57-bde2-d42d5ccd9517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2464A234</paraID>
      <start>0</start>
      <end>2</end>
      <status>unmodified</status>
      <modifiedWord/>
      <trackRevisions>false</trackRevisions>
    </reviewItem>
    <reviewItem>
      <errorID>2eaa0629-ddaa-4e85-800a-5683b13213a6</errorID>
      <errorWord>[2022]8号</errorWord>
      <group>L1_Knowledge</group>
      <groupName>知识性问题</groupName>
      <ability>L2_Knowledge</ability>
      <abilityName>其他知识</abilityName>
      <candidateList>
        <item>〔2022〕8号</item>
      </candidateList>
      <explain>发文字号格式错误。</explain>
      <paraID>2464A234</paraID>
      <start>28</start>
      <end>36</end>
      <status>unmodified</status>
      <modifiedWord/>
      <trackRevisions>false</trackRevisions>
    </reviewItem>
    <reviewItem>
      <errorID>c60385dd-0f76-4702-8a29-54ff585980bb</errorID>
      <errorWord>[2022]8号</errorWord>
      <group>L1_Knowledge</group>
      <groupName>知识性问题</groupName>
      <ability>L2_Knowledge</ability>
      <abilityName>其他知识</abilityName>
      <candidateList>
        <item>〔2022〕8号</item>
      </candidateList>
      <explain>发文字号格式错误。</explain>
      <paraID>764FCC9D</paraID>
      <start>71</start>
      <end>79</end>
      <status>unmodified</status>
      <modifiedWord/>
      <trackRevisions>false</trackRevisions>
    </reviewItem>
    <reviewItem>
      <errorID>8c2b0651-ec62-4f91-8d7a-5cfd11bb0020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10FC26BD</paraID>
      <start>0</start>
      <end>2</end>
      <status>unmodified</status>
      <modifiedWord/>
      <trackRevisions>false</trackRevisions>
    </reviewItem>
    <reviewItem>
      <errorID>ce943075-bab1-4a45-830f-b6e271f8155c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10FC26BD</paraID>
      <start>22</start>
      <end>23</end>
      <status>unmodified</status>
      <modifiedWord/>
      <trackRevisions>false</trackRevisions>
    </reviewItem>
    <reviewItem>
      <errorID>a7377c5f-1394-4dff-aef1-eb67c97844bd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45FEA962</paraID>
      <start>0</start>
      <end>3</end>
      <status>unmodified</status>
      <modifiedWord/>
      <trackRevisions>false</trackRevisions>
    </reviewItem>
    <reviewItem>
      <errorID>d76ba5a2-a680-4dda-868c-9f9221cc8e81</errorID>
      <errorWord>(</errorWord>
      <group>L1_Format</group>
      <groupName>格式问题</groupName>
      <ability>L2_HalfPunc</ability>
      <abilityName>全半角检查</abilityName>
      <candidateList>
        <item>（</item>
      </candidateList>
      <explain>文本全半角错误。</explain>
      <paraID>45FEA962</paraID>
      <start>33</start>
      <end>34</end>
      <status>unmodified</status>
      <modifiedWord/>
      <trackRevisions>false</trackRevisions>
    </reviewItem>
    <reviewItem>
      <errorID>fb85c1cd-55f7-4bdd-9044-3d4241723e6a</errorID>
      <errorWord>[2021]45号</errorWord>
      <group>L1_Knowledge</group>
      <groupName>知识性问题</groupName>
      <ability>L2_Knowledge</ability>
      <abilityName>其他知识</abilityName>
      <candidateList>
        <item>〔2021〕45号</item>
      </candidateList>
      <explain>发文字号格式错误。</explain>
      <paraID>45FEA962</paraID>
      <start>37</start>
      <end>46</end>
      <status>unmodified</status>
      <modifiedWord/>
      <trackRevisions>false</trackRevisions>
    </reviewItem>
    <reviewItem>
      <errorID>1e59be78-8940-44c6-8688-44f6a8dff40d</errorID>
      <errorWord>)</errorWord>
      <group>L1_Format</group>
      <groupName>格式问题</groupName>
      <ability>L2_HalfPunc</ability>
      <abilityName>全半角检查</abilityName>
      <candidateList>
        <item>）</item>
      </candidateList>
      <explain>文本全半角错误。</explain>
      <paraID>45FEA962</paraID>
      <start>46</start>
      <end>47</end>
      <status>unmodified</status>
      <modifiedWord/>
      <trackRevisions>false</trackRevisions>
    </reviewItem>
    <reviewItem>
      <errorID>c240c15b-4243-442c-a327-c0599e42233d</errorID>
      <errorWord>(</errorWord>
      <group>L1_Format</group>
      <groupName>格式问题</groupName>
      <ability>L2_HalfPunc</ability>
      <abilityName>全半角检查</abilityName>
      <candidateList>
        <item>（</item>
      </candidateList>
      <explain>文本全半角错误。</explain>
      <paraID>7E3CC433</paraID>
      <start>114</start>
      <end>115</end>
      <status>unmodified</status>
      <modifiedWord/>
      <trackRevisions>false</trackRevisions>
    </reviewItem>
    <reviewItem>
      <errorID>a7cf211e-ce4b-4e9c-8c12-c3956160f96c</errorID>
      <errorWord>)</errorWord>
      <group>L1_Format</group>
      <groupName>格式问题</groupName>
      <ability>L2_HalfPunc</ability>
      <abilityName>全半角检查</abilityName>
      <candidateList>
        <item>）</item>
      </candidateList>
      <explain>文本全半角错误。</explain>
      <paraID>7E3CC433</paraID>
      <start>122</start>
      <end>123</end>
      <status>unmodified</status>
      <modifiedWord/>
      <trackRevisions>false</trackRevisions>
    </reviewItem>
    <reviewItem>
      <errorID>4c8999cb-cde1-4283-97e7-c8b33a17b57b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4AB4CD63</paraID>
      <start>0</start>
      <end>3</end>
      <status>unmodified</status>
      <modifiedWord/>
      <trackRevisions>false</trackRevisions>
    </reviewItem>
    <reviewItem>
      <errorID>68d7e878-98f7-46ff-a90a-f7352755ae5d</errorID>
      <errorWord>&lt;</errorWord>
      <group>L1_Format</group>
      <groupName>格式问题</groupName>
      <ability>L2_HalfPunc</ability>
      <abilityName>全半角检查</abilityName>
      <candidateList>
        <item>〈</item>
      </candidateList>
      <explain>文本全半角错误。</explain>
      <paraID>4AB4CD63</paraID>
      <start>12</start>
      <end>13</end>
      <status>unmodified</status>
      <modifiedWord/>
      <trackRevisions>false</trackRevisions>
    </reviewItem>
    <reviewItem>
      <errorID>ea54ebfc-db5d-4528-9705-00483b7d4441</errorID>
      <errorWord>&gt;的通知》</errorWord>
      <group>L1_Punc</group>
      <groupName>标点问题</groupName>
      <ability>L2_Punc</ability>
      <abilityName>标点符号检查</abilityName>
      <candidateList>
        <item>〉的通知》</item>
      </candidateList>
      <explain/>
      <paraID>4AB4CD63</paraID>
      <start>28</start>
      <end>33</end>
      <status>unmodified</status>
      <modifiedWord/>
      <trackRevisions>false</trackRevisions>
    </reviewItem>
    <reviewItem>
      <errorID>7097f342-9856-4a1e-ac74-e12b672bea49</errorID>
      <errorWord>[2021]2号</errorWord>
      <group>L1_Knowledge</group>
      <groupName>知识性问题</groupName>
      <ability>L2_Knowledge</ability>
      <abilityName>其他知识</abilityName>
      <candidateList>
        <item>〔2021〕2号</item>
      </candidateList>
      <explain>发文字号格式错误。</explain>
      <paraID>4AB4CD63</paraID>
      <start>38</start>
      <end>46</end>
      <status>unmodified</status>
      <modifiedWord/>
      <trackRevisions>false</trackRevisions>
    </reviewItem>
    <reviewItem>
      <errorID>c64e6c0f-7462-41bd-8527-2c1ac8ff6063</errorID>
      <errorWord>&lt;</errorWord>
      <group>L1_Format</group>
      <groupName>格式问题</groupName>
      <ability>L2_HalfPunc</ability>
      <abilityName>全半角检查</abilityName>
      <candidateList>
        <item>〈</item>
      </candidateList>
      <explain>文本全半角错误。</explain>
      <paraID>4B765B19</paraID>
      <start>19</start>
      <end>20</end>
      <status>unmodified</status>
      <modifiedWord/>
      <trackRevisions>false</trackRevisions>
    </reviewItem>
    <reviewItem>
      <errorID>3e394ef5-94c8-4725-8725-b8405b297895</errorID>
      <errorWord>&gt;的通知》</errorWord>
      <group>L1_Punc</group>
      <groupName>标点问题</groupName>
      <ability>L2_Punc</ability>
      <abilityName>标点符号检查</abilityName>
      <candidateList>
        <item>〉的通知》</item>
      </candidateList>
      <explain/>
      <paraID>4B765B19</paraID>
      <start>39</start>
      <end>44</end>
      <status>unmodified</status>
      <modifiedWord/>
      <trackRevisions>false</trackRevisions>
    </reviewItem>
    <reviewItem>
      <errorID>7a353d42-9941-4f90-8ba8-2856c3612023</errorID>
      <errorWord>[2021]2号</errorWord>
      <group>L1_Knowledge</group>
      <groupName>知识性问题</groupName>
      <ability>L2_Knowledge</ability>
      <abilityName>其他知识</abilityName>
      <candidateList>
        <item>〔2021〕2号</item>
      </candidateList>
      <explain>发文字号格式错误。</explain>
      <paraID>4B765B19</paraID>
      <start>49</start>
      <end>57</end>
      <status>unmodified</status>
      <modifiedWord/>
      <trackRevisions>false</trackRevisions>
    </reviewItem>
    <reviewItem>
      <errorID>abc84b22-cd4a-4b17-a27f-925655cbe60a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423B552C</paraID>
      <start>0</start>
      <end>3</end>
      <status>unmodified</status>
      <modifiedWord/>
      <trackRevisions>false</trackRevisions>
    </reviewItem>
    <reviewItem>
      <errorID>00dcb2ef-517d-4d66-b9db-5fd18b3f356c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515CF14</paraID>
      <start>0</start>
      <end>3</end>
      <status>unmodified</status>
      <modifiedWord/>
      <trackRevisions>false</trackRevisions>
    </reviewItem>
    <reviewItem>
      <errorID>12e449c1-b7ea-44f1-a961-56e4cb288ab0</errorID>
      <errorWord>(</errorWord>
      <group>L1_Format</group>
      <groupName>格式问题</groupName>
      <ability>L2_HalfPunc</ability>
      <abilityName>全半角检查</abilityName>
      <candidateList>
        <item>（</item>
      </candidateList>
      <explain>文本全半角错误。</explain>
      <paraID> 515CF14</paraID>
      <start>31</start>
      <end>32</end>
      <status>unmodified</status>
      <modifiedWord/>
      <trackRevisions>false</trackRevisions>
    </reviewItem>
    <reviewItem>
      <errorID>35d4bb55-ad65-40dc-954e-6d18732a0b7b</errorID>
      <errorWord>[2019]36号</errorWord>
      <group>L1_Knowledge</group>
      <groupName>知识性问题</groupName>
      <ability>L2_Knowledge</ability>
      <abilityName>其他知识</abilityName>
      <candidateList>
        <item>〔2019〕36号</item>
      </candidateList>
      <explain>发文字号格式错误。</explain>
      <paraID> 515CF14</paraID>
      <start>35</start>
      <end>44</end>
      <status>unmodified</status>
      <modifiedWord/>
      <trackRevisions>false</trackRevisions>
    </reviewItem>
    <reviewItem>
      <errorID>e84fafd2-4eeb-4183-95dd-0ee9f711769f</errorID>
      <errorWord>)</errorWord>
      <group>L1_Format</group>
      <groupName>格式问题</groupName>
      <ability>L2_HalfPunc</ability>
      <abilityName>全半角检查</abilityName>
      <candidateList>
        <item>）</item>
      </candidateList>
      <explain>文本全半角错误。</explain>
      <paraID> 515CF14</paraID>
      <start>44</start>
      <end>45</end>
      <status>unmodified</status>
      <modifiedWord/>
      <trackRevisions>false</trackRevisions>
    </reviewItem>
    <reviewItem>
      <errorID>abd46d78-93eb-4972-b255-47cd95357950</errorID>
      <errorWord>(</errorWord>
      <group>L1_Format</group>
      <groupName>格式问题</groupName>
      <ability>L2_HalfPunc</ability>
      <abilityName>全半角检查</abilityName>
      <candidateList>
        <item>（</item>
      </candidateList>
      <explain>文本全半角错误。</explain>
      <paraID>457A9991</paraID>
      <start>47</start>
      <end>48</end>
      <status>unmodified</status>
      <modifiedWord/>
      <trackRevisions>false</trackRevisions>
    </reviewItem>
    <reviewItem>
      <errorID>703e0f79-a7cc-4560-926c-452ef08219e2</errorID>
      <errorWord>[2019]36号</errorWord>
      <group>L1_Knowledge</group>
      <groupName>知识性问题</groupName>
      <ability>L2_Knowledge</ability>
      <abilityName>其他知识</abilityName>
      <candidateList>
        <item>〔2019〕36号</item>
      </candidateList>
      <explain>发文字号格式错误。</explain>
      <paraID>457A9991</paraID>
      <start>51</start>
      <end>60</end>
      <status>unmodified</status>
      <modifiedWord/>
      <trackRevisions>false</trackRevisions>
    </reviewItem>
    <reviewItem>
      <errorID>c221c736-8aff-4d39-8b87-1042264fa097</errorID>
      <errorWord>)</errorWord>
      <group>L1_Format</group>
      <groupName>格式问题</groupName>
      <ability>L2_HalfPunc</ability>
      <abilityName>全半角检查</abilityName>
      <candidateList>
        <item>）</item>
      </candidateList>
      <explain>文本全半角错误。</explain>
      <paraID>457A9991</paraID>
      <start>60</start>
      <end>61</end>
      <status>unmodified</status>
      <modifiedWord/>
      <trackRevisions>false</trackRevisions>
    </reviewItem>
    <reviewItem>
      <errorID>addd3004-a2d4-4fa9-8f97-2989296afb23</errorID>
      <errorWord>(</errorWord>
      <group>L1_Format</group>
      <groupName>格式问题</groupName>
      <ability>L2_HalfPunc</ability>
      <abilityName>全半角检查</abilityName>
      <candidateList>
        <item>（</item>
      </candidateList>
      <explain>文本全半角错误。</explain>
      <paraID>457A9991</paraID>
      <start>142</start>
      <end>143</end>
      <status>unmodified</status>
      <modifiedWord/>
      <trackRevisions>false</trackRevisions>
    </reviewItem>
    <reviewItem>
      <errorID>b209bdbb-5cac-49fd-aedf-2c63452fc587</errorID>
      <errorWord>[2019]36号</errorWord>
      <group>L1_Knowledge</group>
      <groupName>知识性问题</groupName>
      <ability>L2_Knowledge</ability>
      <abilityName>其他知识</abilityName>
      <candidateList>
        <item>〔2019〕36号</item>
      </candidateList>
      <explain>发文字号格式错误。</explain>
      <paraID>457A9991</paraID>
      <start>146</start>
      <end>155</end>
      <status>unmodified</status>
      <modifiedWord/>
      <trackRevisions>false</trackRevisions>
    </reviewItem>
    <reviewItem>
      <errorID>091d74ef-c7f6-4dde-91a1-451ca7ea84d7</errorID>
      <errorWord>)</errorWord>
      <group>L1_Format</group>
      <groupName>格式问题</groupName>
      <ability>L2_HalfPunc</ability>
      <abilityName>全半角检查</abilityName>
      <candidateList>
        <item>）</item>
      </candidateList>
      <explain>文本全半角错误。</explain>
      <paraID>457A9991</paraID>
      <start>155</start>
      <end>156</end>
      <status>unmodified</status>
      <modifiedWord/>
      <trackRevisions>false</trackRevisions>
    </reviewItem>
    <reviewItem>
      <errorID>8d4d6680-fa4f-4e9a-b8ab-eed7e39a861f</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3FCF84A6</paraID>
      <start>0</start>
      <end>3</end>
      <status>unmodified</status>
      <modifiedWord/>
      <trackRevisions>false</trackRevisions>
    </reviewItem>
    <reviewItem>
      <errorID>20467470-17a6-4be9-8a5e-901c4677ff84</errorID>
      <errorWord>(</errorWord>
      <group>L1_Format</group>
      <groupName>格式问题</groupName>
      <ability>L2_HalfPunc</ability>
      <abilityName>全半角检查</abilityName>
      <candidateList>
        <item>（</item>
      </candidateList>
      <explain>文本全半角错误。</explain>
      <paraID>3FCF84A6</paraID>
      <start>36</start>
      <end>37</end>
      <status>unmodified</status>
      <modifiedWord/>
      <trackRevisions>false</trackRevisions>
    </reviewItem>
    <reviewItem>
      <errorID>d3068eee-b827-498e-a526-fa4eb0ab95cc</errorID>
      <errorWord>[2020]225号</errorWord>
      <group>L1_Knowledge</group>
      <groupName>知识性问题</groupName>
      <ability>L2_Knowledge</ability>
      <abilityName>其他知识</abilityName>
      <candidateList>
        <item>〔2020〕225号</item>
      </candidateList>
      <explain>发文字号格式错误。</explain>
      <paraID>3FCF84A6</paraID>
      <start>40</start>
      <end>50</end>
      <status>unmodified</status>
      <modifiedWord/>
      <trackRevisions>false</trackRevisions>
    </reviewItem>
    <reviewItem>
      <errorID>4da6544e-f72d-4c2d-9cbf-4a45f6f5ffb4</errorID>
      <errorWord>)</errorWord>
      <group>L1_Format</group>
      <groupName>格式问题</groupName>
      <ability>L2_HalfPunc</ability>
      <abilityName>全半角检查</abilityName>
      <candidateList>
        <item>）</item>
      </candidateList>
      <explain>文本全半角错误。</explain>
      <paraID>3FCF84A6</paraID>
      <start>50</start>
      <end>51</end>
      <status>unmodified</status>
      <modifiedWord/>
      <trackRevisions>false</trackRevisions>
    </reviewItem>
    <reviewItem>
      <errorID>93afd01d-ca13-4e95-a590-4093c4b1d88e</errorID>
      <errorWord>(</errorWord>
      <group>L1_Format</group>
      <groupName>格式问题</groupName>
      <ability>L2_HalfPunc</ability>
      <abilityName>全半角检查</abilityName>
      <candidateList>
        <item>（</item>
      </candidateList>
      <explain>文本全半角错误。</explain>
      <paraID>3BB73FD1</paraID>
      <start>52</start>
      <end>53</end>
      <status>unmodified</status>
      <modifiedWord/>
      <trackRevisions>false</trackRevisions>
    </reviewItem>
    <reviewItem>
      <errorID>b20e58ba-29fc-4a61-9746-3ab30ace8355</errorID>
      <errorWord>[2020]225号</errorWord>
      <group>L1_Knowledge</group>
      <groupName>知识性问题</groupName>
      <ability>L2_Knowledge</ability>
      <abilityName>其他知识</abilityName>
      <candidateList>
        <item>〔2020〕225号</item>
      </candidateList>
      <explain>发文字号格式错误。</explain>
      <paraID>3BB73FD1</paraID>
      <start>56</start>
      <end>66</end>
      <status>unmodified</status>
      <modifiedWord/>
      <trackRevisions>false</trackRevisions>
    </reviewItem>
    <reviewItem>
      <errorID>faeb5783-e505-497b-aa92-49e0eef595e5</errorID>
      <errorWord>)</errorWord>
      <group>L1_Format</group>
      <groupName>格式问题</groupName>
      <ability>L2_HalfPunc</ability>
      <abilityName>全半角检查</abilityName>
      <candidateList>
        <item>）</item>
      </candidateList>
      <explain>文本全半角错误。</explain>
      <paraID>3BB73FD1</paraID>
      <start>66</start>
      <end>67</end>
      <status>unmodified</status>
      <modifiedWord/>
      <trackRevisions>false</trackRevisions>
    </reviewItem>
    <reviewItem>
      <errorID>61c08fb6-9a41-47ee-b6d2-296834c5ca37</errorID>
      <errorWord>(</errorWord>
      <group>L1_Format</group>
      <groupName>格式问题</groupName>
      <ability>L2_HalfPunc</ability>
      <abilityName>全半角检查</abilityName>
      <candidateList>
        <item>（</item>
      </candidateList>
      <explain>文本全半角错误。</explain>
      <paraID>3BB73FD1</paraID>
      <start>129</start>
      <end>130</end>
      <status>unmodified</status>
      <modifiedWord/>
      <trackRevisions>false</trackRevisions>
    </reviewItem>
    <reviewItem>
      <errorID>5e4b5deb-1258-44d1-812b-0ff5eb4bc69a</errorID>
      <errorWord>[2020]225号</errorWord>
      <group>L1_Knowledge</group>
      <groupName>知识性问题</groupName>
      <ability>L2_Knowledge</ability>
      <abilityName>其他知识</abilityName>
      <candidateList>
        <item>〔2020〕225号</item>
      </candidateList>
      <explain>发文字号格式错误。</explain>
      <paraID>3BB73FD1</paraID>
      <start>133</start>
      <end>143</end>
      <status>unmodified</status>
      <modifiedWord/>
      <trackRevisions>false</trackRevisions>
    </reviewItem>
    <reviewItem>
      <errorID>33f0698c-ff0e-4e78-a914-057ab327378e</errorID>
      <errorWord>)</errorWord>
      <group>L1_Format</group>
      <groupName>格式问题</groupName>
      <ability>L2_HalfPunc</ability>
      <abilityName>全半角检查</abilityName>
      <candidateList>
        <item>）</item>
      </candidateList>
      <explain>文本全半角错误。</explain>
      <paraID>3BB73FD1</paraID>
      <start>143</start>
      <end>144</end>
      <status>unmodified</status>
      <modifiedWord/>
      <trackRevisions>false</trackRevisions>
    </reviewItem>
    <reviewItem>
      <errorID>ed66a909-ad13-48c5-9c10-de956ae0e053</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4C0E93BE</paraID>
      <start>0</start>
      <end>3</end>
      <status>unmodified</status>
      <modifiedWord/>
      <trackRevisions>false</trackRevisions>
    </reviewItem>
    <reviewItem>
      <errorID>482cf1de-f110-422f-a1cb-8612c70f196a</errorID>
      <errorWord>[2024]79号</errorWord>
      <group>L1_Knowledge</group>
      <groupName>知识性问题</groupName>
      <ability>L2_Knowledge</ability>
      <abilityName>其他知识</abilityName>
      <candidateList>
        <item>〔2024〕79号</item>
      </candidateList>
      <explain>发文字号格式错误。</explain>
      <paraID>4C0E93BE</paraID>
      <start>22</start>
      <end>31</end>
      <status>unmodified</status>
      <modifiedWord/>
      <trackRevisions>false</trackRevisions>
    </reviewItem>
    <reviewItem>
      <errorID>44114ed9-54ce-462e-832b-9d31cc1186b4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45A7BA76</paraID>
      <start>0</start>
      <end>2</end>
      <status>unmodified</status>
      <modifiedWord/>
      <trackRevisions>false</trackRevisions>
    </reviewItem>
    <reviewItem>
      <errorID>b682e8c4-16fd-4847-bc80-c4e6629485d7</errorID>
      <errorWord>[2022]90号</errorWord>
      <group>L1_Knowledge</group>
      <groupName>知识性问题</groupName>
      <ability>L2_Knowledge</ability>
      <abilityName>其他知识</abilityName>
      <candidateList>
        <item>〔2022〕90号</item>
      </candidateList>
      <explain>发文字号格式错误。</explain>
      <paraID>3273530E</paraID>
      <start>99</start>
      <end>108</end>
      <status>unmodified</status>
      <modifiedWord/>
      <trackRevisions>false</trackRevisions>
    </reviewItem>
    <reviewItem>
      <errorID>68bd934d-dfb3-4633-9d7d-267e6fca8f2a</errorID>
      <errorWord>[2023]2号</errorWord>
      <group>L1_Knowledge</group>
      <groupName>知识性问题</groupName>
      <ability>L2_Knowledge</ability>
      <abilityName>其他知识</abilityName>
      <candidateList>
        <item>〔2023〕2号</item>
      </candidateList>
      <explain>发文字号格式错误。</explain>
      <paraID>3273530E</paraID>
      <start>203</start>
      <end>211</end>
      <status>unmodified</status>
      <modifiedWord/>
      <trackRevisions>false</trackRevisions>
    </reviewItem>
    <reviewItem>
      <errorID>a59ba92c-e5b3-4de8-b841-54f941c1cb68</errorID>
      <errorWord>(</errorWord>
      <group>L1_Format</group>
      <groupName>格式问题</groupName>
      <ability>L2_HalfPunc</ability>
      <abilityName>全半角检查</abilityName>
      <candidateList>
        <item>（</item>
      </candidateList>
      <explain>文本全半角错误。</explain>
      <paraID>11B1CD8D</paraID>
      <start>36</start>
      <end>37</end>
      <status>unmodified</status>
      <modifiedWord/>
      <trackRevisions>false</trackRevisions>
    </reviewItem>
    <reviewItem>
      <errorID>26852504-bcbf-476e-a41c-23200d800ab7</errorID>
      <errorWord>)</errorWord>
      <group>L1_Format</group>
      <groupName>格式问题</groupName>
      <ability>L2_HalfPunc</ability>
      <abilityName>全半角检查</abilityName>
      <candidateList>
        <item>）</item>
      </candidateList>
      <explain>文本全半角错误。</explain>
      <paraID>11B1CD8D</paraID>
      <start>39</start>
      <end>40</end>
      <status>unmodified</status>
      <modifiedWord/>
      <trackRevisions>false</trackRevisions>
    </reviewItem>
    <reviewItem>
      <errorID>09c4ef1b-9bf0-4bf1-a298-846b9cb17dbd</errorID>
      <errorWord>(</errorWord>
      <group>L1_Format</group>
      <groupName>格式问题</groupName>
      <ability>L2_HalfPunc</ability>
      <abilityName>全半角检查</abilityName>
      <candidateList>
        <item>（</item>
      </candidateList>
      <explain>文本全半角错误。</explain>
      <paraID>11B1CD8D</paraID>
      <start>97</start>
      <end>98</end>
      <status>unmodified</status>
      <modifiedWord/>
      <trackRevisions>false</trackRevisions>
    </reviewItem>
    <reviewItem>
      <errorID>505da03a-e141-4a6b-9d52-b7a3c1215099</errorID>
      <errorWord>)</errorWord>
      <group>L1_Format</group>
      <groupName>格式问题</groupName>
      <ability>L2_HalfPunc</ability>
      <abilityName>全半角检查</abilityName>
      <candidateList>
        <item>）</item>
      </candidateList>
      <explain>文本全半角错误。</explain>
      <paraID>11B1CD8D</paraID>
      <start>100</start>
      <end>101</end>
      <status>unmodified</status>
      <modifiedWord/>
      <trackRevisions>false</trackRevisions>
    </reviewItem>
    <reviewItem>
      <errorID>f3407eff-1db0-4aaa-82a1-f4d7e26a588e</errorID>
      <errorWord>[2023]8号</errorWord>
      <group>L1_Knowledge</group>
      <groupName>知识性问题</groupName>
      <ability>L2_Knowledge</ability>
      <abilityName>其他知识</abilityName>
      <candidateList>
        <item>〔2023〕8号</item>
      </candidateList>
      <explain>发文字号格式错误。</explain>
      <paraID>11B1CD8D</paraID>
      <start>107</start>
      <end>115</end>
      <status>unmodified</status>
      <modifiedWord/>
      <trackRevisions>false</trackRevisions>
    </reviewItem>
    <reviewItem>
      <errorID>b9276bc0-75e2-463c-b426-e06febd9f272</errorID>
      <errorWord>必须是</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11B1CD8D</paraID>
      <start>286</start>
      <end>289</end>
      <status>unmodified</status>
      <modifiedWord/>
      <trackRevisions>false</trackRevisions>
    </reviewItem>
    <reviewItem>
      <errorID>94def179-f2aa-4828-8fb2-ca859ec39600</errorID>
      <errorWord>[2022]90号</errorWord>
      <group>L1_Knowledge</group>
      <groupName>知识性问题</groupName>
      <ability>L2_Knowledge</ability>
      <abilityName>其他知识</abilityName>
      <candidateList>
        <item>〔2022〕90号</item>
      </candidateList>
      <explain>发文字号格式错误。</explain>
      <paraID>74BCA924</paraID>
      <start>28</start>
      <end>37</end>
      <status>unmodified</status>
      <modifiedWord/>
      <trackRevisions>false</trackRevisions>
    </reviewItem>
    <reviewItem>
      <errorID>65c83b1f-afa4-4b58-a13b-01e575567cfa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4DCEB479</paraID>
      <start>101</start>
      <end>104</end>
      <status>unmodified</status>
      <modifiedWord/>
      <trackRevisions>false</trackRevisions>
    </reviewItem>
    <reviewItem>
      <errorID>52f7c878-b6b2-4391-ad83-984534a4ec91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237605AE</paraID>
      <start>0</start>
      <end>2</end>
      <status>unmodified</status>
      <modifiedWord/>
      <trackRevisions>false</trackRevisions>
    </reviewItem>
    <reviewItem>
      <errorID>7a891df2-bcbe-4f8b-9e9d-6248c433f8b2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D64F6A0</paraID>
      <start>0</start>
      <end>2</end>
      <status>unmodified</status>
      <modifiedWord/>
      <trackRevisions>false</trackRevisions>
    </reviewItem>
    <reviewItem>
      <errorID>3a9a2462-b43e-450f-aad6-8df2cb143bf2</errorID>
      <errorWord>建</errorWord>
      <group>L1_Word</group>
      <groupName>字词问题</groupName>
      <ability>L2_Typo</ability>
      <abilityName>字词错误</abilityName>
      <candidateList>
        <item>建成</item>
      </candidateList>
      <explain/>
      <paraID>3E0FAD37</paraID>
      <start>1</start>
      <end>2</end>
      <status>unmodified</status>
      <modifiedWord/>
      <trackRevisions>false</trackRevisions>
    </reviewItem>
    <reviewItem>
      <errorID>48f5601c-592a-4b81-9ce5-fb813928798b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31D2FAEC</paraID>
      <start>0</start>
      <end>2</end>
      <status>unmodified</status>
      <modifiedWord/>
      <trackRevisions>false</trackRevisions>
    </reviewItem>
    <reviewItem>
      <errorID>4d7579d5-fbd2-4674-bd68-59e97a43b3d1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78897BD9</paraID>
      <start>0</start>
      <end>2</end>
      <status>unmodified</status>
      <modifiedWord/>
      <trackRevisions>false</trackRevisions>
    </reviewItem>
    <reviewItem>
      <errorID>2aef9884-c447-4397-a49f-dda97e53e4c1</errorID>
      <errorWord>监测</errorWord>
      <group>L1_Word</group>
      <groupName>字词问题</groupName>
      <ability>L2_Typo</ability>
      <abilityName>字词错误</abilityName>
      <candidateList>
        <item>检测</item>
      </candidateList>
      <explain/>
      <paraID> 6C5F984</paraID>
      <start>2</start>
      <end>4</end>
      <status>unmodified</status>
      <modifiedWord/>
      <trackRevisions>false</trackRevisions>
    </reviewItem>
    <reviewItem>
      <errorID>36606064-5525-4924-8321-7235dd11e7a9</errorID>
      <errorWord>监测</errorWord>
      <group>L1_Word</group>
      <groupName>字词问题</groupName>
      <ability>L2_Typo</ability>
      <abilityName>字词错误</abilityName>
      <candidateList>
        <item>检测</item>
      </candidateList>
      <explain/>
      <paraID> 362A3F8</paraID>
      <start>2</start>
      <end>4</end>
      <status>unmodified</status>
      <modifiedWord/>
      <trackRevisions>false</trackRevisions>
    </reviewItem>
    <reviewItem>
      <errorID>41714fcc-828d-4988-8391-76bdb656a4ee</errorID>
      <errorWord>监测</errorWord>
      <group>L1_Word</group>
      <groupName>字词问题</groupName>
      <ability>L2_Typo</ability>
      <abilityName>字词错误</abilityName>
      <candidateList>
        <item>检测</item>
      </candidateList>
      <explain/>
      <paraID>31D09F89</paraID>
      <start>2</start>
      <end>4</end>
      <status>unmodified</status>
      <modifiedWord/>
      <trackRevisions>false</trackRevisions>
    </reviewItem>
    <reviewItem>
      <errorID>f6c5e32e-7356-4827-a97b-640eb43c5f02</errorID>
      <errorWord>(</errorWord>
      <group>L1_Format</group>
      <groupName>格式问题</groupName>
      <ability>L2_HalfPunc</ability>
      <abilityName>全半角检查</abilityName>
      <candidateList>
        <item>（</item>
      </candidateList>
      <explain>文本全半角错误。</explain>
      <paraID>46B21C30</paraID>
      <start>17</start>
      <end>18</end>
      <status>unmodified</status>
      <modifiedWord/>
      <trackRevisions>false</trackRevisions>
    </reviewItem>
    <reviewItem>
      <errorID>f058a6ec-f155-40c7-a6e3-16bdaa28d94e</errorID>
      <errorWord>)</errorWord>
      <group>L1_Format</group>
      <groupName>格式问题</groupName>
      <ability>L2_HalfPunc</ability>
      <abilityName>全半角检查</abilityName>
      <candidateList>
        <item>）</item>
      </candidateList>
      <explain>文本全半角错误。</explain>
      <paraID>46B21C30</paraID>
      <start>22</start>
      <end>23</end>
      <status>unmodified</status>
      <modifiedWord/>
      <trackRevisions>false</trackRevisions>
    </reviewItem>
    <reviewItem>
      <errorID>0dffe7c2-56d3-4398-91aa-b39be5b99541</errorID>
      <errorWord>：</errorWord>
      <group>L1_Format</group>
      <groupName>格式问题</groupName>
      <ability>L2_HalfPunc</ability>
      <abilityName>全半角检查</abilityName>
      <candidateList>
        <item>:</item>
      </candidateList>
      <explain>文本全半角错误。</explain>
      <paraID> CE9F1FC</paraID>
      <start>13</start>
      <end>14</end>
      <status>unmodified</status>
      <modifiedWord/>
      <trackRevisions>false</trackRevisions>
    </reviewItem>
    <reviewItem>
      <errorID>e3c07357-d9fc-49db-a220-cad3744c0f83</errorID>
      <errorWord>：</errorWord>
      <group>L1_Format</group>
      <groupName>格式问题</groupName>
      <ability>L2_HalfPunc</ability>
      <abilityName>全半角检查</abilityName>
      <candidateList>
        <item>:</item>
      </candidateList>
      <explain>文本全半角错误。</explain>
      <paraID> CE9F1FC</paraID>
      <start>33</start>
      <end>34</end>
      <status>unmodified</status>
      <modifiedWord/>
      <trackRevisions>false</trackRevisions>
    </reviewItem>
    <reviewItem>
      <errorID>fe462233-e298-4f40-b01a-62ad36f6e31a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598CA90C</paraID>
      <start>0</start>
      <end>2</end>
      <status>unmodified</status>
      <modifiedWord/>
      <trackRevisions>false</trackRevisions>
    </reviewItem>
    <reviewItem>
      <errorID>d4c2b61c-697f-456a-97b6-0b1877d99201</errorID>
      <errorWord>污水厂</errorWord>
      <group>L1_Word</group>
      <groupName>字词问题</groupName>
      <ability>L2_Typo</ability>
      <abilityName>字词错误</abilityName>
      <candidateList>
        <item>污水处理厂</item>
      </candidateList>
      <explain/>
      <paraID>2F804496</paraID>
      <start>167</start>
      <end>170</end>
      <status>unmodified</status>
      <modifiedWord/>
      <trackRevisions>false</trackRevisions>
    </reviewItem>
    <reviewItem>
      <errorID>ce749168-721b-4eea-8283-7a6f5207d73b</errorID>
      <errorWord>需需</errorWord>
      <group>L1_Word</group>
      <groupName>字词问题</groupName>
      <ability>L2_Typo</ability>
      <abilityName>字词错误</abilityName>
      <candidateList>
        <item>需</item>
      </candidateList>
      <explain>❶〈动〉需要：～求｜按～分配｜完成任务还～五天时间。❷需用的东西：军～。</explain>
      <paraID>2F804496</paraID>
      <start>226</start>
      <end>228</end>
      <status>unmodified</status>
      <modifiedWord/>
      <trackRevisions>false</trackRevisions>
    </reviewItem>
    <reviewItem>
      <errorID>8fe31933-c924-41ef-affb-8dd4722b9493</errorID>
      <errorWord>生活生活</errorWord>
      <group>L1_Word</group>
      <groupName>字词问题</groupName>
      <ability>L2_Typo</ability>
      <abilityName>字词错误</abilityName>
      <candidateList>
        <item>生活</item>
      </candidateList>
      <explain>❶〈名〉人或生物为了生存和发展而进行的各种活动：政治～｜日常～｜观察蜜蜂和蚂蚁的～。❷〈动〉进行各种活动：老人一直和儿孙们～在一起。❸〈动〉生存：一个人脱离了社会就不能～下去。❹〈名〉衣、食、住、行等方面的情况：人民的～不断提高。❺〈方〉〈名〉活儿（主要指工业、农业、手工业方面的）：做～｜～忙。</explain>
      <paraID>51EC90CF</paraID>
      <start>13</start>
      <end>17</end>
      <status>unmodified</status>
      <modifiedWord/>
      <trackRevisions>false</trackRevisions>
    </reviewItem>
    <reviewItem>
      <errorID>cd9ff744-644c-4472-9918-1db39b10ef98</errorID>
      <errorWord>计</errorWord>
      <group>L1_Word</group>
      <groupName>字词问题</groupName>
      <ability>L2_Typo</ability>
      <abilityName>字词错误</abilityName>
      <candidateList>
        <item>计算</item>
      </candidateList>
      <explain/>
      <paraID>51EC90CF</paraID>
      <start>64</start>
      <end>65</end>
      <status>unmodified</status>
      <modifiedWord/>
      <trackRevisions>false</trackRevisions>
    </reviewItem>
    <reviewItem>
      <errorID>87909452-85d1-4227-9488-8f22e762a292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2A3ECA0E</paraID>
      <start>0</start>
      <end>2</end>
      <status>unmodified</status>
      <modifiedWord/>
      <trackRevisions>false</trackRevisions>
    </reviewItem>
    <reviewItem>
      <errorID>151b3081-4793-4a0b-8a22-8b8b13ebf836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7A5E27B2</paraID>
      <start>0</start>
      <end>2</end>
      <status>unmodified</status>
      <modifiedWord/>
      <trackRevisions>false</trackRevisions>
    </reviewItem>
    <reviewItem>
      <errorID>afab0375-6559-4494-8682-31912e8cf1c7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58DC935C</paraID>
      <start>0</start>
      <end>2</end>
      <status>unmodified</status>
      <modifiedWord/>
      <trackRevisions>false</trackRevisions>
    </reviewItem>
    <reviewItem>
      <errorID>04f86d13-97a4-42da-a43f-cb8b8c43895f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75479F07</paraID>
      <start>0</start>
      <end>2</end>
      <status>unmodified</status>
      <modifiedWord/>
      <trackRevisions>false</trackRevisions>
    </reviewItem>
    <reviewItem>
      <errorID>856a4d16-44a4-4f55-8f17-7b0abefa0c86</errorID>
      <errorWord>纲</errorWord>
      <group>L1_Word</group>
      <groupName>字词问题</groupName>
      <ability>L2_Typo</ability>
      <abilityName>字词错误</abilityName>
      <candidateList>
        <item>钢</item>
      </candidateList>
      <explain>存在发音相同字词的误用。</explain>
      <paraID>7224E55A</paraID>
      <start>48</start>
      <end>49</end>
      <status>unmodified</status>
      <modifiedWord/>
      <trackRevisions>false</trackRevisions>
    </reviewItem>
    <reviewItem>
      <errorID>317053c0-4504-4da6-aff9-77fe9fe78b5c</errorID>
      <errorWord>.</errorWord>
      <group>L1_Format</group>
      <groupName>格式问题</groupName>
      <ability>L2_HalfPunc</ability>
      <abilityName>全半角检查</abilityName>
      <candidateList>
        <item>。</item>
      </candidateList>
      <explain>文本全半角错误。</explain>
      <paraID>6D795C2F</paraID>
      <start>30</start>
      <end>31</end>
      <status>unmodified</status>
      <modifiedWord/>
      <trackRevisions>false</trackRevisions>
    </reviewItem>
    <reviewItem>
      <errorID>462bceeb-77ce-49cc-aa3a-7269f201d9a4</errorID>
      <errorWord>油</errorWord>
      <group>L1_Word</group>
      <groupName>字词问题</groupName>
      <ability>L2_Typo</ability>
      <abilityName>字词错误</abilityName>
      <candidateList>
        <item>油在</item>
      </candidateList>
      <explain/>
      <paraID>2239B044</paraID>
      <start>36</start>
      <end>37</end>
      <status>unmodified</status>
      <modifiedWord/>
      <trackRevisions>false</trackRevisions>
    </reviewItem>
    <reviewItem>
      <errorID>5e8099a9-e647-4ce7-8982-e1731fe5cf1c</errorID>
      <errorWord>作</errorWord>
      <group>L1_Word</group>
      <groupName>字词问题</groupName>
      <ability>L2_Typo</ability>
      <abilityName>字词错误</abilityName>
      <candidateList>
        <item>做</item>
      </candidateList>
      <explain>存在发音相同字词的误用。</explain>
      <paraID>6F5359F5</paraID>
      <start>56</start>
      <end>57</end>
      <status>unmodified</status>
      <modifiedWord/>
      <trackRevisions>false</trackRevisions>
    </reviewItem>
    <reviewItem>
      <errorID>21a92914-96a7-4568-b7ef-9632992d1e01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696A9E53</paraID>
      <start>0</start>
      <end>2</end>
      <status>unmodified</status>
      <modifiedWord/>
      <trackRevisions>false</trackRevisions>
    </reviewItem>
    <reviewItem>
      <errorID>e431e533-0824-4d89-96a1-ad70979da680</errorID>
      <errorWord>洗综</errorWord>
      <group>L1_Word</group>
      <groupName>字词问题</groupName>
      <ability>L2_Typo</ability>
      <abilityName>字词错误</abilityName>
      <candidateList>
        <item>洗涤</item>
      </candidateList>
      <explain/>
      <paraID>500C9578</paraID>
      <start>0</start>
      <end>2</end>
      <status>unmodified</status>
      <modifiedWord/>
      <trackRevisions>false</trackRevisions>
    </reviewItem>
    <reviewItem>
      <errorID>8ced47d0-6d17-4d88-88c5-fedc989aadef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5D035830</paraID>
      <start>0</start>
      <end>2</end>
      <status>unmodified</status>
      <modifiedWord/>
      <trackRevisions>false</trackRevisions>
    </reviewItem>
    <reviewItem>
      <errorID>e2271082-0ab5-479a-a5fd-651133c0fe9c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212642C</paraID>
      <start>0</start>
      <end>2</end>
      <status>unmodified</status>
      <modifiedWord/>
      <trackRevisions>false</trackRevisions>
    </reviewItem>
    <reviewItem>
      <errorID>8b59bb4a-ee40-4c6e-bba9-3d87e6537752</errorID>
      <errorWord>油</errorWord>
      <group>L1_Word</group>
      <groupName>字词问题</groupName>
      <ability>L2_Typo</ability>
      <abilityName>字词错误</abilityName>
      <candidateList>
        <item>油在</item>
      </candidateList>
      <explain/>
      <paraID>1DF58605</paraID>
      <start>32</start>
      <end>33</end>
      <status>unmodified</status>
      <modifiedWord/>
      <trackRevisions>false</trackRevisions>
    </reviewItem>
    <reviewItem>
      <errorID>7c531ddd-88d5-4678-8e3d-4cce5b6059bb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CEDA4EF</paraID>
      <start>0</start>
      <end>2</end>
      <status>unmodified</status>
      <modifiedWord/>
      <trackRevisions>false</trackRevisions>
    </reviewItem>
    <reviewItem>
      <errorID>43fc753c-1872-49c6-89d6-d76d48b8d9e5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6D761C84</paraID>
      <start>0</start>
      <end>2</end>
      <status>unmodified</status>
      <modifiedWord/>
      <trackRevisions>false</trackRevisions>
    </reviewItem>
    <reviewItem>
      <errorID>6cbf9d77-aeb7-4a9b-a134-7fa9b2fc3c38</errorID>
      <errorWord>(</errorWord>
      <group>L1_Format</group>
      <groupName>格式问题</groupName>
      <ability>L2_HalfPunc</ability>
      <abilityName>全半角检查</abilityName>
      <candidateList>
        <item>（</item>
      </candidateList>
      <explain>文本全半角错误。</explain>
      <paraID>6DC6D831</paraID>
      <start>3</start>
      <end>4</end>
      <status>unmodified</status>
      <modifiedWord/>
      <trackRevisions>false</trackRevisions>
    </reviewItem>
    <reviewItem>
      <errorID>e68809ae-2073-4d00-a0a6-85bc8c8e4bab</errorID>
      <errorWord>)</errorWord>
      <group>L1_Format</group>
      <groupName>格式问题</groupName>
      <ability>L2_HalfPunc</ability>
      <abilityName>全半角检查</abilityName>
      <candidateList>
        <item>）</item>
      </candidateList>
      <explain>文本全半角错误。</explain>
      <paraID>6DC6D831</paraID>
      <start>7</start>
      <end>8</end>
      <status>unmodified</status>
      <modifiedWord/>
      <trackRevisions>false</trackRevisions>
    </reviewItem>
    <reviewItem>
      <errorID>6754f074-c094-432d-921b-42bbec1c057d</errorID>
      <errorWord>（</errorWord>
      <group>L1_Punc</group>
      <groupName>标点问题</groupName>
      <ability>L2_Punc</ability>
      <abilityName>标点符号检查</abilityName>
      <candidateList/>
      <explain>同一形式括号套用。</explain>
      <paraID>358328A4</paraID>
      <start>22</start>
      <end>23</end>
      <status>unmodified</status>
      <modifiedWord/>
      <trackRevisions>false</trackRevisions>
    </reviewItem>
    <reviewItem>
      <errorID>2f8763ad-94f6-4445-b76b-0abf8c97f14c</errorID>
      <errorWord>）</errorWord>
      <group>L1_Punc</group>
      <groupName>标点问题</groupName>
      <ability>L2_Punc</ability>
      <abilityName>标点符号检查</abilityName>
      <candidateList/>
      <explain>同一形式括号套用。</explain>
      <paraID>358328A4</paraID>
      <start>24</start>
      <end>25</end>
      <status>unmodified</status>
      <modifiedWord/>
      <trackRevisions>false</trackRevisions>
    </reviewItem>
    <reviewItem>
      <errorID>d31ac75e-41e1-4e59-bcf1-d89f882cf186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25FD4CE8</paraID>
      <start>0</start>
      <end>2</end>
      <status>unmodified</status>
      <modifiedWord/>
      <trackRevisions>false</trackRevisions>
    </reviewItem>
    <reviewItem>
      <errorID>95f43f87-43da-4b16-8bd6-9e136be6860e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6D2A988C</paraID>
      <start>0</start>
      <end>2</end>
      <status>unmodified</status>
      <modifiedWord/>
      <trackRevisions>false</trackRevisions>
    </reviewItem>
    <reviewItem>
      <errorID>b0d1daba-9ecb-4041-979b-deeecb63fb21</errorID>
      <errorWord>年</errorWord>
      <group>L1_Word</group>
      <groupName>字词问题</groupName>
      <ability>L2_Typo</ability>
      <abilityName>字词错误</abilityName>
      <candidateList>
        <item>年度</item>
      </candidateList>
      <explain/>
      <paraID>4F608B37</paraID>
      <start>0</start>
      <end>1</end>
      <status>unmodified</status>
      <modifiedWord/>
      <trackRevisions>false</trackRevisions>
    </reviewItem>
    <reviewItem>
      <errorID>9e835576-1943-4442-840c-6c3c52b07ee4</errorID>
      <errorWord>[2024]50号</errorWord>
      <group>L1_Knowledge</group>
      <groupName>知识性问题</groupName>
      <ability>L2_Knowledge</ability>
      <abilityName>其他知识</abilityName>
      <candidateList>
        <item>〔2024〕50号</item>
      </candidateList>
      <explain>发文字号格式错误。</explain>
      <paraID> 8DA3648</paraID>
      <start>38</start>
      <end>47</end>
      <status>unmodified</status>
      <modifiedWord/>
      <trackRevisions>false</trackRevisions>
    </reviewItem>
    <reviewItem>
      <errorID>8a8c7302-0d5b-422b-9733-9918ecc17d57</errorID>
      <errorWord>“</errorWord>
      <group>L1_Punc</group>
      <groupName>标点问题</groupName>
      <ability>L2_Punc</ability>
      <abilityName>标点符号检查</abilityName>
      <candidateList/>
      <explain/>
      <paraID> 8DA3648</paraID>
      <start>51</start>
      <end>52</end>
      <status>unmodified</status>
      <modifiedWord/>
      <trackRevisions>false</trackRevisions>
    </reviewItem>
    <reviewItem>
      <errorID>7671915b-a883-4b01-9936-d24936ecc30a</errorID>
      <errorWord>&lt;</errorWord>
      <group>L1_Format</group>
      <groupName>格式问题</groupName>
      <ability>L2_HalfPunc</ability>
      <abilityName>全半角检查</abilityName>
      <candidateList>
        <item>〈</item>
      </candidateList>
      <explain>文本全半角错误。</explain>
      <paraID>  EFCDD6</paraID>
      <start>31</start>
      <end>32</end>
      <status>unmodified</status>
      <modifiedWord/>
      <trackRevisions>false</trackRevisions>
    </reviewItem>
    <reviewItem>
      <errorID>8b45dc7d-71bd-45d5-bf7a-6c9a6077586a</errorID>
      <errorWord>&gt;的通知》</errorWord>
      <group>L1_Punc</group>
      <groupName>标点问题</groupName>
      <ability>L2_Punc</ability>
      <abilityName>标点符号检查</abilityName>
      <candidateList>
        <item>〉的通知》</item>
      </candidateList>
      <explain/>
      <paraID>  EFCDD6</paraID>
      <start>53</start>
      <end>58</end>
      <status>unmodified</status>
      <modifiedWord/>
      <trackRevisions>false</trackRevisions>
    </reviewItem>
    <reviewItem>
      <errorID>5b78e8f5-cecf-4688-be7f-8091038905a2</errorID>
      <errorWord>[2018]15号</errorWord>
      <group>L1_Knowledge</group>
      <groupName>知识性问题</groupName>
      <ability>L2_Knowledge</ability>
      <abilityName>其他知识</abilityName>
      <candidateList>
        <item>〔2018〕15号</item>
      </candidateList>
      <explain>发文字号格式错误。</explain>
      <paraID>  EFCDD6</paraID>
      <start>62</start>
      <end>71</end>
      <status>unmodified</status>
      <modifiedWord/>
      <trackRevisions>false</trackRevisions>
    </reviewItem>
    <reviewItem>
      <errorID>72223aee-6b5c-4965-8633-360986f29c4f</errorID>
      <errorWord>[2018]13号</errorWord>
      <group>L1_Knowledge</group>
      <groupName>知识性问题</groupName>
      <ability>L2_Knowledge</ability>
      <abilityName>其他知识</abilityName>
      <candidateList>
        <item>〔2018〕13号</item>
      </candidateList>
      <explain>发文字号格式错误。</explain>
      <paraID>  EFCDD6</paraID>
      <start>98</start>
      <end>107</end>
      <status>unmodified</status>
      <modifiedWord/>
      <trackRevisions>false</trackRevisions>
    </reviewItem>
    <reviewItem>
      <errorID>67bec909-13e7-4983-9363-4ce396388bf9</errorID>
      <errorWord>[2018]9号</errorWord>
      <group>L1_Knowledge</group>
      <groupName>知识性问题</groupName>
      <ability>L2_Knowledge</ability>
      <abilityName>其他知识</abilityName>
      <candidateList>
        <item>〔2018〕9号</item>
      </candidateList>
      <explain>发文字号格式错误。</explain>
      <paraID>  EFCDD6</paraID>
      <start>141</start>
      <end>149</end>
      <status>unmodified</status>
      <modifiedWord/>
      <trackRevisions>false</trackRevisions>
    </reviewItem>
    <reviewItem>
      <errorID>267cfad0-72d8-405c-a382-2a213138426a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443AB0B9</paraID>
      <start>0</start>
      <end>2</end>
      <status>unmodified</status>
      <modifiedWord/>
      <trackRevisions>false</trackRevisions>
    </reviewItem>
    <reviewItem>
      <errorID>e2a23473-e1e6-45fa-bd8f-b22dd50a572c</errorID>
      <errorWord>III类</errorWord>
      <group>L1_Knowledge</group>
      <groupName>知识性问题</groupName>
      <ability>L2_Knowledge</ability>
      <abilityName>其他知识</abilityName>
      <candidateList>
        <item>Ⅲ类</item>
      </candidateList>
      <explain/>
      <paraID>79480186</paraID>
      <start>38</start>
      <end>42</end>
      <status>unmodified</status>
      <modifiedWord/>
      <trackRevisions>false</trackRevisions>
    </reviewItem>
    <reviewItem>
      <errorID>0c73dd7d-9dc1-4706-9cb9-431ff2bbb03f</errorID>
      <errorWord>III类</errorWord>
      <group>L1_Knowledge</group>
      <groupName>知识性问题</groupName>
      <ability>L2_Knowledge</ability>
      <abilityName>其他知识</abilityName>
      <candidateList>
        <item>Ⅲ类</item>
      </candidateList>
      <explain/>
      <paraID>79480186</paraID>
      <start>63</start>
      <end>67</end>
      <status>unmodified</status>
      <modifiedWord/>
      <trackRevisions>false</trackRevisions>
    </reviewItem>
    <reviewItem>
      <errorID>4825c942-dc2b-4cf9-9432-b149a7d6bc59</errorID>
      <errorWord>IV类</errorWord>
      <group>L1_Knowledge</group>
      <groupName>知识性问题</groupName>
      <ability>L2_Knowledge</ability>
      <abilityName>其他知识</abilityName>
      <candidateList>
        <item>Ⅳ类</item>
      </candidateList>
      <explain/>
      <paraID>79480186</paraID>
      <start>73</start>
      <end>76</end>
      <status>unmodified</status>
      <modifiedWord/>
      <trackRevisions>false</trackRevisions>
    </reviewItem>
    <reviewItem>
      <errorID>f5491bbf-ad43-4eb9-b179-c7c1b913eff9</errorID>
      <errorWord>III类</errorWord>
      <group>L1_Knowledge</group>
      <groupName>知识性问题</groupName>
      <ability>L2_Knowledge</ability>
      <abilityName>其他知识</abilityName>
      <candidateList>
        <item>Ⅲ类</item>
      </candidateList>
      <explain/>
      <paraID>79480186</paraID>
      <start>106</start>
      <end>110</end>
      <status>unmodified</status>
      <modifiedWord/>
      <trackRevisions>false</trackRevisions>
    </reviewItem>
    <reviewItem>
      <errorID>43f2422b-48a4-4964-9d9e-ca3cd9121adc</errorID>
      <errorWord>III类</errorWord>
      <group>L1_Knowledge</group>
      <groupName>知识性问题</groupName>
      <ability>L2_Knowledge</ability>
      <abilityName>其他知识</abilityName>
      <candidateList>
        <item>Ⅲ类</item>
      </candidateList>
      <explain/>
      <paraID>79480186</paraID>
      <start>135</start>
      <end>139</end>
      <status>unmodified</status>
      <modifiedWord/>
      <trackRevisions>false</trackRevisions>
    </reviewItem>
    <reviewItem>
      <errorID>4bc3e625-6065-461f-9440-02b6d7686b7b</errorID>
      <errorWord>IV类</errorWord>
      <group>L1_Knowledge</group>
      <groupName>知识性问题</groupName>
      <ability>L2_Knowledge</ability>
      <abilityName>其他知识</abilityName>
      <candidateList>
        <item>Ⅳ类</item>
      </candidateList>
      <explain/>
      <paraID>79480186</paraID>
      <start>145</start>
      <end>148</end>
      <status>unmodified</status>
      <modifiedWord/>
      <trackRevisions>false</trackRevisions>
    </reviewItem>
    <reviewItem>
      <errorID>b3c8e6e1-db9e-4a39-bb79-577769da9641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36F4B8DF</paraID>
      <start>0</start>
      <end>2</end>
      <status>unmodified</status>
      <modifiedWord/>
      <trackRevisions>false</trackRevisions>
    </reviewItem>
    <reviewItem>
      <errorID>add0d508-e35f-4a79-aebb-66532bb426cc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7BB6C81B</paraID>
      <start>0</start>
      <end>2</end>
      <status>unmodified</status>
      <modifiedWord/>
      <trackRevisions>false</trackRevisions>
    </reviewItem>
    <reviewItem>
      <errorID>f6fee956-9ef8-4ee0-a4f3-6bf279cb4d13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19DEF965</paraID>
      <start>0</start>
      <end>2</end>
      <status>unmodified</status>
      <modifiedWord/>
      <trackRevisions>false</trackRevisions>
    </reviewItem>
    <reviewItem>
      <errorID>58a04fea-a71a-4b9e-bc2c-e2d3d3d53506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61B0B66E</paraID>
      <start>0</start>
      <end>2</end>
      <status>unmodified</status>
      <modifiedWord/>
      <trackRevisions>false</trackRevisions>
    </reviewItem>
    <reviewItem>
      <errorID>5bd7e145-8f5b-4632-bfff-0b77991074cf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50BC4CE1</paraID>
      <start>0</start>
      <end>2</end>
      <status>unmodified</status>
      <modifiedWord/>
      <trackRevisions>false</trackRevisions>
    </reviewItem>
    <reviewItem>
      <errorID>e7ee1d2b-785e-4513-aa49-69ec9824d51f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68A4D32D</paraID>
      <start>0</start>
      <end>2</end>
      <status>unmodified</status>
      <modifiedWord/>
      <trackRevisions>false</trackRevisions>
    </reviewItem>
    <reviewItem>
      <errorID>bc827add-7cc5-4580-9729-0fb87dc0ecf1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54689673</paraID>
      <start>0</start>
      <end>2</end>
      <status>unmodified</status>
      <modifiedWord/>
      <trackRevisions>false</trackRevisions>
    </reviewItem>
    <reviewItem>
      <errorID>5e094844-5c12-4640-a9c4-2bce9f48471d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36C4476</paraID>
      <start>0</start>
      <end>2</end>
      <status>unmodified</status>
      <modifiedWord/>
      <trackRevisions>false</trackRevisions>
    </reviewItem>
    <reviewItem>
      <errorID>a2c34bc2-7112-4daf-9dc6-a7fae2217f6b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31CBB318</paraID>
      <start>0</start>
      <end>2</end>
      <status>unmodified</status>
      <modifiedWord/>
      <trackRevisions>false</trackRevisions>
    </reviewItem>
    <reviewItem>
      <errorID>74bdeb80-cd55-4a03-ba61-2bb3ea85b78e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62EE0EF8</paraID>
      <start>311</start>
      <end>312</end>
      <status>unmodified</status>
      <modifiedWord/>
      <trackRevisions>false</trackRevisions>
    </reviewItem>
    <reviewItem>
      <errorID>5333885f-ac63-4450-8943-9734ad91b64e</errorID>
      <errorWord>（</errorWord>
      <group>L1_Format</group>
      <groupName>格式问题</groupName>
      <ability>L2_HalfPunc</ability>
      <abilityName>全半角检查</abilityName>
      <candidateList>
        <item>(</item>
      </candidateList>
      <explain>文本全半角错误。</explain>
      <paraID>20408F8F</paraID>
      <start>1</start>
      <end>2</end>
      <status>unmodified</status>
      <modifiedWord/>
      <trackRevisions>false</trackRevisions>
    </reviewItem>
    <reviewItem>
      <errorID>9b61c01a-7790-4fd8-9c99-e66478d650ee</errorID>
      <errorWord>）</errorWord>
      <group>L1_Format</group>
      <groupName>格式问题</groupName>
      <ability>L2_HalfPunc</ability>
      <abilityName>全半角检查</abilityName>
      <candidateList>
        <item>)</item>
      </candidateList>
      <explain>文本全半角错误。</explain>
      <paraID>20408F8F</paraID>
      <start>3</start>
      <end>4</end>
      <status>unmodified</status>
      <modifiedWord/>
      <trackRevisions>false</trackRevisions>
    </reviewItem>
    <reviewItem>
      <errorID>03a222d7-a673-49ef-b6b5-d77c36f7960d</errorID>
      <errorWord>（</errorWord>
      <group>L1_Format</group>
      <groupName>格式问题</groupName>
      <ability>L2_HalfPunc</ability>
      <abilityName>全半角检查</abilityName>
      <candidateList>
        <item>(</item>
      </candidateList>
      <explain>文本全半角错误。</explain>
      <paraID>1FE09866</paraID>
      <start>2</start>
      <end>3</end>
      <status>unmodified</status>
      <modifiedWord/>
      <trackRevisions>false</trackRevisions>
    </reviewItem>
    <reviewItem>
      <errorID>370fbc76-f1a1-4f6b-b5fc-403c15865170</errorID>
      <errorWord>）</errorWord>
      <group>L1_Format</group>
      <groupName>格式问题</groupName>
      <ability>L2_HalfPunc</ability>
      <abilityName>全半角检查</abilityName>
      <candidateList>
        <item>)</item>
      </candidateList>
      <explain>文本全半角错误。</explain>
      <paraID>1FE09866</paraID>
      <start>5</start>
      <end>6</end>
      <status>unmodified</status>
      <modifiedWord/>
      <trackRevisions>false</trackRevisions>
    </reviewItem>
    <reviewItem>
      <errorID>10229432-26a1-4477-b300-46ef8b18961d</errorID>
      <errorWord>（</errorWord>
      <group>L1_Format</group>
      <groupName>格式问题</groupName>
      <ability>L2_HalfPunc</ability>
      <abilityName>全半角检查</abilityName>
      <candidateList>
        <item>(</item>
      </candidateList>
      <explain>文本全半角错误。</explain>
      <paraID>23A630E4</paraID>
      <start>3</start>
      <end>4</end>
      <status>unmodified</status>
      <modifiedWord/>
      <trackRevisions>false</trackRevisions>
    </reviewItem>
    <reviewItem>
      <errorID>38ae5791-9fa1-4dbd-bc20-9a244e10ea34</errorID>
      <errorWord>）</errorWord>
      <group>L1_Format</group>
      <groupName>格式问题</groupName>
      <ability>L2_HalfPunc</ability>
      <abilityName>全半角检查</abilityName>
      <candidateList>
        <item>)</item>
      </candidateList>
      <explain>文本全半角错误。</explain>
      <paraID>23A630E4</paraID>
      <start>5</start>
      <end>6</end>
      <status>unmodified</status>
      <modifiedWord/>
      <trackRevisions>false</trackRevisions>
    </reviewItem>
    <reviewItem>
      <errorID>34684934-c061-4018-be5f-81d8c8ba5194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566A0D10</paraID>
      <start>0</start>
      <end>2</end>
      <status>unmodified</status>
      <modifiedWord/>
      <trackRevisions>false</trackRevisions>
    </reviewItem>
    <reviewItem>
      <errorID>0341c396-6ea5-402c-b33c-6269353886cf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AA65B</paraID>
      <start>0</start>
      <end>2</end>
      <status>unmodified</status>
      <modifiedWord/>
      <trackRevisions>false</trackRevisions>
    </reviewItem>
    <reviewItem>
      <errorID>008257dc-9ffc-4e36-add7-27f2c75de5e3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11FE04AF</paraID>
      <start>0</start>
      <end>2</end>
      <status>unmodified</status>
      <modifiedWord/>
      <trackRevisions>false</trackRevisions>
    </reviewItem>
    <reviewItem>
      <errorID>4139da6e-8017-4157-a57a-2170ff6b5840</errorID>
      <errorWord>：/。</errorWord>
      <group>L1_Punc</group>
      <groupName>标点问题</groupName>
      <ability>L2_Punc</ability>
      <abilityName>标点符号检查</abilityName>
      <candidateList>
        <item>：</item>
      </candidateList>
      <explain/>
      <paraID>2B3BAB21</paraID>
      <start>11</start>
      <end>14</end>
      <status>unmodified</status>
      <modifiedWord/>
      <trackRevisions>false</trackRevisions>
    </reviewItem>
    <reviewItem>
      <errorID>22091773-2437-44fc-9c70-674a009b8fac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23A61B7E</paraID>
      <start>0</start>
      <end>2</end>
      <status>unmodified</status>
      <modifiedWord/>
      <trackRevisions>false</trackRevisions>
    </reviewItem>
    <reviewItem>
      <errorID>4a484653-5832-4a0f-86e4-bc6c6ea819d9</errorID>
      <errorWord>后后</errorWord>
      <group>L1_Word</group>
      <groupName>字词问题</groupName>
      <ability>L2_Typo</ability>
      <abilityName>字词错误</abilityName>
      <candidateList>
        <item>后</item>
      </candidateList>
      <explain>❶君主的妻子：皇～｜～妃。❷古代称君主：商之先～。❸（Hòu）〈名〉姓。</explain>
      <paraID>2DC1679A</paraID>
      <start>3</start>
      <end>5</end>
      <status>unmodified</status>
      <modifiedWord/>
      <trackRevisions>false</trackRevisions>
    </reviewItem>
    <reviewItem>
      <errorID>e01cd458-5582-4d44-b4b1-85c122ec4177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642FB42B</paraID>
      <start>0</start>
      <end>2</end>
      <status>unmodified</status>
      <modifiedWord/>
      <trackRevisions>false</trackRevisions>
    </reviewItem>
    <reviewItem>
      <errorID>1c7ff1a8-a988-413b-8cf6-c832293ec0e1</errorID>
      <errorWord>[2017]54号</errorWord>
      <group>L1_Knowledge</group>
      <groupName>知识性问题</groupName>
      <ability>L2_Knowledge</ability>
      <abilityName>其他知识</abilityName>
      <candidateList>
        <item>〔2017〕54号</item>
      </candidateList>
      <explain>发文字号格式错误。</explain>
      <paraID>236CF69F</paraID>
      <start>23</start>
      <end>32</end>
      <status>unmodified</status>
      <modifiedWord/>
      <trackRevisions>false</trackRevisions>
    </reviewItem>
    <reviewItem>
      <errorID>c9d2f9d9-dd5b-43a7-9c1c-80bdb4441ce9</errorID>
      <errorWord>)</errorWord>
      <group>L1_Format</group>
      <groupName>格式问题</groupName>
      <ability>L2_HalfPunc</ability>
      <abilityName>全半角检查</abilityName>
      <candidateList>
        <item>）</item>
      </candidateList>
      <explain>文本全半角错误。</explain>
      <paraID>6ECF3BDE</paraID>
      <start>87</start>
      <end>88</end>
      <status>unmodified</status>
      <modifiedWord/>
      <trackRevisions>false</trackRevisions>
    </reviewItem>
    <reviewItem>
      <errorID>98cb0cdf-8ff3-4fc4-a628-0e409ba19121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3A8D3491</paraID>
      <start>0</start>
      <end>2</end>
      <status>unmodified</status>
      <modifiedWord/>
      <trackRevisions>false</trackRevisions>
    </reviewItem>
    <reviewItem>
      <errorID>a90435a9-3ef9-4e5a-99f6-85684fca3e1a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11AEE461</paraID>
      <start>0</start>
      <end>2</end>
      <status>unmodified</status>
      <modifiedWord/>
      <trackRevisions>false</trackRevisions>
    </reviewItem>
    <reviewItem>
      <errorID>ae206993-d137-405e-b60a-5a2c00bb1f5c</errorID>
      <errorWord>(</errorWord>
      <group>L1_Format</group>
      <groupName>格式问题</groupName>
      <ability>L2_HalfPunc</ability>
      <abilityName>全半角检查</abilityName>
      <candidateList>
        <item>（</item>
      </candidateList>
      <explain>文本全半角错误。</explain>
      <paraID>50856FB5</paraID>
      <start>3</start>
      <end>4</end>
      <status>unmodified</status>
      <modifiedWord/>
      <trackRevisions>false</trackRevisions>
    </reviewItem>
    <reviewItem>
      <errorID>a3422b1c-6458-4a02-9d7d-31a0e99d6071</errorID>
      <errorWord>)</errorWord>
      <group>L1_Format</group>
      <groupName>格式问题</groupName>
      <ability>L2_HalfPunc</ability>
      <abilityName>全半角检查</abilityName>
      <candidateList>
        <item>）</item>
      </candidateList>
      <explain>文本全半角错误。</explain>
      <paraID>50856FB5</paraID>
      <start>7</start>
      <end>8</end>
      <status>unmodified</status>
      <modifiedWord/>
      <trackRevisions>false</trackRevisions>
    </reviewItem>
    <reviewItem>
      <errorID>b3744551-fba3-458e-bb78-0d54537a4e70</errorID>
      <errorWord>(</errorWord>
      <group>L1_Format</group>
      <groupName>格式问题</groupName>
      <ability>L2_HalfPunc</ability>
      <abilityName>全半角检查</abilityName>
      <candidateList>
        <item>（</item>
      </candidateList>
      <explain>文本全半角错误。</explain>
      <paraID>2EF4C3D7</paraID>
      <start>3</start>
      <end>4</end>
      <status>unmodified</status>
      <modifiedWord/>
      <trackRevisions>false</trackRevisions>
    </reviewItem>
    <reviewItem>
      <errorID>f44db4d0-0007-4c93-8db9-99ce4ef0c53c</errorID>
      <errorWord>)</errorWord>
      <group>L1_Format</group>
      <groupName>格式问题</groupName>
      <ability>L2_HalfPunc</ability>
      <abilityName>全半角检查</abilityName>
      <candidateList>
        <item>）</item>
      </candidateList>
      <explain>文本全半角错误。</explain>
      <paraID>2EF4C3D7</paraID>
      <start>7</start>
      <end>8</end>
      <status>unmodified</status>
      <modifiedWord/>
      <trackRevisions>false</trackRevisions>
    </reviewItem>
    <reviewItem>
      <errorID>a0858538-3172-497f-a718-8b834cfe5b64</errorID>
      <errorWord>（</errorWord>
      <group>L1_Format</group>
      <groupName>格式问题</groupName>
      <ability>L2_HalfPunc</ability>
      <abilityName>全半角检查</abilityName>
      <candidateList>
        <item>(</item>
      </candidateList>
      <explain>文本全半角错误。</explain>
      <paraID> 54872F6</paraID>
      <start>3</start>
      <end>4</end>
      <status>unmodified</status>
      <modifiedWord/>
      <trackRevisions>false</trackRevisions>
    </reviewItem>
    <reviewItem>
      <errorID>28e31eba-ae07-4a3a-9afa-7ab7074fd508</errorID>
      <errorWord>）</errorWord>
      <group>L1_Format</group>
      <groupName>格式问题</groupName>
      <ability>L2_HalfPunc</ability>
      <abilityName>全半角检查</abilityName>
      <candidateList>
        <item>)</item>
      </candidateList>
      <explain>文本全半角错误。</explain>
      <paraID> 54872F6</paraID>
      <start>5</start>
      <end>6</end>
      <status>unmodified</status>
      <modifiedWord/>
      <trackRevisions>false</trackRevisions>
    </reviewItem>
    <reviewItem>
      <errorID>1a489439-11da-4810-b944-53567df1bd16</errorID>
      <errorWord>江</errorWord>
      <group>L1_Word</group>
      <groupName>字词问题</groupName>
      <ability>L2_Typo</ability>
      <abilityName>字词错误</abilityName>
      <candidateList>
        <item>江区</item>
      </candidateList>
      <explain/>
      <paraID>1C527445</paraID>
      <start>27</start>
      <end>28</end>
      <status>unmodified</status>
      <modifiedWord/>
      <trackRevisions>false</trackRevisions>
    </reviewItem>
    <reviewItem>
      <errorID>748ea452-9d5b-460a-af32-5a6549dbf155</errorID>
      <errorWord>（</errorWord>
      <group>L1_Punc</group>
      <groupName>标点问题</groupName>
      <ability>L2_Punc</ability>
      <abilityName>标点符号检查</abilityName>
      <candidateList>
        <item/>
      </candidateList>
      <explain>同一形式括号套用。</explain>
      <paraID>721F9C5E</paraID>
      <start>33</start>
      <end>34</end>
      <status>unmodified</status>
      <modifiedWord/>
      <trackRevisions>false</trackRevisions>
    </reviewItem>
    <reviewItem>
      <errorID>70fdb380-a8d2-433a-80ad-7f432da0602c</errorID>
      <errorWord>(2023)2号</errorWord>
      <group>L1_Knowledge</group>
      <groupName>知识性问题</groupName>
      <ability>L2_Knowledge</ability>
      <abilityName>其他知识</abilityName>
      <candidateList>
        <item>〔2023〕2号</item>
      </candidateList>
      <explain>发文字号格式错误。</explain>
      <paraID>721F9C5E</paraID>
      <start>36</start>
      <end>44</end>
      <status>unmodified</status>
      <modifiedWord/>
      <trackRevisions>false</trackRevisions>
    </reviewItem>
    <reviewItem>
      <errorID>021d7df1-a30e-4888-98c9-90e430ee3c18</errorID>
      <errorWord>）</errorWord>
      <group>L1_Punc</group>
      <groupName>标点问题</groupName>
      <ability>L2_Punc</ability>
      <abilityName>标点符号检查</abilityName>
      <candidateList/>
      <explain>同一形式括号套用。</explain>
      <paraID>721F9C5E</paraID>
      <start>44</start>
      <end>45</end>
      <status>unmodified</status>
      <modifiedWord/>
      <trackRevisions>false</trackRevisions>
    </reviewItem>
    <reviewItem>
      <errorID>e1980ce2-a2e3-48ea-945f-6d098c11014c</errorID>
      <errorWord>污水厂</errorWord>
      <group>L1_Word</group>
      <groupName>字词问题</groupName>
      <ability>L2_Typo</ability>
      <abilityName>字词错误</abilityName>
      <candidateList>
        <item>污水处理厂</item>
      </candidateList>
      <explain/>
      <paraID>721F9C5E</paraID>
      <start>116</start>
      <end>119</end>
      <status>unmodified</status>
      <modifiedWord/>
      <trackRevisions>false</trackRevisions>
    </reviewItem>
    <reviewItem>
      <errorID>147f8ff0-3d7d-4be9-8ae6-0ccaf75ec453</errorID>
      <errorWord>生产污水处理</errorWord>
      <group>L1_Knowledge</group>
      <groupName>知识性问题</groupName>
      <ability>L2_Term</ability>
      <abilityName>专业术语</abilityName>
      <candidateList>
        <item>生活污水处理</item>
      </candidateList>
      <explain/>
      <paraID>721F9C5E</paraID>
      <start>151</start>
      <end>157</end>
      <status>unmodified</status>
      <modifiedWord/>
      <trackRevisions>false</trackRevisions>
    </reviewItem>
    <reviewItem>
      <errorID>ee538ade-951e-4187-a228-73dc3fc3cd87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57C02A92</paraID>
      <start>0</start>
      <end>2</end>
      <status>unmodified</status>
      <modifiedWord/>
      <trackRevisions>false</trackRevisions>
    </reviewItem>
    <reviewItem>
      <errorID>3c61a923-7cb5-4c99-adac-ed4907226325</errorID>
      <errorWord>)</errorWord>
      <group>L1_Format</group>
      <groupName>格式问题</groupName>
      <ability>L2_HalfPunc</ability>
      <abilityName>全半角检查</abilityName>
      <candidateList>
        <item>）</item>
      </candidateList>
      <explain>文本全半角错误。</explain>
      <paraID>725EFC84</paraID>
      <start>31</start>
      <end>32</end>
      <status>unmodified</status>
      <modifiedWord/>
      <trackRevisions>false</trackRevisions>
    </reviewItem>
    <reviewItem>
      <errorID>9d3ae7e2-03df-4f86-acf2-c4ad003e3a8f</errorID>
      <errorWord>源源</errorWord>
      <group>L1_Word</group>
      <groupName>字词问题</groupName>
      <ability>L2_Typo</ability>
      <abilityName>字词错误</abilityName>
      <candidateList>
        <item>源</item>
      </candidateList>
      <explain/>
      <paraID> DD93DDF</paraID>
      <start>1</start>
      <end>3</end>
      <status>unmodified</status>
      <modifiedWord/>
      <trackRevisions>false</trackRevisions>
    </reviewItem>
    <reviewItem>
      <errorID>bfdfe37e-97fe-467c-8165-4ee362f4b8a9</errorID>
      <errorWord>)</errorWord>
      <group>L1_Format</group>
      <groupName>格式问题</groupName>
      <ability>L2_HalfPunc</ability>
      <abilityName>全半角检查</abilityName>
      <candidateList>
        <item>）</item>
      </candidateList>
      <explain>文本全半角错误。</explain>
      <paraID>44D91A97</paraID>
      <start>11</start>
      <end>12</end>
      <status>unmodified</status>
      <modifiedWord/>
      <trackRevisions>false</trackRevisions>
    </reviewItem>
    <reviewItem>
      <errorID>932545e4-cf66-4f92-9e9e-300d05dc2517</errorID>
      <errorWord>[2019]19号</errorWord>
      <group>L1_Knowledge</group>
      <groupName>知识性问题</groupName>
      <ability>L2_Knowledge</ability>
      <abilityName>其他知识</abilityName>
      <candidateList>
        <item>〔2019〕19号</item>
      </candidateList>
      <explain>发文字号格式错误。</explain>
      <paraID>526A6938</paraID>
      <start>42</start>
      <end>51</end>
      <status>unmodified</status>
      <modifiedWord/>
      <trackRevisions>false</trackRevisions>
    </reviewItem>
    <reviewItem>
      <errorID>1edc9814-70fe-484b-9621-0158c602c224</errorID>
      <errorWord>维护结构</errorWord>
      <group>L1_Word</group>
      <groupName>字词问题</groupName>
      <ability>L2_Typo</ability>
      <abilityName>字词错误</abilityName>
      <candidateList>
        <item>围护结构</item>
      </candidateList>
      <explain/>
      <paraID>6C9E184E</paraID>
      <start>9</start>
      <end>13</end>
      <status>unmodified</status>
      <modifiedWord/>
      <trackRevisions>false</trackRevisions>
    </reviewItem>
    <reviewItem>
      <errorID>c4f03604-81b4-4ac1-914b-041bfd5c7e77</errorID>
      <errorWord>（</errorWord>
      <group>L1_Format</group>
      <groupName>格式问题</groupName>
      <ability>L2_HalfPunc</ability>
      <abilityName>全半角检查</abilityName>
      <candidateList>
        <item>(</item>
      </candidateList>
      <explain>文本全半角错误。</explain>
      <paraID>1798DEA5</paraID>
      <start>4</start>
      <end>5</end>
      <status>unmodified</status>
      <modifiedWord/>
      <trackRevisions>false</trackRevisions>
    </reviewItem>
    <reviewItem>
      <errorID>99c9c1e4-f8b0-43f6-a6b4-f9f4ee5e3665</errorID>
      <errorWord>）</errorWord>
      <group>L1_Format</group>
      <groupName>格式问题</groupName>
      <ability>L2_HalfPunc</ability>
      <abilityName>全半角检查</abilityName>
      <candidateList>
        <item>)</item>
      </candidateList>
      <explain>文本全半角错误。</explain>
      <paraID>1798DEA5</paraID>
      <start>6</start>
      <end>7</end>
      <status>unmodified</status>
      <modifiedWord/>
      <trackRevisions>false</trackRevisions>
    </reviewItem>
    <reviewItem>
      <errorID>06e44ea6-e107-4577-b041-f7c06a8ce559</errorID>
      <errorWord>（</errorWord>
      <group>L1_Format</group>
      <groupName>格式问题</groupName>
      <ability>L2_HalfPunc</ability>
      <abilityName>全半角检查</abilityName>
      <candidateList>
        <item>(</item>
      </candidateList>
      <explain>文本全半角错误。</explain>
      <paraID>1798DEA5</paraID>
      <start>12</start>
      <end>13</end>
      <status>unmodified</status>
      <modifiedWord/>
      <trackRevisions>false</trackRevisions>
    </reviewItem>
    <reviewItem>
      <errorID>485bee46-664a-4427-bdd4-76f82aff9568</errorID>
      <errorWord>）</errorWord>
      <group>L1_Format</group>
      <groupName>格式问题</groupName>
      <ability>L2_HalfPunc</ability>
      <abilityName>全半角检查</abilityName>
      <candidateList>
        <item>)</item>
      </candidateList>
      <explain>文本全半角错误。</explain>
      <paraID>1798DEA5</paraID>
      <start>14</start>
      <end>15</end>
      <status>unmodified</status>
      <modifiedWord/>
      <trackRevisions>false</trackRevisions>
    </reviewItem>
    <reviewItem>
      <errorID>acaecce3-4087-4c09-9a74-f7aecc56ec12</errorID>
      <errorWord>（</errorWord>
      <group>L1_Format</group>
      <groupName>格式问题</groupName>
      <ability>L2_HalfPunc</ability>
      <abilityName>全半角检查</abilityName>
      <candidateList>
        <item>(</item>
      </candidateList>
      <explain>文本全半角错误。</explain>
      <paraID>1798DEA5</paraID>
      <start>16</start>
      <end>17</end>
      <status>unmodified</status>
      <modifiedWord/>
      <trackRevisions>false</trackRevisions>
    </reviewItem>
    <reviewItem>
      <errorID>bdba4900-551e-4481-8941-003d42e55f39</errorID>
      <errorWord>）</errorWord>
      <group>L1_Format</group>
      <groupName>格式问题</groupName>
      <ability>L2_HalfPunc</ability>
      <abilityName>全半角检查</abilityName>
      <candidateList>
        <item>)</item>
      </candidateList>
      <explain>文本全半角错误。</explain>
      <paraID>1798DEA5</paraID>
      <start>22</start>
      <end>23</end>
      <status>unmodified</status>
      <modifiedWord/>
      <trackRevisions>false</trackRevisions>
    </reviewItem>
    <reviewItem>
      <errorID>f33d5418-25b5-4398-aa16-7e4002ab5244</errorID>
      <errorWord>的的</errorWord>
      <group>L1_Word</group>
      <groupName>字词问题</groupName>
      <ability>L2_Typo</ability>
      <abilityName>字词错误</abilityName>
      <candidateList>
        <item>的</item>
      </candidateList>
      <explain>置于形容词、名词后，用于修饰事物的形态。</explain>
      <paraID> C593C03</paraID>
      <start>13</start>
      <end>15</end>
      <status>unmodified</status>
      <modifiedWord/>
      <trackRevisions>false</trackRevisions>
    </reviewItem>
    <reviewItem>
      <errorID>607472ef-396c-4179-a713-6ec5f130a8d5</errorID>
      <errorWord>（</errorWord>
      <group>L1_Format</group>
      <groupName>格式问题</groupName>
      <ability>L2_HalfPunc</ability>
      <abilityName>全半角检查</abilityName>
      <candidateList>
        <item>(</item>
      </candidateList>
      <explain>文本全半角错误。</explain>
      <paraID>4347CAFE</paraID>
      <start>6</start>
      <end>7</end>
      <status>unmodified</status>
      <modifiedWord/>
      <trackRevisions>false</trackRevisions>
    </reviewItem>
    <reviewItem>
      <errorID>91ae645d-bd73-47d5-afbd-3ccb8797168f</errorID>
      <errorWord>）</errorWord>
      <group>L1_Format</group>
      <groupName>格式问题</groupName>
      <ability>L2_HalfPunc</ability>
      <abilityName>全半角检查</abilityName>
      <candidateList>
        <item>)</item>
      </candidateList>
      <explain>文本全半角错误。</explain>
      <paraID>4347CAFE</paraID>
      <start>8</start>
      <end>9</end>
      <status>unmodified</status>
      <modifiedWord/>
      <trackRevisions>false</trackRevisions>
    </reviewItem>
    <reviewItem>
      <errorID>d824793a-72ce-488b-b123-8ffe9a8ba4c5</errorID>
      <errorWord>（</errorWord>
      <group>L1_Format</group>
      <groupName>格式问题</groupName>
      <ability>L2_HalfPunc</ability>
      <abilityName>全半角检查</abilityName>
      <candidateList>
        <item>(</item>
      </candidateList>
      <explain>文本全半角错误。</explain>
      <paraID> 36099D1</paraID>
      <start>2</start>
      <end>3</end>
      <status>unmodified</status>
      <modifiedWord/>
      <trackRevisions>false</trackRevisions>
    </reviewItem>
    <reviewItem>
      <errorID>a736aedb-f71b-4c98-a031-65a5258e0dcb</errorID>
      <errorWord>）</errorWord>
      <group>L1_Format</group>
      <groupName>格式问题</groupName>
      <ability>L2_HalfPunc</ability>
      <abilityName>全半角检查</abilityName>
      <candidateList>
        <item>)</item>
      </candidateList>
      <explain>文本全半角错误。</explain>
      <paraID> 36099D1</paraID>
      <start>4</start>
      <end>5</end>
      <status>unmodified</status>
      <modifiedWord/>
      <trackRevisions>false</trackRevisions>
    </reviewItem>
    <reviewItem>
      <errorID>08bb3154-f64b-4607-bd5b-ce27250e6631</errorID>
      <errorWord>（</errorWord>
      <group>L1_Format</group>
      <groupName>格式问题</groupName>
      <ability>L2_HalfPunc</ability>
      <abilityName>全半角检查</abilityName>
      <candidateList>
        <item>(</item>
      </candidateList>
      <explain>文本全半角错误。</explain>
      <paraID> 36099D1</paraID>
      <start>8</start>
      <end>9</end>
      <status>unmodified</status>
      <modifiedWord/>
      <trackRevisions>false</trackRevisions>
    </reviewItem>
    <reviewItem>
      <errorID>7197809b-4b62-4d99-be12-b9f7e81de22d</errorID>
      <errorWord>）</errorWord>
      <group>L1_Format</group>
      <groupName>格式问题</groupName>
      <ability>L2_HalfPunc</ability>
      <abilityName>全半角检查</abilityName>
      <candidateList>
        <item>)</item>
      </candidateList>
      <explain>文本全半角错误。</explain>
      <paraID> 36099D1</paraID>
      <start>11</start>
      <end>12</end>
      <status>unmodified</status>
      <modifiedWord/>
      <trackRevisions>false</trackRevisions>
    </reviewItem>
    <reviewItem>
      <errorID>73ca9ccd-78f7-4940-b574-8d00c54424da</errorID>
      <errorWord>（</errorWord>
      <group>L1_Format</group>
      <groupName>格式问题</groupName>
      <ability>L2_HalfPunc</ability>
      <abilityName>全半角检查</abilityName>
      <candidateList>
        <item>(</item>
      </candidateList>
      <explain>文本全半角错误。</explain>
      <paraID> 36099D1</paraID>
      <start>16</start>
      <end>17</end>
      <status>unmodified</status>
      <modifiedWord/>
      <trackRevisions>false</trackRevisions>
    </reviewItem>
    <reviewItem>
      <errorID>c2f17cf1-b4c1-493e-860d-7cce3466236d</errorID>
      <errorWord>）</errorWord>
      <group>L1_Format</group>
      <groupName>格式问题</groupName>
      <ability>L2_HalfPunc</ability>
      <abilityName>全半角检查</abilityName>
      <candidateList>
        <item>)</item>
      </candidateList>
      <explain>文本全半角错误。</explain>
      <paraID> 36099D1</paraID>
      <start>41</start>
      <end>42</end>
      <status>unmodified</status>
      <modifiedWord/>
      <trackRevisions>false</trackRevisions>
    </reviewItem>
    <reviewItem>
      <errorID>a2842d5b-8dcd-4cf8-8e88-02556bdea040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38647256</paraID>
      <start>0</start>
      <end>2</end>
      <status>unmodified</status>
      <modifiedWord/>
      <trackRevisions>false</trackRevisions>
    </reviewItem>
    <reviewItem>
      <errorID>b3a0239d-971e-4d81-96d3-04aff4cfc85e</errorID>
      <errorWord>丝</errorWord>
      <group>L1_Word</group>
      <groupName>字词问题</groupName>
      <ability>L2_Typo</ability>
      <abilityName>字词错误</abilityName>
      <candidateList>
        <item>布</item>
      </candidateList>
      <explain/>
      <paraID>7800C008</paraID>
      <start>58</start>
      <end>59</end>
      <status>unmodified</status>
      <modifiedWord/>
      <trackRevisions>false</trackRevisions>
    </reviewItem>
    <reviewItem>
      <errorID>b58bd751-a9d0-4405-99ad-66430cd789b3</errorID>
      <errorWord>（</errorWord>
      <group>L1_Format</group>
      <groupName>格式问题</groupName>
      <ability>L2_HalfPunc</ability>
      <abilityName>全半角检查</abilityName>
      <candidateList>
        <item>(</item>
      </candidateList>
      <explain>文本全半角错误。</explain>
      <paraID>2A3CF0AD</paraID>
      <start>0</start>
      <end>1</end>
      <status>unmodified</status>
      <modifiedWord/>
      <trackRevisions>false</trackRevisions>
    </reviewItem>
    <reviewItem>
      <errorID>bff6a2b8-51a9-4b56-a7ea-b3574028a001</errorID>
      <errorWord>）</errorWord>
      <group>L1_Format</group>
      <groupName>格式问题</groupName>
      <ability>L2_HalfPunc</ability>
      <abilityName>全半角检查</abilityName>
      <candidateList>
        <item>)</item>
      </candidateList>
      <explain>文本全半角错误。</explain>
      <paraID>2A3CF0AD</paraID>
      <start>4</start>
      <end>5</end>
      <status>unmodified</status>
      <modifiedWord/>
      <trackRevisions>false</trackRevisions>
    </reviewItem>
    <reviewItem>
      <errorID>3cc3ac53-0e52-4704-8e9b-796117abcdb5</errorID>
      <errorWord>（</errorWord>
      <group>L1_Format</group>
      <groupName>格式问题</groupName>
      <ability>L2_HalfPunc</ability>
      <abilityName>全半角检查</abilityName>
      <candidateList>
        <item>(</item>
      </candidateList>
      <explain>文本全半角错误。</explain>
      <paraID> 6D85535</paraID>
      <start>0</start>
      <end>1</end>
      <status>unmodified</status>
      <modifiedWord/>
      <trackRevisions>false</trackRevisions>
    </reviewItem>
    <reviewItem>
      <errorID>7eb1f814-91e1-4abd-a9c3-35cf8fd9ddf1</errorID>
      <errorWord>）</errorWord>
      <group>L1_Format</group>
      <groupName>格式问题</groupName>
      <ability>L2_HalfPunc</ability>
      <abilityName>全半角检查</abilityName>
      <candidateList>
        <item>)</item>
      </candidateList>
      <explain>文本全半角错误。</explain>
      <paraID> 6D85535</paraID>
      <start>4</start>
      <end>5</end>
      <status>unmodified</status>
      <modifiedWord/>
      <trackRevisions>false</trackRevisions>
    </reviewItem>
    <reviewItem>
      <errorID>7d30edac-9664-43e6-83e2-410b59112b8e</errorID>
      <errorWord>（</errorWord>
      <group>L1_Format</group>
      <groupName>格式问题</groupName>
      <ability>L2_HalfPunc</ability>
      <abilityName>全半角检查</abilityName>
      <candidateList>
        <item>(</item>
      </candidateList>
      <explain>文本全半角错误。</explain>
      <paraID>23C714C2</paraID>
      <start>0</start>
      <end>1</end>
      <status>unmodified</status>
      <modifiedWord/>
      <trackRevisions>false</trackRevisions>
    </reviewItem>
    <reviewItem>
      <errorID>4359bc12-1e0c-4133-aa67-e2a356292a7b</errorID>
      <errorWord>）</errorWord>
      <group>L1_Format</group>
      <groupName>格式问题</groupName>
      <ability>L2_HalfPunc</ability>
      <abilityName>全半角检查</abilityName>
      <candidateList>
        <item>)</item>
      </candidateList>
      <explain>文本全半角错误。</explain>
      <paraID>23C714C2</paraID>
      <start>4</start>
      <end>5</end>
      <status>unmodified</status>
      <modifiedWord/>
      <trackRevisions>false</trackRevisions>
    </reviewItem>
    <reviewItem>
      <errorID>2e200682-fc8d-4a80-91db-a465c5f161d1</errorID>
      <errorWord>装装</errorWord>
      <group>L1_Word</group>
      <groupName>字词问题</groupName>
      <ability>L2_Typo</ability>
      <abilityName>字词错误</abilityName>
      <candidateList>
        <item>装</item>
      </candidateList>
      <explain/>
      <paraID>58F71713</paraID>
      <start>35</start>
      <end>37</end>
      <status>unmodified</status>
      <modifiedWord/>
      <trackRevisions>false</trackRevisions>
    </reviewItem>
    <reviewItem>
      <errorID>0351ccaf-09fb-4d4c-aaf8-c843bec0ab73</errorID>
      <errorWord>（</errorWord>
      <group>L1_Format</group>
      <groupName>格式问题</groupName>
      <ability>L2_HalfPunc</ability>
      <abilityName>全半角检查</abilityName>
      <candidateList>
        <item>(</item>
      </candidateList>
      <explain>文本全半角错误。</explain>
      <paraID>5B27BCEC</paraID>
      <start>0</start>
      <end>1</end>
      <status>unmodified</status>
      <modifiedWord/>
      <trackRevisions>false</trackRevisions>
    </reviewItem>
    <reviewItem>
      <errorID>579299e7-e47c-4962-ab25-bdde532b0ef1</errorID>
      <errorWord>）</errorWord>
      <group>L1_Format</group>
      <groupName>格式问题</groupName>
      <ability>L2_HalfPunc</ability>
      <abilityName>全半角检查</abilityName>
      <candidateList>
        <item>)</item>
      </candidateList>
      <explain>文本全半角错误。</explain>
      <paraID>5B27BCEC</paraID>
      <start>4</start>
      <end>5</end>
      <status>unmodified</status>
      <modifiedWord/>
      <trackRevisions>false</trackRevisions>
    </reviewItem>
    <reviewItem>
      <errorID>63e91b87-70f0-40d8-aefd-98f5d987642e</errorID>
      <errorWord>裙脚</errorWord>
      <group>L1_Word</group>
      <groupName>字词问题</groupName>
      <ability>L2_Typo</ability>
      <abilityName>字词错误</abilityName>
      <candidateList>
        <item>裙角</item>
      </candidateList>
      <explain/>
      <paraID>269D4B0F</paraID>
      <start>16</start>
      <end>18</end>
      <status>unmodified</status>
      <modifiedWord/>
      <trackRevisions>false</trackRevisions>
    </reviewItem>
    <reviewItem>
      <errorID>04ce85d8-9282-45f2-908f-d86c4d93eb08</errorID>
      <errorWord>黏土</errorWord>
      <group>L1_Word</group>
      <groupName>字词问题</groupName>
      <ability>L2_Typo</ability>
      <abilityName>字词错误</abilityName>
      <candidateList>
        <item>粘土</item>
      </candidateList>
      <explain/>
      <paraID>7CFB9B4E</paraID>
      <start>112</start>
      <end>114</end>
      <status>unmodified</status>
      <modifiedWord/>
      <trackRevisions>false</trackRevisions>
    </reviewItem>
    <reviewItem>
      <errorID>f49343db-f63b-4596-9e40-1a92aea62f55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7CFB9B4E</paraID>
      <start>125</start>
      <end>126</end>
      <status>unmodified</status>
      <modifiedWord/>
      <trackRevisions>false</trackRevisions>
    </reviewItem>
    <reviewItem>
      <errorID>ba2a44f2-f41a-4b8b-9939-415d6e0c4f68</errorID>
      <errorWord>)</errorWord>
      <group>L1_Format</group>
      <groupName>格式问题</groupName>
      <ability>L2_HalfPunc</ability>
      <abilityName>全半角检查</abilityName>
      <candidateList>
        <item>）</item>
      </candidateList>
      <explain>文本全半角错误。</explain>
      <paraID>7CFB9B4E</paraID>
      <start>131</start>
      <end>132</end>
      <status>unmodified</status>
      <modifiedWord/>
      <trackRevisions>false</trackRevisions>
    </reviewItem>
    <reviewItem>
      <errorID>b0de09b5-56b6-4860-a6bf-ee6464025263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7CFB9B4E</paraID>
      <start>164</start>
      <end>165</end>
      <status>unmodified</status>
      <modifiedWord/>
      <trackRevisions>false</trackRevisions>
    </reviewItem>
    <reviewItem>
      <errorID>e74c6e57-b25f-4ea6-afe8-66fa4f355faa</errorID>
      <errorWord>)</errorWord>
      <group>L1_Format</group>
      <groupName>格式问题</groupName>
      <ability>L2_HalfPunc</ability>
      <abilityName>全半角检查</abilityName>
      <candidateList>
        <item>）</item>
      </candidateList>
      <explain>文本全半角错误。</explain>
      <paraID>7CFB9B4E</paraID>
      <start>171</start>
      <end>172</end>
      <status>unmodified</status>
      <modifiedWord/>
      <trackRevisions>false</trackRevisions>
    </reviewItem>
    <reviewItem>
      <errorID>2f4534a0-0834-4a81-9061-48ab2a8e1125</errorID>
      <errorWord>(</errorWord>
      <group>L1_Format</group>
      <groupName>格式问题</groupName>
      <ability>L2_HalfPunc</ability>
      <abilityName>全半角检查</abilityName>
      <candidateList>
        <item>（</item>
      </candidateList>
      <explain>文本全半角错误。</explain>
      <paraID> 211CBB2</paraID>
      <start>20</start>
      <end>21</end>
      <status>unmodified</status>
      <modifiedWord/>
      <trackRevisions>false</trackRevisions>
    </reviewItem>
    <reviewItem>
      <errorID>3fe88430-9045-4796-930b-0cd033ef26be</errorID>
      <errorWord>(</errorWord>
      <group>L1_Format</group>
      <groupName>格式问题</groupName>
      <ability>L2_HalfPunc</ability>
      <abilityName>全半角检查</abilityName>
      <candidateList>
        <item>（</item>
      </candidateList>
      <explain>文本全半角错误。</explain>
      <paraID>511972E0</paraID>
      <start>77</start>
      <end>78</end>
      <status>unmodified</status>
      <modifiedWord/>
      <trackRevisions>false</trackRevisions>
    </reviewItem>
    <reviewItem>
      <errorID>67801f78-bb1d-46f3-8ed8-5423405c25a0</errorID>
      <errorWord>)</errorWord>
      <group>L1_Format</group>
      <groupName>格式问题</groupName>
      <ability>L2_HalfPunc</ability>
      <abilityName>全半角检查</abilityName>
      <candidateList>
        <item>）</item>
      </candidateList>
      <explain>文本全半角错误。</explain>
      <paraID>511972E0</paraID>
      <start>84</start>
      <end>85</end>
      <status>unmodified</status>
      <modifiedWord/>
      <trackRevisions>false</trackRevisions>
    </reviewItem>
    <reviewItem>
      <errorID>c2c223a8-aeeb-4ed8-ad1c-5081d048c3e2</errorID>
      <errorWord>泄露</errorWord>
      <group>L1_Word</group>
      <groupName>字词问题</groupName>
      <ability>L2_Typo</ability>
      <abilityName>字词错误</abilityName>
      <candidateList>
        <item>泄漏</item>
      </candidateList>
      <explain>存在发音相同字词的误用。</explain>
      <paraID>4DC5BC44</paraID>
      <start>64</start>
      <end>66</end>
      <status>unmodified</status>
      <modifiedWord/>
      <trackRevisions>false</trackRevisions>
    </reviewItem>
    <reviewItem>
      <errorID>8e0988db-3907-490c-a45c-48493473ea1d</errorID>
      <errorWord>[2015]99号</errorWord>
      <group>L1_Knowledge</group>
      <groupName>知识性问题</groupName>
      <ability>L2_Knowledge</ability>
      <abilityName>其他知识</abilityName>
      <candidateList>
        <item>〔2015〕99号</item>
      </candidateList>
      <explain>发文字号格式错误。</explain>
      <paraID>3FF365FA</paraID>
      <start>25</start>
      <end>34</end>
      <status>unmodified</status>
      <modifiedWord/>
      <trackRevisions>false</trackRevisions>
    </reviewItem>
    <reviewItem>
      <errorID>63b5b045-ce94-4ee1-8d16-8e0f564caa02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22A4F29F</paraID>
      <start>0</start>
      <end>2</end>
      <status>unmodified</status>
      <modifiedWord/>
      <trackRevisions>false</trackRevisions>
    </reviewItem>
    <reviewItem>
      <errorID>09586035-ff31-4fc7-90df-d1c77af80f9a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7D0901EF</paraID>
      <start>27</start>
      <end>28</end>
      <status>unmodified</status>
      <modifiedWord/>
      <trackRevisions>false</trackRevisions>
    </reviewItem>
    <reviewItem>
      <errorID>905604ae-4b8f-4b09-a9a9-ce2cc82cabf3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1B36BD5E</paraID>
      <start>27</start>
      <end>28</end>
      <status>unmodified</status>
      <modifiedWord/>
      <trackRevisions>false</trackRevisions>
    </reviewItem>
    <reviewItem>
      <errorID>1215e10d-b3d0-4561-a270-bc6a67a5a005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6E15F3BB</paraID>
      <start>0</start>
      <end>2</end>
      <status>unmodified</status>
      <modifiedWord/>
      <trackRevisions>false</trackRevisions>
    </reviewItem>
    <reviewItem>
      <errorID>e34e1c74-7064-46ba-a47c-63958054b09d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522BC60D</paraID>
      <start>0</start>
      <end>2</end>
      <status>unmodified</status>
      <modifiedWord/>
      <trackRevisions>false</trackRevisions>
    </reviewItem>
    <reviewItem>
      <errorID>5a49c764-53fd-4260-b3c0-4788e24e3555</errorID>
      <errorWord>IV</errorWord>
      <group>L1_Knowledge</group>
      <groupName>知识性问题</groupName>
      <ability>L2_Knowledge</ability>
      <abilityName>其他知识</abilityName>
      <candidateList>
        <item>Ⅳ</item>
      </candidateList>
      <explain/>
      <paraID>658A719F</paraID>
      <start>0</start>
      <end>2</end>
      <status>unmodified</status>
      <modifiedWord/>
      <trackRevisions>false</trackRevisions>
    </reviewItem>
    <reviewItem>
      <errorID>495ab7aa-7bb6-481b-a9f6-bd314d67aaf5</errorID>
      <errorWord>III</errorWord>
      <group>L1_Word</group>
      <groupName>字词问题</groupName>
      <ability>L2_Typo</ability>
      <abilityName>字词错误</abilityName>
      <candidateList>
        <item>Ⅲ</item>
      </candidateList>
      <explain/>
      <paraID>6558AFF4</paraID>
      <start>0</start>
      <end>3</end>
      <status>unmodified</status>
      <modifiedWord/>
      <trackRevisions>false</trackRevisions>
    </reviewItem>
    <reviewItem>
      <errorID>04813735-e62f-45a5-8726-2003416defd6</errorID>
      <errorWord>经常性</errorWord>
      <group>L1_Word</group>
      <groupName>字词问题</groupName>
      <ability>L2_Typo</ability>
      <abilityName>字词错误</abilityName>
      <candidateList>
        <item>经常</item>
      </candidateList>
      <explain/>
      <paraID>5B63B190</paraID>
      <start>111</start>
      <end>114</end>
      <status>unmodified</status>
      <modifiedWord/>
      <trackRevisions>false</trackRevisions>
    </reviewItem>
    <reviewItem>
      <errorID>d39f16c8-6b40-4f39-b629-074639c9641a</errorID>
      <errorWord>放</errorWord>
      <group>L1_Word</group>
      <groupName>字词问题</groupName>
      <ability>L2_Typo</ability>
      <abilityName>字词错误</abilityName>
      <candidateList>
        <item>放在</item>
      </candidateList>
      <explain/>
      <paraID> B4C361C</paraID>
      <start>29</start>
      <end>30</end>
      <status>unmodified</status>
      <modifiedWord/>
      <trackRevisions>false</trackRevisions>
    </reviewItem>
    <reviewItem>
      <errorID>73a6a43a-5ccd-460a-b46d-8b8293b2f43a</errorID>
      <errorWord>建立健全的</errorWord>
      <group>L1_Word</group>
      <groupName>字词问题</groupName>
      <ability>L2_Typo</ability>
      <abilityName>字词错误</abilityName>
      <candidateList>
        <item>建立健全</item>
      </candidateList>
      <explain/>
      <paraID>419C0F98</paraID>
      <start>0</start>
      <end>5</end>
      <status>unmodified</status>
      <modifiedWord/>
      <trackRevisions>false</trackRevisions>
    </reviewItem>
    <reviewItem>
      <errorID>886dd581-8150-48a5-a0e0-3626ba3e7ced</errorID>
      <errorWord>消防与</errorWord>
      <group>L1_Word</group>
      <groupName>字词问题</groupName>
      <ability>L2_Typo</ability>
      <abilityName>字词错误</abilityName>
      <candidateList>
        <item>消防</item>
      </candidateList>
      <explain/>
      <paraID>419C0F98</paraID>
      <start>5</start>
      <end>8</end>
      <status>unmodified</status>
      <modifiedWord/>
      <trackRevisions>false</trackRevisions>
    </reviewItem>
    <reviewItem>
      <errorID>a3772386-fadc-4c8f-b975-97667aef9f92</errorID>
      <errorWord>仓库区</errorWord>
      <group>L1_Word</group>
      <groupName>字词问题</groupName>
      <ability>L2_Typo</ability>
      <abilityName>字词错误</abilityName>
      <candidateList>
        <item>仓库</item>
      </candidateList>
      <explain/>
      <paraID>419C0F98</paraID>
      <start>182</start>
      <end>185</end>
      <status>unmodified</status>
      <modifiedWord/>
      <trackRevisions>false</trackRevisions>
    </reviewItem>
    <reviewItem>
      <errorID>878f6d06-39a8-4d31-98e2-9779d718ce6b</errorID>
      <errorWord>通讯畅通</errorWord>
      <group>L1_Word</group>
      <groupName>字词问题</groupName>
      <ability>L2_Typo</ability>
      <abilityName>字词错误</abilityName>
      <candidateList>
        <item>通信畅通</item>
      </candidateList>
      <explain/>
      <paraID> 8138C3D</paraID>
      <start>219</start>
      <end>223</end>
      <status>unmodified</status>
      <modifiedWord/>
      <trackRevisions>false</trackRevisions>
    </reviewItem>
    <reviewItem>
      <errorID>37e6a9e0-81f1-46a5-b7dd-5038add8a019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27614C3D</paraID>
      <start>0</start>
      <end>2</end>
      <status>unmodified</status>
      <modifiedWord/>
      <trackRevisions>false</trackRevisions>
    </reviewItem>
    <reviewItem>
      <errorID>c090cd54-dbde-4ec6-ae2e-a38de4708416</errorID>
      <errorWord>污染处理</errorWord>
      <group>L1_Knowledge</group>
      <groupName>知识性问题</groupName>
      <ability>L2_Term</ability>
      <abilityName>专业术语</abilityName>
      <candidateList>
        <item>污水处理</item>
      </candidateList>
      <explain/>
      <paraID>3DA7AA3F</paraID>
      <start>34</start>
      <end>38</end>
      <status>unmodified</status>
      <modifiedWord/>
      <trackRevisions>false</trackRevisions>
    </reviewItem>
  </reviewItems>
  <config/>
</contractReview>
</file>

<file path=customXml/itemProps1.xml><?xml version="1.0" encoding="utf-8"?>
<ds:datastoreItem xmlns:ds="http://schemas.openxmlformats.org/officeDocument/2006/customXml" ds:itemID="{90327c93-4941-4d80-a472-8c1d80e47159}">
  <ds:schemaRefs/>
</ds:datastoreItem>
</file>

<file path=docProps/app.xml><?xml version="1.0" encoding="utf-8"?>
<Properties xmlns="http://schemas.openxmlformats.org/officeDocument/2006/extended-properties" xmlns:vt="http://schemas.openxmlformats.org/officeDocument/2006/docPropsVTypes">
  <Template>Normal_Wordconv</Template>
  <Company>微软中国</Company>
  <Pages>76</Pages>
  <Words>21981</Words>
  <Characters>23097</Characters>
  <Lines>0</Lines>
  <Paragraphs>0</Paragraphs>
  <TotalTime>29</TotalTime>
  <ScaleCrop>false</ScaleCrop>
  <LinksUpToDate>false</LinksUpToDate>
  <CharactersWithSpaces>23210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老聃</cp:lastModifiedBy>
  <cp:lastPrinted>2025-10-31T06:05:00Z</cp:lastPrinted>
  <dcterms:modified xsi:type="dcterms:W3CDTF">2026-08-19T01:43:33Z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SaveFontToCloudKey">
    <vt:lpwstr>960512049_btnclosed</vt:lpwstr>
  </property>
  <property fmtid="{D5CDD505-2E9C-101B-9397-08002B2CF9AE}" pid="4" name="ICV">
    <vt:lpwstr>359B0255175F445CB26A6D71504D4E73_13</vt:lpwstr>
  </property>
  <property fmtid="{D5CDD505-2E9C-101B-9397-08002B2CF9AE}" pid="5" name="KSOTemplateDocerSaveRecord">
    <vt:lpwstr>eyJoZGlkIjoiNWIwOTdmYzA5NWMwODkxNzBjNDZhZDQ3OWZjMTc5MGEiLCJ1c2VySWQiOiI4MTcxMjg0NTkifQ==</vt:lpwstr>
  </property>
</Properties>
</file>