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A1FDF1">
      <w:pPr>
        <w:rPr>
          <w:rFonts w:ascii="仿宋_GB2312" w:hAnsi="仿宋_GB2312" w:eastAsia="仿宋_GB2312" w:cs="仿宋_GB2312"/>
          <w:color w:val="auto"/>
          <w:sz w:val="36"/>
          <w:szCs w:val="36"/>
        </w:rPr>
      </w:pPr>
    </w:p>
    <w:p w14:paraId="0DE0639B">
      <w:pPr>
        <w:rPr>
          <w:rFonts w:ascii="仿宋_GB2312" w:hAnsi="仿宋_GB2312" w:eastAsia="仿宋_GB2312" w:cs="仿宋_GB2312"/>
          <w:color w:val="auto"/>
          <w:sz w:val="36"/>
          <w:szCs w:val="36"/>
        </w:rPr>
      </w:pPr>
    </w:p>
    <w:p w14:paraId="231C9223">
      <w:pPr>
        <w:rPr>
          <w:rFonts w:ascii="仿宋_GB2312" w:hAnsi="仿宋_GB2312" w:eastAsia="仿宋_GB2312" w:cs="仿宋_GB2312"/>
          <w:color w:val="auto"/>
          <w:sz w:val="36"/>
          <w:szCs w:val="36"/>
        </w:rPr>
      </w:pPr>
    </w:p>
    <w:p w14:paraId="152AA6E1">
      <w:pPr>
        <w:rPr>
          <w:rFonts w:hint="eastAsia" w:ascii="仿宋_GB2312" w:hAnsi="仿宋_GB2312" w:eastAsia="仿宋_GB2312" w:cs="仿宋_GB2312"/>
          <w:color w:val="auto"/>
          <w:sz w:val="36"/>
          <w:szCs w:val="36"/>
        </w:rPr>
      </w:pPr>
    </w:p>
    <w:p w14:paraId="63640667">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0C1D3E6">
      <w:pPr>
        <w:adjustRightInd w:val="0"/>
        <w:snapToGrid w:val="0"/>
        <w:spacing w:before="192" w:beforeLines="80"/>
        <w:jc w:val="center"/>
        <w:rPr>
          <w:rFonts w:hint="eastAsia" w:ascii="宋体" w:hAnsi="宋体"/>
          <w:bCs/>
          <w:color w:val="auto"/>
          <w:sz w:val="48"/>
          <w:szCs w:val="48"/>
        </w:rPr>
      </w:pPr>
      <w:r>
        <w:rPr>
          <w:rFonts w:hint="eastAsia" w:ascii="宋体" w:hAnsi="宋体"/>
          <w:bCs/>
          <w:color w:val="auto"/>
          <w:sz w:val="48"/>
          <w:szCs w:val="48"/>
        </w:rPr>
        <w:t>（污染影响类）</w:t>
      </w:r>
    </w:p>
    <w:p w14:paraId="2EB64460">
      <w:pPr>
        <w:adjustRightInd w:val="0"/>
        <w:snapToGrid w:val="0"/>
        <w:spacing w:line="288" w:lineRule="auto"/>
        <w:jc w:val="center"/>
        <w:rPr>
          <w:rFonts w:ascii="华文仿宋" w:hAnsi="华文仿宋" w:eastAsia="华文仿宋" w:cs="华文仿宋"/>
          <w:color w:val="auto"/>
          <w:kern w:val="44"/>
          <w:sz w:val="44"/>
          <w:szCs w:val="44"/>
        </w:rPr>
      </w:pPr>
    </w:p>
    <w:p w14:paraId="5B7D52A0">
      <w:pPr>
        <w:jc w:val="center"/>
        <w:rPr>
          <w:rFonts w:hint="eastAsia" w:eastAsia="仿宋"/>
          <w:color w:val="auto"/>
          <w:sz w:val="52"/>
          <w:szCs w:val="52"/>
        </w:rPr>
      </w:pPr>
    </w:p>
    <w:p w14:paraId="332CB762">
      <w:pPr>
        <w:ind w:firstLine="1040"/>
        <w:rPr>
          <w:rFonts w:eastAsia="仿宋"/>
          <w:color w:val="auto"/>
          <w:sz w:val="44"/>
          <w:szCs w:val="44"/>
        </w:rPr>
      </w:pPr>
    </w:p>
    <w:p w14:paraId="78A01952">
      <w:pPr>
        <w:ind w:firstLine="1040"/>
        <w:rPr>
          <w:rFonts w:eastAsia="仿宋"/>
          <w:color w:val="auto"/>
          <w:sz w:val="44"/>
          <w:szCs w:val="44"/>
        </w:rPr>
      </w:pPr>
    </w:p>
    <w:p w14:paraId="31760B34">
      <w:pPr>
        <w:ind w:firstLine="1040"/>
        <w:rPr>
          <w:rFonts w:eastAsia="仿宋"/>
          <w:color w:val="auto"/>
          <w:sz w:val="44"/>
          <w:szCs w:val="44"/>
        </w:rPr>
      </w:pPr>
    </w:p>
    <w:p w14:paraId="642E3E95">
      <w:pPr>
        <w:adjustRightInd w:val="0"/>
        <w:snapToGrid w:val="0"/>
        <w:spacing w:line="288" w:lineRule="auto"/>
        <w:ind w:left="2640" w:leftChars="400" w:hanging="1800" w:hangingChars="500"/>
        <w:rPr>
          <w:rFonts w:eastAsia="仿宋_GB2312"/>
          <w:color w:val="auto"/>
          <w:sz w:val="36"/>
          <w:szCs w:val="36"/>
          <w:u w:val="single"/>
        </w:rPr>
      </w:pPr>
      <w:r>
        <w:rPr>
          <w:rFonts w:hint="eastAsia" w:ascii="仿宋_GB2312" w:eastAsia="仿宋_GB2312"/>
          <w:color w:val="auto"/>
          <w:sz w:val="36"/>
          <w:szCs w:val="36"/>
        </w:rPr>
        <w:t>项目名称：</w:t>
      </w:r>
      <w:r>
        <w:rPr>
          <w:rFonts w:hint="eastAsia" w:ascii="Times New Roman" w:hAnsi="Times New Roman" w:eastAsia="仿宋_GB2312" w:cs="Times New Roman"/>
          <w:snapToGrid w:val="0"/>
          <w:color w:val="auto"/>
          <w:kern w:val="0"/>
          <w:sz w:val="36"/>
          <w:szCs w:val="36"/>
          <w:u w:val="single"/>
        </w:rPr>
        <w:t>2</w:t>
      </w:r>
      <w:r>
        <w:rPr>
          <w:rFonts w:hint="eastAsia" w:eastAsia="仿宋_GB2312" w:cs="Times New Roman"/>
          <w:snapToGrid w:val="0"/>
          <w:color w:val="auto"/>
          <w:kern w:val="0"/>
          <w:sz w:val="36"/>
          <w:szCs w:val="36"/>
          <w:u w:val="single"/>
          <w:lang w:val="en-US" w:eastAsia="zh-CN"/>
        </w:rPr>
        <w:t>308</w:t>
      </w:r>
      <w:r>
        <w:rPr>
          <w:rFonts w:hint="eastAsia" w:ascii="Times New Roman" w:hAnsi="Times New Roman" w:eastAsia="仿宋_GB2312" w:cs="Times New Roman"/>
          <w:snapToGrid w:val="0"/>
          <w:color w:val="auto"/>
          <w:kern w:val="0"/>
          <w:sz w:val="36"/>
          <w:szCs w:val="36"/>
          <w:u w:val="single"/>
        </w:rPr>
        <w:t>-320</w:t>
      </w:r>
      <w:r>
        <w:rPr>
          <w:rFonts w:hint="eastAsia" w:eastAsia="仿宋_GB2312" w:cs="Times New Roman"/>
          <w:snapToGrid w:val="0"/>
          <w:color w:val="auto"/>
          <w:kern w:val="0"/>
          <w:sz w:val="36"/>
          <w:szCs w:val="36"/>
          <w:u w:val="single"/>
          <w:lang w:val="en-US" w:eastAsia="zh-CN"/>
        </w:rPr>
        <w:t>509</w:t>
      </w:r>
      <w:r>
        <w:rPr>
          <w:rFonts w:hint="eastAsia" w:ascii="Times New Roman" w:hAnsi="Times New Roman" w:eastAsia="仿宋_GB2312" w:cs="Times New Roman"/>
          <w:snapToGrid w:val="0"/>
          <w:color w:val="auto"/>
          <w:kern w:val="0"/>
          <w:sz w:val="36"/>
          <w:szCs w:val="36"/>
          <w:u w:val="single"/>
        </w:rPr>
        <w:t>-89-0</w:t>
      </w:r>
      <w:r>
        <w:rPr>
          <w:rFonts w:hint="eastAsia" w:eastAsia="仿宋_GB2312" w:cs="Times New Roman"/>
          <w:snapToGrid w:val="0"/>
          <w:color w:val="auto"/>
          <w:kern w:val="0"/>
          <w:sz w:val="36"/>
          <w:szCs w:val="36"/>
          <w:u w:val="single"/>
          <w:lang w:val="en-US" w:eastAsia="zh-CN"/>
        </w:rPr>
        <w:t>1</w:t>
      </w:r>
      <w:r>
        <w:rPr>
          <w:rFonts w:hint="eastAsia" w:ascii="Times New Roman" w:hAnsi="Times New Roman" w:eastAsia="仿宋_GB2312" w:cs="Times New Roman"/>
          <w:snapToGrid w:val="0"/>
          <w:color w:val="auto"/>
          <w:kern w:val="0"/>
          <w:sz w:val="36"/>
          <w:szCs w:val="36"/>
          <w:u w:val="single"/>
        </w:rPr>
        <w:t>-</w:t>
      </w:r>
      <w:r>
        <w:rPr>
          <w:rFonts w:hint="eastAsia" w:eastAsia="仿宋_GB2312" w:cs="Times New Roman"/>
          <w:snapToGrid w:val="0"/>
          <w:color w:val="auto"/>
          <w:kern w:val="0"/>
          <w:sz w:val="36"/>
          <w:szCs w:val="36"/>
          <w:u w:val="single"/>
          <w:lang w:val="en-US" w:eastAsia="zh-CN"/>
        </w:rPr>
        <w:t>791378</w:t>
      </w:r>
      <w:r>
        <w:rPr>
          <w:rFonts w:hint="eastAsia" w:ascii="Times New Roman" w:hAnsi="Times New Roman" w:eastAsia="仿宋_GB2312" w:cs="Times New Roman"/>
          <w:snapToGrid w:val="0"/>
          <w:color w:val="auto"/>
          <w:kern w:val="0"/>
          <w:sz w:val="36"/>
          <w:szCs w:val="36"/>
          <w:u w:val="single"/>
          <w:lang w:val="en-US" w:eastAsia="zh-CN"/>
        </w:rPr>
        <w:t>年产</w:t>
      </w:r>
      <w:r>
        <w:rPr>
          <w:rFonts w:hint="eastAsia" w:eastAsia="仿宋_GB2312" w:cs="Times New Roman"/>
          <w:snapToGrid w:val="0"/>
          <w:color w:val="auto"/>
          <w:kern w:val="0"/>
          <w:sz w:val="36"/>
          <w:szCs w:val="36"/>
          <w:u w:val="single"/>
          <w:lang w:val="en-US" w:eastAsia="zh-CN"/>
        </w:rPr>
        <w:t>针灸器械8亿支项目</w:t>
      </w:r>
      <w:r>
        <w:rPr>
          <w:rFonts w:hint="eastAsia" w:eastAsia="仿宋_GB2312"/>
          <w:snapToGrid w:val="0"/>
          <w:color w:val="auto"/>
          <w:kern w:val="0"/>
          <w:sz w:val="36"/>
          <w:szCs w:val="36"/>
          <w:u w:val="single"/>
        </w:rPr>
        <w:t xml:space="preserve">             </w:t>
      </w:r>
      <w:r>
        <w:rPr>
          <w:rFonts w:eastAsia="仿宋_GB2312"/>
          <w:snapToGrid w:val="0"/>
          <w:color w:val="auto"/>
          <w:kern w:val="0"/>
          <w:sz w:val="36"/>
          <w:szCs w:val="36"/>
          <w:u w:val="single"/>
        </w:rPr>
        <w:t xml:space="preserve">        </w:t>
      </w:r>
      <w:r>
        <w:rPr>
          <w:rFonts w:hint="eastAsia" w:eastAsia="仿宋_GB2312"/>
          <w:snapToGrid w:val="0"/>
          <w:color w:val="auto"/>
          <w:kern w:val="0"/>
          <w:sz w:val="36"/>
          <w:szCs w:val="36"/>
          <w:u w:val="single"/>
        </w:rPr>
        <w:t xml:space="preserve">          </w:t>
      </w:r>
      <w:r>
        <w:rPr>
          <w:rFonts w:eastAsia="仿宋_GB2312"/>
          <w:color w:val="auto"/>
          <w:sz w:val="36"/>
          <w:szCs w:val="36"/>
          <w:u w:val="single"/>
        </w:rPr>
        <w:t xml:space="preserve"> </w:t>
      </w:r>
    </w:p>
    <w:p w14:paraId="19440617">
      <w:pPr>
        <w:adjustRightInd w:val="0"/>
        <w:snapToGrid w:val="0"/>
        <w:spacing w:line="288" w:lineRule="auto"/>
        <w:ind w:left="2640" w:leftChars="400" w:hanging="1800" w:hangingChars="500"/>
        <w:rPr>
          <w:rFonts w:eastAsia="仿宋_GB2312"/>
          <w:color w:val="auto"/>
          <w:sz w:val="36"/>
          <w:szCs w:val="36"/>
          <w:u w:val="single"/>
        </w:rPr>
      </w:pPr>
      <w:r>
        <w:rPr>
          <w:rFonts w:eastAsia="仿宋_GB2312"/>
          <w:color w:val="auto"/>
          <w:sz w:val="36"/>
          <w:szCs w:val="36"/>
        </w:rPr>
        <w:t>建设单位（盖章）：</w:t>
      </w:r>
      <w:r>
        <w:rPr>
          <w:rFonts w:hint="eastAsia" w:eastAsia="仿宋_GB2312"/>
          <w:snapToGrid w:val="0"/>
          <w:color w:val="auto"/>
          <w:kern w:val="0"/>
          <w:sz w:val="36"/>
          <w:szCs w:val="36"/>
          <w:u w:val="single"/>
          <w:lang w:val="en-US" w:eastAsia="zh-CN"/>
        </w:rPr>
        <w:t>吴江市佳辰针灸器械有限公司</w:t>
      </w:r>
      <w:r>
        <w:rPr>
          <w:rFonts w:hint="eastAsia" w:eastAsia="仿宋_GB2312"/>
          <w:snapToGrid w:val="0"/>
          <w:color w:val="auto"/>
          <w:kern w:val="0"/>
          <w:sz w:val="36"/>
          <w:szCs w:val="36"/>
          <w:u w:val="single"/>
        </w:rPr>
        <w:t xml:space="preserve">                                 </w:t>
      </w:r>
    </w:p>
    <w:p w14:paraId="016AE541">
      <w:pPr>
        <w:adjustRightInd w:val="0"/>
        <w:snapToGrid w:val="0"/>
        <w:spacing w:line="288" w:lineRule="auto"/>
        <w:ind w:firstLine="900" w:firstLineChars="250"/>
        <w:rPr>
          <w:rFonts w:hint="eastAsia" w:ascii="仿宋_GB2312" w:eastAsia="仿宋_GB2312"/>
          <w:color w:val="auto"/>
          <w:sz w:val="36"/>
          <w:szCs w:val="36"/>
          <w:u w:val="single"/>
        </w:rPr>
      </w:pPr>
      <w:r>
        <w:rPr>
          <w:rFonts w:eastAsia="仿宋_GB2312"/>
          <w:color w:val="auto"/>
          <w:sz w:val="36"/>
          <w:szCs w:val="36"/>
        </w:rPr>
        <w:t>编制日期：</w:t>
      </w:r>
      <w:r>
        <w:rPr>
          <w:rFonts w:eastAsia="仿宋_GB2312"/>
          <w:snapToGrid w:val="0"/>
          <w:color w:val="auto"/>
          <w:kern w:val="0"/>
          <w:sz w:val="36"/>
          <w:szCs w:val="36"/>
          <w:u w:val="single"/>
        </w:rPr>
        <w:t xml:space="preserve">      </w:t>
      </w:r>
      <w:r>
        <w:rPr>
          <w:rFonts w:hint="eastAsia" w:eastAsia="仿宋_GB2312"/>
          <w:snapToGrid w:val="0"/>
          <w:color w:val="auto"/>
          <w:kern w:val="0"/>
          <w:sz w:val="36"/>
          <w:szCs w:val="36"/>
          <w:u w:val="single"/>
        </w:rPr>
        <w:t xml:space="preserve">   </w:t>
      </w:r>
      <w:r>
        <w:rPr>
          <w:rFonts w:eastAsia="仿宋_GB2312"/>
          <w:snapToGrid w:val="0"/>
          <w:color w:val="auto"/>
          <w:kern w:val="0"/>
          <w:sz w:val="36"/>
          <w:szCs w:val="36"/>
          <w:u w:val="single"/>
        </w:rPr>
        <w:t xml:space="preserve"> 202</w:t>
      </w:r>
      <w:r>
        <w:rPr>
          <w:rFonts w:hint="eastAsia" w:eastAsia="仿宋_GB2312"/>
          <w:snapToGrid w:val="0"/>
          <w:color w:val="auto"/>
          <w:kern w:val="0"/>
          <w:sz w:val="36"/>
          <w:szCs w:val="36"/>
          <w:u w:val="single"/>
          <w:lang w:val="en-US" w:eastAsia="zh-CN"/>
        </w:rPr>
        <w:t>5</w:t>
      </w:r>
      <w:r>
        <w:rPr>
          <w:rFonts w:eastAsia="仿宋_GB2312"/>
          <w:snapToGrid w:val="0"/>
          <w:color w:val="auto"/>
          <w:kern w:val="0"/>
          <w:sz w:val="36"/>
          <w:szCs w:val="36"/>
          <w:u w:val="single"/>
        </w:rPr>
        <w:t>年</w:t>
      </w:r>
      <w:r>
        <w:rPr>
          <w:rFonts w:hint="eastAsia" w:eastAsia="仿宋_GB2312"/>
          <w:snapToGrid w:val="0"/>
          <w:color w:val="auto"/>
          <w:kern w:val="0"/>
          <w:sz w:val="36"/>
          <w:szCs w:val="36"/>
          <w:u w:val="single"/>
          <w:lang w:val="en-US" w:eastAsia="zh-CN"/>
        </w:rPr>
        <w:t>10</w:t>
      </w:r>
      <w:r>
        <w:rPr>
          <w:rFonts w:eastAsia="仿宋_GB2312"/>
          <w:snapToGrid w:val="0"/>
          <w:color w:val="auto"/>
          <w:kern w:val="0"/>
          <w:sz w:val="36"/>
          <w:szCs w:val="36"/>
          <w:u w:val="single"/>
        </w:rPr>
        <w:t xml:space="preserve">月     </w:t>
      </w:r>
      <w:r>
        <w:rPr>
          <w:rFonts w:ascii="仿宋_GB2312" w:eastAsia="仿宋_GB2312"/>
          <w:snapToGrid w:val="0"/>
          <w:color w:val="auto"/>
          <w:kern w:val="0"/>
          <w:sz w:val="36"/>
          <w:szCs w:val="36"/>
          <w:u w:val="single"/>
        </w:rPr>
        <w:t xml:space="preserve">         </w:t>
      </w:r>
    </w:p>
    <w:p w14:paraId="333D0E7E">
      <w:pPr>
        <w:adjustRightInd w:val="0"/>
        <w:snapToGrid w:val="0"/>
        <w:spacing w:line="288" w:lineRule="auto"/>
        <w:ind w:firstLine="1040"/>
        <w:rPr>
          <w:rFonts w:ascii="仿宋_GB2312" w:eastAsia="仿宋_GB2312"/>
          <w:color w:val="auto"/>
          <w:sz w:val="36"/>
          <w:szCs w:val="36"/>
          <w:u w:val="single"/>
        </w:rPr>
      </w:pPr>
      <w:bookmarkStart w:id="0" w:name="_Hlk57884087"/>
    </w:p>
    <w:p w14:paraId="687D5F1D">
      <w:pPr>
        <w:adjustRightInd w:val="0"/>
        <w:snapToGrid w:val="0"/>
        <w:spacing w:line="288" w:lineRule="auto"/>
        <w:ind w:firstLine="1040"/>
        <w:rPr>
          <w:rFonts w:ascii="仿宋_GB2312" w:eastAsia="仿宋_GB2312"/>
          <w:color w:val="auto"/>
          <w:sz w:val="36"/>
          <w:szCs w:val="36"/>
        </w:rPr>
      </w:pPr>
    </w:p>
    <w:p w14:paraId="47375A4B">
      <w:pPr>
        <w:adjustRightInd w:val="0"/>
        <w:snapToGrid w:val="0"/>
        <w:spacing w:line="288" w:lineRule="auto"/>
        <w:ind w:firstLine="1040"/>
        <w:rPr>
          <w:rFonts w:ascii="仿宋_GB2312" w:eastAsia="仿宋_GB2312"/>
          <w:color w:val="auto"/>
          <w:sz w:val="36"/>
          <w:szCs w:val="36"/>
        </w:rPr>
      </w:pPr>
    </w:p>
    <w:p w14:paraId="5F0CB0F9">
      <w:pPr>
        <w:adjustRightInd w:val="0"/>
        <w:snapToGrid w:val="0"/>
        <w:spacing w:line="288" w:lineRule="auto"/>
        <w:ind w:firstLine="1040"/>
        <w:rPr>
          <w:rFonts w:hint="eastAsia" w:ascii="仿宋_GB2312" w:eastAsia="仿宋_GB2312"/>
          <w:color w:val="auto"/>
          <w:sz w:val="36"/>
          <w:szCs w:val="36"/>
        </w:rPr>
      </w:pPr>
    </w:p>
    <w:p w14:paraId="562ECD91">
      <w:pPr>
        <w:adjustRightInd w:val="0"/>
        <w:snapToGrid w:val="0"/>
        <w:spacing w:line="288" w:lineRule="auto"/>
        <w:ind w:firstLine="1040"/>
        <w:rPr>
          <w:rFonts w:hint="eastAsia" w:ascii="仿宋_GB2312" w:eastAsia="仿宋_GB2312"/>
          <w:color w:val="auto"/>
          <w:sz w:val="36"/>
          <w:szCs w:val="36"/>
        </w:rPr>
      </w:pPr>
    </w:p>
    <w:bookmarkEnd w:id="0"/>
    <w:p w14:paraId="390C997C">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5773B3E1">
      <w:pPr>
        <w:pStyle w:val="19"/>
        <w:adjustRightInd w:val="0"/>
        <w:snapToGrid w:val="0"/>
        <w:spacing w:before="0" w:beforeAutospacing="0" w:after="0" w:afterAutospacing="0"/>
        <w:jc w:val="both"/>
        <w:outlineLvl w:val="0"/>
        <w:rPr>
          <w:rFonts w:hint="eastAsia" w:ascii="宋体" w:hAnsi="宋体" w:eastAsia="宋体" w:cs="宋体"/>
          <w:b/>
          <w:bCs/>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338E3A7">
      <w:pPr>
        <w:pStyle w:val="19"/>
        <w:adjustRightInd w:val="0"/>
        <w:snapToGrid w:val="0"/>
        <w:spacing w:before="0" w:beforeAutospacing="0" w:after="0" w:afterAutospacing="0"/>
        <w:jc w:val="both"/>
        <w:outlineLvl w:val="0"/>
        <w:rPr>
          <w:rFonts w:hint="eastAsia" w:ascii="宋体" w:hAnsi="宋体" w:eastAsia="宋体" w:cs="宋体"/>
          <w:b/>
          <w:bCs/>
          <w:snapToGrid w:val="0"/>
          <w:color w:val="auto"/>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2F7F736">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宋体" w:hAnsi="宋体" w:eastAsia="宋体" w:cs="宋体"/>
          <w:b/>
          <w:bCs/>
          <w:snapToGrid w:val="0"/>
          <w:color w:val="auto"/>
          <w:sz w:val="30"/>
          <w:szCs w:val="30"/>
        </w:rPr>
      </w:pPr>
      <w:r>
        <w:rPr>
          <w:rFonts w:hint="eastAsia" w:ascii="宋体" w:hAnsi="宋体" w:eastAsia="宋体" w:cs="宋体"/>
          <w:b/>
          <w:bCs/>
          <w:snapToGrid w:val="0"/>
          <w:color w:val="auto"/>
          <w:sz w:val="30"/>
          <w:szCs w:val="30"/>
        </w:rPr>
        <w:t>一、建设项目基本情况</w:t>
      </w:r>
    </w:p>
    <w:tbl>
      <w:tblPr>
        <w:tblStyle w:val="20"/>
        <w:tblW w:w="89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72"/>
        <w:gridCol w:w="1246"/>
        <w:gridCol w:w="1971"/>
        <w:gridCol w:w="330"/>
        <w:gridCol w:w="1717"/>
        <w:gridCol w:w="222"/>
        <w:gridCol w:w="3011"/>
      </w:tblGrid>
      <w:tr w14:paraId="297B8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897" w:type="dxa"/>
            <w:gridSpan w:val="2"/>
            <w:noWrap w:val="0"/>
            <w:tcMar>
              <w:top w:w="16" w:type="dxa"/>
              <w:left w:w="16" w:type="dxa"/>
              <w:right w:w="16" w:type="dxa"/>
            </w:tcMar>
            <w:vAlign w:val="center"/>
          </w:tcPr>
          <w:p w14:paraId="5A3977C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建设项目名称</w:t>
            </w:r>
          </w:p>
        </w:tc>
        <w:tc>
          <w:tcPr>
            <w:tcW w:w="6915" w:type="dxa"/>
            <w:gridSpan w:val="5"/>
            <w:noWrap w:val="0"/>
            <w:vAlign w:val="center"/>
          </w:tcPr>
          <w:p w14:paraId="31CF4C61">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308</w:t>
            </w:r>
            <w:r>
              <w:rPr>
                <w:rFonts w:hint="default" w:ascii="Times New Roman" w:hAnsi="Times New Roman" w:eastAsia="宋体" w:cs="Times New Roman"/>
                <w:color w:val="auto"/>
                <w:sz w:val="24"/>
                <w:szCs w:val="24"/>
              </w:rPr>
              <w:t>-3205</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rPr>
              <w:t>-89-0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791378</w:t>
            </w:r>
            <w:r>
              <w:rPr>
                <w:rFonts w:hint="default" w:ascii="Times New Roman" w:hAnsi="Times New Roman" w:eastAsia="宋体" w:cs="Times New Roman"/>
                <w:color w:val="auto"/>
                <w:sz w:val="24"/>
                <w:szCs w:val="24"/>
              </w:rPr>
              <w:t>年产</w:t>
            </w:r>
            <w:r>
              <w:rPr>
                <w:rFonts w:hint="eastAsia" w:cs="Times New Roman"/>
                <w:color w:val="auto"/>
                <w:sz w:val="24"/>
                <w:szCs w:val="24"/>
                <w:lang w:val="en-US" w:eastAsia="zh-CN"/>
              </w:rPr>
              <w:t>针灸器械8亿支</w:t>
            </w:r>
            <w:r>
              <w:rPr>
                <w:rFonts w:hint="default" w:ascii="Times New Roman" w:hAnsi="Times New Roman" w:eastAsia="宋体" w:cs="Times New Roman"/>
                <w:color w:val="auto"/>
                <w:sz w:val="24"/>
                <w:szCs w:val="24"/>
              </w:rPr>
              <w:t>项目</w:t>
            </w:r>
          </w:p>
        </w:tc>
      </w:tr>
      <w:tr w14:paraId="7CE99B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1897" w:type="dxa"/>
            <w:gridSpan w:val="2"/>
            <w:noWrap w:val="0"/>
            <w:tcMar>
              <w:top w:w="16" w:type="dxa"/>
              <w:left w:w="16" w:type="dxa"/>
              <w:right w:w="16" w:type="dxa"/>
            </w:tcMar>
            <w:vAlign w:val="center"/>
          </w:tcPr>
          <w:p w14:paraId="636764F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项目代码</w:t>
            </w:r>
          </w:p>
        </w:tc>
        <w:tc>
          <w:tcPr>
            <w:tcW w:w="6915" w:type="dxa"/>
            <w:gridSpan w:val="5"/>
            <w:noWrap w:val="0"/>
            <w:vAlign w:val="center"/>
          </w:tcPr>
          <w:p w14:paraId="520F3639">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308</w:t>
            </w:r>
            <w:r>
              <w:rPr>
                <w:rFonts w:hint="default" w:ascii="Times New Roman" w:hAnsi="Times New Roman" w:eastAsia="宋体" w:cs="Times New Roman"/>
                <w:color w:val="auto"/>
                <w:sz w:val="24"/>
                <w:szCs w:val="24"/>
              </w:rPr>
              <w:t>-3205</w:t>
            </w:r>
            <w:r>
              <w:rPr>
                <w:rFonts w:hint="eastAsia" w:cs="Times New Roman"/>
                <w:color w:val="auto"/>
                <w:sz w:val="24"/>
                <w:szCs w:val="24"/>
                <w:lang w:val="en-US" w:eastAsia="zh-CN"/>
              </w:rPr>
              <w:t>09</w:t>
            </w:r>
            <w:r>
              <w:rPr>
                <w:rFonts w:hint="default" w:ascii="Times New Roman" w:hAnsi="Times New Roman" w:eastAsia="宋体" w:cs="Times New Roman"/>
                <w:color w:val="auto"/>
                <w:sz w:val="24"/>
                <w:szCs w:val="24"/>
              </w:rPr>
              <w:t>-89-0</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791378</w:t>
            </w:r>
          </w:p>
        </w:tc>
      </w:tr>
      <w:tr w14:paraId="6F1A51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897" w:type="dxa"/>
            <w:gridSpan w:val="2"/>
            <w:noWrap w:val="0"/>
            <w:tcMar>
              <w:top w:w="16" w:type="dxa"/>
              <w:left w:w="16" w:type="dxa"/>
              <w:right w:w="16" w:type="dxa"/>
            </w:tcMar>
            <w:vAlign w:val="center"/>
          </w:tcPr>
          <w:p w14:paraId="50A15329">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建设单位联系人</w:t>
            </w:r>
          </w:p>
        </w:tc>
        <w:tc>
          <w:tcPr>
            <w:tcW w:w="2095" w:type="dxa"/>
            <w:noWrap w:val="0"/>
            <w:vAlign w:val="center"/>
          </w:tcPr>
          <w:p w14:paraId="2551DC5D">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施建刚</w:t>
            </w:r>
          </w:p>
        </w:tc>
        <w:tc>
          <w:tcPr>
            <w:tcW w:w="2198" w:type="dxa"/>
            <w:gridSpan w:val="3"/>
            <w:noWrap w:val="0"/>
            <w:vAlign w:val="center"/>
          </w:tcPr>
          <w:p w14:paraId="6C0DD3BE">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联系方式</w:t>
            </w:r>
          </w:p>
        </w:tc>
        <w:tc>
          <w:tcPr>
            <w:tcW w:w="2622" w:type="dxa"/>
            <w:noWrap w:val="0"/>
            <w:vAlign w:val="center"/>
          </w:tcPr>
          <w:p w14:paraId="57C5782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13901553800</w:t>
            </w:r>
          </w:p>
        </w:tc>
      </w:tr>
      <w:tr w14:paraId="176E2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1897" w:type="dxa"/>
            <w:gridSpan w:val="2"/>
            <w:noWrap w:val="0"/>
            <w:tcMar>
              <w:top w:w="16" w:type="dxa"/>
              <w:left w:w="16" w:type="dxa"/>
              <w:right w:w="16" w:type="dxa"/>
            </w:tcMar>
            <w:vAlign w:val="center"/>
          </w:tcPr>
          <w:p w14:paraId="740FA37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建设地点</w:t>
            </w:r>
          </w:p>
        </w:tc>
        <w:tc>
          <w:tcPr>
            <w:tcW w:w="6915" w:type="dxa"/>
            <w:gridSpan w:val="5"/>
            <w:noWrap w:val="0"/>
            <w:vAlign w:val="center"/>
          </w:tcPr>
          <w:p w14:paraId="240F3544">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江苏省苏州市吴江区黎里镇</w:t>
            </w:r>
            <w:r>
              <w:rPr>
                <w:rFonts w:hint="eastAsia" w:cs="Times New Roman"/>
                <w:color w:val="auto"/>
                <w:sz w:val="24"/>
                <w:szCs w:val="24"/>
                <w:lang w:val="en-US" w:eastAsia="zh-CN"/>
              </w:rPr>
              <w:t>黎民南路37号</w:t>
            </w:r>
          </w:p>
        </w:tc>
      </w:tr>
      <w:tr w14:paraId="795D5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897" w:type="dxa"/>
            <w:gridSpan w:val="2"/>
            <w:noWrap w:val="0"/>
            <w:tcMar>
              <w:top w:w="16" w:type="dxa"/>
              <w:left w:w="16" w:type="dxa"/>
              <w:right w:w="16" w:type="dxa"/>
            </w:tcMar>
            <w:vAlign w:val="center"/>
          </w:tcPr>
          <w:p w14:paraId="51A21E59">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地理坐标</w:t>
            </w:r>
          </w:p>
        </w:tc>
        <w:tc>
          <w:tcPr>
            <w:tcW w:w="6915" w:type="dxa"/>
            <w:gridSpan w:val="5"/>
            <w:noWrap w:val="0"/>
            <w:vAlign w:val="center"/>
          </w:tcPr>
          <w:p w14:paraId="05568FEE">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（E120度</w:t>
            </w:r>
            <w:r>
              <w:rPr>
                <w:rFonts w:hint="eastAsia" w:cs="Times New Roman"/>
                <w:color w:val="auto"/>
                <w:sz w:val="24"/>
                <w:szCs w:val="24"/>
                <w:lang w:val="en-US" w:eastAsia="zh-CN"/>
              </w:rPr>
              <w:t>42</w:t>
            </w:r>
            <w:r>
              <w:rPr>
                <w:rFonts w:hint="default" w:ascii="Times New Roman" w:hAnsi="Times New Roman" w:eastAsia="宋体" w:cs="Times New Roman"/>
                <w:color w:val="auto"/>
                <w:sz w:val="24"/>
                <w:szCs w:val="24"/>
              </w:rPr>
              <w:t>分</w:t>
            </w:r>
            <w:r>
              <w:rPr>
                <w:rFonts w:hint="eastAsia" w:cs="Times New Roman"/>
                <w:color w:val="auto"/>
                <w:sz w:val="24"/>
                <w:szCs w:val="24"/>
                <w:lang w:val="en-US" w:eastAsia="zh-CN"/>
              </w:rPr>
              <w:t>3.034</w:t>
            </w:r>
            <w:r>
              <w:rPr>
                <w:rFonts w:hint="default" w:ascii="Times New Roman" w:hAnsi="Times New Roman" w:eastAsia="宋体" w:cs="Times New Roman"/>
                <w:color w:val="auto"/>
                <w:sz w:val="24"/>
                <w:szCs w:val="24"/>
              </w:rPr>
              <w:t>秒，N31度0分</w:t>
            </w:r>
            <w:r>
              <w:rPr>
                <w:rFonts w:hint="eastAsia" w:cs="Times New Roman"/>
                <w:color w:val="auto"/>
                <w:sz w:val="24"/>
                <w:szCs w:val="24"/>
                <w:lang w:val="en-US" w:eastAsia="zh-CN"/>
              </w:rPr>
              <w:t>2.119</w:t>
            </w:r>
            <w:r>
              <w:rPr>
                <w:rFonts w:hint="default" w:ascii="Times New Roman" w:hAnsi="Times New Roman" w:eastAsia="宋体" w:cs="Times New Roman"/>
                <w:color w:val="auto"/>
                <w:sz w:val="24"/>
                <w:szCs w:val="24"/>
              </w:rPr>
              <w:t>秒）</w:t>
            </w:r>
          </w:p>
        </w:tc>
      </w:tr>
      <w:tr w14:paraId="48008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1" w:hRule="atLeast"/>
          <w:jc w:val="center"/>
        </w:trPr>
        <w:tc>
          <w:tcPr>
            <w:tcW w:w="1897" w:type="dxa"/>
            <w:gridSpan w:val="2"/>
            <w:noWrap w:val="0"/>
            <w:tcMar>
              <w:top w:w="16" w:type="dxa"/>
              <w:left w:w="16" w:type="dxa"/>
              <w:right w:w="16" w:type="dxa"/>
            </w:tcMar>
            <w:vAlign w:val="center"/>
          </w:tcPr>
          <w:p w14:paraId="6944CAB2">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国民经济</w:t>
            </w:r>
          </w:p>
          <w:p w14:paraId="29C4FAE9">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行业类别</w:t>
            </w:r>
          </w:p>
        </w:tc>
        <w:tc>
          <w:tcPr>
            <w:tcW w:w="2502" w:type="dxa"/>
            <w:gridSpan w:val="2"/>
            <w:noWrap w:val="0"/>
            <w:vAlign w:val="center"/>
          </w:tcPr>
          <w:p w14:paraId="5B7F8796">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C3589其他医疗设备及器械制造</w:t>
            </w:r>
          </w:p>
        </w:tc>
        <w:tc>
          <w:tcPr>
            <w:tcW w:w="1500" w:type="dxa"/>
            <w:noWrap w:val="0"/>
            <w:vAlign w:val="center"/>
          </w:tcPr>
          <w:p w14:paraId="6C4FDEE6">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bookmarkStart w:id="1" w:name="_Hlk49843745"/>
            <w:r>
              <w:rPr>
                <w:rFonts w:hint="default" w:ascii="Times New Roman" w:hAnsi="Times New Roman" w:eastAsia="宋体" w:cs="Times New Roman"/>
                <w:b/>
                <w:color w:val="auto"/>
                <w:sz w:val="24"/>
                <w:szCs w:val="24"/>
              </w:rPr>
              <w:t>建设项目</w:t>
            </w:r>
          </w:p>
          <w:p w14:paraId="465BBA2A">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行业类别</w:t>
            </w:r>
            <w:bookmarkEnd w:id="1"/>
          </w:p>
        </w:tc>
        <w:tc>
          <w:tcPr>
            <w:tcW w:w="2913" w:type="dxa"/>
            <w:gridSpan w:val="2"/>
            <w:noWrap w:val="0"/>
            <w:vAlign w:val="center"/>
          </w:tcPr>
          <w:p w14:paraId="588689F6">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三十二、专用设备制造业 35 70 医疗仪器设备及器械制造358</w:t>
            </w:r>
          </w:p>
        </w:tc>
      </w:tr>
      <w:tr w14:paraId="280AE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47" w:hRule="atLeast"/>
          <w:jc w:val="center"/>
        </w:trPr>
        <w:tc>
          <w:tcPr>
            <w:tcW w:w="1897" w:type="dxa"/>
            <w:gridSpan w:val="2"/>
            <w:noWrap w:val="0"/>
            <w:tcMar>
              <w:top w:w="16" w:type="dxa"/>
              <w:left w:w="16" w:type="dxa"/>
              <w:right w:w="16" w:type="dxa"/>
            </w:tcMar>
            <w:vAlign w:val="center"/>
          </w:tcPr>
          <w:p w14:paraId="58D58B55">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建设性质</w:t>
            </w:r>
          </w:p>
        </w:tc>
        <w:tc>
          <w:tcPr>
            <w:tcW w:w="2502" w:type="dxa"/>
            <w:gridSpan w:val="2"/>
            <w:noWrap w:val="0"/>
            <w:vAlign w:val="center"/>
          </w:tcPr>
          <w:p w14:paraId="3E5E18DD">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☑新建（迁建）</w:t>
            </w:r>
          </w:p>
          <w:p w14:paraId="10F6975B">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□改建</w:t>
            </w:r>
          </w:p>
          <w:p w14:paraId="44E85625">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□扩建</w:t>
            </w:r>
          </w:p>
          <w:p w14:paraId="01731F56">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□技术改造</w:t>
            </w:r>
          </w:p>
        </w:tc>
        <w:tc>
          <w:tcPr>
            <w:tcW w:w="1500" w:type="dxa"/>
            <w:noWrap w:val="0"/>
            <w:vAlign w:val="center"/>
          </w:tcPr>
          <w:p w14:paraId="3AF03A9D">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建设项目</w:t>
            </w:r>
          </w:p>
          <w:p w14:paraId="3F74B06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申报情形</w:t>
            </w:r>
          </w:p>
        </w:tc>
        <w:tc>
          <w:tcPr>
            <w:tcW w:w="2913" w:type="dxa"/>
            <w:gridSpan w:val="2"/>
            <w:noWrap w:val="0"/>
            <w:vAlign w:val="center"/>
          </w:tcPr>
          <w:p w14:paraId="5FFF8B8A">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☑首次申报项目</w:t>
            </w:r>
          </w:p>
          <w:p w14:paraId="104F30B7">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□不予批准后再次申报项目</w:t>
            </w:r>
          </w:p>
          <w:p w14:paraId="2626D49D">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□超五年重新审核项目</w:t>
            </w:r>
          </w:p>
          <w:p w14:paraId="74611970">
            <w:pPr>
              <w:keepNext w:val="0"/>
              <w:keepLines w:val="0"/>
              <w:pageBreakBefore w:val="0"/>
              <w:widowControl w:val="0"/>
              <w:kinsoku/>
              <w:wordWrap/>
              <w:overflowPunct/>
              <w:topLinePunct w:val="0"/>
              <w:bidi w:val="0"/>
              <w:adjustRightInd/>
              <w:snapToGrid/>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14:paraId="32DE4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97" w:type="dxa"/>
            <w:gridSpan w:val="2"/>
            <w:noWrap w:val="0"/>
            <w:tcMar>
              <w:top w:w="16" w:type="dxa"/>
              <w:left w:w="16" w:type="dxa"/>
              <w:right w:w="16" w:type="dxa"/>
            </w:tcMar>
            <w:vAlign w:val="center"/>
          </w:tcPr>
          <w:p w14:paraId="5F66F4B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项目审批（核准/备案）部门（选填）</w:t>
            </w:r>
          </w:p>
        </w:tc>
        <w:tc>
          <w:tcPr>
            <w:tcW w:w="2502" w:type="dxa"/>
            <w:gridSpan w:val="2"/>
            <w:noWrap w:val="0"/>
            <w:vAlign w:val="center"/>
          </w:tcPr>
          <w:p w14:paraId="3D67E5B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苏州市吴江区</w:t>
            </w:r>
            <w:r>
              <w:rPr>
                <w:rFonts w:hint="eastAsia" w:cs="Times New Roman"/>
                <w:color w:val="auto"/>
                <w:sz w:val="24"/>
                <w:szCs w:val="24"/>
                <w:lang w:val="en-US" w:eastAsia="zh-CN"/>
              </w:rPr>
              <w:t>行政审批局</w:t>
            </w:r>
          </w:p>
        </w:tc>
        <w:tc>
          <w:tcPr>
            <w:tcW w:w="1500" w:type="dxa"/>
            <w:noWrap w:val="0"/>
            <w:vAlign w:val="center"/>
          </w:tcPr>
          <w:p w14:paraId="0DDDC2C8">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项目审批（核准/备案）文号（选填）</w:t>
            </w:r>
          </w:p>
        </w:tc>
        <w:tc>
          <w:tcPr>
            <w:tcW w:w="2913" w:type="dxa"/>
            <w:gridSpan w:val="2"/>
            <w:noWrap w:val="0"/>
            <w:vAlign w:val="center"/>
          </w:tcPr>
          <w:p w14:paraId="001EF69D">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吴行审备</w:t>
            </w:r>
            <w:r>
              <w:rPr>
                <w:rFonts w:hint="default" w:ascii="Times New Roman" w:hAnsi="Times New Roman" w:eastAsia="宋体" w:cs="Times New Roman"/>
                <w:color w:val="auto"/>
                <w:kern w:val="2"/>
                <w:sz w:val="24"/>
                <w:szCs w:val="24"/>
                <w:lang w:val="en-US" w:eastAsia="zh-CN" w:bidi="ar-SA"/>
              </w:rPr>
              <w:t>〔202</w:t>
            </w: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sz w:val="24"/>
                <w:szCs w:val="24"/>
                <w:lang w:val="en-US" w:eastAsia="zh-CN"/>
              </w:rPr>
              <w:t>388</w:t>
            </w:r>
            <w:r>
              <w:rPr>
                <w:rFonts w:hint="default" w:ascii="Times New Roman" w:hAnsi="Times New Roman" w:eastAsia="宋体" w:cs="Times New Roman"/>
                <w:color w:val="auto"/>
                <w:sz w:val="24"/>
                <w:szCs w:val="24"/>
              </w:rPr>
              <w:t>号</w:t>
            </w:r>
          </w:p>
        </w:tc>
      </w:tr>
      <w:tr w14:paraId="3F287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1897" w:type="dxa"/>
            <w:gridSpan w:val="2"/>
            <w:noWrap w:val="0"/>
            <w:tcMar>
              <w:top w:w="16" w:type="dxa"/>
              <w:left w:w="16" w:type="dxa"/>
              <w:right w:w="16" w:type="dxa"/>
            </w:tcMar>
            <w:vAlign w:val="center"/>
          </w:tcPr>
          <w:p w14:paraId="3DB6C15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总投资（万元）</w:t>
            </w:r>
          </w:p>
        </w:tc>
        <w:tc>
          <w:tcPr>
            <w:tcW w:w="2502" w:type="dxa"/>
            <w:gridSpan w:val="2"/>
            <w:noWrap w:val="0"/>
            <w:vAlign w:val="center"/>
          </w:tcPr>
          <w:p w14:paraId="70448A18">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500</w:t>
            </w:r>
          </w:p>
        </w:tc>
        <w:tc>
          <w:tcPr>
            <w:tcW w:w="1500" w:type="dxa"/>
            <w:noWrap w:val="0"/>
            <w:tcMar>
              <w:top w:w="16" w:type="dxa"/>
              <w:left w:w="16" w:type="dxa"/>
              <w:right w:w="16" w:type="dxa"/>
            </w:tcMar>
            <w:vAlign w:val="center"/>
          </w:tcPr>
          <w:p w14:paraId="1A26939E">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环保投资（万元）</w:t>
            </w:r>
          </w:p>
        </w:tc>
        <w:tc>
          <w:tcPr>
            <w:tcW w:w="2913" w:type="dxa"/>
            <w:gridSpan w:val="2"/>
            <w:noWrap w:val="0"/>
            <w:vAlign w:val="center"/>
          </w:tcPr>
          <w:p w14:paraId="44D8309D">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25</w:t>
            </w:r>
          </w:p>
        </w:tc>
      </w:tr>
      <w:tr w14:paraId="31831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2" w:hRule="atLeast"/>
          <w:jc w:val="center"/>
        </w:trPr>
        <w:tc>
          <w:tcPr>
            <w:tcW w:w="1897" w:type="dxa"/>
            <w:gridSpan w:val="2"/>
            <w:noWrap w:val="0"/>
            <w:tcMar>
              <w:top w:w="16" w:type="dxa"/>
              <w:left w:w="16" w:type="dxa"/>
              <w:right w:w="16" w:type="dxa"/>
            </w:tcMar>
            <w:vAlign w:val="center"/>
          </w:tcPr>
          <w:p w14:paraId="31849E7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环保投资占比（%）</w:t>
            </w:r>
          </w:p>
        </w:tc>
        <w:tc>
          <w:tcPr>
            <w:tcW w:w="2502" w:type="dxa"/>
            <w:gridSpan w:val="2"/>
            <w:noWrap w:val="0"/>
            <w:vAlign w:val="center"/>
          </w:tcPr>
          <w:p w14:paraId="2DD644A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p>
        </w:tc>
        <w:tc>
          <w:tcPr>
            <w:tcW w:w="1500" w:type="dxa"/>
            <w:noWrap w:val="0"/>
            <w:tcMar>
              <w:top w:w="16" w:type="dxa"/>
              <w:left w:w="16" w:type="dxa"/>
              <w:right w:w="16" w:type="dxa"/>
            </w:tcMar>
            <w:vAlign w:val="center"/>
          </w:tcPr>
          <w:p w14:paraId="77838FBA">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施工工期</w:t>
            </w:r>
          </w:p>
        </w:tc>
        <w:tc>
          <w:tcPr>
            <w:tcW w:w="2913" w:type="dxa"/>
            <w:gridSpan w:val="2"/>
            <w:noWrap w:val="0"/>
            <w:vAlign w:val="center"/>
          </w:tcPr>
          <w:p w14:paraId="68BBB967">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3个月</w:t>
            </w:r>
          </w:p>
        </w:tc>
      </w:tr>
      <w:tr w14:paraId="35026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897" w:type="dxa"/>
            <w:gridSpan w:val="2"/>
            <w:noWrap w:val="0"/>
            <w:tcMar>
              <w:top w:w="16" w:type="dxa"/>
              <w:left w:w="16" w:type="dxa"/>
              <w:right w:w="16" w:type="dxa"/>
            </w:tcMar>
            <w:vAlign w:val="center"/>
          </w:tcPr>
          <w:p w14:paraId="21FE5ADC">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是否开工建设</w:t>
            </w:r>
          </w:p>
        </w:tc>
        <w:tc>
          <w:tcPr>
            <w:tcW w:w="2502" w:type="dxa"/>
            <w:gridSpan w:val="2"/>
            <w:noWrap w:val="0"/>
            <w:vAlign w:val="center"/>
          </w:tcPr>
          <w:p w14:paraId="08462EA5">
            <w:pPr>
              <w:keepNext w:val="0"/>
              <w:keepLines w:val="0"/>
              <w:pageBreakBefore w:val="0"/>
              <w:widowControl w:val="0"/>
              <w:kinsoku/>
              <w:wordWrap/>
              <w:overflowPunct/>
              <w:topLinePunct w:val="0"/>
              <w:bidi w:val="0"/>
              <w:adjustRightInd/>
              <w:snapToGrid/>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☑否</w:t>
            </w:r>
          </w:p>
          <w:p w14:paraId="682D743E">
            <w:pPr>
              <w:keepNext w:val="0"/>
              <w:keepLines w:val="0"/>
              <w:pageBreakBefore w:val="0"/>
              <w:widowControl w:val="0"/>
              <w:kinsoku/>
              <w:wordWrap/>
              <w:overflowPunct/>
              <w:topLinePunct w:val="0"/>
              <w:bidi w:val="0"/>
              <w:adjustRightInd/>
              <w:snapToGrid/>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1500" w:type="dxa"/>
            <w:noWrap w:val="0"/>
            <w:tcMar>
              <w:top w:w="16" w:type="dxa"/>
              <w:left w:w="16" w:type="dxa"/>
              <w:right w:w="16" w:type="dxa"/>
            </w:tcMar>
            <w:vAlign w:val="center"/>
          </w:tcPr>
          <w:p w14:paraId="07CC493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pacing w:val="-6"/>
                <w:sz w:val="24"/>
                <w:szCs w:val="24"/>
              </w:rPr>
              <w:t>用地面积（m</w:t>
            </w:r>
            <w:r>
              <w:rPr>
                <w:rFonts w:hint="default" w:ascii="Times New Roman" w:hAnsi="Times New Roman" w:eastAsia="宋体" w:cs="Times New Roman"/>
                <w:b/>
                <w:color w:val="auto"/>
                <w:spacing w:val="-6"/>
                <w:sz w:val="24"/>
                <w:szCs w:val="24"/>
                <w:vertAlign w:val="superscript"/>
              </w:rPr>
              <w:t>2</w:t>
            </w:r>
            <w:r>
              <w:rPr>
                <w:rFonts w:hint="default" w:ascii="Times New Roman" w:hAnsi="Times New Roman" w:eastAsia="宋体" w:cs="Times New Roman"/>
                <w:b/>
                <w:color w:val="auto"/>
                <w:spacing w:val="-6"/>
                <w:sz w:val="24"/>
                <w:szCs w:val="24"/>
              </w:rPr>
              <w:t>）</w:t>
            </w:r>
          </w:p>
        </w:tc>
        <w:tc>
          <w:tcPr>
            <w:tcW w:w="2913" w:type="dxa"/>
            <w:gridSpan w:val="2"/>
            <w:noWrap w:val="0"/>
            <w:vAlign w:val="center"/>
          </w:tcPr>
          <w:p w14:paraId="6C4815F0">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1195.56</w:t>
            </w:r>
          </w:p>
        </w:tc>
      </w:tr>
      <w:tr w14:paraId="14110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897" w:type="dxa"/>
            <w:gridSpan w:val="2"/>
            <w:noWrap w:val="0"/>
            <w:vAlign w:val="center"/>
          </w:tcPr>
          <w:p w14:paraId="193FF906">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专项评价设置情况</w:t>
            </w:r>
          </w:p>
        </w:tc>
        <w:tc>
          <w:tcPr>
            <w:tcW w:w="6915" w:type="dxa"/>
            <w:gridSpan w:val="5"/>
            <w:noWrap w:val="0"/>
            <w:vAlign w:val="center"/>
          </w:tcPr>
          <w:p w14:paraId="2AA8F10F">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无</w:t>
            </w:r>
          </w:p>
        </w:tc>
      </w:tr>
      <w:tr w14:paraId="2BF64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8" w:hRule="atLeast"/>
          <w:jc w:val="center"/>
        </w:trPr>
        <w:tc>
          <w:tcPr>
            <w:tcW w:w="1897" w:type="dxa"/>
            <w:gridSpan w:val="2"/>
            <w:noWrap w:val="0"/>
            <w:vAlign w:val="center"/>
          </w:tcPr>
          <w:p w14:paraId="44104990">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sz w:val="24"/>
                <w:szCs w:val="24"/>
              </w:rPr>
              <w:t>规划情况</w:t>
            </w:r>
          </w:p>
        </w:tc>
        <w:tc>
          <w:tcPr>
            <w:tcW w:w="6915" w:type="dxa"/>
            <w:gridSpan w:val="5"/>
            <w:noWrap w:val="0"/>
            <w:vAlign w:val="center"/>
          </w:tcPr>
          <w:p w14:paraId="46B9B200">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snapToGrid w:val="0"/>
                <w:kern w:val="0"/>
                <w:sz w:val="24"/>
                <w:szCs w:val="24"/>
              </w:rPr>
              <w:t>①</w:t>
            </w:r>
            <w:r>
              <w:rPr>
                <w:rFonts w:hint="default" w:ascii="Times New Roman" w:hAnsi="Times New Roman" w:eastAsia="宋体" w:cs="Times New Roman"/>
                <w:color w:val="auto"/>
                <w:kern w:val="0"/>
                <w:sz w:val="24"/>
                <w:szCs w:val="24"/>
              </w:rPr>
              <w:t>规划名称</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2"/>
                <w:sz w:val="24"/>
                <w:szCs w:val="24"/>
                <w:lang w:val="en-US" w:eastAsia="zh-CN" w:bidi="ar-SA"/>
              </w:rPr>
              <w:t>《长三角生态绿色一体化发展示范区先行启动区国土空间总体规划（2021-2035年）》</w:t>
            </w:r>
          </w:p>
          <w:p w14:paraId="71942B63">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rPr>
              <w:t>审批机关</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上海市人民政府、江苏省人民政府、浙江省人民政府</w:t>
            </w:r>
          </w:p>
          <w:p w14:paraId="1DF64D57">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0"/>
                <w:sz w:val="24"/>
                <w:szCs w:val="24"/>
              </w:rPr>
              <w:t>审批</w:t>
            </w:r>
            <w:r>
              <w:rPr>
                <w:rFonts w:hint="eastAsia" w:cs="Times New Roman"/>
                <w:color w:val="auto"/>
                <w:kern w:val="0"/>
                <w:sz w:val="24"/>
                <w:szCs w:val="24"/>
                <w:lang w:val="en-US" w:eastAsia="zh-CN"/>
              </w:rPr>
              <w:t>文件名称及</w:t>
            </w:r>
            <w:r>
              <w:rPr>
                <w:rFonts w:hint="default" w:ascii="Times New Roman" w:hAnsi="Times New Roman" w:eastAsia="宋体" w:cs="Times New Roman"/>
                <w:color w:val="auto"/>
                <w:kern w:val="0"/>
                <w:sz w:val="24"/>
                <w:szCs w:val="24"/>
              </w:rPr>
              <w:t>文号</w:t>
            </w:r>
            <w:r>
              <w:rPr>
                <w:rFonts w:hint="default" w:ascii="Times New Roman" w:hAnsi="Times New Roman" w:eastAsia="宋体" w:cs="Times New Roman"/>
                <w:color w:val="auto"/>
                <w:kern w:val="0"/>
                <w:sz w:val="24"/>
                <w:szCs w:val="24"/>
                <w:lang w:eastAsia="zh-CN"/>
              </w:rPr>
              <w:t>：《长三角生态绿色一体化发展示范区先行启动区国土空间总体规划（2021-2035年）的批复》</w:t>
            </w:r>
            <w:r>
              <w:rPr>
                <w:rFonts w:hint="eastAsia" w:cs="Times New Roman"/>
                <w:color w:val="auto"/>
                <w:kern w:val="0"/>
                <w:sz w:val="24"/>
                <w:szCs w:val="24"/>
                <w:lang w:eastAsia="zh-CN"/>
              </w:rPr>
              <w:t>（</w:t>
            </w:r>
            <w:r>
              <w:rPr>
                <w:rFonts w:hint="default" w:ascii="Times New Roman" w:hAnsi="Times New Roman" w:eastAsia="宋体" w:cs="Times New Roman"/>
                <w:color w:val="auto"/>
                <w:kern w:val="2"/>
                <w:sz w:val="24"/>
                <w:szCs w:val="24"/>
                <w:lang w:val="en-US" w:eastAsia="zh-CN" w:bidi="ar-SA"/>
              </w:rPr>
              <w:t>沪府〔2023〕56号</w:t>
            </w:r>
            <w:r>
              <w:rPr>
                <w:rFonts w:hint="eastAsia" w:cs="Times New Roman"/>
                <w:color w:val="auto"/>
                <w:kern w:val="2"/>
                <w:sz w:val="24"/>
                <w:szCs w:val="24"/>
                <w:lang w:val="en-US" w:eastAsia="zh-CN" w:bidi="ar-SA"/>
              </w:rPr>
              <w:t>）</w:t>
            </w:r>
          </w:p>
          <w:p w14:paraId="1F858DDB">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snapToGrid w:val="0"/>
                <w:kern w:val="0"/>
                <w:sz w:val="24"/>
                <w:szCs w:val="24"/>
              </w:rPr>
            </w:pPr>
            <w:r>
              <w:rPr>
                <w:rFonts w:hint="default" w:ascii="Times New Roman" w:hAnsi="Times New Roman" w:eastAsia="宋体" w:cs="Times New Roman"/>
                <w:color w:val="auto"/>
                <w:kern w:val="2"/>
                <w:sz w:val="24"/>
                <w:szCs w:val="24"/>
                <w:lang w:val="en-US" w:eastAsia="zh-CN" w:bidi="ar-SA"/>
              </w:rPr>
              <w:t>②</w:t>
            </w:r>
            <w:r>
              <w:rPr>
                <w:rFonts w:hint="default" w:ascii="Times New Roman" w:hAnsi="Times New Roman" w:cs="Times New Roman"/>
                <w:snapToGrid w:val="0"/>
                <w:kern w:val="0"/>
                <w:sz w:val="24"/>
                <w:szCs w:val="24"/>
              </w:rPr>
              <w:t>规划名称：《长三角生态绿色一体化发展示范区国土空间总体规划（2021-2035年）》</w:t>
            </w:r>
          </w:p>
          <w:p w14:paraId="7E3B931C">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kern w:val="0"/>
                <w:sz w:val="24"/>
                <w:szCs w:val="24"/>
                <w:lang w:val="en-US"/>
              </w:rPr>
            </w:pPr>
            <w:r>
              <w:rPr>
                <w:rFonts w:hint="default" w:ascii="Times New Roman" w:hAnsi="Times New Roman" w:eastAsia="宋体" w:cs="Times New Roman"/>
                <w:color w:val="auto"/>
                <w:kern w:val="0"/>
                <w:sz w:val="24"/>
                <w:szCs w:val="24"/>
              </w:rPr>
              <w:t>审批机关</w:t>
            </w:r>
            <w:r>
              <w:rPr>
                <w:rFonts w:hint="default" w:ascii="Times New Roman" w:hAnsi="Times New Roman" w:eastAsia="宋体" w:cs="Times New Roman"/>
                <w:color w:val="auto"/>
                <w:kern w:val="0"/>
                <w:sz w:val="24"/>
                <w:szCs w:val="24"/>
                <w:lang w:eastAsia="zh-CN"/>
              </w:rPr>
              <w:t>：</w:t>
            </w:r>
            <w:r>
              <w:rPr>
                <w:rFonts w:hint="eastAsia" w:cs="Times New Roman"/>
                <w:color w:val="auto"/>
                <w:kern w:val="0"/>
                <w:sz w:val="24"/>
                <w:szCs w:val="24"/>
                <w:lang w:val="en-US" w:eastAsia="zh-CN"/>
              </w:rPr>
              <w:t>国务院</w:t>
            </w:r>
          </w:p>
          <w:p w14:paraId="2B991620">
            <w:pPr>
              <w:keepNext w:val="0"/>
              <w:keepLines w:val="0"/>
              <w:pageBreakBefore w:val="0"/>
              <w:widowControl w:val="0"/>
              <w:kinsoku/>
              <w:wordWrap/>
              <w:overflowPunct/>
              <w:topLinePunct w:val="0"/>
              <w:autoSpaceDE w:val="0"/>
              <w:autoSpaceDN w:val="0"/>
              <w:bidi w:val="0"/>
              <w:adjustRightInd/>
              <w:snapToGrid/>
              <w:jc w:val="left"/>
              <w:textAlignment w:val="auto"/>
              <w:rPr>
                <w:rFonts w:hint="default" w:ascii="Times New Roman" w:hAnsi="Times New Roman" w:cs="Times New Roman"/>
                <w:snapToGrid w:val="0"/>
                <w:kern w:val="0"/>
                <w:sz w:val="24"/>
                <w:szCs w:val="24"/>
                <w:lang w:val="en-US" w:eastAsia="zh-CN"/>
              </w:rPr>
            </w:pPr>
            <w:r>
              <w:rPr>
                <w:rFonts w:hint="default" w:ascii="Times New Roman" w:hAnsi="Times New Roman" w:eastAsia="宋体" w:cs="Times New Roman"/>
                <w:color w:val="auto"/>
                <w:kern w:val="0"/>
                <w:sz w:val="24"/>
                <w:szCs w:val="24"/>
              </w:rPr>
              <w:t>审批</w:t>
            </w:r>
            <w:r>
              <w:rPr>
                <w:rFonts w:hint="eastAsia" w:cs="Times New Roman"/>
                <w:color w:val="auto"/>
                <w:kern w:val="0"/>
                <w:sz w:val="24"/>
                <w:szCs w:val="24"/>
                <w:lang w:val="en-US" w:eastAsia="zh-CN"/>
              </w:rPr>
              <w:t>文件名称及</w:t>
            </w:r>
            <w:r>
              <w:rPr>
                <w:rFonts w:hint="default" w:ascii="Times New Roman" w:hAnsi="Times New Roman" w:eastAsia="宋体" w:cs="Times New Roman"/>
                <w:color w:val="auto"/>
                <w:kern w:val="0"/>
                <w:sz w:val="24"/>
                <w:szCs w:val="24"/>
              </w:rPr>
              <w:t>文号</w:t>
            </w:r>
            <w:r>
              <w:rPr>
                <w:rFonts w:hint="default" w:ascii="Times New Roman" w:hAnsi="Times New Roman" w:eastAsia="宋体" w:cs="Times New Roman"/>
                <w:color w:val="auto"/>
                <w:kern w:val="0"/>
                <w:sz w:val="24"/>
                <w:szCs w:val="24"/>
                <w:lang w:eastAsia="zh-CN"/>
              </w:rPr>
              <w:t>：国务院关于《长三角生态绿色一体化发展示范区国土空间总体规划（2021</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eastAsia="zh-CN"/>
              </w:rPr>
              <w:t>2035年）》的批复</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lang w:eastAsia="zh-CN"/>
              </w:rPr>
              <w:t>国函〔2023〕12号</w:t>
            </w:r>
            <w:r>
              <w:rPr>
                <w:rFonts w:hint="eastAsia" w:cs="Times New Roman"/>
                <w:color w:val="auto"/>
                <w:kern w:val="0"/>
                <w:sz w:val="24"/>
                <w:szCs w:val="24"/>
                <w:lang w:eastAsia="zh-CN"/>
              </w:rPr>
              <w:t>）</w:t>
            </w:r>
          </w:p>
          <w:p w14:paraId="3F23E2BA">
            <w:pPr>
              <w:keepNext w:val="0"/>
              <w:keepLines w:val="0"/>
              <w:pageBreakBefore w:val="0"/>
              <w:kinsoku/>
              <w:wordWrap/>
              <w:overflowPunct/>
              <w:topLinePunct w:val="0"/>
              <w:bidi w:val="0"/>
              <w:adjustRightInd w:val="0"/>
              <w:snapToGrid w:val="0"/>
              <w:spacing w:line="240" w:lineRule="auto"/>
              <w:jc w:val="left"/>
              <w:textAlignment w:val="auto"/>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③规划名称：《苏州市国土空间</w:t>
            </w:r>
            <w:r>
              <w:rPr>
                <w:rFonts w:hint="eastAsia" w:ascii="Times New Roman" w:hAnsi="Times New Roman" w:cs="Times New Roman"/>
                <w:snapToGrid w:val="0"/>
                <w:kern w:val="0"/>
                <w:sz w:val="24"/>
                <w:szCs w:val="24"/>
                <w:lang w:val="en-US" w:eastAsia="zh-CN"/>
              </w:rPr>
              <w:t>总体</w:t>
            </w:r>
            <w:r>
              <w:rPr>
                <w:rFonts w:hint="default" w:ascii="Times New Roman" w:hAnsi="Times New Roman" w:cs="Times New Roman"/>
                <w:snapToGrid w:val="0"/>
                <w:kern w:val="0"/>
                <w:sz w:val="24"/>
                <w:szCs w:val="24"/>
              </w:rPr>
              <w:t>规划</w:t>
            </w:r>
            <w:r>
              <w:rPr>
                <w:rFonts w:hint="eastAsia" w:ascii="Times New Roman" w:hAnsi="Times New Roman" w:cs="Times New Roman"/>
                <w:snapToGrid w:val="0"/>
                <w:kern w:val="0"/>
                <w:sz w:val="24"/>
                <w:szCs w:val="24"/>
                <w:lang w:eastAsia="zh-CN"/>
              </w:rPr>
              <w:t>（</w:t>
            </w:r>
            <w:r>
              <w:rPr>
                <w:rFonts w:hint="eastAsia" w:ascii="Times New Roman" w:hAnsi="Times New Roman" w:cs="Times New Roman"/>
                <w:snapToGrid w:val="0"/>
                <w:kern w:val="0"/>
                <w:sz w:val="24"/>
                <w:szCs w:val="24"/>
                <w:lang w:val="en-US" w:eastAsia="zh-CN"/>
              </w:rPr>
              <w:t>2021-2035</w:t>
            </w:r>
            <w:r>
              <w:rPr>
                <w:rFonts w:hint="eastAsia" w:ascii="Times New Roman" w:hAnsi="Times New Roman" w:cs="Times New Roman"/>
                <w:snapToGrid w:val="0"/>
                <w:kern w:val="0"/>
                <w:sz w:val="24"/>
                <w:szCs w:val="24"/>
                <w:lang w:eastAsia="zh-CN"/>
              </w:rPr>
              <w:t>）</w:t>
            </w:r>
            <w:r>
              <w:rPr>
                <w:rFonts w:hint="default" w:ascii="Times New Roman" w:hAnsi="Times New Roman" w:cs="Times New Roman"/>
                <w:snapToGrid w:val="0"/>
                <w:kern w:val="0"/>
                <w:sz w:val="24"/>
                <w:szCs w:val="24"/>
              </w:rPr>
              <w:t>》</w:t>
            </w:r>
          </w:p>
          <w:p w14:paraId="24069507">
            <w:pPr>
              <w:keepNext w:val="0"/>
              <w:keepLines w:val="0"/>
              <w:pageBreakBefore w:val="0"/>
              <w:kinsoku/>
              <w:wordWrap/>
              <w:overflowPunct/>
              <w:topLinePunct w:val="0"/>
              <w:bidi w:val="0"/>
              <w:adjustRightInd w:val="0"/>
              <w:snapToGrid w:val="0"/>
              <w:spacing w:line="240" w:lineRule="auto"/>
              <w:jc w:val="left"/>
              <w:textAlignment w:val="auto"/>
              <w:rPr>
                <w:rFonts w:hint="eastAsia" w:ascii="Times New Roman" w:hAnsi="Times New Roman" w:eastAsia="宋体" w:cs="Times New Roman"/>
                <w:snapToGrid w:val="0"/>
                <w:kern w:val="0"/>
                <w:sz w:val="24"/>
                <w:szCs w:val="24"/>
                <w:lang w:eastAsia="zh-CN"/>
              </w:rPr>
            </w:pPr>
            <w:r>
              <w:rPr>
                <w:rFonts w:hint="default" w:ascii="Times New Roman" w:hAnsi="Times New Roman" w:cs="Times New Roman"/>
                <w:snapToGrid w:val="0"/>
                <w:kern w:val="0"/>
                <w:sz w:val="24"/>
                <w:szCs w:val="24"/>
              </w:rPr>
              <w:t>审批机关：</w:t>
            </w:r>
            <w:r>
              <w:rPr>
                <w:rFonts w:hint="eastAsia" w:ascii="Times New Roman" w:hAnsi="Times New Roman" w:cs="Times New Roman"/>
                <w:snapToGrid w:val="0"/>
                <w:kern w:val="0"/>
                <w:sz w:val="24"/>
                <w:szCs w:val="24"/>
                <w:lang w:val="en-US" w:eastAsia="zh-CN"/>
              </w:rPr>
              <w:t>国务院</w:t>
            </w:r>
          </w:p>
          <w:p w14:paraId="5C79459D">
            <w:pPr>
              <w:keepNext w:val="0"/>
              <w:keepLines w:val="0"/>
              <w:pageBreakBefore w:val="0"/>
              <w:kinsoku/>
              <w:wordWrap/>
              <w:overflowPunct/>
              <w:topLinePunct w:val="0"/>
              <w:bidi w:val="0"/>
              <w:adjustRightInd w:val="0"/>
              <w:snapToGrid w:val="0"/>
              <w:spacing w:line="240" w:lineRule="auto"/>
              <w:jc w:val="left"/>
              <w:textAlignment w:val="auto"/>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rPr>
              <w:t>审批文件名称及文号：国务院关于《苏州市国土空间总体规划（2021</w:t>
            </w:r>
            <w:r>
              <w:rPr>
                <w:rFonts w:hint="eastAsia" w:cs="Times New Roman"/>
                <w:snapToGrid w:val="0"/>
                <w:kern w:val="0"/>
                <w:sz w:val="24"/>
                <w:szCs w:val="24"/>
                <w:lang w:val="en-US" w:eastAsia="zh-CN"/>
              </w:rPr>
              <w:t>-</w:t>
            </w:r>
            <w:r>
              <w:rPr>
                <w:rFonts w:hint="default" w:ascii="Times New Roman" w:hAnsi="Times New Roman" w:cs="Times New Roman"/>
                <w:snapToGrid w:val="0"/>
                <w:kern w:val="0"/>
                <w:sz w:val="24"/>
                <w:szCs w:val="24"/>
              </w:rPr>
              <w:t>2035年）》的批复（</w:t>
            </w:r>
            <w:r>
              <w:rPr>
                <w:rFonts w:hint="eastAsia" w:ascii="Times New Roman" w:hAnsi="Times New Roman" w:cs="Times New Roman"/>
                <w:snapToGrid w:val="0"/>
                <w:kern w:val="0"/>
                <w:sz w:val="24"/>
                <w:szCs w:val="24"/>
                <w:lang w:val="en-US" w:eastAsia="zh-CN"/>
              </w:rPr>
              <w:t>国</w:t>
            </w:r>
            <w:r>
              <w:rPr>
                <w:rFonts w:hint="default" w:ascii="Times New Roman" w:hAnsi="Times New Roman" w:cs="Times New Roman"/>
                <w:snapToGrid w:val="0"/>
                <w:kern w:val="0"/>
                <w:sz w:val="24"/>
                <w:szCs w:val="24"/>
              </w:rPr>
              <w:t>函〔202</w:t>
            </w:r>
            <w:r>
              <w:rPr>
                <w:rFonts w:hint="eastAsia" w:ascii="Times New Roman" w:hAnsi="Times New Roman" w:cs="Times New Roman"/>
                <w:snapToGrid w:val="0"/>
                <w:kern w:val="0"/>
                <w:sz w:val="24"/>
                <w:szCs w:val="24"/>
                <w:lang w:val="en-US" w:eastAsia="zh-CN"/>
              </w:rPr>
              <w:t>5</w:t>
            </w:r>
            <w:r>
              <w:rPr>
                <w:rFonts w:hint="default" w:ascii="Times New Roman" w:hAnsi="Times New Roman" w:cs="Times New Roman"/>
                <w:snapToGrid w:val="0"/>
                <w:kern w:val="0"/>
                <w:sz w:val="24"/>
                <w:szCs w:val="24"/>
              </w:rPr>
              <w:t>〕</w:t>
            </w:r>
            <w:r>
              <w:rPr>
                <w:rFonts w:hint="eastAsia" w:ascii="Times New Roman" w:hAnsi="Times New Roman" w:cs="Times New Roman"/>
                <w:snapToGrid w:val="0"/>
                <w:kern w:val="0"/>
                <w:sz w:val="24"/>
                <w:szCs w:val="24"/>
                <w:lang w:val="en-US" w:eastAsia="zh-CN"/>
              </w:rPr>
              <w:t>8</w:t>
            </w:r>
            <w:r>
              <w:rPr>
                <w:rFonts w:hint="default" w:ascii="Times New Roman" w:hAnsi="Times New Roman" w:cs="Times New Roman"/>
                <w:snapToGrid w:val="0"/>
                <w:kern w:val="0"/>
                <w:sz w:val="24"/>
                <w:szCs w:val="24"/>
              </w:rPr>
              <w:t>号）</w:t>
            </w:r>
          </w:p>
          <w:p w14:paraId="0A9207B3">
            <w:pPr>
              <w:keepNext w:val="0"/>
              <w:keepLines w:val="0"/>
              <w:pageBreakBefore w:val="0"/>
              <w:kinsoku/>
              <w:wordWrap/>
              <w:overflowPunct/>
              <w:topLinePunct w:val="0"/>
              <w:bidi w:val="0"/>
              <w:adjustRightInd w:val="0"/>
              <w:snapToGrid w:val="0"/>
              <w:spacing w:line="240" w:lineRule="auto"/>
              <w:jc w:val="left"/>
              <w:textAlignment w:val="auto"/>
              <w:rPr>
                <w:rFonts w:hint="eastAsia" w:ascii="Times New Roman" w:hAnsi="Times New Roman" w:cs="Times New Roman"/>
                <w:snapToGrid w:val="0"/>
                <w:kern w:val="0"/>
                <w:sz w:val="24"/>
                <w:szCs w:val="24"/>
                <w:lang w:val="en-US" w:eastAsia="zh-CN"/>
              </w:rPr>
            </w:pPr>
            <w:r>
              <w:rPr>
                <w:rFonts w:hint="default" w:ascii="Times New Roman" w:hAnsi="Times New Roman" w:eastAsia="微软雅黑" w:cs="Times New Roman"/>
                <w:snapToGrid w:val="0"/>
                <w:kern w:val="0"/>
                <w:sz w:val="24"/>
                <w:szCs w:val="24"/>
                <w:lang w:val="en-US" w:eastAsia="zh-CN"/>
              </w:rPr>
              <w:t>④</w:t>
            </w:r>
            <w:r>
              <w:rPr>
                <w:rFonts w:hint="eastAsia" w:ascii="Times New Roman" w:hAnsi="Times New Roman" w:cs="Times New Roman"/>
                <w:snapToGrid w:val="0"/>
                <w:kern w:val="0"/>
                <w:sz w:val="24"/>
                <w:szCs w:val="24"/>
                <w:lang w:val="en-US" w:eastAsia="zh-CN"/>
              </w:rPr>
              <w:t>规划名称：《苏州市吴江区国土空间总体规划（2021-2035）》</w:t>
            </w:r>
          </w:p>
          <w:p w14:paraId="31F14D93">
            <w:pPr>
              <w:keepNext w:val="0"/>
              <w:keepLines w:val="0"/>
              <w:pageBreakBefore w:val="0"/>
              <w:kinsoku/>
              <w:wordWrap/>
              <w:overflowPunct/>
              <w:topLinePunct w:val="0"/>
              <w:bidi w:val="0"/>
              <w:adjustRightInd w:val="0"/>
              <w:snapToGrid w:val="0"/>
              <w:spacing w:line="240" w:lineRule="auto"/>
              <w:jc w:val="left"/>
              <w:textAlignment w:val="auto"/>
              <w:rPr>
                <w:rFonts w:hint="eastAsia" w:ascii="Times New Roman" w:hAnsi="Times New Roman" w:cs="Times New Roman"/>
                <w:snapToGrid w:val="0"/>
                <w:kern w:val="0"/>
                <w:sz w:val="24"/>
                <w:szCs w:val="24"/>
                <w:lang w:val="en-US" w:eastAsia="zh-CN"/>
              </w:rPr>
            </w:pPr>
            <w:r>
              <w:rPr>
                <w:rFonts w:hint="eastAsia" w:ascii="Times New Roman" w:hAnsi="Times New Roman" w:cs="Times New Roman"/>
                <w:snapToGrid w:val="0"/>
                <w:kern w:val="0"/>
                <w:sz w:val="24"/>
                <w:szCs w:val="24"/>
                <w:lang w:val="en-US" w:eastAsia="zh-CN"/>
              </w:rPr>
              <w:t>审批机关：江苏省人民政府</w:t>
            </w:r>
          </w:p>
          <w:p w14:paraId="5C1E3797">
            <w:pPr>
              <w:pStyle w:val="5"/>
              <w:rPr>
                <w:rFonts w:hint="default"/>
              </w:rPr>
            </w:pPr>
            <w:r>
              <w:rPr>
                <w:rFonts w:hint="eastAsia" w:ascii="Times New Roman" w:hAnsi="Times New Roman" w:cs="Times New Roman"/>
                <w:snapToGrid w:val="0"/>
                <w:kern w:val="0"/>
                <w:sz w:val="24"/>
                <w:szCs w:val="24"/>
                <w:lang w:val="en-US" w:eastAsia="zh-CN"/>
              </w:rPr>
              <w:t>审批文件名称及文号：省政府关于张家港市、常熟市、太仓市、昆山市、苏州工业园区、吴江区、吴中区、相城区、苏州高新区（虎丘区）国土空间总体规划（2021</w:t>
            </w:r>
            <w:r>
              <w:rPr>
                <w:rFonts w:hint="eastAsia" w:cs="Times New Roman"/>
                <w:snapToGrid w:val="0"/>
                <w:kern w:val="0"/>
                <w:sz w:val="24"/>
                <w:szCs w:val="24"/>
                <w:lang w:val="en-US" w:eastAsia="zh-CN"/>
              </w:rPr>
              <w:t>-</w:t>
            </w:r>
            <w:r>
              <w:rPr>
                <w:rFonts w:hint="eastAsia" w:ascii="Times New Roman" w:hAnsi="Times New Roman" w:cs="Times New Roman"/>
                <w:snapToGrid w:val="0"/>
                <w:kern w:val="0"/>
                <w:sz w:val="24"/>
                <w:szCs w:val="24"/>
                <w:lang w:val="en-US" w:eastAsia="zh-CN"/>
              </w:rPr>
              <w:t>2035年）的批复（苏政复</w:t>
            </w:r>
            <w:r>
              <w:rPr>
                <w:rFonts w:hint="default" w:ascii="Times New Roman" w:hAnsi="Times New Roman" w:cs="Times New Roman"/>
                <w:snapToGrid w:val="0"/>
                <w:kern w:val="0"/>
                <w:sz w:val="24"/>
                <w:szCs w:val="24"/>
              </w:rPr>
              <w:t>〔202</w:t>
            </w:r>
            <w:r>
              <w:rPr>
                <w:rFonts w:hint="eastAsia" w:ascii="Times New Roman" w:hAnsi="Times New Roman" w:cs="Times New Roman"/>
                <w:snapToGrid w:val="0"/>
                <w:kern w:val="0"/>
                <w:sz w:val="24"/>
                <w:szCs w:val="24"/>
                <w:lang w:val="en-US" w:eastAsia="zh-CN"/>
              </w:rPr>
              <w:t>5</w:t>
            </w:r>
            <w:r>
              <w:rPr>
                <w:rFonts w:hint="default" w:ascii="Times New Roman" w:hAnsi="Times New Roman" w:cs="Times New Roman"/>
                <w:snapToGrid w:val="0"/>
                <w:kern w:val="0"/>
                <w:sz w:val="24"/>
                <w:szCs w:val="24"/>
              </w:rPr>
              <w:t>〕</w:t>
            </w:r>
            <w:r>
              <w:rPr>
                <w:rFonts w:hint="eastAsia" w:ascii="Times New Roman" w:hAnsi="Times New Roman" w:cs="Times New Roman"/>
                <w:snapToGrid w:val="0"/>
                <w:kern w:val="0"/>
                <w:sz w:val="24"/>
                <w:szCs w:val="24"/>
                <w:lang w:val="en-US" w:eastAsia="zh-CN"/>
              </w:rPr>
              <w:t>5</w:t>
            </w:r>
            <w:r>
              <w:rPr>
                <w:rFonts w:hint="default" w:ascii="Times New Roman" w:hAnsi="Times New Roman" w:cs="Times New Roman"/>
                <w:snapToGrid w:val="0"/>
                <w:kern w:val="0"/>
                <w:sz w:val="24"/>
                <w:szCs w:val="24"/>
              </w:rPr>
              <w:t>号</w:t>
            </w:r>
            <w:r>
              <w:rPr>
                <w:rFonts w:hint="eastAsia" w:ascii="Times New Roman" w:hAnsi="Times New Roman" w:cs="Times New Roman"/>
                <w:snapToGrid w:val="0"/>
                <w:kern w:val="0"/>
                <w:sz w:val="24"/>
                <w:szCs w:val="24"/>
                <w:lang w:val="en-US" w:eastAsia="zh-CN"/>
              </w:rPr>
              <w:t>）</w:t>
            </w:r>
          </w:p>
        </w:tc>
      </w:tr>
      <w:tr w14:paraId="716B2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897" w:type="dxa"/>
            <w:gridSpan w:val="2"/>
            <w:noWrap w:val="0"/>
            <w:vAlign w:val="center"/>
          </w:tcPr>
          <w:p w14:paraId="1F595918">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规划环境影响</w:t>
            </w:r>
          </w:p>
          <w:p w14:paraId="42C4965D">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sz w:val="24"/>
                <w:szCs w:val="24"/>
              </w:rPr>
              <w:t>评价情况</w:t>
            </w:r>
          </w:p>
        </w:tc>
        <w:tc>
          <w:tcPr>
            <w:tcW w:w="6915" w:type="dxa"/>
            <w:gridSpan w:val="5"/>
            <w:noWrap w:val="0"/>
            <w:vAlign w:val="center"/>
          </w:tcPr>
          <w:p w14:paraId="23CF0565">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无</w:t>
            </w:r>
          </w:p>
        </w:tc>
      </w:tr>
      <w:tr w14:paraId="3A80F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472" w:type="dxa"/>
            <w:noWrap w:val="0"/>
            <w:vAlign w:val="center"/>
          </w:tcPr>
          <w:p w14:paraId="28882D4C">
            <w:pPr>
              <w:rPr>
                <w:rFonts w:hint="eastAsia" w:ascii="宋体" w:hAnsi="宋体" w:eastAsia="宋体" w:cs="宋体"/>
                <w:b/>
                <w:color w:val="auto"/>
                <w:kern w:val="0"/>
                <w:szCs w:val="21"/>
              </w:rPr>
            </w:pPr>
            <w:r>
              <w:rPr>
                <w:color w:val="auto"/>
              </w:rPr>
              <w:br w:type="page"/>
            </w:r>
            <w:r>
              <w:rPr>
                <w:rFonts w:hint="eastAsia" w:ascii="宋体" w:hAnsi="宋体" w:eastAsia="宋体" w:cs="宋体"/>
                <w:b/>
                <w:color w:val="auto"/>
                <w:kern w:val="0"/>
                <w:szCs w:val="21"/>
              </w:rPr>
              <w:t>规划及规划环境影响评价符合性分析</w:t>
            </w:r>
          </w:p>
        </w:tc>
        <w:tc>
          <w:tcPr>
            <w:tcW w:w="8340" w:type="dxa"/>
            <w:gridSpan w:val="6"/>
            <w:noWrap w:val="0"/>
            <w:vAlign w:val="center"/>
          </w:tcPr>
          <w:p w14:paraId="0C5707F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color w:val="auto"/>
                <w:sz w:val="24"/>
                <w:shd w:val="clear" w:color="auto" w:fill="FFFFFF"/>
                <w:lang w:val="en-US" w:eastAsia="zh-CN"/>
              </w:rPr>
            </w:pPr>
            <w:r>
              <w:rPr>
                <w:rFonts w:hint="default" w:ascii="Times New Roman" w:hAnsi="Times New Roman" w:eastAsia="宋体" w:cs="Times New Roman"/>
                <w:b/>
                <w:color w:val="auto"/>
                <w:sz w:val="24"/>
                <w:shd w:val="clear" w:color="auto" w:fill="FFFFFF"/>
              </w:rPr>
              <w:t>1.</w:t>
            </w:r>
            <w:r>
              <w:rPr>
                <w:rFonts w:hint="default" w:ascii="Times New Roman" w:hAnsi="Times New Roman" w:eastAsia="宋体" w:cs="Times New Roman"/>
                <w:b/>
                <w:color w:val="auto"/>
                <w:sz w:val="24"/>
                <w:shd w:val="clear" w:color="auto" w:fill="FFFFFF"/>
                <w:lang w:val="en-US" w:eastAsia="zh-CN"/>
              </w:rPr>
              <w:t>1《长三角生态绿色一体化发展示范区先行启动区国土空间总体规划（2021-2035年）》</w:t>
            </w:r>
          </w:p>
          <w:p w14:paraId="3BB929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lang w:val="en-US" w:eastAsia="zh-CN"/>
              </w:rPr>
              <w:t>一、</w:t>
            </w:r>
            <w:r>
              <w:rPr>
                <w:rFonts w:hint="default" w:ascii="Times New Roman" w:hAnsi="Times New Roman" w:eastAsia="宋体" w:cs="Times New Roman"/>
                <w:b/>
                <w:bCs/>
                <w:color w:val="auto"/>
                <w:sz w:val="24"/>
                <w:shd w:val="clear" w:color="auto" w:fill="FFFFFF"/>
              </w:rPr>
              <w:t>总体要求</w:t>
            </w:r>
          </w:p>
          <w:p w14:paraId="7C35D0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①规划目的与作用</w:t>
            </w:r>
          </w:p>
          <w:p w14:paraId="255B1B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为贯彻长三角一体化发展国家战略，落实《长江三角洲区域一体化发展规划纲要》《长三角生态绿色一体化发展示范区总体方案》</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以下简称《总体方案》</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、《长三角生态绿色一体化发展示范区国土空间总体规划</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2021-2035年</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以下简称《示范区总规》</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要求，组织编制《长三角生态绿色一体化发展示范区先行启动区国土空间总体规划</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2021-2035年</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以下简称《先行启动区总规》</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w:t>
            </w:r>
          </w:p>
          <w:p w14:paraId="296B81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②规划范围</w:t>
            </w:r>
          </w:p>
          <w:p w14:paraId="7EAD6D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规划范围包括上海市青浦区朱家角镇和金泽镇、江苏省苏州市吴江区黎里镇、浙江省嘉兴市嘉善县西塘镇和姚庄镇全域，约659.5平方公里。</w:t>
            </w:r>
          </w:p>
          <w:p w14:paraId="53124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规划研究范围扩展至长三角生态绿色一体化发展示范区及其协调区，面积分别约2413平方公里、486平方公里。</w:t>
            </w:r>
          </w:p>
          <w:p w14:paraId="14A901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lang w:val="en-US" w:eastAsia="zh-CN"/>
              </w:rPr>
              <w:t>③</w:t>
            </w:r>
            <w:r>
              <w:rPr>
                <w:rFonts w:hint="default" w:ascii="Times New Roman" w:hAnsi="Times New Roman" w:eastAsia="宋体" w:cs="Times New Roman"/>
                <w:b/>
                <w:bCs/>
                <w:color w:val="auto"/>
                <w:sz w:val="24"/>
                <w:shd w:val="clear" w:color="auto" w:fill="FFFFFF"/>
              </w:rPr>
              <w:t>规划期限</w:t>
            </w:r>
          </w:p>
          <w:p w14:paraId="34E1E0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规划近期至2025年，远期至2035年，远景展望至2050年。</w:t>
            </w:r>
          </w:p>
          <w:p w14:paraId="3B2D31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二、国土空间保护开发格局</w:t>
            </w:r>
          </w:p>
          <w:p w14:paraId="58721A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①生态空间格局</w:t>
            </w:r>
          </w:p>
          <w:p w14:paraId="0B27B6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落实示范区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一心四区、三廊三链</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的生态格局，强化以淀山湖</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元荡为主体的生态源地作用，加强水脉林廊的有机联系，统筹水、田、林复合的水乡基底保护与治理，构建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绿心引领、廊链成网、分区筑底</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的先行启动区生态格局，提升区域生态系统的安全和品质。</w:t>
            </w:r>
          </w:p>
          <w:p w14:paraId="000ECB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②城</w:t>
            </w:r>
            <w:r>
              <w:rPr>
                <w:rFonts w:hint="default" w:ascii="Times New Roman" w:hAnsi="Times New Roman" w:eastAsia="宋体" w:cs="Times New Roman"/>
                <w:b/>
                <w:bCs/>
                <w:color w:val="auto"/>
                <w:sz w:val="24"/>
                <w:shd w:val="clear" w:color="auto" w:fill="FFFFFF"/>
                <w:lang w:val="en-US" w:eastAsia="zh-CN"/>
              </w:rPr>
              <w:t>乡</w:t>
            </w:r>
            <w:r>
              <w:rPr>
                <w:rFonts w:hint="default" w:ascii="Times New Roman" w:hAnsi="Times New Roman" w:eastAsia="宋体" w:cs="Times New Roman"/>
                <w:b/>
                <w:bCs/>
                <w:color w:val="auto"/>
                <w:sz w:val="24"/>
                <w:shd w:val="clear" w:color="auto" w:fill="FFFFFF"/>
              </w:rPr>
              <w:t>空间结构</w:t>
            </w:r>
          </w:p>
          <w:p w14:paraId="4D1DD5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lang w:eastAsia="zh-CN"/>
              </w:rPr>
            </w:pPr>
            <w:r>
              <w:rPr>
                <w:rFonts w:hint="default" w:ascii="Times New Roman" w:hAnsi="Times New Roman" w:eastAsia="宋体" w:cs="Times New Roman"/>
                <w:color w:val="auto"/>
                <w:sz w:val="24"/>
                <w:shd w:val="clear" w:color="auto" w:fill="FFFFFF"/>
              </w:rPr>
              <w:t>落实示范区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两核、四带、五片</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的整体空间结构，传承先行启动区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小集中、大分散</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的传统空间特色，按照</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多中心、网络化、融合式</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的空间组织模式，形成</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一厅三片、十字走廊、小镇网络</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的城乡空间结构，引导城乡更加平等均衡、共生共融发展</w:t>
            </w:r>
            <w:r>
              <w:rPr>
                <w:rFonts w:hint="default" w:ascii="Times New Roman" w:hAnsi="Times New Roman" w:eastAsia="宋体" w:cs="Times New Roman"/>
                <w:color w:val="auto"/>
                <w:sz w:val="24"/>
                <w:shd w:val="clear" w:color="auto" w:fill="FFFFFF"/>
                <w:lang w:eastAsia="zh-CN"/>
              </w:rPr>
              <w:t>。</w:t>
            </w:r>
          </w:p>
          <w:p w14:paraId="3601D2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lang w:val="en-US" w:eastAsia="zh-CN"/>
              </w:rPr>
              <w:t>③</w:t>
            </w:r>
            <w:r>
              <w:rPr>
                <w:rFonts w:hint="default" w:ascii="Times New Roman" w:hAnsi="Times New Roman" w:eastAsia="宋体" w:cs="Times New Roman"/>
                <w:b/>
                <w:bCs/>
                <w:color w:val="auto"/>
                <w:sz w:val="24"/>
                <w:shd w:val="clear" w:color="auto" w:fill="FFFFFF"/>
              </w:rPr>
              <w:t>镇村体系</w:t>
            </w:r>
          </w:p>
          <w:p w14:paraId="15AAE6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构建由</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新市镇</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镇区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-集镇</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社区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-村庄</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组成的镇村体系，促进先行启动区城乡整体发展。至2035年，先行启动区规划常住人口规模约78万人，建设用地上人口密度为5000-6000人/平方公里。其中，青浦片区16.5万人，吴江片区43万人、嘉善片区18.5万人。同时，为满足更广大区域人群的就业、商务以及旅游、康养等公共服务需求，在常住人口基础上预留20%左右的弹性，按照实际服务人口100万人统筹资源配置。</w:t>
            </w:r>
          </w:p>
          <w:p w14:paraId="01BC7B56">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三、国土空间底线管控</w:t>
            </w:r>
          </w:p>
          <w:p w14:paraId="76CE6937">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①耕地和永久基本农田保护</w:t>
            </w:r>
          </w:p>
          <w:p w14:paraId="4BFFC29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夯实粮食安全根基，落实耕地保护党政同责，按照两省一市要求实施耕地保护和粮食安全责任考核机制，对耕地保护责任目标完成情况定期考核。全面加强耕地保护统筹力度，对规划确定的耕地和永久基本农田坚决制止耕地</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非农化</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行为，严禁违规占用耕地开展非农建设，坚决防止</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非粮化</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，把住粮食安全主动权。</w:t>
            </w:r>
          </w:p>
          <w:p w14:paraId="5139E5CA">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②生态空间保护</w:t>
            </w:r>
          </w:p>
          <w:p w14:paraId="6F7237CF">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构建</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生态保护红线-结构性生态空间-其他生态空间</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三级生态空间管控体系，严格落实生态保护红线，保护重要结构性生态空间，强化生态基底约束。</w:t>
            </w:r>
          </w:p>
          <w:p w14:paraId="4419B3B6">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lang w:val="en-US" w:eastAsia="zh-CN"/>
              </w:rPr>
              <w:t>③</w:t>
            </w:r>
            <w:r>
              <w:rPr>
                <w:rFonts w:hint="default" w:ascii="Times New Roman" w:hAnsi="Times New Roman" w:eastAsia="宋体" w:cs="Times New Roman"/>
                <w:b/>
                <w:bCs/>
                <w:color w:val="auto"/>
                <w:sz w:val="24"/>
                <w:shd w:val="clear" w:color="auto" w:fill="FFFFFF"/>
              </w:rPr>
              <w:t>历史文化保护</w:t>
            </w:r>
          </w:p>
          <w:p w14:paraId="68D142F6">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延续与水共生的水乡聚落特征，以历史水路为脉络，串联历史文化名镇、传统村落文物古迹等文化资源点</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构建历史文化保护空间网络</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建立统一的历史文化保护对象体系划定文化保护控制线，实施分类分级管控。</w:t>
            </w:r>
          </w:p>
          <w:p w14:paraId="7ACA3C34">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四、生态环境</w:t>
            </w:r>
          </w:p>
          <w:p w14:paraId="7A20DF8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①水空间</w:t>
            </w:r>
          </w:p>
          <w:p w14:paraId="61B16D9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率先践行保护河湖空间的生态理念，彰显河网湖荡密布特色，优化水空间、保护水生态、提升水品质、做好水文章。以安全为底线，优化骨干河湖水系空间格局，加强河网湖荡互联互通，提升水系空间的调蓄能力。强化核心湖荡和重点河流保护，实施水环境综合治理，通过生态修复、景观营造等方式，发挥水空间的生态、景观、经济综合效益。</w:t>
            </w:r>
          </w:p>
          <w:p w14:paraId="2D7F8B75">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②农业空间</w:t>
            </w:r>
          </w:p>
          <w:p w14:paraId="4EA7B18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构建绿色高效的农业空间格局，促进现代农业与二三产业融合发展。提高农业空间保护水平和利用效率，推广循环农业和清洁生产模式，减少农业源碳排放，提升耕地土壤碳汇能力，发展服务城市、富裕农民的品牌农业，科技创新、优质高效的智慧农业和乐居生态、传承农耕文明的绿色农业。</w:t>
            </w:r>
          </w:p>
          <w:p w14:paraId="1E6F3DEE">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lang w:val="en-US" w:eastAsia="zh-CN"/>
              </w:rPr>
              <w:t>③</w:t>
            </w:r>
            <w:r>
              <w:rPr>
                <w:rFonts w:hint="default" w:ascii="Times New Roman" w:hAnsi="Times New Roman" w:eastAsia="宋体" w:cs="Times New Roman"/>
                <w:b/>
                <w:bCs/>
                <w:color w:val="auto"/>
                <w:sz w:val="24"/>
                <w:shd w:val="clear" w:color="auto" w:fill="FFFFFF"/>
              </w:rPr>
              <w:t>林地空间</w:t>
            </w:r>
          </w:p>
          <w:p w14:paraId="0D69D16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适度增加林地规模，引导林地合理高效布局，完善先行启动区森林网络，提升林地碳汇能力。</w:t>
            </w:r>
          </w:p>
          <w:p w14:paraId="774C421F">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促进水土保持和自然生境多样性修复，打造林水相依、林田交织的林地景观。</w:t>
            </w:r>
          </w:p>
          <w:p w14:paraId="5110D8F9">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④环境</w:t>
            </w:r>
            <w:r>
              <w:rPr>
                <w:rFonts w:hint="default" w:ascii="Times New Roman" w:hAnsi="Times New Roman" w:eastAsia="宋体" w:cs="Times New Roman"/>
                <w:b/>
                <w:bCs/>
                <w:color w:val="auto"/>
                <w:sz w:val="24"/>
                <w:shd w:val="clear" w:color="auto" w:fill="FFFFFF"/>
                <w:lang w:eastAsia="zh-CN"/>
              </w:rPr>
              <w:t>治</w:t>
            </w:r>
            <w:r>
              <w:rPr>
                <w:rFonts w:hint="default" w:ascii="Times New Roman" w:hAnsi="Times New Roman" w:eastAsia="宋体" w:cs="Times New Roman"/>
                <w:b/>
                <w:bCs/>
                <w:color w:val="auto"/>
                <w:sz w:val="24"/>
                <w:shd w:val="clear" w:color="auto" w:fill="FFFFFF"/>
              </w:rPr>
              <w:t>理</w:t>
            </w:r>
          </w:p>
          <w:p w14:paraId="5E7C99E2">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坚持</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生态优先、绿色发展</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核心理念，围绕水环境污染共治、大气污染联防联治、土壤风险管控等联保合作新格局，完善多方协同保护机制，把示范区先行区建设成为生态环境良好、绿色产业发达、环境管理先进、环境文化丰富、环境社会参与多元的绿色生态示范区。</w:t>
            </w:r>
          </w:p>
          <w:p w14:paraId="1C37DC03">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五、城</w:t>
            </w:r>
            <w:r>
              <w:rPr>
                <w:rFonts w:hint="default" w:ascii="Times New Roman" w:hAnsi="Times New Roman" w:eastAsia="宋体" w:cs="Times New Roman"/>
                <w:b/>
                <w:bCs/>
                <w:color w:val="auto"/>
                <w:sz w:val="24"/>
                <w:shd w:val="clear" w:color="auto" w:fill="FFFFFF"/>
                <w:lang w:val="en-US" w:eastAsia="zh-CN"/>
              </w:rPr>
              <w:t>乡</w:t>
            </w:r>
            <w:r>
              <w:rPr>
                <w:rFonts w:hint="default" w:ascii="Times New Roman" w:hAnsi="Times New Roman" w:eastAsia="宋体" w:cs="Times New Roman"/>
                <w:b/>
                <w:bCs/>
                <w:color w:val="auto"/>
                <w:sz w:val="24"/>
                <w:shd w:val="clear" w:color="auto" w:fill="FFFFFF"/>
              </w:rPr>
              <w:t>发展</w:t>
            </w:r>
          </w:p>
          <w:p w14:paraId="06E10200">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①产业发展</w:t>
            </w:r>
          </w:p>
          <w:p w14:paraId="40308260">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A、优化产业功能体系</w:t>
            </w:r>
          </w:p>
          <w:p w14:paraId="58014139">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培育新经济、新业态，构建五大经济为引领的产业功能体系。坚持生态友好、产城融合、集约高效、优势互补的原则，推动科技创新与产业发展深度融合，以好风景促进新经济，增进高水平网络化分工、整合区域创新资源，聚焦功能型总部经济、特色型服务经济、融合型数字经济、前沿型创新经济、生态型湖区经济，优先布局战略性新兴产业与未来产业，提升现代服务业能级。</w:t>
            </w:r>
          </w:p>
          <w:p w14:paraId="62C00DE3">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强化创新经济核心功能环节。坚持以生态环境保护和提高资源利用效率为核心，聚焦研发设计服务、文旅康体服务、特色金融服务、绿色高端制造、智慧生态农业的</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三服务、一制造、一农业</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产业核心环节，大力发展资源节约型、环境友好型产业，努力实现经济发展与生态环境的相得益彰，相互促进。</w:t>
            </w:r>
          </w:p>
          <w:p w14:paraId="2D53D93E">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培育一批具有创新引擎功能的民族标杆企业。充分发挥长三角区域市场化机制优势加快培育本土领军企业，构筑民营经济创新发展新高地。按照高标准的产业准入门槛，打造绿色、高端、新兴产业发展示范样板，增强产业链关键核心环节对长三角世界级产业集群的支撑、服务作用。</w:t>
            </w:r>
          </w:p>
          <w:p w14:paraId="34D39D58">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B、打造创新产业集群</w:t>
            </w:r>
          </w:p>
          <w:p w14:paraId="5130787A">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形成若干具有国际竞争力的新兴产业集群。瞄准世界科技和未来产业方向，聚焦总部经济、服务经济、数字经济、创新经济等领域，加快推进新技术、新产业、新业态、新模式协调发展，打造汇聚全球顶尖新兴产业与业态发展高地。</w:t>
            </w:r>
          </w:p>
          <w:p w14:paraId="571D10C5">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建设一批高水平的科技和产业创新平台。聚焦国家战略需求，引进和培育国际顶级国家实验室、科研院所、创新平台和产业创新中心，着力构建国际一流的全域创新生态体系，打造创新人才荟萃、创新主体集聚、创新成果涌流的产业创新策源地。</w:t>
            </w:r>
          </w:p>
          <w:p w14:paraId="157B8F2B">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lang w:eastAsia="zh-CN"/>
              </w:rPr>
            </w:pPr>
            <w:r>
              <w:rPr>
                <w:rFonts w:hint="default" w:ascii="Times New Roman" w:hAnsi="Times New Roman" w:eastAsia="宋体" w:cs="Times New Roman"/>
                <w:color w:val="auto"/>
                <w:sz w:val="24"/>
                <w:shd w:val="clear" w:color="auto" w:fill="FFFFFF"/>
              </w:rPr>
              <w:t>打造一批功能复合、业态多元的产业活力节点。聚焦新经济功能，通过存量更新配套提升、产业引领，建设规模适宜、功能聚合、服务协同的产业活力节点，增强创新与产业功能网络联系，创造适合高端人才集聚、适应新经济发展的宜居宜业良好环境</w:t>
            </w:r>
            <w:r>
              <w:rPr>
                <w:rFonts w:hint="default" w:ascii="Times New Roman" w:hAnsi="Times New Roman" w:eastAsia="宋体" w:cs="Times New Roman"/>
                <w:color w:val="auto"/>
                <w:sz w:val="24"/>
                <w:shd w:val="clear" w:color="auto" w:fill="FFFFFF"/>
                <w:lang w:eastAsia="zh-CN"/>
              </w:rPr>
              <w:t>。</w:t>
            </w:r>
          </w:p>
          <w:p w14:paraId="7F8C7289">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②产业空间布局</w:t>
            </w:r>
          </w:p>
          <w:p w14:paraId="3A99E6FF">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A、科技研发型产业社区</w:t>
            </w:r>
          </w:p>
          <w:p w14:paraId="037240B2">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科技研发型产业社区主要指水乡客厅、西岑、苏州南站科创新城、祥符荡等生态环境良好、创新要素集聚的产业社区，聚焦科技策源与技术孵化功能，重点吸引科技型龙头企业总部、大学、科研机构、重点实验室、科技服务机构等主体集聚，并统筹布局大型和中小型企业及相关机构。</w:t>
            </w:r>
          </w:p>
          <w:p w14:paraId="607643C7">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规划面积约为3</w:t>
            </w:r>
            <w:r>
              <w:rPr>
                <w:rFonts w:hint="default" w:ascii="Times New Roman" w:hAnsi="Times New Roman" w:cs="Times New Roman"/>
                <w:color w:val="auto"/>
                <w:sz w:val="24"/>
                <w:shd w:val="clear" w:color="auto" w:fill="FFFFFF"/>
                <w:lang w:val="en-US" w:eastAsia="zh-CN"/>
              </w:rPr>
              <w:t>~</w:t>
            </w:r>
            <w:r>
              <w:rPr>
                <w:rFonts w:hint="default" w:ascii="Times New Roman" w:hAnsi="Times New Roman" w:eastAsia="宋体" w:cs="Times New Roman"/>
                <w:color w:val="auto"/>
                <w:sz w:val="24"/>
                <w:shd w:val="clear" w:color="auto" w:fill="FFFFFF"/>
              </w:rPr>
              <w:t>5平方公里。产业用地类型以创新研发和办公类用地为主，融合居住用地及公服用地。其中，创新类研发或商务办公用地建筑规模比重建议不低于50%。在空间布局上，通过地块的灵活划分，适应不同成长阶段企业的用地需求。以研发功能为主，岗位密度预计在1.5万人/平方公里左右，提供鼓励各类人才就业创业的特色公共服务设施，提供面向各层次人才的租赁住房</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鼓励以公共空间为核心串联组织各项产业和生活服务功能</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建设充满活力的步行街道</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结合公共空间设置咖啡、餐饮、艺术画廊等配套设施以及休憩设施。</w:t>
            </w:r>
          </w:p>
          <w:p w14:paraId="6822302F">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B、智能制造型产业社区</w:t>
            </w:r>
          </w:p>
          <w:p w14:paraId="7CC0D9C4">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智能制造型产业社区主要指汾湖产业社区、沈巷、西塘、姚庄、黎里、金家坝等现状工业基础发展较好的产业园区，聚焦战略性新兴产业领域，重点发展新一代半导体、物联网、智能装备、生物医药、节能环保、前沿新材料等产业，打造</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研发创新-成果转化高端制造</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链条完整的产业集群，加快传统制造业向</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工业4.0</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发展模式转型升级，实现绿色、智能化、柔性化生产。</w:t>
            </w:r>
          </w:p>
          <w:p w14:paraId="77A559F5">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产业用地类型以工业和创新研发类用地为主，融合居住用地及公服用地。新增研发用地用于设计研发、企业总部等功能。鼓励产业用地集中布局，工业用地与居住、公共服务用地之间宜布局创新研发类用地与商务办公用地作为过渡。</w:t>
            </w:r>
          </w:p>
          <w:p w14:paraId="485CC12B">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就业岗位密度预计达9000人/平方公里左右，依据岗位人口配置生产生活服务类设施，增加教育文化场所，完善零售服务、餐饮等生活配套设施，配置会议展示、行业交流商务服务等产业配套设施，</w:t>
            </w:r>
          </w:p>
          <w:p w14:paraId="1B24044B">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C、文创休闲型产业社区</w:t>
            </w:r>
          </w:p>
          <w:p w14:paraId="45212EF1">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文创休闲型产业社区主要依托朱家角、金泽、西塘、黎里、芦墟、商、丁栅等彰显江南水乡特色的文化古镇与湖荡小镇，重点发展文化创意、医美康养、旅游休闲、体育运动、生态绿色农业等产业。增强生态与人文的融合发展，打通创意转化、应用生产链条</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推进本地化的创意产品与农业、旅游业深度融合。</w:t>
            </w:r>
          </w:p>
          <w:p w14:paraId="35C1060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规划以创新研发以及商业用地为主，融合布局居住用地、公共服务等用地。其中，科技研发用房占比原则上不低于35%。鼓励提供多样化、布局灵活的小型创新空间和文化空间，</w:t>
            </w:r>
            <w:r>
              <w:rPr>
                <w:rFonts w:hint="default" w:ascii="Times New Roman" w:hAnsi="Times New Roman" w:eastAsia="宋体" w:cs="Times New Roman"/>
                <w:color w:val="auto"/>
                <w:sz w:val="24"/>
                <w:shd w:val="clear" w:color="auto" w:fill="FFFFFF"/>
                <w:lang w:val="en-US" w:eastAsia="zh-CN"/>
              </w:rPr>
              <w:t>宜</w:t>
            </w:r>
            <w:r>
              <w:rPr>
                <w:rFonts w:hint="default" w:ascii="Times New Roman" w:hAnsi="Times New Roman" w:eastAsia="宋体" w:cs="Times New Roman"/>
                <w:color w:val="auto"/>
                <w:sz w:val="24"/>
                <w:shd w:val="clear" w:color="auto" w:fill="FFFFFF"/>
              </w:rPr>
              <w:t>结合老厂房等存量用地进行改造升级。</w:t>
            </w:r>
          </w:p>
          <w:p w14:paraId="51856A8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就业岗位密度预计在5000人/平方公里。提供符合创新创意人员特点的多元化、多层次居住、商业和公共服务配套</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兼顾旅游休闲服务功能</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打造具有水乡特色的创意街区。</w:t>
            </w:r>
          </w:p>
          <w:p w14:paraId="02888BB6">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六、基础设施</w:t>
            </w:r>
          </w:p>
          <w:p w14:paraId="582599CE">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①综合交通</w:t>
            </w:r>
          </w:p>
          <w:p w14:paraId="35CDECD6">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按照节点高效直通、适度网络化布局、互联互通运营、智能化管理、一体化服务等思路和原则，强化跨界交通协同、内外交通衔接、地区交通提升和品质交通塑造，打造内联外畅、互联密织、面向未来的低碳绿色、高效畅达、特色多元、智慧赋能、快旅慢游的高品质综合交通体系。</w:t>
            </w:r>
          </w:p>
          <w:p w14:paraId="6162DEBD">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至2035年，绿色交通出行</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含公共交通、慢行交通、新能源车辆等</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比例达到80%</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城镇地区轨道交通和中低运量公交站点600米半径范围内覆盖的人口和就业岗位比例达到65%，先行启动区内部平均通勤时间不超过30分钟。</w:t>
            </w:r>
          </w:p>
          <w:p w14:paraId="3AD90F90">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②市政设施</w:t>
            </w:r>
          </w:p>
          <w:p w14:paraId="064B7D5C">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以绿色、循环、低碳、智慧为目标，着力推动先行启动区市政基础设施高质量发展。推进各类资源节约集约利用和能源低碳发展</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加强先行启动区水资源及能源供给的互联互通以及共济共补，加快构建废弃物循环利用体系，加强新一代信息基础设施建设的统筹规划和集约建设，实现三地市政基础互联互通、分工合作及管理协同。</w:t>
            </w:r>
          </w:p>
          <w:p w14:paraId="587D7248">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A、安全优质的供水体系</w:t>
            </w:r>
          </w:p>
          <w:p w14:paraId="1B559581">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优化用水结构，建设节水型示范区。提高非常规水利用率，市政、绿化、环卫、建筑施工以及生态景观等用水应优先使用符合水质标准的雨水和再生水。至 2035年，万元地区生产总值用水量控制在20立方米以下</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万元工业增加值用水量控制在10立方米以下提高饮用水供应标准，供水水质合格率不低于99%，公共供水普及率99.99%，供水管网漏损率不大于6%。结合水乡客厅等重点建设区设置高品质饮用水试验示范区。</w:t>
            </w:r>
          </w:p>
          <w:p w14:paraId="7E184F3F">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lang w:eastAsia="zh-CN"/>
              </w:rPr>
            </w:pPr>
            <w:r>
              <w:rPr>
                <w:rFonts w:hint="default" w:ascii="Times New Roman" w:hAnsi="Times New Roman" w:eastAsia="宋体" w:cs="Times New Roman"/>
                <w:color w:val="auto"/>
                <w:sz w:val="24"/>
                <w:shd w:val="clear" w:color="auto" w:fill="FFFFFF"/>
              </w:rPr>
              <w:t>区域水资源协调净化，推动水源地、原水系统相互连通、互为备用，保障原水供应安全。重点保护东太湖、太浦河饮用水水源地，确保集中式饮用水源地水质达标率100%规划清水供给系统增强互联互通，清水增量分片建厂。先行启动区规划水源来自青浦二水厂、青浦三水厂、吴江一水厂、吴江二水厂、丁珊水厂、魏塘水厂及规划吴江三水。通过在三地新增必要的清水干管和供水泵站，实现三地水厂间的环状清水干管网络</w:t>
            </w:r>
            <w:r>
              <w:rPr>
                <w:rFonts w:hint="default" w:ascii="Times New Roman" w:hAnsi="Times New Roman" w:eastAsia="宋体" w:cs="Times New Roman"/>
                <w:color w:val="auto"/>
                <w:sz w:val="24"/>
                <w:shd w:val="clear" w:color="auto" w:fill="FFFFFF"/>
                <w:lang w:eastAsia="zh-CN"/>
              </w:rPr>
              <w:t>。</w:t>
            </w:r>
          </w:p>
          <w:p w14:paraId="3F51B2A7">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B、绿色高效的污水系统</w:t>
            </w:r>
          </w:p>
          <w:p w14:paraId="08767912">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建立与区域发展定位相协调的城乡污水系统，城乡污水处理率99%，污泥无害化处理处置率达到100%，污水处理厂执行高于一级A的特殊限值的排放标准</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尾水化学需氧量、氨氯、总磷等指标达到地表水IV类水标准</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w:t>
            </w:r>
          </w:p>
          <w:p w14:paraId="02431114">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规划将在现状污水分片的基础上，以组团集约的方式布局，并合理考虑互联互通，进一步完善污水收集系统，实现管网全覆盖、污水零直排。优化污水处理与再生水利用设施布局，提升再生水品质。青浦朱家角镇污水由朱家角污水处理厂处理，金泽镇污水集中至西岑水质净化厂处理，归并金泽、商污水处理厂。吴江汾湖高新区污水由汾湖西部污水处理厂及规划苏州南站地区污水处理厂处理，归并汾湖南部污水处理厂、芦墟污水处理厂。嘉善西塘镇污水由西塘污水厂处理</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姚庄镇污水由大成污水处理厂及东部污水厂处理邻近镇区的行政村污水就近纳入城市污水管网，距离较远的在各村内自设小型生态化污水处理设施，进行就地污水处置。为进一步削减污染物排放，污水厂的提标改造的同时，建议充分利用湿地、河道生态化改造等构建尾水生态净化系统。</w:t>
            </w:r>
          </w:p>
          <w:p w14:paraId="660E2925">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C、低碳清洁的能源供给</w:t>
            </w:r>
          </w:p>
          <w:p w14:paraId="4679740F">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保障先行启动区用电需求，构建以</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以特高压为落点，超高压为支撑，220kV为骨干</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的电源清洁输入为主、区内发电为辅的供电格局，推广太阳能、风能等可再生能源天然气及垃圾焚烧发电，根据三地发展需求合理增设变电站。至2035年，供电可靠率99.99%。促进间歇式电源并网运行技术应用及</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源-网-荷-储</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体系协调，建成安全可靠、互联互通、运行灵活、管理科学、技术经济指标先进的智能电网。</w:t>
            </w:r>
          </w:p>
          <w:p w14:paraId="7578B544">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加强天然气等清洁能源的综合利用。以</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西气东输</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和</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川气东送</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为主要气源</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以LNG为辅助气源，形成供需平衡、结构合理的多气源供应格局。推进长三角地区超高压天然气管网互联互通，增强调度灵活性，实现区域应急互助，提升区域燃气供应保障和运行服务水平。保留先行启动区内现状汾湖门站、西二线汾湖分输站、姚庄门站、汾湖高中压调压站和嘉善T4高中压调压站，根据三地发展需求合理增设燃气门站和调压站。</w:t>
            </w:r>
          </w:p>
          <w:p w14:paraId="1C280760">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构建多能互补、协同供应的冷</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热</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体系。结合重点地区开发建设，鼓励冷、热负荷集中的高铁站、宾馆、医院、商业等公共建筑实施分布式能源站，可结合公共建筑、公共绿地的地下室综合设置。对新建的住宅建筑和办公、商业等公共建筑，鼓励采用地源热泵系统满足日常空调采暖和制冷需求。新建的住宅、学校、宾馆等建筑上鼓励太阳能光热利用。</w:t>
            </w:r>
          </w:p>
          <w:p w14:paraId="5CF4FED7">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rPr>
              <w:t>D、协同共济的固废处置</w:t>
            </w:r>
          </w:p>
          <w:p w14:paraId="5C88AFB2">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建立健全固废分类收运处置体系，建成</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分类投放、分类收集、分类运输、分类处理</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的区域统筹、城乡一体的固废处理系统，实现固废源头减量、资源化利用和无害化处置。2035年，实现原生生活垃圾零填埋，生活垃圾分类收集率和无害化处理率达到 100%。规划改造嘉善县生活垃圾焚烧厂处置水平至欧盟标准，形成集烧、餐厨、分拣等分类处置、资源化利用一体化的高标准静脉产业园:健全建筑垃圾收集、运输、处置全过程体系和全链条监管，合理增设环卫中转站:加强有机垃圾分类处置管理，提升资源化利用率统筹推进各区域固废能力建设，就近处置，降低运输过程中的风险。整合信息资源，打造智慧管理系统，提升固废跨区域转移监管水平。探索</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点对点</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跨区域固废转移机制。</w:t>
            </w:r>
          </w:p>
          <w:p w14:paraId="12BA7371">
            <w:pPr>
              <w:pStyle w:val="5"/>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2" w:firstLineChars="200"/>
              <w:textAlignment w:val="auto"/>
              <w:rPr>
                <w:rFonts w:hint="default" w:ascii="Times New Roman" w:hAnsi="Times New Roman" w:eastAsia="宋体" w:cs="Times New Roman"/>
                <w:b/>
                <w:bCs/>
                <w:color w:val="auto"/>
                <w:sz w:val="24"/>
                <w:shd w:val="clear" w:color="auto" w:fill="FFFFFF"/>
              </w:rPr>
            </w:pPr>
            <w:r>
              <w:rPr>
                <w:rFonts w:hint="default" w:ascii="Times New Roman" w:hAnsi="Times New Roman" w:eastAsia="宋体" w:cs="Times New Roman"/>
                <w:b/>
                <w:bCs/>
                <w:color w:val="auto"/>
                <w:sz w:val="24"/>
                <w:shd w:val="clear" w:color="auto" w:fill="FFFFFF"/>
                <w:lang w:val="en-US" w:eastAsia="zh-CN"/>
              </w:rPr>
              <w:t>E、</w:t>
            </w:r>
            <w:r>
              <w:rPr>
                <w:rFonts w:hint="default" w:ascii="Times New Roman" w:hAnsi="Times New Roman" w:eastAsia="宋体" w:cs="Times New Roman"/>
                <w:b/>
                <w:bCs/>
                <w:color w:val="auto"/>
                <w:sz w:val="24"/>
                <w:shd w:val="clear" w:color="auto" w:fill="FFFFFF"/>
              </w:rPr>
              <w:t>高速智能的通信设施</w:t>
            </w:r>
          </w:p>
          <w:p w14:paraId="0C2FEBF0">
            <w:pPr>
              <w:pStyle w:val="5"/>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提高通信连接网络的高速智能，移动通信网络和固定宽带网络实现千兆全市覆盖第五代移动通信技术</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5G</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率先开展商用，互联网协议第6版</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IPv6</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、网络智能化改造和新型工业互联网络。实现机房、管线、设备等所有通信资源的共建共享，打造新一代信息基础设施建设运营的新模式</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强化无线通信基站与其他基础设施结合设置和景观化要</w:t>
            </w:r>
            <w:r>
              <w:rPr>
                <w:rFonts w:hint="default" w:ascii="Times New Roman" w:hAnsi="Times New Roman" w:eastAsia="宋体" w:cs="Times New Roman"/>
                <w:color w:val="auto"/>
                <w:sz w:val="24"/>
                <w:shd w:val="clear" w:color="auto" w:fill="FFFFFF"/>
                <w:lang w:val="en-US" w:eastAsia="zh-CN"/>
              </w:rPr>
              <w:t>求</w:t>
            </w:r>
          </w:p>
          <w:p w14:paraId="13CA9492">
            <w:pPr>
              <w:pStyle w:val="5"/>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right="0" w:rightChars="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以实现数字智能转接为目标，现有通信局房以改造为主，新建为辅，将现有通信局房升级为综合通信机房，提高固定通信、移动通信和数据的处理能力。适度超前布局大容量骨干光缆通信网络以及多场景分层覆盖的移动通信网络</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城市建设区内所有通信线路均采用地下敷设。与城市各类设施同步考虑各类感知设施，覆盖交通、物流、市政基础设施、生态环境、民生服务等领域。</w:t>
            </w:r>
          </w:p>
          <w:p w14:paraId="7EABB4EA">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lang w:val="en-US" w:eastAsia="zh-CN"/>
              </w:rPr>
            </w:pPr>
            <w:r>
              <w:rPr>
                <w:rFonts w:hint="default" w:ascii="Times New Roman" w:hAnsi="Times New Roman" w:eastAsia="宋体" w:cs="Times New Roman"/>
                <w:color w:val="auto"/>
                <w:sz w:val="24"/>
                <w:shd w:val="clear" w:color="auto" w:fill="FFFFFF"/>
              </w:rPr>
              <w:t>从感知、通信和计算三个层面为智能城市要素构建多层次的智慧城市应用硬件保障实现智能基础设施和感知设施布局的科学化、集约化、立体化。强化三地间信息数据资源的协同共享，实现跨区域、跨部门、跨层级、跨系统的统筹衔接，推动先行启动区内新一代信息基础设施资源、应用、产业、生态的协同发展，形成共建大设施、推动大协作的建</w:t>
            </w:r>
            <w:r>
              <w:rPr>
                <w:rFonts w:hint="default" w:ascii="Times New Roman" w:hAnsi="Times New Roman" w:eastAsia="宋体" w:cs="Times New Roman"/>
                <w:color w:val="auto"/>
                <w:sz w:val="24"/>
                <w:shd w:val="clear" w:color="auto" w:fill="FFFFFF"/>
                <w:lang w:val="en-US" w:eastAsia="zh-CN"/>
              </w:rPr>
              <w:t>设新氛围。</w:t>
            </w:r>
          </w:p>
          <w:p w14:paraId="4515CEB8">
            <w:pPr>
              <w:pStyle w:val="5"/>
              <w:keepNext w:val="0"/>
              <w:keepLines w:val="0"/>
              <w:pageBreakBefore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2"/>
                <w:lang w:val="en-US" w:eastAsia="zh-CN"/>
              </w:rPr>
            </w:pPr>
            <w:r>
              <w:rPr>
                <w:rFonts w:hint="default" w:ascii="Times New Roman" w:hAnsi="Times New Roman" w:eastAsia="宋体" w:cs="Times New Roman"/>
                <w:b/>
                <w:bCs/>
                <w:color w:val="auto"/>
                <w:sz w:val="24"/>
                <w:szCs w:val="22"/>
                <w:lang w:val="en-US" w:eastAsia="zh-CN"/>
              </w:rPr>
              <w:t>相符性分析：</w:t>
            </w:r>
          </w:p>
          <w:p w14:paraId="78D2EBB0">
            <w:pPr>
              <w:pStyle w:val="5"/>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zCs w:val="22"/>
                <w:lang w:val="ru-RU"/>
              </w:rPr>
            </w:pPr>
            <w:r>
              <w:rPr>
                <w:rFonts w:hint="default" w:ascii="Times New Roman" w:hAnsi="Times New Roman" w:eastAsia="宋体" w:cs="Times New Roman"/>
                <w:color w:val="auto"/>
                <w:sz w:val="24"/>
                <w:szCs w:val="22"/>
                <w:lang w:val="ru-RU"/>
              </w:rPr>
              <w:t>本项目位于苏州市吴江区黎里镇</w:t>
            </w:r>
            <w:r>
              <w:rPr>
                <w:rFonts w:hint="eastAsia" w:cs="Times New Roman"/>
                <w:color w:val="auto"/>
                <w:sz w:val="24"/>
                <w:szCs w:val="22"/>
                <w:lang w:val="en-US" w:eastAsia="zh-CN"/>
              </w:rPr>
              <w:t>黎民南路37号</w:t>
            </w:r>
            <w:r>
              <w:rPr>
                <w:rFonts w:hint="default" w:ascii="Times New Roman" w:hAnsi="Times New Roman" w:eastAsia="宋体" w:cs="Times New Roman"/>
                <w:color w:val="auto"/>
                <w:sz w:val="24"/>
                <w:szCs w:val="22"/>
                <w:lang w:val="ru-RU"/>
              </w:rPr>
              <w:t>，项目所在地</w:t>
            </w:r>
            <w:r>
              <w:rPr>
                <w:rFonts w:hint="eastAsia" w:cs="Times New Roman"/>
                <w:color w:val="auto"/>
                <w:sz w:val="24"/>
                <w:szCs w:val="22"/>
                <w:lang w:val="en-US" w:eastAsia="zh-CN"/>
              </w:rPr>
              <w:t>现状和近期用途</w:t>
            </w:r>
            <w:r>
              <w:rPr>
                <w:rFonts w:hint="default" w:ascii="Times New Roman" w:hAnsi="Times New Roman" w:eastAsia="宋体" w:cs="Times New Roman"/>
                <w:color w:val="auto"/>
                <w:sz w:val="24"/>
                <w:szCs w:val="22"/>
                <w:lang w:val="ru-RU"/>
              </w:rPr>
              <w:t>为工业用地</w:t>
            </w:r>
            <w:r>
              <w:rPr>
                <w:rFonts w:hint="eastAsia" w:cs="Times New Roman"/>
                <w:color w:val="auto"/>
                <w:sz w:val="24"/>
                <w:szCs w:val="22"/>
                <w:lang w:val="ru-RU" w:eastAsia="zh-CN"/>
              </w:rPr>
              <w:t>，</w:t>
            </w:r>
            <w:r>
              <w:rPr>
                <w:rFonts w:hint="eastAsia" w:cs="Times New Roman"/>
                <w:color w:val="auto"/>
                <w:sz w:val="24"/>
                <w:szCs w:val="22"/>
                <w:lang w:val="en-US" w:eastAsia="zh-CN"/>
              </w:rPr>
              <w:t>远期用途为商业用地</w:t>
            </w:r>
            <w:r>
              <w:rPr>
                <w:rFonts w:hint="default" w:ascii="Times New Roman" w:hAnsi="Times New Roman" w:eastAsia="宋体" w:cs="Times New Roman"/>
                <w:color w:val="auto"/>
                <w:sz w:val="24"/>
                <w:szCs w:val="22"/>
                <w:lang w:val="ru-RU"/>
              </w:rPr>
              <w:t>。</w:t>
            </w:r>
          </w:p>
          <w:p w14:paraId="7433085B">
            <w:pPr>
              <w:pStyle w:val="3"/>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2"/>
                <w:highlight w:val="none"/>
                <w:lang w:val="ru-RU"/>
              </w:rPr>
            </w:pPr>
            <w:r>
              <w:rPr>
                <w:rFonts w:hint="default" w:ascii="Times New Roman" w:hAnsi="Times New Roman" w:eastAsia="宋体" w:cs="Times New Roman"/>
                <w:color w:val="auto"/>
                <w:sz w:val="24"/>
                <w:szCs w:val="22"/>
                <w:highlight w:val="none"/>
                <w:shd w:val="clear" w:color="auto" w:fill="FFFFFF"/>
              </w:rPr>
              <w:t>本项目</w:t>
            </w:r>
            <w:r>
              <w:rPr>
                <w:rFonts w:hint="eastAsia" w:cs="Times New Roman"/>
                <w:color w:val="auto"/>
                <w:sz w:val="24"/>
                <w:highlight w:val="none"/>
                <w:lang w:val="en-US" w:eastAsia="zh-CN"/>
              </w:rPr>
              <w:t>针体磨抛</w:t>
            </w:r>
            <w:r>
              <w:rPr>
                <w:rFonts w:hint="default" w:ascii="Times New Roman" w:hAnsi="Times New Roman" w:eastAsia="宋体" w:cs="Times New Roman"/>
                <w:color w:val="auto"/>
                <w:sz w:val="24"/>
                <w:highlight w:val="none"/>
                <w:lang w:val="en-US" w:eastAsia="zh-CN"/>
              </w:rPr>
              <w:t>所产生</w:t>
            </w:r>
            <w:r>
              <w:rPr>
                <w:rFonts w:hint="eastAsia" w:cs="Times New Roman"/>
                <w:color w:val="auto"/>
                <w:sz w:val="24"/>
                <w:highlight w:val="none"/>
                <w:lang w:val="en-US" w:eastAsia="zh-CN"/>
              </w:rPr>
              <w:t>颗粒物由集气罩收集后经</w:t>
            </w:r>
            <w:r>
              <w:rPr>
                <w:rFonts w:hint="default" w:ascii="Times New Roman" w:hAnsi="Times New Roman" w:eastAsia="宋体" w:cs="Times New Roman"/>
                <w:color w:val="auto"/>
                <w:sz w:val="24"/>
                <w:highlight w:val="none"/>
                <w:lang w:val="en-US" w:eastAsia="zh-CN"/>
              </w:rPr>
              <w:t>布袋除尘器</w:t>
            </w:r>
            <w:r>
              <w:rPr>
                <w:rFonts w:hint="eastAsia" w:cs="Times New Roman"/>
                <w:color w:val="auto"/>
                <w:sz w:val="24"/>
                <w:highlight w:val="none"/>
                <w:lang w:val="en-US" w:eastAsia="zh-CN"/>
              </w:rPr>
              <w:t>处理后</w:t>
            </w:r>
            <w:r>
              <w:rPr>
                <w:rFonts w:hint="eastAsia" w:cs="Times New Roman"/>
                <w:color w:val="auto"/>
                <w:sz w:val="24"/>
                <w:szCs w:val="21"/>
                <w:highlight w:val="none"/>
                <w:lang w:val="en-US" w:eastAsia="zh-CN"/>
              </w:rPr>
              <w:t>由15m高1#排气筒排放，挤塑、针柄制作、封装所产生非甲烷总烃由</w:t>
            </w:r>
            <w:r>
              <w:rPr>
                <w:rFonts w:hint="eastAsia" w:cs="Times New Roman"/>
                <w:color w:val="auto"/>
                <w:sz w:val="24"/>
                <w:highlight w:val="none"/>
                <w:lang w:val="en-US" w:eastAsia="zh-CN"/>
              </w:rPr>
              <w:t>集气罩收集后通过“二级活性炭吸附”装置处理后经15m高2#排气筒排放</w:t>
            </w:r>
            <w:r>
              <w:rPr>
                <w:rFonts w:hint="default" w:ascii="Times New Roman" w:hAnsi="Times New Roman" w:eastAsia="宋体" w:cs="Times New Roman"/>
                <w:color w:val="auto"/>
                <w:sz w:val="24"/>
                <w:szCs w:val="21"/>
                <w:highlight w:val="none"/>
                <w:lang w:val="ru-RU" w:eastAsia="zh-CN"/>
              </w:rPr>
              <w:t>；</w:t>
            </w:r>
            <w:r>
              <w:rPr>
                <w:rFonts w:hint="default" w:ascii="Times New Roman" w:hAnsi="Times New Roman" w:eastAsia="宋体" w:cs="Times New Roman"/>
                <w:color w:val="auto"/>
                <w:sz w:val="24"/>
                <w:szCs w:val="21"/>
                <w:highlight w:val="none"/>
                <w:lang w:val="en-US" w:eastAsia="zh-CN"/>
              </w:rPr>
              <w:t>生活污水</w:t>
            </w:r>
            <w:r>
              <w:rPr>
                <w:rFonts w:hint="eastAsia" w:cs="Times New Roman"/>
                <w:color w:val="auto"/>
                <w:sz w:val="24"/>
                <w:szCs w:val="21"/>
                <w:highlight w:val="none"/>
                <w:lang w:val="en-US" w:eastAsia="zh-CN"/>
              </w:rPr>
              <w:t>接管至</w:t>
            </w:r>
            <w:r>
              <w:rPr>
                <w:rFonts w:hint="eastAsia" w:cs="Times New Roman"/>
                <w:color w:val="auto"/>
                <w:sz w:val="24"/>
                <w:szCs w:val="24"/>
                <w:highlight w:val="none"/>
                <w:lang w:val="ru-RU" w:eastAsia="zh-CN"/>
              </w:rPr>
              <w:t>苏州汾湖水务发展有限公司（黎里工业再生水厂）</w:t>
            </w:r>
            <w:r>
              <w:rPr>
                <w:rFonts w:hint="eastAsia"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2"/>
                <w:highlight w:val="none"/>
                <w:shd w:val="clear" w:color="auto" w:fill="FFFFFF"/>
              </w:rPr>
              <w:t>。</w:t>
            </w:r>
          </w:p>
          <w:p w14:paraId="762D0E94">
            <w:pPr>
              <w:pStyle w:val="5"/>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综上，本项目与《长三角生态绿色一体化发展示范区先行启动区国土空间总体规划</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2021-2035年</w:t>
            </w:r>
            <w:r>
              <w:rPr>
                <w:rFonts w:hint="default" w:ascii="Times New Roman" w:hAnsi="Times New Roman" w:eastAsia="宋体" w:cs="Times New Roman"/>
                <w:color w:val="auto"/>
                <w:sz w:val="24"/>
                <w:shd w:val="clear" w:color="auto" w:fill="FFFFFF"/>
                <w:lang w:eastAsia="zh-CN"/>
              </w:rPr>
              <w:t>）</w:t>
            </w:r>
            <w:r>
              <w:rPr>
                <w:rFonts w:hint="default" w:ascii="Times New Roman" w:hAnsi="Times New Roman" w:eastAsia="宋体" w:cs="Times New Roman"/>
                <w:color w:val="auto"/>
                <w:sz w:val="24"/>
                <w:shd w:val="clear" w:color="auto" w:fill="FFFFFF"/>
              </w:rPr>
              <w:t>》相符。</w:t>
            </w:r>
          </w:p>
          <w:p w14:paraId="7D31A291">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rPr>
                <w:rFonts w:hint="default"/>
                <w:b/>
                <w:bCs/>
                <w:color w:val="auto"/>
                <w:sz w:val="24"/>
                <w:highlight w:val="none"/>
                <w:lang w:val="en-US" w:eastAsia="zh-CN"/>
              </w:rPr>
            </w:pPr>
            <w:r>
              <w:rPr>
                <w:rFonts w:hint="eastAsia" w:ascii="Times New Roman" w:hAnsi="Times New Roman" w:eastAsia="宋体" w:cs="Times New Roman"/>
                <w:b/>
                <w:color w:val="auto"/>
                <w:sz w:val="24"/>
                <w:shd w:val="clear" w:color="auto" w:fill="FFFFFF"/>
                <w:lang w:val="en-US" w:eastAsia="zh-CN"/>
              </w:rPr>
              <w:t>1.2</w:t>
            </w:r>
            <w:r>
              <w:rPr>
                <w:rFonts w:hint="eastAsia"/>
                <w:b/>
                <w:bCs/>
                <w:color w:val="auto"/>
                <w:sz w:val="24"/>
                <w:highlight w:val="none"/>
              </w:rPr>
              <w:t>与《长三角生态绿色一体化发展示范区国土空间总体规划（2021-2035年）</w:t>
            </w:r>
            <w:r>
              <w:rPr>
                <w:rFonts w:hint="eastAsia"/>
                <w:b/>
                <w:bCs/>
                <w:color w:val="auto"/>
                <w:sz w:val="24"/>
                <w:highlight w:val="none"/>
                <w:lang w:eastAsia="zh-CN"/>
              </w:rPr>
              <w:t>》</w:t>
            </w:r>
            <w:r>
              <w:rPr>
                <w:rFonts w:hint="eastAsia"/>
                <w:b/>
                <w:bCs/>
                <w:color w:val="auto"/>
                <w:sz w:val="24"/>
                <w:highlight w:val="none"/>
              </w:rPr>
              <w:t>相符性分析</w:t>
            </w:r>
          </w:p>
          <w:p w14:paraId="705BE9F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olor w:val="auto"/>
                <w:sz w:val="24"/>
                <w:szCs w:val="24"/>
              </w:rPr>
            </w:pPr>
            <w:r>
              <w:rPr>
                <w:rFonts w:hint="eastAsia"/>
                <w:color w:val="auto"/>
                <w:sz w:val="24"/>
                <w:szCs w:val="24"/>
              </w:rPr>
              <w:t>《长三角生态绿色一体化发展示范区国土空间总体规划（2021-2035年）》中示范区将优化国土空间格局。立足区域资源禀赋和江南水乡特色，构建多中心、网络化、集约型、开放式、绿色化的区域一体空间布局，扩大生态空间，保障农业空间，优化城镇空间，构建“一心、两廊、三链、四区”的生态格局、“四带多区”的农业发展格局和“两核、四带、五片”的城乡空间布局。严守“三区三线”等国土空间管控底线，聚焦生态绿色一体化，把生态保护好，不搞大开发，切实提高土地节约集约利用水平。</w:t>
            </w:r>
          </w:p>
          <w:p w14:paraId="0868B6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color w:val="auto"/>
                <w:sz w:val="24"/>
                <w:shd w:val="clear" w:color="auto" w:fill="FFFFFF"/>
                <w:lang w:val="en-US" w:eastAsia="zh-CN"/>
              </w:rPr>
            </w:pPr>
            <w:r>
              <w:rPr>
                <w:rFonts w:hint="eastAsia"/>
                <w:color w:val="auto"/>
                <w:sz w:val="24"/>
                <w:szCs w:val="24"/>
              </w:rPr>
              <w:t>本项目位于</w:t>
            </w:r>
            <w:r>
              <w:rPr>
                <w:rFonts w:hint="default" w:ascii="Times New Roman" w:hAnsi="Times New Roman" w:eastAsia="宋体" w:cs="Times New Roman"/>
                <w:color w:val="auto"/>
                <w:sz w:val="24"/>
                <w:szCs w:val="22"/>
                <w:lang w:val="ru-RU"/>
              </w:rPr>
              <w:t>苏州市吴江区黎里镇</w:t>
            </w:r>
            <w:r>
              <w:rPr>
                <w:rFonts w:hint="eastAsia" w:cs="Times New Roman"/>
                <w:color w:val="auto"/>
                <w:sz w:val="24"/>
                <w:szCs w:val="22"/>
                <w:lang w:val="en-US" w:eastAsia="zh-CN"/>
              </w:rPr>
              <w:t>黎民南路37号</w:t>
            </w:r>
            <w:r>
              <w:rPr>
                <w:rFonts w:hint="eastAsia" w:ascii="Times New Roman" w:hAnsi="Times New Roman" w:eastAsia="宋体" w:cs="Times New Roman"/>
                <w:color w:val="auto"/>
                <w:sz w:val="24"/>
                <w:szCs w:val="24"/>
              </w:rPr>
              <w:t>，</w:t>
            </w:r>
            <w:r>
              <w:rPr>
                <w:rFonts w:hint="eastAsia"/>
                <w:color w:val="auto"/>
                <w:sz w:val="24"/>
                <w:szCs w:val="24"/>
              </w:rPr>
              <w:t>本项目不新增用地，所在地块</w:t>
            </w:r>
            <w:r>
              <w:rPr>
                <w:rFonts w:hint="eastAsia" w:cs="Times New Roman"/>
                <w:color w:val="auto"/>
                <w:sz w:val="24"/>
                <w:szCs w:val="22"/>
                <w:lang w:val="en-US" w:eastAsia="zh-CN"/>
              </w:rPr>
              <w:t>现状和近期用途</w:t>
            </w:r>
            <w:r>
              <w:rPr>
                <w:rFonts w:hint="default" w:ascii="Times New Roman" w:hAnsi="Times New Roman" w:eastAsia="宋体" w:cs="Times New Roman"/>
                <w:color w:val="auto"/>
                <w:sz w:val="24"/>
                <w:szCs w:val="22"/>
                <w:lang w:val="ru-RU"/>
              </w:rPr>
              <w:t>为工业用地</w:t>
            </w:r>
            <w:r>
              <w:rPr>
                <w:rFonts w:hint="eastAsia" w:cs="Times New Roman"/>
                <w:color w:val="auto"/>
                <w:sz w:val="24"/>
                <w:szCs w:val="22"/>
                <w:lang w:val="ru-RU" w:eastAsia="zh-CN"/>
              </w:rPr>
              <w:t>，</w:t>
            </w:r>
            <w:r>
              <w:rPr>
                <w:rFonts w:hint="eastAsia" w:cs="Times New Roman"/>
                <w:color w:val="auto"/>
                <w:sz w:val="24"/>
                <w:szCs w:val="22"/>
                <w:lang w:val="en-US" w:eastAsia="zh-CN"/>
              </w:rPr>
              <w:t>远期用途为商业用地</w:t>
            </w:r>
            <w:r>
              <w:rPr>
                <w:rFonts w:hint="eastAsia" w:ascii="Times New Roman" w:hAnsi="Times New Roman" w:eastAsia="宋体" w:cs="Times New Roman"/>
                <w:color w:val="auto"/>
                <w:sz w:val="24"/>
                <w:szCs w:val="24"/>
              </w:rPr>
              <w:t>，符合区域规划要求及“三区三线”划定情况，因此本项目符合《长三角生态绿色一体化发展示范区国土空间总体规划（2021-2035年）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相关</w:t>
            </w:r>
            <w:r>
              <w:rPr>
                <w:rFonts w:hint="eastAsia"/>
                <w:color w:val="auto"/>
                <w:sz w:val="24"/>
                <w:szCs w:val="24"/>
              </w:rPr>
              <w:t>要求。</w:t>
            </w:r>
          </w:p>
          <w:p w14:paraId="63EA139C">
            <w:pPr>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b/>
                <w:color w:val="auto"/>
                <w:sz w:val="24"/>
                <w:shd w:val="clear" w:color="auto" w:fill="FFFFFF"/>
                <w:lang w:val="en-US" w:eastAsia="zh-CN"/>
              </w:rPr>
            </w:pPr>
            <w:r>
              <w:rPr>
                <w:rFonts w:hint="eastAsia" w:ascii="Times New Roman" w:hAnsi="Times New Roman" w:eastAsia="宋体" w:cs="Times New Roman"/>
                <w:b/>
                <w:color w:val="auto"/>
                <w:sz w:val="24"/>
                <w:shd w:val="clear" w:color="auto" w:fill="FFFFFF"/>
                <w:lang w:val="en-US" w:eastAsia="zh-CN"/>
              </w:rPr>
              <w:t>1.</w:t>
            </w:r>
            <w:r>
              <w:rPr>
                <w:rFonts w:hint="eastAsia" w:cs="Times New Roman"/>
                <w:b/>
                <w:color w:val="auto"/>
                <w:sz w:val="24"/>
                <w:shd w:val="clear" w:color="auto" w:fill="FFFFFF"/>
                <w:lang w:val="en-US" w:eastAsia="zh-CN"/>
              </w:rPr>
              <w:t>3</w:t>
            </w:r>
            <w:r>
              <w:rPr>
                <w:rFonts w:hint="eastAsia" w:ascii="Times New Roman" w:hAnsi="Times New Roman" w:eastAsia="宋体" w:cs="Times New Roman"/>
                <w:b/>
                <w:color w:val="auto"/>
                <w:sz w:val="24"/>
                <w:shd w:val="clear" w:color="auto" w:fill="FFFFFF"/>
                <w:lang w:val="en-US" w:eastAsia="zh-CN"/>
              </w:rPr>
              <w:t>与</w:t>
            </w:r>
            <w:r>
              <w:rPr>
                <w:rFonts w:hint="default" w:ascii="Times New Roman" w:hAnsi="Times New Roman" w:eastAsia="宋体" w:cs="Times New Roman"/>
                <w:b/>
                <w:color w:val="auto"/>
                <w:sz w:val="24"/>
                <w:shd w:val="clear" w:color="auto" w:fill="FFFFFF"/>
              </w:rPr>
              <w:t>《苏州市国土空间总体规划（2021-2035）》（国函〔2025〕8号）</w:t>
            </w:r>
            <w:r>
              <w:rPr>
                <w:rFonts w:hint="eastAsia" w:ascii="Times New Roman" w:hAnsi="Times New Roman" w:eastAsia="宋体" w:cs="Times New Roman"/>
                <w:b/>
                <w:color w:val="auto"/>
                <w:sz w:val="24"/>
                <w:shd w:val="clear" w:color="auto" w:fill="FFFFFF"/>
                <w:lang w:val="en-US" w:eastAsia="zh-CN"/>
              </w:rPr>
              <w:t>的相符性分析</w:t>
            </w:r>
          </w:p>
          <w:p w14:paraId="33AB0B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1</w:t>
            </w: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规划范围</w:t>
            </w:r>
          </w:p>
          <w:p w14:paraId="579B39A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市域规划范围为苏州市行政辖区，包括吴江区、吴中区、相城区、姑苏区、苏州工业园区、虎丘区6个市辖区和张家港市、常熟市、太仓市、昆山市4个县级市。</w:t>
            </w:r>
          </w:p>
          <w:p w14:paraId="6ED64A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中心城区规划范围包括姑苏区行政辖区和吴江区、吴中区、相城区、苏州工业园区、虎丘区的部分地区</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面积849.49平方千米。</w:t>
            </w:r>
          </w:p>
          <w:p w14:paraId="11AE85F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2</w:t>
            </w: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统筹划定三区三线</w:t>
            </w:r>
          </w:p>
          <w:p w14:paraId="31D62E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val="en-US" w:eastAsia="zh-CN"/>
              </w:rPr>
              <w:t>①耕地和永久基本农田保护红线：全市耕地保有量1291.80平方千米（193.77万亩）。永久基本农田保护任务1152.05平方千米（172.81万亩)。</w:t>
            </w:r>
          </w:p>
          <w:p w14:paraId="45A3DDC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val="en-US" w:eastAsia="zh-CN"/>
              </w:rPr>
              <w:t>②生态保护红线：生态保护红线面积1950.71平方千米。主要分布在太湖及其周边东山、西山、穹窿山、天平山等水源涵养重要区域，阳澄湖、淀山湖、长漾等生物多样性富集区域。</w:t>
            </w:r>
          </w:p>
          <w:p w14:paraId="7F4062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val="en-US" w:eastAsia="zh-CN"/>
              </w:rPr>
              <w:t>③城镇开发边界：城镇开发边界面积2651.83平方千米。主要分布在苏州市中心城区，张家港、常熟、太仓、昆山四个县级市中心城区以及外围城镇、组团。</w:t>
            </w:r>
          </w:p>
          <w:p w14:paraId="400338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3</w:t>
            </w: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国土空间开发保护总体格局</w:t>
            </w:r>
          </w:p>
          <w:p w14:paraId="539CCE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对接国家</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两横三纵</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城镇化战略格局、国家农产品主产区和国家粮食安全产业带、</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三区四带</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生态屏障等国土空间开发保护要求，推动市域一体化发展</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形成</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一主四副双轴、一湖两带两区</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的多中心、组团式、网络化的国土空间开发保护总体格局。</w:t>
            </w:r>
          </w:p>
          <w:p w14:paraId="69AC36E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4</w:t>
            </w: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生态保护格局</w:t>
            </w:r>
          </w:p>
          <w:p w14:paraId="50C94A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落实省级规划提出的</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重点保护支撑永续发展的生态绿心</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系统保护连通江海河湖的生态涵养带</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等生态空间管控要求，构建</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三核四轴四片、多廊多源地</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的生态保护格局。</w:t>
            </w:r>
          </w:p>
          <w:p w14:paraId="4F462B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5</w:t>
            </w:r>
            <w:r>
              <w:rPr>
                <w:rFonts w:hint="eastAsia" w:ascii="Times New Roman" w:hAnsi="Times New Roman" w:cs="Times New Roman"/>
                <w:snapToGrid w:val="0"/>
                <w:color w:val="auto"/>
                <w:kern w:val="0"/>
                <w:sz w:val="24"/>
                <w:szCs w:val="24"/>
                <w:lang w:eastAsia="zh-CN"/>
              </w:rPr>
              <w:t>）市域城镇空间布局</w:t>
            </w:r>
          </w:p>
          <w:p w14:paraId="517A6DB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全市形成由</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1个苏州中心城区、4个县级市中心城区、8个产城融合的副城区或城市组团、34个中心镇</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构成的四级城镇体系。</w:t>
            </w:r>
          </w:p>
          <w:p w14:paraId="09F3EC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完善</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一主四副双轴</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多中心、组团式、网络化的城镇空间格局，依托沪宁发展轴、通苏嘉发展轴为主骨架，推动市域城镇空间集中集约、布局优化、品质提升。</w:t>
            </w:r>
          </w:p>
          <w:p w14:paraId="7010302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val="en-US" w:eastAsia="zh-CN"/>
              </w:rPr>
            </w:pP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6</w:t>
            </w:r>
            <w:r>
              <w:rPr>
                <w:rFonts w:hint="eastAsia" w:ascii="Times New Roman" w:hAnsi="Times New Roman" w:cs="Times New Roman"/>
                <w:snapToGrid w:val="0"/>
                <w:color w:val="auto"/>
                <w:kern w:val="0"/>
                <w:sz w:val="24"/>
                <w:szCs w:val="24"/>
                <w:lang w:eastAsia="zh-CN"/>
              </w:rPr>
              <w:t>）</w:t>
            </w:r>
            <w:r>
              <w:rPr>
                <w:rFonts w:hint="eastAsia" w:ascii="Times New Roman" w:hAnsi="Times New Roman" w:cs="Times New Roman"/>
                <w:snapToGrid w:val="0"/>
                <w:color w:val="auto"/>
                <w:kern w:val="0"/>
                <w:sz w:val="24"/>
                <w:szCs w:val="24"/>
                <w:lang w:val="en-US" w:eastAsia="zh-CN"/>
              </w:rPr>
              <w:t>国土空间-节约集约利用</w:t>
            </w:r>
          </w:p>
          <w:p w14:paraId="7D276A5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推进土地利用方式转变</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加快转变城市发展方式，严格控制新增建设用地规模，推动建设用地增量递减。合理优化土地利用结构和空间布局，引导建设用地复合利用，强化土地利用全生命周期管理。</w:t>
            </w:r>
          </w:p>
          <w:p w14:paraId="60FFD5A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napToGrid w:val="0"/>
                <w:color w:val="auto"/>
                <w:kern w:val="0"/>
                <w:sz w:val="24"/>
                <w:szCs w:val="24"/>
                <w:lang w:eastAsia="zh-CN"/>
              </w:rPr>
            </w:pPr>
            <w:r>
              <w:rPr>
                <w:rFonts w:hint="default" w:ascii="Times New Roman" w:hAnsi="Times New Roman" w:cs="Times New Roman"/>
                <w:snapToGrid w:val="0"/>
                <w:color w:val="auto"/>
                <w:kern w:val="0"/>
                <w:sz w:val="24"/>
                <w:szCs w:val="24"/>
                <w:lang w:eastAsia="zh-CN"/>
              </w:rPr>
              <w:t>推进存量空间盘活利用</w:t>
            </w:r>
            <w:r>
              <w:rPr>
                <w:rFonts w:hint="eastAsia" w:ascii="Times New Roman" w:hAnsi="Times New Roman" w:cs="Times New Roman"/>
                <w:snapToGrid w:val="0"/>
                <w:color w:val="auto"/>
                <w:kern w:val="0"/>
                <w:sz w:val="24"/>
                <w:szCs w:val="24"/>
                <w:lang w:eastAsia="zh-CN"/>
              </w:rPr>
              <w:t>：</w:t>
            </w:r>
            <w:r>
              <w:rPr>
                <w:rFonts w:hint="default" w:ascii="Times New Roman" w:hAnsi="Times New Roman" w:cs="Times New Roman"/>
                <w:snapToGrid w:val="0"/>
                <w:color w:val="auto"/>
                <w:kern w:val="0"/>
                <w:sz w:val="24"/>
                <w:szCs w:val="24"/>
                <w:lang w:eastAsia="zh-CN"/>
              </w:rPr>
              <w:t>加大存量建设用地盘活利用力度，推进低效用地再开发试点。按照老中心区、老工业区、旧居住区、历史地区、板块边界低效区等分区推进存量空间盘活。</w:t>
            </w:r>
          </w:p>
          <w:p w14:paraId="78B3457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snapToGrid w:val="0"/>
                <w:color w:val="auto"/>
                <w:kern w:val="0"/>
                <w:sz w:val="24"/>
                <w:szCs w:val="24"/>
                <w:lang w:val="en-US" w:eastAsia="zh-CN"/>
              </w:rPr>
            </w:pPr>
            <w:r>
              <w:rPr>
                <w:rFonts w:hint="default" w:ascii="Times New Roman" w:hAnsi="Times New Roman" w:cs="Times New Roman"/>
                <w:b/>
                <w:bCs/>
                <w:snapToGrid w:val="0"/>
                <w:color w:val="auto"/>
                <w:kern w:val="0"/>
                <w:sz w:val="24"/>
                <w:szCs w:val="24"/>
              </w:rPr>
              <w:t>相符性分析</w:t>
            </w:r>
            <w:r>
              <w:rPr>
                <w:rFonts w:hint="eastAsia" w:ascii="Times New Roman" w:hAnsi="Times New Roman" w:cs="Times New Roman"/>
                <w:b/>
                <w:bCs/>
                <w:snapToGrid w:val="0"/>
                <w:color w:val="auto"/>
                <w:kern w:val="0"/>
                <w:sz w:val="24"/>
                <w:szCs w:val="24"/>
                <w:lang w:eastAsia="zh-CN"/>
              </w:rPr>
              <w:t>：</w:t>
            </w:r>
            <w:r>
              <w:rPr>
                <w:rFonts w:hint="default" w:ascii="Times New Roman" w:hAnsi="Times New Roman" w:cs="Times New Roman"/>
                <w:snapToGrid w:val="0"/>
                <w:color w:val="auto"/>
                <w:kern w:val="0"/>
                <w:sz w:val="24"/>
                <w:szCs w:val="24"/>
              </w:rPr>
              <w:t>本项目位于</w:t>
            </w:r>
            <w:r>
              <w:rPr>
                <w:rFonts w:hint="default" w:ascii="Times New Roman" w:hAnsi="Times New Roman" w:eastAsia="宋体" w:cs="Times New Roman"/>
                <w:color w:val="auto"/>
                <w:sz w:val="24"/>
                <w:szCs w:val="22"/>
                <w:lang w:val="ru-RU"/>
              </w:rPr>
              <w:t>苏州市吴江区黎里镇</w:t>
            </w:r>
            <w:r>
              <w:rPr>
                <w:rFonts w:hint="eastAsia" w:cs="Times New Roman"/>
                <w:color w:val="auto"/>
                <w:sz w:val="24"/>
                <w:szCs w:val="22"/>
                <w:lang w:val="en-US" w:eastAsia="zh-CN"/>
              </w:rPr>
              <w:t>黎民南路37号</w:t>
            </w:r>
            <w:r>
              <w:rPr>
                <w:rFonts w:hint="eastAsia" w:ascii="Times New Roman" w:hAnsi="Times New Roman" w:cs="Times New Roman"/>
                <w:snapToGrid w:val="0"/>
                <w:color w:val="auto"/>
                <w:kern w:val="0"/>
                <w:sz w:val="24"/>
                <w:szCs w:val="24"/>
                <w:lang w:eastAsia="zh-CN"/>
              </w:rPr>
              <w:t>，</w:t>
            </w:r>
            <w:r>
              <w:rPr>
                <w:rFonts w:hint="eastAsia"/>
                <w:bCs/>
                <w:color w:val="auto"/>
                <w:sz w:val="24"/>
                <w:lang w:val="en-US" w:eastAsia="zh-CN"/>
              </w:rPr>
              <w:t>利用自有厂房</w:t>
            </w:r>
            <w:r>
              <w:rPr>
                <w:rFonts w:hint="default" w:ascii="Times New Roman" w:hAnsi="Times New Roman" w:cs="Times New Roman"/>
                <w:snapToGrid w:val="0"/>
                <w:color w:val="auto"/>
                <w:kern w:val="0"/>
                <w:sz w:val="24"/>
                <w:szCs w:val="24"/>
                <w:lang w:val="en-US" w:eastAsia="zh-CN"/>
              </w:rPr>
              <w:t>，不新增用地，不涉及耕地与永久基本农田，</w:t>
            </w:r>
            <w:r>
              <w:rPr>
                <w:rFonts w:hint="eastAsia" w:cs="Times New Roman"/>
                <w:snapToGrid w:val="0"/>
                <w:color w:val="auto"/>
                <w:kern w:val="0"/>
                <w:sz w:val="24"/>
                <w:szCs w:val="24"/>
                <w:lang w:val="en-US" w:eastAsia="zh-CN"/>
              </w:rPr>
              <w:t>不在生态保护红线范围内，</w:t>
            </w:r>
            <w:r>
              <w:rPr>
                <w:rFonts w:hint="eastAsia" w:ascii="Times New Roman" w:hAnsi="Times New Roman" w:cs="Times New Roman"/>
                <w:snapToGrid w:val="0"/>
                <w:color w:val="auto"/>
                <w:kern w:val="0"/>
                <w:sz w:val="24"/>
                <w:szCs w:val="24"/>
                <w:lang w:val="en-US" w:eastAsia="zh-CN"/>
              </w:rPr>
              <w:t>且项目地位于规划的城镇开发边界内，</w:t>
            </w:r>
            <w:r>
              <w:rPr>
                <w:rFonts w:hint="default" w:ascii="Times New Roman" w:hAnsi="Times New Roman" w:cs="Times New Roman"/>
                <w:snapToGrid w:val="0"/>
                <w:color w:val="auto"/>
                <w:kern w:val="0"/>
                <w:sz w:val="24"/>
                <w:szCs w:val="24"/>
                <w:lang w:val="en-US" w:eastAsia="zh-CN"/>
              </w:rPr>
              <w:t>项目所在地块规划用地性质</w:t>
            </w:r>
            <w:r>
              <w:rPr>
                <w:rFonts w:hint="eastAsia" w:cs="Times New Roman"/>
                <w:snapToGrid w:val="0"/>
                <w:color w:val="auto"/>
                <w:kern w:val="0"/>
                <w:sz w:val="24"/>
                <w:szCs w:val="24"/>
                <w:lang w:val="en-US" w:eastAsia="zh-CN"/>
              </w:rPr>
              <w:t>现状</w:t>
            </w:r>
            <w:r>
              <w:rPr>
                <w:rFonts w:hint="default" w:ascii="Times New Roman" w:hAnsi="Times New Roman" w:cs="Times New Roman"/>
                <w:snapToGrid w:val="0"/>
                <w:color w:val="auto"/>
                <w:kern w:val="0"/>
                <w:sz w:val="24"/>
                <w:szCs w:val="24"/>
                <w:lang w:val="en-US" w:eastAsia="zh-CN"/>
              </w:rPr>
              <w:t>为工业用地，因此，本项目的建设符合《</w:t>
            </w:r>
            <w:r>
              <w:rPr>
                <w:rFonts w:hint="default" w:ascii="Times New Roman" w:hAnsi="Times New Roman" w:cs="Times New Roman"/>
                <w:snapToGrid w:val="0"/>
                <w:color w:val="auto"/>
                <w:kern w:val="0"/>
                <w:sz w:val="24"/>
                <w:szCs w:val="24"/>
                <w:highlight w:val="none"/>
                <w:lang w:val="en-US" w:eastAsia="zh-CN"/>
              </w:rPr>
              <w:t>苏州市国土空间总体规划（2021-2035）</w:t>
            </w:r>
            <w:r>
              <w:rPr>
                <w:rFonts w:hint="default" w:ascii="Times New Roman" w:hAnsi="Times New Roman" w:cs="Times New Roman"/>
                <w:snapToGrid w:val="0"/>
                <w:color w:val="auto"/>
                <w:kern w:val="0"/>
                <w:sz w:val="24"/>
                <w:szCs w:val="24"/>
                <w:lang w:val="en-US" w:eastAsia="zh-CN"/>
              </w:rPr>
              <w:t>》及其批复的要求。</w:t>
            </w:r>
          </w:p>
          <w:p w14:paraId="0F4AC9BA">
            <w:pPr>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color w:val="auto"/>
                <w:sz w:val="24"/>
                <w:shd w:val="clear" w:color="auto" w:fill="FFFFFF"/>
                <w:lang w:val="en-US" w:eastAsia="zh-CN"/>
              </w:rPr>
            </w:pPr>
            <w:r>
              <w:rPr>
                <w:rFonts w:hint="eastAsia" w:ascii="Times New Roman" w:hAnsi="Times New Roman" w:eastAsia="宋体" w:cs="Times New Roman"/>
                <w:b/>
                <w:color w:val="auto"/>
                <w:sz w:val="24"/>
                <w:shd w:val="clear" w:color="auto" w:fill="FFFFFF"/>
                <w:lang w:val="en-US" w:eastAsia="zh-CN"/>
              </w:rPr>
              <w:t>1.</w:t>
            </w:r>
            <w:r>
              <w:rPr>
                <w:rFonts w:hint="eastAsia" w:cs="Times New Roman"/>
                <w:b/>
                <w:color w:val="auto"/>
                <w:sz w:val="24"/>
                <w:shd w:val="clear" w:color="auto" w:fill="FFFFFF"/>
                <w:lang w:val="en-US" w:eastAsia="zh-CN"/>
              </w:rPr>
              <w:t>4</w:t>
            </w:r>
            <w:r>
              <w:rPr>
                <w:rFonts w:hint="eastAsia" w:ascii="Times New Roman" w:hAnsi="Times New Roman" w:eastAsia="宋体" w:cs="Times New Roman"/>
                <w:b/>
                <w:color w:val="auto"/>
                <w:sz w:val="24"/>
                <w:shd w:val="clear" w:color="auto" w:fill="FFFFFF"/>
                <w:lang w:val="en-US" w:eastAsia="zh-CN"/>
              </w:rPr>
              <w:t>与</w:t>
            </w:r>
            <w:r>
              <w:rPr>
                <w:rFonts w:hint="default" w:ascii="Times New Roman" w:hAnsi="Times New Roman" w:eastAsia="宋体" w:cs="Times New Roman"/>
                <w:b/>
                <w:color w:val="auto"/>
                <w:sz w:val="24"/>
                <w:shd w:val="clear" w:color="auto" w:fill="FFFFFF"/>
              </w:rPr>
              <w:t>《</w:t>
            </w:r>
            <w:r>
              <w:rPr>
                <w:rFonts w:hint="eastAsia" w:ascii="Times New Roman" w:hAnsi="Times New Roman" w:eastAsia="宋体" w:cs="Times New Roman"/>
                <w:b/>
                <w:color w:val="auto"/>
                <w:sz w:val="24"/>
                <w:shd w:val="clear" w:color="auto" w:fill="FFFFFF"/>
                <w:lang w:val="en-US" w:eastAsia="zh-CN"/>
              </w:rPr>
              <w:t>苏州市吴江区</w:t>
            </w:r>
            <w:r>
              <w:rPr>
                <w:rFonts w:hint="default" w:ascii="Times New Roman" w:hAnsi="Times New Roman" w:eastAsia="宋体" w:cs="Times New Roman"/>
                <w:b/>
                <w:color w:val="auto"/>
                <w:sz w:val="24"/>
                <w:shd w:val="clear" w:color="auto" w:fill="FFFFFF"/>
              </w:rPr>
              <w:t>国土空间总体规划（2021-2035）》（苏政复〔2025〕5号）</w:t>
            </w:r>
            <w:r>
              <w:rPr>
                <w:rFonts w:hint="eastAsia" w:ascii="Times New Roman" w:hAnsi="Times New Roman" w:eastAsia="宋体" w:cs="Times New Roman"/>
                <w:b/>
                <w:color w:val="auto"/>
                <w:sz w:val="24"/>
                <w:shd w:val="clear" w:color="auto" w:fill="FFFFFF"/>
                <w:lang w:val="en-US" w:eastAsia="zh-CN"/>
              </w:rPr>
              <w:t>的相符性分析</w:t>
            </w:r>
          </w:p>
          <w:p w14:paraId="304E9FF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《苏州市吴江区国土空间总体规划（2021-2035年）》，于2025年2月24日获江苏省人民政府批复。</w:t>
            </w:r>
          </w:p>
          <w:p w14:paraId="00150D8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规划范围：本次规划范围为吴江行政辖区，总面积1237.44km（含吴江太湖水域）。</w:t>
            </w:r>
          </w:p>
          <w:p w14:paraId="5111955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发展定位：长三角生态绿色一体化发展示范区重要组成部分、创新湖区，乐居之城。</w:t>
            </w:r>
          </w:p>
          <w:p w14:paraId="458A4E7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发展目标：到2025年</w:t>
            </w:r>
          </w:p>
          <w:p w14:paraId="0184DE5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城市功能进一步完善，一体化制度创新形成一批可复制可推广经验，示范引领长三角更高质量一体化发展的作用初步发挥。</w:t>
            </w:r>
          </w:p>
          <w:p w14:paraId="41E85D9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到2035年</w:t>
            </w:r>
          </w:p>
          <w:p w14:paraId="552A804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形成更加成熟、更加有效的绿色一体化发展制度体系，全面建设成为示范引领长三角更高质量一体化发展的标杆。</w:t>
            </w:r>
          </w:p>
          <w:p w14:paraId="0FF5FA8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构建“三核、两轴、两带、多点”的国土空间总体格局。</w:t>
            </w:r>
          </w:p>
          <w:p w14:paraId="2A5AD43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三区三线包含以下内容：</w:t>
            </w:r>
          </w:p>
          <w:p w14:paraId="1145FFDE">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①耕地和永久基本农田保护红线：吴江区耕地保有量不低于30.7757万亩（永久基本农田保护面积不低于26.7602万亩，含委托易地代保任务0.9000万亩）。</w:t>
            </w:r>
          </w:p>
          <w:p w14:paraId="0A29904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②生态保护红线：生态保护红线面积不低于115.0801平方千米。</w:t>
            </w:r>
          </w:p>
          <w:p w14:paraId="17A2406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Times New Roman" w:hAnsi="Times New Roman" w:cs="Times New Roman"/>
                <w:snapToGrid w:val="0"/>
                <w:color w:val="auto"/>
                <w:kern w:val="0"/>
                <w:sz w:val="24"/>
                <w:szCs w:val="24"/>
                <w:lang w:eastAsia="zh-CN"/>
              </w:rPr>
            </w:pPr>
            <w:r>
              <w:rPr>
                <w:rFonts w:hint="eastAsia" w:ascii="Times New Roman" w:hAnsi="Times New Roman" w:cs="Times New Roman"/>
                <w:snapToGrid w:val="0"/>
                <w:color w:val="auto"/>
                <w:kern w:val="0"/>
                <w:sz w:val="24"/>
                <w:szCs w:val="24"/>
                <w:lang w:eastAsia="zh-CN"/>
              </w:rPr>
              <w:t>③城镇开发边界：城镇开发边界扩展倍数控制在基于2020年城镇建设用地规模的1.2191倍。</w:t>
            </w:r>
          </w:p>
          <w:p w14:paraId="502FE681">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2" w:firstLineChars="200"/>
              <w:textAlignment w:val="auto"/>
              <w:rPr>
                <w:rFonts w:hint="default"/>
                <w:sz w:val="24"/>
                <w:szCs w:val="24"/>
                <w:lang w:val="en-US" w:eastAsia="zh-CN"/>
              </w:rPr>
            </w:pPr>
            <w:r>
              <w:rPr>
                <w:rFonts w:hint="eastAsia" w:ascii="Times New Roman" w:hAnsi="Times New Roman" w:cs="Times New Roman"/>
                <w:b/>
                <w:bCs/>
                <w:snapToGrid w:val="0"/>
                <w:color w:val="auto"/>
                <w:kern w:val="0"/>
                <w:sz w:val="24"/>
                <w:szCs w:val="24"/>
                <w:lang w:val="en-US" w:eastAsia="zh-CN"/>
              </w:rPr>
              <w:t>相符性分析：</w:t>
            </w:r>
            <w:r>
              <w:rPr>
                <w:rFonts w:hint="default" w:ascii="Times New Roman" w:hAnsi="Times New Roman" w:cs="Times New Roman"/>
                <w:snapToGrid w:val="0"/>
                <w:color w:val="auto"/>
                <w:kern w:val="0"/>
                <w:sz w:val="24"/>
                <w:szCs w:val="24"/>
              </w:rPr>
              <w:t>本项目位于</w:t>
            </w:r>
            <w:r>
              <w:rPr>
                <w:rFonts w:hint="default" w:ascii="Times New Roman" w:hAnsi="Times New Roman" w:eastAsia="宋体" w:cs="Times New Roman"/>
                <w:color w:val="auto"/>
                <w:sz w:val="24"/>
                <w:szCs w:val="22"/>
                <w:lang w:val="ru-RU"/>
              </w:rPr>
              <w:t>苏州市吴江区黎里镇</w:t>
            </w:r>
            <w:r>
              <w:rPr>
                <w:rFonts w:hint="eastAsia" w:cs="Times New Roman"/>
                <w:color w:val="auto"/>
                <w:sz w:val="24"/>
                <w:szCs w:val="22"/>
                <w:lang w:val="en-US" w:eastAsia="zh-CN"/>
              </w:rPr>
              <w:t>黎民南路37号</w:t>
            </w:r>
            <w:r>
              <w:rPr>
                <w:rFonts w:hint="eastAsia" w:ascii="Times New Roman" w:hAnsi="Times New Roman" w:cs="Times New Roman"/>
                <w:snapToGrid w:val="0"/>
                <w:color w:val="auto"/>
                <w:kern w:val="0"/>
                <w:sz w:val="24"/>
                <w:szCs w:val="24"/>
                <w:lang w:eastAsia="zh-CN"/>
              </w:rPr>
              <w:t>，</w:t>
            </w:r>
            <w:r>
              <w:rPr>
                <w:rFonts w:hint="eastAsia"/>
                <w:bCs/>
                <w:color w:val="auto"/>
                <w:sz w:val="24"/>
                <w:lang w:val="en-US" w:eastAsia="zh-CN"/>
              </w:rPr>
              <w:t>利用自有厂房</w:t>
            </w:r>
            <w:r>
              <w:rPr>
                <w:rFonts w:hint="default" w:ascii="Times New Roman" w:hAnsi="Times New Roman" w:cs="Times New Roman"/>
                <w:snapToGrid w:val="0"/>
                <w:color w:val="auto"/>
                <w:kern w:val="0"/>
                <w:sz w:val="24"/>
                <w:szCs w:val="24"/>
                <w:lang w:val="en-US" w:eastAsia="zh-CN"/>
              </w:rPr>
              <w:t>，</w:t>
            </w:r>
            <w:r>
              <w:rPr>
                <w:rFonts w:hint="eastAsia" w:ascii="Times New Roman" w:hAnsi="Times New Roman" w:cs="Times New Roman"/>
                <w:snapToGrid w:val="0"/>
                <w:color w:val="auto"/>
                <w:kern w:val="0"/>
                <w:sz w:val="24"/>
                <w:szCs w:val="24"/>
                <w:lang w:val="en-US" w:eastAsia="zh-CN"/>
              </w:rPr>
              <w:t>不新增用地，不占用耕地与永久基本农田，不在生态保护红线范围内，位于城镇开发边界内，因此，本项目的建设符合《苏州市吴江区国土空间总体规划（2021-2035）》的要求。</w:t>
            </w:r>
          </w:p>
          <w:p w14:paraId="55D0471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2"/>
                <w:shd w:val="clear" w:color="auto" w:fill="FFFFFF"/>
                <w:lang w:val="ru-RU" w:eastAsia="zh-CN"/>
              </w:rPr>
            </w:pPr>
          </w:p>
          <w:p w14:paraId="2902E2A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color w:val="auto"/>
                <w:sz w:val="24"/>
                <w:szCs w:val="22"/>
                <w:shd w:val="clear" w:color="auto" w:fill="FFFFFF"/>
                <w:lang w:val="ru-RU" w:eastAsia="zh-CN"/>
              </w:rPr>
            </w:pPr>
          </w:p>
        </w:tc>
      </w:tr>
      <w:tr w14:paraId="42D0C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2" w:type="dxa"/>
            <w:noWrap w:val="0"/>
            <w:vAlign w:val="center"/>
          </w:tcPr>
          <w:p w14:paraId="3F7ADAB4">
            <w:pPr>
              <w:autoSpaceDE w:val="0"/>
              <w:autoSpaceDN w:val="0"/>
              <w:adjustRightInd w:val="0"/>
              <w:snapToGrid w:val="0"/>
              <w:jc w:val="center"/>
              <w:rPr>
                <w:rFonts w:hint="eastAsia" w:ascii="宋体" w:hAnsi="宋体" w:eastAsia="宋体" w:cs="宋体"/>
                <w:b/>
                <w:color w:val="auto"/>
                <w:kern w:val="0"/>
                <w:szCs w:val="21"/>
              </w:rPr>
            </w:pPr>
          </w:p>
          <w:p w14:paraId="22FC5EDE">
            <w:pPr>
              <w:autoSpaceDE w:val="0"/>
              <w:autoSpaceDN w:val="0"/>
              <w:adjustRightInd w:val="0"/>
              <w:snapToGrid w:val="0"/>
              <w:jc w:val="center"/>
              <w:rPr>
                <w:rFonts w:hint="eastAsia" w:ascii="宋体" w:hAnsi="宋体" w:eastAsia="宋体" w:cs="宋体"/>
                <w:b/>
                <w:color w:val="auto"/>
                <w:kern w:val="0"/>
                <w:szCs w:val="21"/>
              </w:rPr>
            </w:pPr>
          </w:p>
          <w:p w14:paraId="55B7A0B5">
            <w:pPr>
              <w:autoSpaceDE w:val="0"/>
              <w:autoSpaceDN w:val="0"/>
              <w:adjustRightInd w:val="0"/>
              <w:snapToGrid w:val="0"/>
              <w:jc w:val="center"/>
              <w:rPr>
                <w:rFonts w:hint="eastAsia" w:ascii="宋体" w:hAnsi="宋体" w:eastAsia="宋体" w:cs="宋体"/>
                <w:b/>
                <w:color w:val="auto"/>
                <w:kern w:val="0"/>
                <w:szCs w:val="21"/>
              </w:rPr>
            </w:pPr>
          </w:p>
          <w:p w14:paraId="04971AF1">
            <w:pPr>
              <w:autoSpaceDE w:val="0"/>
              <w:autoSpaceDN w:val="0"/>
              <w:adjustRightInd w:val="0"/>
              <w:snapToGrid w:val="0"/>
              <w:jc w:val="center"/>
              <w:rPr>
                <w:rFonts w:hint="eastAsia" w:ascii="宋体" w:hAnsi="宋体" w:eastAsia="宋体" w:cs="宋体"/>
                <w:b/>
                <w:color w:val="auto"/>
                <w:kern w:val="0"/>
                <w:szCs w:val="21"/>
              </w:rPr>
            </w:pPr>
          </w:p>
          <w:p w14:paraId="617A4F17">
            <w:pPr>
              <w:autoSpaceDE w:val="0"/>
              <w:autoSpaceDN w:val="0"/>
              <w:adjustRightInd w:val="0"/>
              <w:snapToGrid w:val="0"/>
              <w:jc w:val="center"/>
              <w:rPr>
                <w:rFonts w:hint="eastAsia" w:ascii="宋体" w:hAnsi="宋体" w:eastAsia="宋体" w:cs="宋体"/>
                <w:b/>
                <w:color w:val="auto"/>
                <w:kern w:val="0"/>
                <w:szCs w:val="21"/>
              </w:rPr>
            </w:pPr>
          </w:p>
          <w:p w14:paraId="37C8F6CC">
            <w:pPr>
              <w:autoSpaceDE w:val="0"/>
              <w:autoSpaceDN w:val="0"/>
              <w:adjustRightInd w:val="0"/>
              <w:snapToGrid w:val="0"/>
              <w:jc w:val="center"/>
              <w:rPr>
                <w:rFonts w:hint="eastAsia" w:ascii="宋体" w:hAnsi="宋体" w:eastAsia="宋体" w:cs="宋体"/>
                <w:b/>
                <w:color w:val="auto"/>
                <w:kern w:val="0"/>
                <w:szCs w:val="21"/>
              </w:rPr>
            </w:pPr>
          </w:p>
          <w:p w14:paraId="7FB27DD0">
            <w:pPr>
              <w:autoSpaceDE w:val="0"/>
              <w:autoSpaceDN w:val="0"/>
              <w:adjustRightInd w:val="0"/>
              <w:snapToGrid w:val="0"/>
              <w:jc w:val="center"/>
              <w:rPr>
                <w:rFonts w:hint="eastAsia" w:ascii="宋体" w:hAnsi="宋体" w:eastAsia="宋体" w:cs="宋体"/>
                <w:b/>
                <w:color w:val="auto"/>
                <w:kern w:val="0"/>
                <w:szCs w:val="21"/>
              </w:rPr>
            </w:pPr>
          </w:p>
          <w:p w14:paraId="74A0FA4C">
            <w:pPr>
              <w:autoSpaceDE w:val="0"/>
              <w:autoSpaceDN w:val="0"/>
              <w:adjustRightInd w:val="0"/>
              <w:snapToGrid w:val="0"/>
              <w:jc w:val="center"/>
              <w:rPr>
                <w:rFonts w:hint="eastAsia" w:ascii="宋体" w:hAnsi="宋体" w:eastAsia="宋体" w:cs="宋体"/>
                <w:b/>
                <w:color w:val="auto"/>
                <w:kern w:val="0"/>
                <w:szCs w:val="21"/>
              </w:rPr>
            </w:pPr>
          </w:p>
          <w:p w14:paraId="5AF2806D">
            <w:pPr>
              <w:autoSpaceDE w:val="0"/>
              <w:autoSpaceDN w:val="0"/>
              <w:adjustRightInd w:val="0"/>
              <w:snapToGrid w:val="0"/>
              <w:jc w:val="center"/>
              <w:rPr>
                <w:rFonts w:hint="eastAsia" w:ascii="宋体" w:hAnsi="宋体" w:eastAsia="宋体" w:cs="宋体"/>
                <w:b/>
                <w:color w:val="auto"/>
                <w:kern w:val="0"/>
                <w:szCs w:val="21"/>
              </w:rPr>
            </w:pPr>
          </w:p>
          <w:p w14:paraId="54A1A9EF">
            <w:pPr>
              <w:autoSpaceDE w:val="0"/>
              <w:autoSpaceDN w:val="0"/>
              <w:adjustRightInd w:val="0"/>
              <w:snapToGrid w:val="0"/>
              <w:jc w:val="center"/>
              <w:rPr>
                <w:rFonts w:hint="eastAsia" w:ascii="宋体" w:hAnsi="宋体" w:eastAsia="宋体" w:cs="宋体"/>
                <w:b/>
                <w:color w:val="auto"/>
                <w:kern w:val="0"/>
                <w:szCs w:val="21"/>
              </w:rPr>
            </w:pPr>
          </w:p>
          <w:p w14:paraId="0AB4587E">
            <w:pPr>
              <w:autoSpaceDE w:val="0"/>
              <w:autoSpaceDN w:val="0"/>
              <w:adjustRightInd w:val="0"/>
              <w:snapToGrid w:val="0"/>
              <w:jc w:val="center"/>
              <w:rPr>
                <w:rFonts w:hint="eastAsia" w:ascii="宋体" w:hAnsi="宋体" w:eastAsia="宋体" w:cs="宋体"/>
                <w:b/>
                <w:color w:val="auto"/>
                <w:kern w:val="0"/>
                <w:szCs w:val="21"/>
              </w:rPr>
            </w:pPr>
          </w:p>
          <w:p w14:paraId="321126DE">
            <w:pPr>
              <w:autoSpaceDE w:val="0"/>
              <w:autoSpaceDN w:val="0"/>
              <w:adjustRightInd w:val="0"/>
              <w:snapToGrid w:val="0"/>
              <w:jc w:val="center"/>
              <w:rPr>
                <w:rFonts w:hint="eastAsia" w:ascii="宋体" w:hAnsi="宋体" w:eastAsia="宋体" w:cs="宋体"/>
                <w:b/>
                <w:color w:val="auto"/>
                <w:kern w:val="0"/>
                <w:szCs w:val="21"/>
              </w:rPr>
            </w:pPr>
          </w:p>
          <w:p w14:paraId="0351F8AB">
            <w:pPr>
              <w:autoSpaceDE w:val="0"/>
              <w:autoSpaceDN w:val="0"/>
              <w:adjustRightInd w:val="0"/>
              <w:snapToGrid w:val="0"/>
              <w:jc w:val="center"/>
              <w:rPr>
                <w:rFonts w:hint="eastAsia" w:ascii="宋体" w:hAnsi="宋体" w:eastAsia="宋体" w:cs="宋体"/>
                <w:b/>
                <w:color w:val="auto"/>
                <w:kern w:val="0"/>
                <w:szCs w:val="21"/>
              </w:rPr>
            </w:pPr>
          </w:p>
          <w:p w14:paraId="5B8CD8B6">
            <w:pPr>
              <w:autoSpaceDE w:val="0"/>
              <w:autoSpaceDN w:val="0"/>
              <w:adjustRightInd w:val="0"/>
              <w:snapToGrid w:val="0"/>
              <w:jc w:val="center"/>
              <w:rPr>
                <w:rFonts w:hint="eastAsia" w:ascii="宋体" w:hAnsi="宋体" w:eastAsia="宋体" w:cs="宋体"/>
                <w:b/>
                <w:color w:val="auto"/>
                <w:kern w:val="0"/>
                <w:szCs w:val="21"/>
              </w:rPr>
            </w:pPr>
          </w:p>
          <w:p w14:paraId="25A61EE8">
            <w:pPr>
              <w:autoSpaceDE w:val="0"/>
              <w:autoSpaceDN w:val="0"/>
              <w:adjustRightInd w:val="0"/>
              <w:snapToGrid w:val="0"/>
              <w:jc w:val="center"/>
              <w:rPr>
                <w:rFonts w:hint="eastAsia" w:ascii="宋体" w:hAnsi="宋体" w:eastAsia="宋体" w:cs="宋体"/>
                <w:b/>
                <w:color w:val="auto"/>
                <w:kern w:val="0"/>
                <w:szCs w:val="21"/>
              </w:rPr>
            </w:pPr>
          </w:p>
          <w:p w14:paraId="65672595">
            <w:pPr>
              <w:autoSpaceDE w:val="0"/>
              <w:autoSpaceDN w:val="0"/>
              <w:adjustRightInd w:val="0"/>
              <w:snapToGrid w:val="0"/>
              <w:jc w:val="center"/>
              <w:rPr>
                <w:rFonts w:hint="eastAsia" w:ascii="宋体" w:hAnsi="宋体" w:eastAsia="宋体" w:cs="宋体"/>
                <w:b/>
                <w:color w:val="auto"/>
                <w:kern w:val="0"/>
                <w:szCs w:val="21"/>
              </w:rPr>
            </w:pPr>
          </w:p>
          <w:p w14:paraId="143ACDD3">
            <w:pPr>
              <w:autoSpaceDE w:val="0"/>
              <w:autoSpaceDN w:val="0"/>
              <w:adjustRightInd w:val="0"/>
              <w:snapToGrid w:val="0"/>
              <w:jc w:val="center"/>
              <w:rPr>
                <w:rFonts w:hint="eastAsia" w:ascii="宋体" w:hAnsi="宋体" w:eastAsia="宋体" w:cs="宋体"/>
                <w:b/>
                <w:color w:val="auto"/>
                <w:kern w:val="0"/>
                <w:szCs w:val="21"/>
              </w:rPr>
            </w:pPr>
          </w:p>
          <w:p w14:paraId="6B179376">
            <w:pPr>
              <w:autoSpaceDE w:val="0"/>
              <w:autoSpaceDN w:val="0"/>
              <w:adjustRightInd w:val="0"/>
              <w:snapToGrid w:val="0"/>
              <w:jc w:val="center"/>
              <w:rPr>
                <w:rFonts w:hint="eastAsia" w:ascii="宋体" w:hAnsi="宋体" w:eastAsia="宋体" w:cs="宋体"/>
                <w:b/>
                <w:color w:val="auto"/>
                <w:kern w:val="0"/>
                <w:szCs w:val="21"/>
              </w:rPr>
            </w:pPr>
          </w:p>
          <w:p w14:paraId="488602A8">
            <w:pPr>
              <w:autoSpaceDE w:val="0"/>
              <w:autoSpaceDN w:val="0"/>
              <w:adjustRightInd w:val="0"/>
              <w:snapToGrid w:val="0"/>
              <w:jc w:val="center"/>
              <w:rPr>
                <w:rFonts w:hint="eastAsia" w:ascii="宋体" w:hAnsi="宋体" w:eastAsia="宋体" w:cs="宋体"/>
                <w:b/>
                <w:color w:val="auto"/>
                <w:kern w:val="0"/>
                <w:szCs w:val="21"/>
              </w:rPr>
            </w:pPr>
          </w:p>
          <w:p w14:paraId="3088ECAA">
            <w:pPr>
              <w:autoSpaceDE w:val="0"/>
              <w:autoSpaceDN w:val="0"/>
              <w:adjustRightInd w:val="0"/>
              <w:snapToGrid w:val="0"/>
              <w:jc w:val="center"/>
              <w:rPr>
                <w:rFonts w:hint="eastAsia" w:ascii="宋体" w:hAnsi="宋体" w:eastAsia="宋体" w:cs="宋体"/>
                <w:b/>
                <w:color w:val="auto"/>
                <w:kern w:val="0"/>
                <w:szCs w:val="21"/>
              </w:rPr>
            </w:pPr>
          </w:p>
          <w:p w14:paraId="1DE2F023">
            <w:pPr>
              <w:autoSpaceDE w:val="0"/>
              <w:autoSpaceDN w:val="0"/>
              <w:adjustRightInd w:val="0"/>
              <w:snapToGrid w:val="0"/>
              <w:jc w:val="center"/>
              <w:rPr>
                <w:rFonts w:hint="eastAsia" w:ascii="宋体" w:hAnsi="宋体" w:eastAsia="宋体" w:cs="宋体"/>
                <w:b/>
                <w:color w:val="auto"/>
                <w:kern w:val="0"/>
                <w:szCs w:val="21"/>
              </w:rPr>
            </w:pPr>
            <w:r>
              <w:rPr>
                <w:rFonts w:hint="eastAsia" w:ascii="宋体" w:hAnsi="宋体" w:eastAsia="宋体" w:cs="宋体"/>
                <w:b/>
                <w:color w:val="auto"/>
                <w:kern w:val="0"/>
                <w:szCs w:val="21"/>
              </w:rPr>
              <w:t>其他符合性分析</w:t>
            </w:r>
          </w:p>
          <w:p w14:paraId="547185C9">
            <w:pPr>
              <w:autoSpaceDE w:val="0"/>
              <w:autoSpaceDN w:val="0"/>
              <w:adjustRightInd w:val="0"/>
              <w:snapToGrid w:val="0"/>
              <w:jc w:val="center"/>
              <w:rPr>
                <w:rFonts w:hint="eastAsia" w:ascii="宋体" w:hAnsi="宋体" w:eastAsia="宋体" w:cs="宋体"/>
                <w:b/>
                <w:color w:val="auto"/>
                <w:kern w:val="0"/>
                <w:szCs w:val="21"/>
              </w:rPr>
            </w:pPr>
          </w:p>
          <w:p w14:paraId="0C107BA4">
            <w:pPr>
              <w:autoSpaceDE w:val="0"/>
              <w:autoSpaceDN w:val="0"/>
              <w:adjustRightInd w:val="0"/>
              <w:snapToGrid w:val="0"/>
              <w:jc w:val="center"/>
              <w:rPr>
                <w:rFonts w:hint="eastAsia" w:ascii="宋体" w:hAnsi="宋体" w:eastAsia="宋体" w:cs="宋体"/>
                <w:b/>
                <w:color w:val="auto"/>
                <w:kern w:val="0"/>
                <w:szCs w:val="21"/>
              </w:rPr>
            </w:pPr>
          </w:p>
          <w:p w14:paraId="2CD5A954">
            <w:pPr>
              <w:autoSpaceDE w:val="0"/>
              <w:autoSpaceDN w:val="0"/>
              <w:adjustRightInd w:val="0"/>
              <w:snapToGrid w:val="0"/>
              <w:jc w:val="center"/>
              <w:rPr>
                <w:rFonts w:hint="eastAsia" w:ascii="宋体" w:hAnsi="宋体" w:eastAsia="宋体" w:cs="宋体"/>
                <w:b/>
                <w:color w:val="auto"/>
                <w:kern w:val="0"/>
                <w:szCs w:val="21"/>
              </w:rPr>
            </w:pPr>
          </w:p>
          <w:p w14:paraId="556226EE">
            <w:pPr>
              <w:autoSpaceDE w:val="0"/>
              <w:autoSpaceDN w:val="0"/>
              <w:adjustRightInd w:val="0"/>
              <w:snapToGrid w:val="0"/>
              <w:jc w:val="center"/>
              <w:rPr>
                <w:rFonts w:hint="eastAsia" w:ascii="宋体" w:hAnsi="宋体" w:eastAsia="宋体" w:cs="宋体"/>
                <w:b/>
                <w:color w:val="auto"/>
                <w:kern w:val="0"/>
                <w:szCs w:val="21"/>
              </w:rPr>
            </w:pPr>
          </w:p>
          <w:p w14:paraId="1448CE1E">
            <w:pPr>
              <w:autoSpaceDE w:val="0"/>
              <w:autoSpaceDN w:val="0"/>
              <w:adjustRightInd w:val="0"/>
              <w:snapToGrid w:val="0"/>
              <w:jc w:val="center"/>
              <w:rPr>
                <w:rFonts w:hint="eastAsia" w:ascii="宋体" w:hAnsi="宋体" w:eastAsia="宋体" w:cs="宋体"/>
                <w:b/>
                <w:color w:val="auto"/>
                <w:kern w:val="0"/>
                <w:szCs w:val="21"/>
              </w:rPr>
            </w:pPr>
          </w:p>
          <w:p w14:paraId="45959733">
            <w:pPr>
              <w:autoSpaceDE w:val="0"/>
              <w:autoSpaceDN w:val="0"/>
              <w:adjustRightInd w:val="0"/>
              <w:snapToGrid w:val="0"/>
              <w:jc w:val="center"/>
              <w:rPr>
                <w:rFonts w:hint="eastAsia" w:ascii="宋体" w:hAnsi="宋体" w:eastAsia="宋体" w:cs="宋体"/>
                <w:b/>
                <w:color w:val="auto"/>
                <w:kern w:val="0"/>
                <w:szCs w:val="21"/>
              </w:rPr>
            </w:pPr>
          </w:p>
          <w:p w14:paraId="6A5D8B96">
            <w:pPr>
              <w:autoSpaceDE w:val="0"/>
              <w:autoSpaceDN w:val="0"/>
              <w:adjustRightInd w:val="0"/>
              <w:snapToGrid w:val="0"/>
              <w:jc w:val="center"/>
              <w:rPr>
                <w:rFonts w:hint="eastAsia" w:ascii="宋体" w:hAnsi="宋体" w:eastAsia="宋体" w:cs="宋体"/>
                <w:b/>
                <w:color w:val="auto"/>
                <w:kern w:val="0"/>
                <w:szCs w:val="21"/>
              </w:rPr>
            </w:pPr>
          </w:p>
          <w:p w14:paraId="61F15806">
            <w:pPr>
              <w:autoSpaceDE w:val="0"/>
              <w:autoSpaceDN w:val="0"/>
              <w:adjustRightInd w:val="0"/>
              <w:snapToGrid w:val="0"/>
              <w:jc w:val="center"/>
              <w:rPr>
                <w:rFonts w:hint="eastAsia" w:ascii="宋体" w:hAnsi="宋体" w:eastAsia="宋体" w:cs="宋体"/>
                <w:b/>
                <w:color w:val="auto"/>
                <w:kern w:val="0"/>
                <w:szCs w:val="21"/>
              </w:rPr>
            </w:pPr>
          </w:p>
          <w:p w14:paraId="1775D66A">
            <w:pPr>
              <w:autoSpaceDE w:val="0"/>
              <w:autoSpaceDN w:val="0"/>
              <w:adjustRightInd w:val="0"/>
              <w:snapToGrid w:val="0"/>
              <w:jc w:val="center"/>
              <w:rPr>
                <w:rFonts w:hint="eastAsia" w:ascii="宋体" w:hAnsi="宋体" w:eastAsia="宋体" w:cs="宋体"/>
                <w:b/>
                <w:color w:val="auto"/>
                <w:kern w:val="0"/>
                <w:szCs w:val="21"/>
              </w:rPr>
            </w:pPr>
          </w:p>
          <w:p w14:paraId="7B1FFDAD">
            <w:pPr>
              <w:autoSpaceDE w:val="0"/>
              <w:autoSpaceDN w:val="0"/>
              <w:adjustRightInd w:val="0"/>
              <w:snapToGrid w:val="0"/>
              <w:jc w:val="center"/>
              <w:rPr>
                <w:rFonts w:hint="eastAsia" w:ascii="宋体" w:hAnsi="宋体" w:eastAsia="宋体" w:cs="宋体"/>
                <w:b/>
                <w:color w:val="auto"/>
                <w:kern w:val="0"/>
                <w:szCs w:val="21"/>
              </w:rPr>
            </w:pPr>
          </w:p>
          <w:p w14:paraId="1D18E6C9">
            <w:pPr>
              <w:autoSpaceDE w:val="0"/>
              <w:autoSpaceDN w:val="0"/>
              <w:adjustRightInd w:val="0"/>
              <w:snapToGrid w:val="0"/>
              <w:jc w:val="center"/>
              <w:rPr>
                <w:rFonts w:hint="eastAsia" w:ascii="宋体" w:hAnsi="宋体" w:eastAsia="宋体" w:cs="宋体"/>
                <w:b/>
                <w:color w:val="auto"/>
                <w:kern w:val="0"/>
                <w:szCs w:val="21"/>
              </w:rPr>
            </w:pPr>
          </w:p>
          <w:p w14:paraId="64FB3023">
            <w:pPr>
              <w:autoSpaceDE w:val="0"/>
              <w:autoSpaceDN w:val="0"/>
              <w:adjustRightInd w:val="0"/>
              <w:snapToGrid w:val="0"/>
              <w:jc w:val="center"/>
              <w:rPr>
                <w:rFonts w:hint="eastAsia" w:ascii="宋体" w:hAnsi="宋体" w:eastAsia="宋体" w:cs="宋体"/>
                <w:b/>
                <w:color w:val="auto"/>
                <w:kern w:val="0"/>
                <w:szCs w:val="21"/>
              </w:rPr>
            </w:pPr>
          </w:p>
          <w:p w14:paraId="29BFEDBF">
            <w:pPr>
              <w:autoSpaceDE w:val="0"/>
              <w:autoSpaceDN w:val="0"/>
              <w:adjustRightInd w:val="0"/>
              <w:snapToGrid w:val="0"/>
              <w:jc w:val="center"/>
              <w:rPr>
                <w:rFonts w:hint="eastAsia" w:ascii="宋体" w:hAnsi="宋体" w:eastAsia="宋体" w:cs="宋体"/>
                <w:b/>
                <w:color w:val="auto"/>
                <w:kern w:val="0"/>
                <w:szCs w:val="21"/>
              </w:rPr>
            </w:pPr>
          </w:p>
          <w:p w14:paraId="3310BB81">
            <w:pPr>
              <w:autoSpaceDE w:val="0"/>
              <w:autoSpaceDN w:val="0"/>
              <w:adjustRightInd w:val="0"/>
              <w:snapToGrid w:val="0"/>
              <w:jc w:val="center"/>
              <w:rPr>
                <w:rFonts w:hint="eastAsia" w:ascii="宋体" w:hAnsi="宋体" w:eastAsia="宋体" w:cs="宋体"/>
                <w:b/>
                <w:color w:val="auto"/>
                <w:kern w:val="0"/>
                <w:szCs w:val="21"/>
              </w:rPr>
            </w:pPr>
          </w:p>
          <w:p w14:paraId="7217B966">
            <w:pPr>
              <w:autoSpaceDE w:val="0"/>
              <w:autoSpaceDN w:val="0"/>
              <w:adjustRightInd w:val="0"/>
              <w:snapToGrid w:val="0"/>
              <w:jc w:val="center"/>
              <w:rPr>
                <w:rFonts w:hint="eastAsia" w:ascii="宋体" w:hAnsi="宋体" w:eastAsia="宋体" w:cs="宋体"/>
                <w:b/>
                <w:color w:val="auto"/>
                <w:kern w:val="0"/>
                <w:szCs w:val="21"/>
              </w:rPr>
            </w:pPr>
          </w:p>
          <w:p w14:paraId="3105079C">
            <w:pPr>
              <w:autoSpaceDE w:val="0"/>
              <w:autoSpaceDN w:val="0"/>
              <w:adjustRightInd w:val="0"/>
              <w:snapToGrid w:val="0"/>
              <w:jc w:val="center"/>
              <w:rPr>
                <w:rFonts w:hint="eastAsia" w:ascii="宋体" w:hAnsi="宋体" w:eastAsia="宋体" w:cs="宋体"/>
                <w:b/>
                <w:color w:val="auto"/>
                <w:kern w:val="0"/>
                <w:szCs w:val="21"/>
              </w:rPr>
            </w:pPr>
          </w:p>
          <w:p w14:paraId="1098E5D1">
            <w:pPr>
              <w:autoSpaceDE w:val="0"/>
              <w:autoSpaceDN w:val="0"/>
              <w:adjustRightInd w:val="0"/>
              <w:snapToGrid w:val="0"/>
              <w:jc w:val="center"/>
              <w:rPr>
                <w:rFonts w:hint="eastAsia" w:ascii="宋体" w:hAnsi="宋体" w:eastAsia="宋体" w:cs="宋体"/>
                <w:b/>
                <w:color w:val="auto"/>
                <w:kern w:val="0"/>
                <w:szCs w:val="21"/>
              </w:rPr>
            </w:pPr>
          </w:p>
          <w:p w14:paraId="4DF89D29">
            <w:pPr>
              <w:autoSpaceDE w:val="0"/>
              <w:autoSpaceDN w:val="0"/>
              <w:adjustRightInd w:val="0"/>
              <w:snapToGrid w:val="0"/>
              <w:jc w:val="center"/>
              <w:rPr>
                <w:rFonts w:hint="eastAsia" w:ascii="宋体" w:hAnsi="宋体" w:eastAsia="宋体" w:cs="宋体"/>
                <w:b/>
                <w:color w:val="auto"/>
                <w:kern w:val="0"/>
                <w:szCs w:val="21"/>
              </w:rPr>
            </w:pPr>
          </w:p>
          <w:p w14:paraId="36FBA8A0">
            <w:pPr>
              <w:autoSpaceDE w:val="0"/>
              <w:autoSpaceDN w:val="0"/>
              <w:adjustRightInd w:val="0"/>
              <w:snapToGrid w:val="0"/>
              <w:jc w:val="center"/>
              <w:rPr>
                <w:rFonts w:hint="eastAsia" w:ascii="宋体" w:hAnsi="宋体" w:eastAsia="宋体" w:cs="宋体"/>
                <w:b/>
                <w:color w:val="auto"/>
                <w:kern w:val="0"/>
                <w:szCs w:val="21"/>
              </w:rPr>
            </w:pPr>
          </w:p>
          <w:p w14:paraId="5929A5E7">
            <w:pPr>
              <w:autoSpaceDE w:val="0"/>
              <w:autoSpaceDN w:val="0"/>
              <w:adjustRightInd w:val="0"/>
              <w:snapToGrid w:val="0"/>
              <w:jc w:val="center"/>
              <w:rPr>
                <w:rFonts w:hint="eastAsia" w:ascii="宋体" w:hAnsi="宋体" w:eastAsia="宋体" w:cs="宋体"/>
                <w:b/>
                <w:color w:val="auto"/>
                <w:kern w:val="0"/>
                <w:szCs w:val="21"/>
              </w:rPr>
            </w:pPr>
          </w:p>
          <w:p w14:paraId="0A053864">
            <w:pPr>
              <w:autoSpaceDE w:val="0"/>
              <w:autoSpaceDN w:val="0"/>
              <w:adjustRightInd w:val="0"/>
              <w:snapToGrid w:val="0"/>
              <w:jc w:val="center"/>
              <w:rPr>
                <w:rFonts w:hint="eastAsia" w:ascii="宋体" w:hAnsi="宋体" w:eastAsia="宋体" w:cs="宋体"/>
                <w:b/>
                <w:color w:val="auto"/>
                <w:kern w:val="0"/>
                <w:szCs w:val="21"/>
              </w:rPr>
            </w:pPr>
          </w:p>
          <w:p w14:paraId="7E2FA78E">
            <w:pPr>
              <w:autoSpaceDE w:val="0"/>
              <w:autoSpaceDN w:val="0"/>
              <w:adjustRightInd w:val="0"/>
              <w:snapToGrid w:val="0"/>
              <w:jc w:val="center"/>
              <w:rPr>
                <w:rFonts w:hint="eastAsia" w:ascii="宋体" w:hAnsi="宋体" w:eastAsia="宋体" w:cs="宋体"/>
                <w:b/>
                <w:color w:val="auto"/>
                <w:kern w:val="0"/>
                <w:szCs w:val="21"/>
              </w:rPr>
            </w:pPr>
          </w:p>
          <w:p w14:paraId="117FD8F3">
            <w:pPr>
              <w:autoSpaceDE w:val="0"/>
              <w:autoSpaceDN w:val="0"/>
              <w:adjustRightInd w:val="0"/>
              <w:snapToGrid w:val="0"/>
              <w:jc w:val="center"/>
              <w:rPr>
                <w:rFonts w:hint="eastAsia" w:ascii="宋体" w:hAnsi="宋体" w:eastAsia="宋体" w:cs="宋体"/>
                <w:b/>
                <w:color w:val="auto"/>
                <w:kern w:val="0"/>
                <w:szCs w:val="21"/>
              </w:rPr>
            </w:pPr>
          </w:p>
          <w:p w14:paraId="2578E315">
            <w:pPr>
              <w:autoSpaceDE w:val="0"/>
              <w:autoSpaceDN w:val="0"/>
              <w:adjustRightInd w:val="0"/>
              <w:snapToGrid w:val="0"/>
              <w:jc w:val="center"/>
              <w:rPr>
                <w:rFonts w:hint="eastAsia" w:ascii="宋体" w:hAnsi="宋体" w:eastAsia="宋体" w:cs="宋体"/>
                <w:b/>
                <w:color w:val="auto"/>
                <w:kern w:val="0"/>
                <w:szCs w:val="21"/>
              </w:rPr>
            </w:pPr>
          </w:p>
          <w:p w14:paraId="7CA88D0B">
            <w:pPr>
              <w:autoSpaceDE w:val="0"/>
              <w:autoSpaceDN w:val="0"/>
              <w:adjustRightInd w:val="0"/>
              <w:snapToGrid w:val="0"/>
              <w:jc w:val="center"/>
              <w:rPr>
                <w:rFonts w:hint="eastAsia" w:ascii="宋体" w:hAnsi="宋体" w:eastAsia="宋体" w:cs="宋体"/>
                <w:b/>
                <w:color w:val="auto"/>
                <w:kern w:val="0"/>
                <w:szCs w:val="21"/>
              </w:rPr>
            </w:pPr>
          </w:p>
          <w:p w14:paraId="51DD6269">
            <w:pPr>
              <w:autoSpaceDE w:val="0"/>
              <w:autoSpaceDN w:val="0"/>
              <w:adjustRightInd w:val="0"/>
              <w:snapToGrid w:val="0"/>
              <w:jc w:val="center"/>
              <w:rPr>
                <w:rFonts w:hint="eastAsia" w:ascii="宋体" w:hAnsi="宋体" w:eastAsia="宋体" w:cs="宋体"/>
                <w:b/>
                <w:color w:val="auto"/>
                <w:kern w:val="0"/>
                <w:szCs w:val="21"/>
              </w:rPr>
            </w:pPr>
          </w:p>
          <w:p w14:paraId="1A997CF3">
            <w:pPr>
              <w:autoSpaceDE w:val="0"/>
              <w:autoSpaceDN w:val="0"/>
              <w:adjustRightInd w:val="0"/>
              <w:snapToGrid w:val="0"/>
              <w:jc w:val="center"/>
              <w:rPr>
                <w:rFonts w:hint="eastAsia" w:ascii="宋体" w:hAnsi="宋体" w:eastAsia="宋体" w:cs="宋体"/>
                <w:b/>
                <w:color w:val="auto"/>
                <w:kern w:val="0"/>
                <w:szCs w:val="21"/>
              </w:rPr>
            </w:pPr>
          </w:p>
          <w:p w14:paraId="243F1555">
            <w:pPr>
              <w:autoSpaceDE w:val="0"/>
              <w:autoSpaceDN w:val="0"/>
              <w:adjustRightInd w:val="0"/>
              <w:snapToGrid w:val="0"/>
              <w:jc w:val="center"/>
              <w:rPr>
                <w:rFonts w:hint="eastAsia" w:ascii="宋体" w:hAnsi="宋体" w:eastAsia="宋体" w:cs="宋体"/>
                <w:b/>
                <w:color w:val="auto"/>
                <w:kern w:val="0"/>
                <w:szCs w:val="21"/>
              </w:rPr>
            </w:pPr>
          </w:p>
          <w:p w14:paraId="1B07CEF9">
            <w:pPr>
              <w:autoSpaceDE w:val="0"/>
              <w:autoSpaceDN w:val="0"/>
              <w:adjustRightInd w:val="0"/>
              <w:snapToGrid w:val="0"/>
              <w:jc w:val="center"/>
              <w:rPr>
                <w:rFonts w:hint="eastAsia" w:ascii="宋体" w:hAnsi="宋体" w:eastAsia="宋体" w:cs="宋体"/>
                <w:b/>
                <w:color w:val="auto"/>
                <w:kern w:val="0"/>
                <w:szCs w:val="21"/>
              </w:rPr>
            </w:pPr>
          </w:p>
          <w:p w14:paraId="1C0D8B2E">
            <w:pPr>
              <w:autoSpaceDE w:val="0"/>
              <w:autoSpaceDN w:val="0"/>
              <w:adjustRightInd w:val="0"/>
              <w:snapToGrid w:val="0"/>
              <w:jc w:val="center"/>
              <w:rPr>
                <w:rFonts w:hint="eastAsia" w:ascii="宋体" w:hAnsi="宋体" w:eastAsia="宋体" w:cs="宋体"/>
                <w:b/>
                <w:color w:val="auto"/>
                <w:kern w:val="0"/>
                <w:szCs w:val="21"/>
              </w:rPr>
            </w:pPr>
          </w:p>
          <w:p w14:paraId="6BE6C7D3">
            <w:pPr>
              <w:autoSpaceDE w:val="0"/>
              <w:autoSpaceDN w:val="0"/>
              <w:adjustRightInd w:val="0"/>
              <w:snapToGrid w:val="0"/>
              <w:jc w:val="center"/>
              <w:rPr>
                <w:rFonts w:hint="eastAsia" w:ascii="宋体" w:hAnsi="宋体" w:eastAsia="宋体" w:cs="宋体"/>
                <w:b/>
                <w:color w:val="auto"/>
                <w:kern w:val="0"/>
                <w:szCs w:val="21"/>
              </w:rPr>
            </w:pPr>
          </w:p>
          <w:p w14:paraId="711429EC">
            <w:pPr>
              <w:autoSpaceDE w:val="0"/>
              <w:autoSpaceDN w:val="0"/>
              <w:adjustRightInd w:val="0"/>
              <w:snapToGrid w:val="0"/>
              <w:jc w:val="center"/>
              <w:rPr>
                <w:rFonts w:hint="eastAsia" w:ascii="宋体" w:hAnsi="宋体" w:eastAsia="宋体" w:cs="宋体"/>
                <w:b/>
                <w:color w:val="auto"/>
                <w:kern w:val="0"/>
                <w:szCs w:val="21"/>
              </w:rPr>
            </w:pPr>
          </w:p>
          <w:p w14:paraId="6EA21835">
            <w:pPr>
              <w:autoSpaceDE w:val="0"/>
              <w:autoSpaceDN w:val="0"/>
              <w:adjustRightInd w:val="0"/>
              <w:snapToGrid w:val="0"/>
              <w:jc w:val="center"/>
              <w:rPr>
                <w:rFonts w:hint="eastAsia" w:ascii="宋体" w:hAnsi="宋体" w:eastAsia="宋体" w:cs="宋体"/>
                <w:b/>
                <w:color w:val="auto"/>
                <w:kern w:val="0"/>
                <w:szCs w:val="21"/>
              </w:rPr>
            </w:pPr>
          </w:p>
          <w:p w14:paraId="3455FF45">
            <w:pPr>
              <w:autoSpaceDE w:val="0"/>
              <w:autoSpaceDN w:val="0"/>
              <w:adjustRightInd w:val="0"/>
              <w:snapToGrid w:val="0"/>
              <w:jc w:val="center"/>
              <w:rPr>
                <w:rFonts w:hint="eastAsia" w:ascii="宋体" w:hAnsi="宋体" w:eastAsia="宋体" w:cs="宋体"/>
                <w:b/>
                <w:color w:val="auto"/>
                <w:kern w:val="0"/>
                <w:szCs w:val="21"/>
              </w:rPr>
            </w:pPr>
          </w:p>
          <w:p w14:paraId="74DCC920">
            <w:pPr>
              <w:autoSpaceDE w:val="0"/>
              <w:autoSpaceDN w:val="0"/>
              <w:adjustRightInd w:val="0"/>
              <w:snapToGrid w:val="0"/>
              <w:jc w:val="center"/>
              <w:rPr>
                <w:rFonts w:hint="eastAsia" w:ascii="宋体" w:hAnsi="宋体" w:eastAsia="宋体" w:cs="宋体"/>
                <w:b/>
                <w:color w:val="auto"/>
                <w:kern w:val="0"/>
                <w:szCs w:val="21"/>
              </w:rPr>
            </w:pPr>
          </w:p>
        </w:tc>
        <w:tc>
          <w:tcPr>
            <w:tcW w:w="8340" w:type="dxa"/>
            <w:gridSpan w:val="6"/>
            <w:noWrap w:val="0"/>
            <w:vAlign w:val="center"/>
          </w:tcPr>
          <w:p w14:paraId="71E22F96">
            <w:pPr>
              <w:keepNext w:val="0"/>
              <w:keepLines w:val="0"/>
              <w:pageBreakBefore w:val="0"/>
              <w:widowControl w:val="0"/>
              <w:kinsoku/>
              <w:wordWrap/>
              <w:overflowPunct/>
              <w:topLinePunct w:val="0"/>
              <w:autoSpaceDE/>
              <w:autoSpaceDN/>
              <w:bidi w:val="0"/>
              <w:adjustRightInd/>
              <w:snapToGrid/>
              <w:spacing w:line="360" w:lineRule="auto"/>
              <w:ind w:right="0"/>
              <w:textAlignment w:val="auto"/>
              <w:rPr>
                <w:b/>
                <w:color w:val="000000"/>
                <w:sz w:val="24"/>
              </w:rPr>
            </w:pPr>
            <w:r>
              <w:rPr>
                <w:rFonts w:hint="eastAsia"/>
                <w:b/>
                <w:color w:val="auto"/>
                <w:sz w:val="24"/>
              </w:rPr>
              <w:t>1、</w:t>
            </w:r>
            <w:r>
              <w:rPr>
                <w:rFonts w:hint="eastAsia"/>
                <w:b/>
                <w:color w:val="000000"/>
                <w:sz w:val="24"/>
              </w:rPr>
              <w:t>产业政策相符性分析</w:t>
            </w:r>
          </w:p>
          <w:p w14:paraId="4C05A66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color w:val="000000"/>
                <w:sz w:val="24"/>
              </w:rPr>
            </w:pPr>
            <w:r>
              <w:rPr>
                <w:rFonts w:hint="eastAsia"/>
                <w:color w:val="000000"/>
                <w:sz w:val="24"/>
              </w:rPr>
              <w:t>本项目为C3589其他医疗设备及器械制造。经对照，本项目不属于《产业结构调整指导目录（2024修订本）》</w:t>
            </w:r>
            <w:r>
              <w:rPr>
                <w:rFonts w:hint="eastAsia"/>
                <w:color w:val="000000"/>
                <w:sz w:val="24"/>
                <w:lang w:val="en-US" w:eastAsia="zh-CN"/>
              </w:rPr>
              <w:t>中鼓励类、限制类、淘汰类；</w:t>
            </w:r>
            <w:r>
              <w:rPr>
                <w:rFonts w:hint="eastAsia"/>
                <w:color w:val="000000"/>
                <w:sz w:val="24"/>
              </w:rPr>
              <w:t>《江苏省太湖流域禁止和限制的产业产品目录（2024年本）》</w:t>
            </w:r>
            <w:r>
              <w:rPr>
                <w:rFonts w:hint="eastAsia"/>
                <w:color w:val="000000"/>
                <w:sz w:val="24"/>
                <w:lang w:val="en-US" w:eastAsia="zh-CN"/>
              </w:rPr>
              <w:t>中限制类、淘汰类、禁止类；不在</w:t>
            </w:r>
            <w:r>
              <w:rPr>
                <w:rFonts w:hint="eastAsia"/>
                <w:color w:val="000000"/>
                <w:sz w:val="24"/>
              </w:rPr>
              <w:t>《江苏省“两高”项目管理目录》</w:t>
            </w:r>
            <w:r>
              <w:rPr>
                <w:rFonts w:hint="eastAsia"/>
                <w:color w:val="auto"/>
                <w:sz w:val="24"/>
              </w:rPr>
              <w:t>（202</w:t>
            </w:r>
            <w:r>
              <w:rPr>
                <w:rFonts w:hint="eastAsia"/>
                <w:color w:val="auto"/>
                <w:sz w:val="24"/>
                <w:lang w:val="en-US" w:eastAsia="zh-CN"/>
              </w:rPr>
              <w:t>5</w:t>
            </w:r>
            <w:r>
              <w:rPr>
                <w:rFonts w:hint="eastAsia"/>
                <w:color w:val="auto"/>
                <w:sz w:val="24"/>
              </w:rPr>
              <w:t>年版）</w:t>
            </w:r>
            <w:r>
              <w:rPr>
                <w:rFonts w:hint="eastAsia"/>
                <w:color w:val="000000"/>
                <w:sz w:val="24"/>
              </w:rPr>
              <w:t>中</w:t>
            </w:r>
            <w:r>
              <w:rPr>
                <w:rFonts w:hint="eastAsia"/>
                <w:color w:val="000000"/>
                <w:sz w:val="24"/>
                <w:lang w:val="en-US" w:eastAsia="zh-CN"/>
              </w:rPr>
              <w:t>江苏省</w:t>
            </w:r>
            <w:r>
              <w:rPr>
                <w:rFonts w:hint="eastAsia"/>
                <w:color w:val="000000"/>
                <w:sz w:val="24"/>
                <w:lang w:eastAsia="zh-CN"/>
              </w:rPr>
              <w:t>“</w:t>
            </w:r>
            <w:r>
              <w:rPr>
                <w:rFonts w:hint="eastAsia"/>
                <w:color w:val="000000"/>
                <w:sz w:val="24"/>
                <w:lang w:val="en-US" w:eastAsia="zh-CN"/>
              </w:rPr>
              <w:t>两高</w:t>
            </w:r>
            <w:r>
              <w:rPr>
                <w:rFonts w:hint="eastAsia"/>
                <w:color w:val="000000"/>
                <w:sz w:val="24"/>
                <w:lang w:eastAsia="zh-CN"/>
              </w:rPr>
              <w:t>”</w:t>
            </w:r>
            <w:r>
              <w:rPr>
                <w:rFonts w:hint="eastAsia"/>
                <w:color w:val="000000"/>
                <w:sz w:val="24"/>
                <w:lang w:val="en-US" w:eastAsia="zh-CN"/>
              </w:rPr>
              <w:t>项目管理目录中</w:t>
            </w:r>
            <w:r>
              <w:rPr>
                <w:rFonts w:hint="eastAsia"/>
                <w:color w:val="000000"/>
                <w:sz w:val="24"/>
              </w:rPr>
              <w:t>，不在《环境保护综合名录（2021年版）》中“高污染、高环境风险”产品名录中，不属于《苏州市产业发展导向目录（2007年本）》（苏府</w:t>
            </w:r>
            <w:r>
              <w:rPr>
                <w:rFonts w:hint="eastAsia"/>
                <w:color w:val="000000"/>
                <w:sz w:val="24"/>
                <w:lang w:eastAsia="zh-CN"/>
              </w:rPr>
              <w:t>〔</w:t>
            </w:r>
            <w:r>
              <w:rPr>
                <w:rFonts w:hint="eastAsia"/>
                <w:color w:val="000000"/>
                <w:sz w:val="24"/>
              </w:rPr>
              <w:t>2007</w:t>
            </w:r>
            <w:r>
              <w:rPr>
                <w:rFonts w:hint="eastAsia"/>
                <w:color w:val="000000"/>
                <w:sz w:val="24"/>
                <w:lang w:eastAsia="zh-CN"/>
              </w:rPr>
              <w:t>〕</w:t>
            </w:r>
            <w:r>
              <w:rPr>
                <w:rFonts w:hint="eastAsia"/>
                <w:color w:val="000000"/>
                <w:sz w:val="24"/>
              </w:rPr>
              <w:t>129号）</w:t>
            </w:r>
            <w:r>
              <w:rPr>
                <w:rFonts w:hint="eastAsia"/>
                <w:color w:val="000000"/>
                <w:sz w:val="24"/>
                <w:lang w:val="en-US" w:eastAsia="zh-CN"/>
              </w:rPr>
              <w:t>中鼓励类、</w:t>
            </w:r>
            <w:r>
              <w:rPr>
                <w:rFonts w:hint="eastAsia"/>
                <w:color w:val="000000"/>
                <w:sz w:val="24"/>
              </w:rPr>
              <w:t>限制</w:t>
            </w:r>
            <w:r>
              <w:rPr>
                <w:rFonts w:hint="eastAsia"/>
                <w:color w:val="000000"/>
                <w:sz w:val="24"/>
                <w:lang w:val="en-US" w:eastAsia="zh-CN"/>
              </w:rPr>
              <w:t>类</w:t>
            </w:r>
            <w:r>
              <w:rPr>
                <w:rFonts w:hint="eastAsia"/>
                <w:color w:val="000000"/>
                <w:sz w:val="24"/>
              </w:rPr>
              <w:t>、禁止</w:t>
            </w:r>
            <w:r>
              <w:rPr>
                <w:rFonts w:hint="eastAsia"/>
                <w:color w:val="000000"/>
                <w:sz w:val="24"/>
                <w:lang w:val="en-US" w:eastAsia="zh-CN"/>
              </w:rPr>
              <w:t>类</w:t>
            </w:r>
            <w:r>
              <w:rPr>
                <w:rFonts w:hint="eastAsia"/>
                <w:color w:val="000000"/>
                <w:sz w:val="24"/>
              </w:rPr>
              <w:t>和淘汰类，属于允许类。</w:t>
            </w:r>
          </w:p>
          <w:p w14:paraId="00E976F8">
            <w:pPr>
              <w:keepNext w:val="0"/>
              <w:keepLines w:val="0"/>
              <w:pageBreakBefore w:val="0"/>
              <w:widowControl w:val="0"/>
              <w:kinsoku/>
              <w:wordWrap/>
              <w:overflowPunct/>
              <w:topLinePunct w:val="0"/>
              <w:autoSpaceDE/>
              <w:autoSpaceDN/>
              <w:bidi w:val="0"/>
              <w:adjustRightInd/>
              <w:snapToGrid/>
              <w:spacing w:line="360" w:lineRule="auto"/>
              <w:textAlignment w:val="auto"/>
              <w:rPr>
                <w:b/>
                <w:color w:val="auto"/>
                <w:sz w:val="24"/>
              </w:rPr>
            </w:pPr>
            <w:r>
              <w:rPr>
                <w:rFonts w:hint="eastAsia"/>
                <w:b/>
                <w:color w:val="auto"/>
                <w:sz w:val="24"/>
                <w:lang w:val="en-US" w:eastAsia="zh-CN"/>
              </w:rPr>
              <w:t>2、</w:t>
            </w:r>
            <w:r>
              <w:rPr>
                <w:rFonts w:hint="eastAsia"/>
                <w:b/>
                <w:color w:val="auto"/>
                <w:sz w:val="24"/>
              </w:rPr>
              <w:t>“</w:t>
            </w:r>
            <w:r>
              <w:rPr>
                <w:b/>
                <w:color w:val="auto"/>
                <w:sz w:val="24"/>
              </w:rPr>
              <w:t>三线一单</w:t>
            </w:r>
            <w:r>
              <w:rPr>
                <w:rFonts w:hint="eastAsia"/>
                <w:b/>
                <w:color w:val="auto"/>
                <w:sz w:val="24"/>
              </w:rPr>
              <w:t>”</w:t>
            </w:r>
            <w:r>
              <w:rPr>
                <w:b/>
                <w:color w:val="auto"/>
                <w:sz w:val="24"/>
              </w:rPr>
              <w:t>相符性</w:t>
            </w:r>
          </w:p>
          <w:p w14:paraId="2087C7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（1）生态保护红线</w:t>
            </w:r>
          </w:p>
          <w:p w14:paraId="0B097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①《江苏省生态空间管控区域规划》（苏政发〔2020〕1号）</w:t>
            </w:r>
          </w:p>
          <w:p w14:paraId="5C95E3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根据江苏省人民政府于2020年01月08日发布的《省政府关于印发江苏省生态空间管控区域规划的通知》（苏政发〔2020〕1号），本项目选址不在生态空间管控区域范围内，因此本项目的建设与《江苏省生态空间管控区域规划》相符。</w:t>
            </w:r>
          </w:p>
          <w:p w14:paraId="37BEF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b/>
                <w:bCs/>
                <w:color w:val="000000"/>
                <w:kern w:val="2"/>
                <w:sz w:val="21"/>
                <w:szCs w:val="21"/>
                <w:lang w:val="en-US" w:eastAsia="zh-CN" w:bidi="ar-SA"/>
              </w:rPr>
              <w:t>表1-1 本项目附近生态空间管控区域</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946"/>
              <w:gridCol w:w="845"/>
              <w:gridCol w:w="1981"/>
              <w:gridCol w:w="883"/>
              <w:gridCol w:w="858"/>
              <w:gridCol w:w="795"/>
              <w:gridCol w:w="868"/>
            </w:tblGrid>
            <w:tr w14:paraId="219DC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vMerge w:val="restart"/>
                  <w:tcBorders>
                    <w:tl2br w:val="nil"/>
                    <w:tr2bl w:val="nil"/>
                  </w:tcBorders>
                  <w:noWrap w:val="0"/>
                  <w:vAlign w:val="center"/>
                </w:tcPr>
                <w:p w14:paraId="6709CFE3">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生态空间保护区域名称</w:t>
                  </w:r>
                </w:p>
              </w:tc>
              <w:tc>
                <w:tcPr>
                  <w:tcW w:w="571" w:type="pct"/>
                  <w:vMerge w:val="restart"/>
                  <w:tcBorders>
                    <w:tl2br w:val="nil"/>
                    <w:tr2bl w:val="nil"/>
                  </w:tcBorders>
                  <w:noWrap w:val="0"/>
                  <w:vAlign w:val="center"/>
                </w:tcPr>
                <w:p w14:paraId="336E485C">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主导生态功能</w:t>
                  </w:r>
                </w:p>
              </w:tc>
              <w:tc>
                <w:tcPr>
                  <w:tcW w:w="1706" w:type="pct"/>
                  <w:gridSpan w:val="2"/>
                  <w:tcBorders>
                    <w:tl2br w:val="nil"/>
                    <w:tr2bl w:val="nil"/>
                  </w:tcBorders>
                  <w:noWrap w:val="0"/>
                  <w:vAlign w:val="center"/>
                </w:tcPr>
                <w:p w14:paraId="410C0E54">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bCs/>
                      <w:i w:val="0"/>
                      <w:iCs w:val="0"/>
                      <w:color w:val="000000"/>
                      <w:spacing w:val="0"/>
                      <w:w w:val="100"/>
                      <w:sz w:val="21"/>
                      <w:szCs w:val="21"/>
                      <w:vertAlign w:val="baseline"/>
                    </w:rPr>
                    <w:t>范围</w:t>
                  </w:r>
                </w:p>
              </w:tc>
              <w:tc>
                <w:tcPr>
                  <w:tcW w:w="1531" w:type="pct"/>
                  <w:gridSpan w:val="3"/>
                  <w:tcBorders>
                    <w:tl2br w:val="nil"/>
                    <w:tr2bl w:val="nil"/>
                  </w:tcBorders>
                  <w:noWrap w:val="0"/>
                  <w:vAlign w:val="center"/>
                </w:tcPr>
                <w:p w14:paraId="448B9B6C">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bCs/>
                      <w:i w:val="0"/>
                      <w:iCs w:val="0"/>
                      <w:color w:val="000000"/>
                      <w:spacing w:val="0"/>
                      <w:w w:val="100"/>
                      <w:sz w:val="21"/>
                      <w:szCs w:val="21"/>
                      <w:vertAlign w:val="baseline"/>
                    </w:rPr>
                    <w:t>面积（km</w:t>
                  </w:r>
                  <w:r>
                    <w:rPr>
                      <w:rFonts w:hint="default" w:ascii="Times New Roman" w:hAnsi="Times New Roman" w:eastAsia="宋体" w:cs="Times New Roman"/>
                      <w:b/>
                      <w:bCs/>
                      <w:i w:val="0"/>
                      <w:iCs w:val="0"/>
                      <w:color w:val="000000"/>
                      <w:spacing w:val="0"/>
                      <w:w w:val="100"/>
                      <w:sz w:val="21"/>
                      <w:szCs w:val="21"/>
                      <w:vertAlign w:val="superscript"/>
                    </w:rPr>
                    <w:t>2</w:t>
                  </w:r>
                  <w:r>
                    <w:rPr>
                      <w:rFonts w:hint="default" w:ascii="Times New Roman" w:hAnsi="Times New Roman" w:eastAsia="宋体" w:cs="Times New Roman"/>
                      <w:b/>
                      <w:bCs/>
                      <w:i w:val="0"/>
                      <w:iCs w:val="0"/>
                      <w:color w:val="000000"/>
                      <w:spacing w:val="0"/>
                      <w:w w:val="100"/>
                      <w:sz w:val="21"/>
                      <w:szCs w:val="21"/>
                      <w:vertAlign w:val="baseline"/>
                    </w:rPr>
                    <w:t>）</w:t>
                  </w:r>
                </w:p>
              </w:tc>
              <w:tc>
                <w:tcPr>
                  <w:tcW w:w="524" w:type="pct"/>
                  <w:vMerge w:val="restart"/>
                  <w:tcBorders>
                    <w:tl2br w:val="nil"/>
                    <w:tr2bl w:val="nil"/>
                  </w:tcBorders>
                  <w:noWrap w:val="0"/>
                  <w:vAlign w:val="center"/>
                </w:tcPr>
                <w:p w14:paraId="1C3D259D">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kern w:val="0"/>
                      <w:sz w:val="21"/>
                      <w:szCs w:val="21"/>
                      <w:highlight w:val="none"/>
                      <w:vertAlign w:val="baseline"/>
                      <w:lang w:val="en-US" w:eastAsia="zh-CN" w:bidi="ar-SA"/>
                    </w:rPr>
                    <w:t>与本项目方位及距离</w:t>
                  </w:r>
                </w:p>
              </w:tc>
            </w:tr>
            <w:tr w14:paraId="45955D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vMerge w:val="continue"/>
                  <w:tcBorders>
                    <w:tl2br w:val="nil"/>
                    <w:tr2bl w:val="nil"/>
                  </w:tcBorders>
                  <w:noWrap w:val="0"/>
                  <w:vAlign w:val="center"/>
                </w:tcPr>
                <w:p w14:paraId="45FDAC06">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sz w:val="21"/>
                      <w:szCs w:val="21"/>
                      <w:vertAlign w:val="baseline"/>
                      <w:lang w:val="en-US" w:eastAsia="zh-CN"/>
                    </w:rPr>
                  </w:pPr>
                </w:p>
              </w:tc>
              <w:tc>
                <w:tcPr>
                  <w:tcW w:w="571" w:type="pct"/>
                  <w:vMerge w:val="continue"/>
                  <w:tcBorders>
                    <w:tl2br w:val="nil"/>
                    <w:tr2bl w:val="nil"/>
                  </w:tcBorders>
                  <w:noWrap w:val="0"/>
                  <w:vAlign w:val="center"/>
                </w:tcPr>
                <w:p w14:paraId="6FB94F7F">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sz w:val="21"/>
                      <w:szCs w:val="21"/>
                      <w:vertAlign w:val="baseline"/>
                      <w:lang w:val="en-US" w:eastAsia="zh-CN"/>
                    </w:rPr>
                  </w:pPr>
                </w:p>
              </w:tc>
              <w:tc>
                <w:tcPr>
                  <w:tcW w:w="510" w:type="pct"/>
                  <w:tcBorders>
                    <w:tl2br w:val="nil"/>
                    <w:tr2bl w:val="nil"/>
                  </w:tcBorders>
                  <w:noWrap w:val="0"/>
                  <w:vAlign w:val="center"/>
                </w:tcPr>
                <w:p w14:paraId="60435BEF">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国家级生态保护红线范围</w:t>
                  </w:r>
                </w:p>
              </w:tc>
              <w:tc>
                <w:tcPr>
                  <w:tcW w:w="1196" w:type="pct"/>
                  <w:tcBorders>
                    <w:tl2br w:val="nil"/>
                    <w:tr2bl w:val="nil"/>
                  </w:tcBorders>
                  <w:noWrap w:val="0"/>
                  <w:vAlign w:val="center"/>
                </w:tcPr>
                <w:p w14:paraId="6C446117">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生态空间管控区域范围</w:t>
                  </w:r>
                </w:p>
              </w:tc>
              <w:tc>
                <w:tcPr>
                  <w:tcW w:w="533" w:type="pct"/>
                  <w:tcBorders>
                    <w:tl2br w:val="nil"/>
                    <w:tr2bl w:val="nil"/>
                  </w:tcBorders>
                  <w:noWrap w:val="0"/>
                  <w:vAlign w:val="center"/>
                </w:tcPr>
                <w:p w14:paraId="35395314">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国家级生态保护红线面积</w:t>
                  </w:r>
                </w:p>
              </w:tc>
              <w:tc>
                <w:tcPr>
                  <w:tcW w:w="518" w:type="pct"/>
                  <w:tcBorders>
                    <w:tl2br w:val="nil"/>
                    <w:tr2bl w:val="nil"/>
                  </w:tcBorders>
                  <w:noWrap w:val="0"/>
                  <w:vAlign w:val="center"/>
                </w:tcPr>
                <w:p w14:paraId="2BC5181F">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生态空间管控区域面积</w:t>
                  </w:r>
                </w:p>
              </w:tc>
              <w:tc>
                <w:tcPr>
                  <w:tcW w:w="480" w:type="pct"/>
                  <w:tcBorders>
                    <w:tl2br w:val="nil"/>
                    <w:tr2bl w:val="nil"/>
                  </w:tcBorders>
                  <w:noWrap w:val="0"/>
                  <w:vAlign w:val="center"/>
                </w:tcPr>
                <w:p w14:paraId="34C52CC3">
                  <w:pPr>
                    <w:pStyle w:val="19"/>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sz w:val="21"/>
                      <w:szCs w:val="21"/>
                      <w:vertAlign w:val="baseline"/>
                      <w:lang w:val="en-US" w:eastAsia="zh-CN"/>
                    </w:rPr>
                  </w:pPr>
                  <w:r>
                    <w:rPr>
                      <w:rFonts w:hint="default" w:ascii="Times New Roman" w:hAnsi="Times New Roman" w:eastAsia="宋体" w:cs="Times New Roman"/>
                      <w:b/>
                      <w:bCs/>
                      <w:i w:val="0"/>
                      <w:iCs w:val="0"/>
                      <w:color w:val="000000"/>
                      <w:spacing w:val="0"/>
                      <w:w w:val="100"/>
                      <w:sz w:val="21"/>
                      <w:szCs w:val="21"/>
                      <w:vertAlign w:val="baseline"/>
                    </w:rPr>
                    <w:t>总面积</w:t>
                  </w:r>
                </w:p>
              </w:tc>
              <w:tc>
                <w:tcPr>
                  <w:tcW w:w="524" w:type="pct"/>
                  <w:vMerge w:val="continue"/>
                  <w:tcBorders>
                    <w:tl2br w:val="nil"/>
                    <w:tr2bl w:val="nil"/>
                  </w:tcBorders>
                  <w:noWrap w:val="0"/>
                  <w:vAlign w:val="center"/>
                </w:tcPr>
                <w:p w14:paraId="4183EDEA">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sz w:val="21"/>
                      <w:szCs w:val="21"/>
                      <w:vertAlign w:val="baseline"/>
                      <w:lang w:val="en-US" w:eastAsia="zh-CN"/>
                    </w:rPr>
                  </w:pPr>
                </w:p>
              </w:tc>
            </w:tr>
            <w:tr w14:paraId="43B46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tcBorders>
                    <w:tl2br w:val="nil"/>
                    <w:tr2bl w:val="nil"/>
                  </w:tcBorders>
                  <w:noWrap w:val="0"/>
                  <w:vAlign w:val="center"/>
                </w:tcPr>
                <w:p w14:paraId="3143E6B8">
                  <w:pPr>
                    <w:keepNext w:val="0"/>
                    <w:keepLines w:val="0"/>
                    <w:pageBreakBefore w:val="0"/>
                    <w:kinsoku/>
                    <w:wordWrap/>
                    <w:overflowPunct/>
                    <w:topLinePunct w:val="0"/>
                    <w:autoSpaceDE w:val="0"/>
                    <w:autoSpaceDN w:val="0"/>
                    <w:bidi w:val="0"/>
                    <w:adjustRightInd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太浦河清水通道维护区</w:t>
                  </w:r>
                </w:p>
              </w:tc>
              <w:tc>
                <w:tcPr>
                  <w:tcW w:w="571" w:type="pct"/>
                  <w:tcBorders>
                    <w:tl2br w:val="nil"/>
                    <w:tr2bl w:val="nil"/>
                  </w:tcBorders>
                  <w:noWrap w:val="0"/>
                  <w:vAlign w:val="center"/>
                </w:tcPr>
                <w:p w14:paraId="3BC0C051">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水源水质保护</w:t>
                  </w:r>
                </w:p>
              </w:tc>
              <w:tc>
                <w:tcPr>
                  <w:tcW w:w="510" w:type="pct"/>
                  <w:tcBorders>
                    <w:tl2br w:val="nil"/>
                    <w:tr2bl w:val="nil"/>
                  </w:tcBorders>
                  <w:noWrap w:val="0"/>
                  <w:vAlign w:val="center"/>
                </w:tcPr>
                <w:p w14:paraId="01192F25">
                  <w:pPr>
                    <w:keepNext w:val="0"/>
                    <w:keepLines w:val="0"/>
                    <w:pageBreakBefore w:val="0"/>
                    <w:kinsoku/>
                    <w:wordWrap/>
                    <w:overflowPunct/>
                    <w:topLinePunct w:val="0"/>
                    <w:bidi w:val="0"/>
                    <w:jc w:val="center"/>
                    <w:textAlignment w:val="auto"/>
                    <w:rPr>
                      <w:rFonts w:hint="eastAsia"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w:t>
                  </w:r>
                </w:p>
              </w:tc>
              <w:tc>
                <w:tcPr>
                  <w:tcW w:w="1196" w:type="pct"/>
                  <w:tcBorders>
                    <w:tl2br w:val="nil"/>
                    <w:tr2bl w:val="nil"/>
                  </w:tcBorders>
                  <w:noWrap w:val="0"/>
                  <w:vAlign w:val="center"/>
                </w:tcPr>
                <w:p w14:paraId="005073DB">
                  <w:pPr>
                    <w:keepNext w:val="0"/>
                    <w:keepLines w:val="0"/>
                    <w:pageBreakBefore w:val="0"/>
                    <w:kinsoku/>
                    <w:wordWrap/>
                    <w:overflowPunct/>
                    <w:topLinePunct w:val="0"/>
                    <w:autoSpaceDE w:val="0"/>
                    <w:autoSpaceDN w:val="0"/>
                    <w:bidi w:val="0"/>
                    <w:adjustRightInd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太浦河及两岸各50米范围（不包括汾湖部分）</w:t>
                  </w:r>
                </w:p>
              </w:tc>
              <w:tc>
                <w:tcPr>
                  <w:tcW w:w="533" w:type="pct"/>
                  <w:tcBorders>
                    <w:tl2br w:val="nil"/>
                    <w:tr2bl w:val="nil"/>
                  </w:tcBorders>
                  <w:noWrap w:val="0"/>
                  <w:vAlign w:val="center"/>
                </w:tcPr>
                <w:p w14:paraId="2CEEAC1C">
                  <w:pPr>
                    <w:keepNext w:val="0"/>
                    <w:keepLines w:val="0"/>
                    <w:pageBreakBefore w:val="0"/>
                    <w:kinsoku/>
                    <w:wordWrap/>
                    <w:overflowPunct/>
                    <w:topLinePunct w:val="0"/>
                    <w:bidi w:val="0"/>
                    <w:jc w:val="center"/>
                    <w:textAlignment w:val="auto"/>
                    <w:rPr>
                      <w:rFonts w:hint="eastAsia"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w:t>
                  </w:r>
                </w:p>
              </w:tc>
              <w:tc>
                <w:tcPr>
                  <w:tcW w:w="518" w:type="pct"/>
                  <w:tcBorders>
                    <w:tl2br w:val="nil"/>
                    <w:tr2bl w:val="nil"/>
                  </w:tcBorders>
                  <w:noWrap w:val="0"/>
                  <w:vAlign w:val="center"/>
                </w:tcPr>
                <w:p w14:paraId="654C65FC">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10.49</w:t>
                  </w:r>
                </w:p>
              </w:tc>
              <w:tc>
                <w:tcPr>
                  <w:tcW w:w="480" w:type="pct"/>
                  <w:tcBorders>
                    <w:tl2br w:val="nil"/>
                    <w:tr2bl w:val="nil"/>
                  </w:tcBorders>
                  <w:noWrap w:val="0"/>
                  <w:vAlign w:val="center"/>
                </w:tcPr>
                <w:p w14:paraId="16D28E7C">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10.49</w:t>
                  </w:r>
                </w:p>
              </w:tc>
              <w:tc>
                <w:tcPr>
                  <w:tcW w:w="524" w:type="pct"/>
                  <w:tcBorders>
                    <w:tl2br w:val="nil"/>
                    <w:tr2bl w:val="nil"/>
                  </w:tcBorders>
                  <w:noWrap w:val="0"/>
                  <w:vAlign w:val="center"/>
                </w:tcPr>
                <w:p w14:paraId="6614A07D">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eastAsia" w:cs="Times New Roman"/>
                      <w:color w:val="000000"/>
                      <w:kern w:val="2"/>
                      <w:sz w:val="21"/>
                      <w:szCs w:val="24"/>
                      <w:lang w:val="en-US" w:eastAsia="zh-CN" w:bidi="ar-SA"/>
                    </w:rPr>
                    <w:t>南，80m</w:t>
                  </w:r>
                </w:p>
              </w:tc>
            </w:tr>
            <w:tr w14:paraId="0CC448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tcBorders>
                    <w:tl2br w:val="nil"/>
                    <w:tr2bl w:val="nil"/>
                  </w:tcBorders>
                  <w:noWrap w:val="0"/>
                  <w:vAlign w:val="center"/>
                </w:tcPr>
                <w:p w14:paraId="6CB94C64">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汾湖重要湿地</w:t>
                  </w:r>
                </w:p>
              </w:tc>
              <w:tc>
                <w:tcPr>
                  <w:tcW w:w="571" w:type="pct"/>
                  <w:tcBorders>
                    <w:tl2br w:val="nil"/>
                    <w:tr2bl w:val="nil"/>
                  </w:tcBorders>
                  <w:noWrap w:val="0"/>
                  <w:vAlign w:val="center"/>
                </w:tcPr>
                <w:p w14:paraId="5691F048">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湿地生态系统保护</w:t>
                  </w:r>
                </w:p>
              </w:tc>
              <w:tc>
                <w:tcPr>
                  <w:tcW w:w="510" w:type="pct"/>
                  <w:tcBorders>
                    <w:tl2br w:val="nil"/>
                    <w:tr2bl w:val="nil"/>
                  </w:tcBorders>
                  <w:noWrap w:val="0"/>
                  <w:vAlign w:val="center"/>
                </w:tcPr>
                <w:p w14:paraId="4F8A5519">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w:t>
                  </w:r>
                </w:p>
              </w:tc>
              <w:tc>
                <w:tcPr>
                  <w:tcW w:w="1196" w:type="pct"/>
                  <w:tcBorders>
                    <w:tl2br w:val="nil"/>
                    <w:tr2bl w:val="nil"/>
                  </w:tcBorders>
                  <w:noWrap w:val="0"/>
                  <w:vAlign w:val="center"/>
                </w:tcPr>
                <w:p w14:paraId="5B976E91">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汾湖水体范围</w:t>
                  </w:r>
                </w:p>
              </w:tc>
              <w:tc>
                <w:tcPr>
                  <w:tcW w:w="533" w:type="pct"/>
                  <w:tcBorders>
                    <w:tl2br w:val="nil"/>
                    <w:tr2bl w:val="nil"/>
                  </w:tcBorders>
                  <w:noWrap w:val="0"/>
                  <w:vAlign w:val="center"/>
                </w:tcPr>
                <w:p w14:paraId="37824B30">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w:t>
                  </w:r>
                </w:p>
              </w:tc>
              <w:tc>
                <w:tcPr>
                  <w:tcW w:w="518" w:type="pct"/>
                  <w:tcBorders>
                    <w:tl2br w:val="nil"/>
                    <w:tr2bl w:val="nil"/>
                  </w:tcBorders>
                  <w:noWrap w:val="0"/>
                  <w:vAlign w:val="center"/>
                </w:tcPr>
                <w:p w14:paraId="46443E8F">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3.13</w:t>
                  </w:r>
                </w:p>
              </w:tc>
              <w:tc>
                <w:tcPr>
                  <w:tcW w:w="480" w:type="pct"/>
                  <w:tcBorders>
                    <w:tl2br w:val="nil"/>
                    <w:tr2bl w:val="nil"/>
                  </w:tcBorders>
                  <w:noWrap w:val="0"/>
                  <w:vAlign w:val="center"/>
                </w:tcPr>
                <w:p w14:paraId="56449B03">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3.13</w:t>
                  </w:r>
                </w:p>
              </w:tc>
              <w:tc>
                <w:tcPr>
                  <w:tcW w:w="524" w:type="pct"/>
                  <w:tcBorders>
                    <w:tl2br w:val="nil"/>
                    <w:tr2bl w:val="nil"/>
                  </w:tcBorders>
                  <w:noWrap w:val="0"/>
                  <w:vAlign w:val="center"/>
                </w:tcPr>
                <w:p w14:paraId="1BDC9794">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eastAsia" w:cs="Times New Roman"/>
                      <w:color w:val="000000"/>
                      <w:kern w:val="2"/>
                      <w:sz w:val="21"/>
                      <w:szCs w:val="24"/>
                      <w:lang w:val="en-US" w:eastAsia="zh-CN" w:bidi="ar-SA"/>
                    </w:rPr>
                    <w:t>东，7.1km</w:t>
                  </w:r>
                </w:p>
              </w:tc>
            </w:tr>
            <w:tr w14:paraId="2E2CC7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tcBorders>
                    <w:tl2br w:val="nil"/>
                    <w:tr2bl w:val="nil"/>
                  </w:tcBorders>
                  <w:noWrap w:val="0"/>
                  <w:vAlign w:val="center"/>
                </w:tcPr>
                <w:p w14:paraId="07765D90">
                  <w:pPr>
                    <w:keepNext w:val="0"/>
                    <w:keepLines w:val="0"/>
                    <w:pageBreakBefore w:val="0"/>
                    <w:kinsoku/>
                    <w:wordWrap/>
                    <w:overflowPunct/>
                    <w:topLinePunct w:val="0"/>
                    <w:bidi w:val="0"/>
                    <w:adjustRightInd w:val="0"/>
                    <w:snapToGrid w:val="0"/>
                    <w:jc w:val="center"/>
                    <w:textAlignment w:val="auto"/>
                    <w:rPr>
                      <w:rFonts w:hint="default" w:eastAsia="宋体"/>
                      <w:color w:val="auto"/>
                      <w:kern w:val="2"/>
                      <w:sz w:val="21"/>
                      <w:szCs w:val="21"/>
                      <w:lang w:val="en-US" w:eastAsia="zh-CN" w:bidi="ar-SA"/>
                    </w:rPr>
                  </w:pPr>
                  <w:r>
                    <w:rPr>
                      <w:rFonts w:hint="eastAsia"/>
                      <w:color w:val="auto"/>
                      <w:szCs w:val="21"/>
                      <w:lang w:val="en-US" w:eastAsia="zh-CN"/>
                    </w:rPr>
                    <w:t>张鸭荡</w:t>
                  </w:r>
                  <w:r>
                    <w:rPr>
                      <w:rFonts w:hint="eastAsia"/>
                      <w:color w:val="auto"/>
                      <w:szCs w:val="21"/>
                    </w:rPr>
                    <w:t>重要湿地</w:t>
                  </w:r>
                </w:p>
              </w:tc>
              <w:tc>
                <w:tcPr>
                  <w:tcW w:w="571" w:type="pct"/>
                  <w:tcBorders>
                    <w:tl2br w:val="nil"/>
                    <w:tr2bl w:val="nil"/>
                  </w:tcBorders>
                  <w:noWrap w:val="0"/>
                  <w:vAlign w:val="center"/>
                </w:tcPr>
                <w:p w14:paraId="5A1ABABF">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color w:val="auto"/>
                      <w:szCs w:val="21"/>
                    </w:rPr>
                    <w:t>湿地生态系统保护</w:t>
                  </w:r>
                </w:p>
              </w:tc>
              <w:tc>
                <w:tcPr>
                  <w:tcW w:w="510" w:type="pct"/>
                  <w:tcBorders>
                    <w:tl2br w:val="nil"/>
                    <w:tr2bl w:val="nil"/>
                  </w:tcBorders>
                  <w:noWrap w:val="0"/>
                  <w:vAlign w:val="center"/>
                </w:tcPr>
                <w:p w14:paraId="23F1D472">
                  <w:pPr>
                    <w:keepNext w:val="0"/>
                    <w:keepLines w:val="0"/>
                    <w:pageBreakBefore w:val="0"/>
                    <w:kinsoku/>
                    <w:wordWrap/>
                    <w:overflowPunct/>
                    <w:topLinePunct w:val="0"/>
                    <w:bidi w:val="0"/>
                    <w:adjustRightInd w:val="0"/>
                    <w:snapToGrid w:val="0"/>
                    <w:jc w:val="center"/>
                    <w:textAlignment w:val="auto"/>
                    <w:rPr>
                      <w:rFonts w:hint="default" w:eastAsia="宋体"/>
                      <w:color w:val="auto"/>
                      <w:kern w:val="2"/>
                      <w:sz w:val="21"/>
                      <w:szCs w:val="21"/>
                      <w:lang w:val="en-US" w:eastAsia="zh-CN" w:bidi="ar-SA"/>
                    </w:rPr>
                  </w:pPr>
                  <w:r>
                    <w:rPr>
                      <w:rFonts w:hint="eastAsia"/>
                      <w:color w:val="auto"/>
                      <w:szCs w:val="21"/>
                      <w:lang w:val="en-US" w:eastAsia="zh-CN"/>
                    </w:rPr>
                    <w:t>/</w:t>
                  </w:r>
                </w:p>
              </w:tc>
              <w:tc>
                <w:tcPr>
                  <w:tcW w:w="1196" w:type="pct"/>
                  <w:tcBorders>
                    <w:tl2br w:val="nil"/>
                    <w:tr2bl w:val="nil"/>
                  </w:tcBorders>
                  <w:noWrap w:val="0"/>
                  <w:vAlign w:val="center"/>
                </w:tcPr>
                <w:p w14:paraId="46AB0A0E">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rFonts w:hint="eastAsia"/>
                      <w:color w:val="auto"/>
                      <w:szCs w:val="21"/>
                      <w:lang w:val="en-US" w:eastAsia="zh-CN"/>
                    </w:rPr>
                    <w:t>张鸭荡</w:t>
                  </w:r>
                  <w:r>
                    <w:rPr>
                      <w:rFonts w:hint="eastAsia"/>
                      <w:color w:val="auto"/>
                      <w:szCs w:val="21"/>
                    </w:rPr>
                    <w:t>水体范围</w:t>
                  </w:r>
                </w:p>
              </w:tc>
              <w:tc>
                <w:tcPr>
                  <w:tcW w:w="533" w:type="pct"/>
                  <w:tcBorders>
                    <w:tl2br w:val="nil"/>
                    <w:tr2bl w:val="nil"/>
                  </w:tcBorders>
                  <w:noWrap w:val="0"/>
                  <w:vAlign w:val="center"/>
                </w:tcPr>
                <w:p w14:paraId="692792EB">
                  <w:pPr>
                    <w:keepNext w:val="0"/>
                    <w:keepLines w:val="0"/>
                    <w:pageBreakBefore w:val="0"/>
                    <w:kinsoku/>
                    <w:wordWrap/>
                    <w:overflowPunct/>
                    <w:topLinePunct w:val="0"/>
                    <w:bidi w:val="0"/>
                    <w:adjustRightInd w:val="0"/>
                    <w:snapToGrid w:val="0"/>
                    <w:jc w:val="center"/>
                    <w:textAlignment w:val="auto"/>
                    <w:rPr>
                      <w:rFonts w:hint="default" w:eastAsia="宋体"/>
                      <w:color w:val="auto"/>
                      <w:kern w:val="2"/>
                      <w:sz w:val="21"/>
                      <w:szCs w:val="21"/>
                      <w:lang w:val="en-US" w:eastAsia="zh-CN" w:bidi="ar-SA"/>
                    </w:rPr>
                  </w:pPr>
                  <w:r>
                    <w:rPr>
                      <w:rFonts w:hint="eastAsia"/>
                      <w:color w:val="auto"/>
                      <w:szCs w:val="21"/>
                      <w:lang w:val="en-US" w:eastAsia="zh-CN"/>
                    </w:rPr>
                    <w:t>/</w:t>
                  </w:r>
                </w:p>
              </w:tc>
              <w:tc>
                <w:tcPr>
                  <w:tcW w:w="518" w:type="pct"/>
                  <w:tcBorders>
                    <w:tl2br w:val="nil"/>
                    <w:tr2bl w:val="nil"/>
                  </w:tcBorders>
                  <w:noWrap w:val="0"/>
                  <w:vAlign w:val="center"/>
                </w:tcPr>
                <w:p w14:paraId="15BBF64E">
                  <w:pPr>
                    <w:keepNext w:val="0"/>
                    <w:keepLines w:val="0"/>
                    <w:pageBreakBefore w:val="0"/>
                    <w:kinsoku/>
                    <w:wordWrap/>
                    <w:overflowPunct/>
                    <w:topLinePunct w:val="0"/>
                    <w:bidi w:val="0"/>
                    <w:adjustRightInd w:val="0"/>
                    <w:snapToGrid w:val="0"/>
                    <w:jc w:val="center"/>
                    <w:textAlignment w:val="auto"/>
                    <w:rPr>
                      <w:rFonts w:hint="default" w:eastAsia="宋体"/>
                      <w:color w:val="auto"/>
                      <w:kern w:val="2"/>
                      <w:sz w:val="21"/>
                      <w:szCs w:val="21"/>
                      <w:lang w:val="en-US" w:eastAsia="zh-CN" w:bidi="ar-SA"/>
                    </w:rPr>
                  </w:pPr>
                  <w:r>
                    <w:rPr>
                      <w:rFonts w:hint="eastAsia"/>
                      <w:color w:val="auto"/>
                      <w:szCs w:val="21"/>
                      <w:lang w:val="en-US" w:eastAsia="zh-CN"/>
                    </w:rPr>
                    <w:t>1.79</w:t>
                  </w:r>
                </w:p>
              </w:tc>
              <w:tc>
                <w:tcPr>
                  <w:tcW w:w="480" w:type="pct"/>
                  <w:tcBorders>
                    <w:tl2br w:val="nil"/>
                    <w:tr2bl w:val="nil"/>
                  </w:tcBorders>
                  <w:noWrap w:val="0"/>
                  <w:vAlign w:val="center"/>
                </w:tcPr>
                <w:p w14:paraId="2FAE1A34">
                  <w:pPr>
                    <w:keepNext w:val="0"/>
                    <w:keepLines w:val="0"/>
                    <w:pageBreakBefore w:val="0"/>
                    <w:kinsoku/>
                    <w:wordWrap/>
                    <w:overflowPunct/>
                    <w:topLinePunct w:val="0"/>
                    <w:bidi w:val="0"/>
                    <w:adjustRightInd w:val="0"/>
                    <w:snapToGrid w:val="0"/>
                    <w:jc w:val="center"/>
                    <w:textAlignment w:val="auto"/>
                    <w:rPr>
                      <w:rFonts w:hint="default" w:eastAsia="宋体"/>
                      <w:color w:val="auto"/>
                      <w:kern w:val="2"/>
                      <w:sz w:val="21"/>
                      <w:szCs w:val="21"/>
                      <w:lang w:val="en-US" w:eastAsia="zh-CN" w:bidi="ar-SA"/>
                    </w:rPr>
                  </w:pPr>
                  <w:r>
                    <w:rPr>
                      <w:rFonts w:hint="eastAsia"/>
                      <w:color w:val="auto"/>
                      <w:szCs w:val="21"/>
                      <w:lang w:val="en-US" w:eastAsia="zh-CN"/>
                    </w:rPr>
                    <w:t>1.79</w:t>
                  </w:r>
                </w:p>
              </w:tc>
              <w:tc>
                <w:tcPr>
                  <w:tcW w:w="524" w:type="pct"/>
                  <w:tcBorders>
                    <w:tl2br w:val="nil"/>
                    <w:tr2bl w:val="nil"/>
                  </w:tcBorders>
                  <w:noWrap w:val="0"/>
                  <w:vAlign w:val="center"/>
                </w:tcPr>
                <w:p w14:paraId="75F73C19">
                  <w:pPr>
                    <w:keepNext w:val="0"/>
                    <w:keepLines w:val="0"/>
                    <w:pageBreakBefore w:val="0"/>
                    <w:kinsoku/>
                    <w:wordWrap/>
                    <w:overflowPunct/>
                    <w:topLinePunct w:val="0"/>
                    <w:bidi w:val="0"/>
                    <w:adjustRightInd w:val="0"/>
                    <w:snapToGrid w:val="0"/>
                    <w:jc w:val="center"/>
                    <w:textAlignment w:val="auto"/>
                    <w:rPr>
                      <w:rFonts w:hint="default" w:eastAsia="宋体"/>
                      <w:color w:val="auto"/>
                      <w:kern w:val="2"/>
                      <w:sz w:val="21"/>
                      <w:szCs w:val="21"/>
                      <w:lang w:val="en-US" w:eastAsia="zh-CN" w:bidi="ar-SA"/>
                    </w:rPr>
                  </w:pPr>
                  <w:r>
                    <w:rPr>
                      <w:rFonts w:hint="eastAsia"/>
                      <w:color w:val="auto"/>
                      <w:kern w:val="2"/>
                      <w:sz w:val="21"/>
                      <w:szCs w:val="21"/>
                      <w:lang w:val="en-US" w:eastAsia="zh-CN" w:bidi="ar-SA"/>
                    </w:rPr>
                    <w:t>西北，3.8km</w:t>
                  </w:r>
                </w:p>
              </w:tc>
            </w:tr>
            <w:tr w14:paraId="1A993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tcBorders>
                    <w:tl2br w:val="nil"/>
                    <w:tr2bl w:val="nil"/>
                  </w:tcBorders>
                  <w:noWrap w:val="0"/>
                  <w:vAlign w:val="center"/>
                </w:tcPr>
                <w:p w14:paraId="73CD32D5">
                  <w:pPr>
                    <w:keepNext w:val="0"/>
                    <w:keepLines w:val="0"/>
                    <w:pageBreakBefore w:val="0"/>
                    <w:kinsoku/>
                    <w:wordWrap/>
                    <w:overflowPunct/>
                    <w:topLinePunct w:val="0"/>
                    <w:bidi w:val="0"/>
                    <w:adjustRightInd w:val="0"/>
                    <w:snapToGrid w:val="0"/>
                    <w:jc w:val="center"/>
                    <w:textAlignment w:val="auto"/>
                    <w:rPr>
                      <w:rFonts w:hint="default" w:ascii="FZSSK--GBK1-0" w:hAnsi="FZSSK--GBK1-0" w:eastAsia="FZSSK--GBK1-0"/>
                      <w:color w:val="auto"/>
                      <w:kern w:val="2"/>
                      <w:sz w:val="21"/>
                      <w:szCs w:val="24"/>
                      <w:lang w:val="en-US" w:eastAsia="zh-CN" w:bidi="ar-SA"/>
                    </w:rPr>
                  </w:pPr>
                  <w:r>
                    <w:rPr>
                      <w:rFonts w:hint="eastAsia" w:ascii="FZSSK--GBK1-0" w:hAnsi="FZSSK--GBK1-0" w:eastAsia="FZSSK--GBK1-0"/>
                      <w:color w:val="auto"/>
                      <w:sz w:val="21"/>
                      <w:szCs w:val="24"/>
                      <w:lang w:val="en-US" w:eastAsia="zh-CN"/>
                    </w:rPr>
                    <w:t>长白荡</w:t>
                  </w:r>
                  <w:r>
                    <w:rPr>
                      <w:rFonts w:hint="eastAsia"/>
                      <w:color w:val="auto"/>
                      <w:szCs w:val="21"/>
                      <w:lang w:val="en-US" w:eastAsia="zh-CN"/>
                    </w:rPr>
                    <w:t>重要湿地</w:t>
                  </w:r>
                </w:p>
              </w:tc>
              <w:tc>
                <w:tcPr>
                  <w:tcW w:w="571" w:type="pct"/>
                  <w:tcBorders>
                    <w:tl2br w:val="nil"/>
                    <w:tr2bl w:val="nil"/>
                  </w:tcBorders>
                  <w:noWrap w:val="0"/>
                  <w:vAlign w:val="center"/>
                </w:tcPr>
                <w:p w14:paraId="4F18733A">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color w:val="auto"/>
                      <w:szCs w:val="21"/>
                    </w:rPr>
                    <w:t>湿地生态系统保护</w:t>
                  </w:r>
                </w:p>
              </w:tc>
              <w:tc>
                <w:tcPr>
                  <w:tcW w:w="510" w:type="pct"/>
                  <w:tcBorders>
                    <w:tl2br w:val="nil"/>
                    <w:tr2bl w:val="nil"/>
                  </w:tcBorders>
                  <w:noWrap w:val="0"/>
                  <w:vAlign w:val="center"/>
                </w:tcPr>
                <w:p w14:paraId="07164078">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rFonts w:hint="eastAsia"/>
                      <w:color w:val="auto"/>
                      <w:szCs w:val="21"/>
                      <w:lang w:val="en-US" w:eastAsia="zh-CN"/>
                    </w:rPr>
                    <w:t>/</w:t>
                  </w:r>
                </w:p>
              </w:tc>
              <w:tc>
                <w:tcPr>
                  <w:tcW w:w="1196" w:type="pct"/>
                  <w:tcBorders>
                    <w:tl2br w:val="nil"/>
                    <w:tr2bl w:val="nil"/>
                  </w:tcBorders>
                  <w:noWrap w:val="0"/>
                  <w:vAlign w:val="center"/>
                </w:tcPr>
                <w:p w14:paraId="49615EBC">
                  <w:pPr>
                    <w:keepNext w:val="0"/>
                    <w:keepLines w:val="0"/>
                    <w:pageBreakBefore w:val="0"/>
                    <w:kinsoku/>
                    <w:wordWrap/>
                    <w:overflowPunct/>
                    <w:topLinePunct w:val="0"/>
                    <w:bidi w:val="0"/>
                    <w:adjustRightInd w:val="0"/>
                    <w:snapToGrid w:val="0"/>
                    <w:jc w:val="center"/>
                    <w:textAlignment w:val="auto"/>
                    <w:rPr>
                      <w:rFonts w:hint="default" w:ascii="FZSSK--GBK1-0" w:hAnsi="FZSSK--GBK1-0" w:eastAsia="FZSSK--GBK1-0"/>
                      <w:color w:val="auto"/>
                      <w:kern w:val="2"/>
                      <w:sz w:val="21"/>
                      <w:szCs w:val="24"/>
                      <w:lang w:val="en-US" w:eastAsia="zh-CN" w:bidi="ar-SA"/>
                    </w:rPr>
                  </w:pPr>
                  <w:r>
                    <w:rPr>
                      <w:rFonts w:hint="eastAsia" w:ascii="FZSSK--GBK1-0" w:hAnsi="FZSSK--GBK1-0" w:eastAsia="FZSSK--GBK1-0"/>
                      <w:color w:val="auto"/>
                      <w:sz w:val="21"/>
                      <w:szCs w:val="24"/>
                      <w:lang w:val="en-US" w:eastAsia="zh-CN"/>
                    </w:rPr>
                    <w:t>长白荡</w:t>
                  </w:r>
                  <w:r>
                    <w:rPr>
                      <w:rFonts w:hint="eastAsia" w:ascii="FZSSK--GBK1-0" w:hAnsi="FZSSK--GBK1-0" w:eastAsia="FZSSK--GBK1-0"/>
                      <w:color w:val="auto"/>
                      <w:sz w:val="21"/>
                      <w:szCs w:val="24"/>
                    </w:rPr>
                    <w:t>水体范围</w:t>
                  </w:r>
                </w:p>
              </w:tc>
              <w:tc>
                <w:tcPr>
                  <w:tcW w:w="533" w:type="pct"/>
                  <w:tcBorders>
                    <w:tl2br w:val="nil"/>
                    <w:tr2bl w:val="nil"/>
                  </w:tcBorders>
                  <w:noWrap w:val="0"/>
                  <w:vAlign w:val="center"/>
                </w:tcPr>
                <w:p w14:paraId="405F727E">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w:t>
                  </w:r>
                </w:p>
              </w:tc>
              <w:tc>
                <w:tcPr>
                  <w:tcW w:w="518" w:type="pct"/>
                  <w:tcBorders>
                    <w:tl2br w:val="nil"/>
                    <w:tr2bl w:val="nil"/>
                  </w:tcBorders>
                  <w:noWrap w:val="0"/>
                  <w:vAlign w:val="center"/>
                </w:tcPr>
                <w:p w14:paraId="7232EFDC">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rFonts w:hint="eastAsia"/>
                      <w:color w:val="auto"/>
                      <w:szCs w:val="21"/>
                      <w:lang w:val="en-US" w:eastAsia="zh-CN"/>
                    </w:rPr>
                    <w:t>1.23</w:t>
                  </w:r>
                </w:p>
              </w:tc>
              <w:tc>
                <w:tcPr>
                  <w:tcW w:w="480" w:type="pct"/>
                  <w:tcBorders>
                    <w:tl2br w:val="nil"/>
                    <w:tr2bl w:val="nil"/>
                  </w:tcBorders>
                  <w:noWrap w:val="0"/>
                  <w:vAlign w:val="center"/>
                </w:tcPr>
                <w:p w14:paraId="6B8C6FC3">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rFonts w:hint="eastAsia"/>
                      <w:color w:val="auto"/>
                      <w:szCs w:val="21"/>
                      <w:lang w:val="en-US" w:eastAsia="zh-CN"/>
                    </w:rPr>
                    <w:t>1.23</w:t>
                  </w:r>
                </w:p>
              </w:tc>
              <w:tc>
                <w:tcPr>
                  <w:tcW w:w="524" w:type="pct"/>
                  <w:tcBorders>
                    <w:tl2br w:val="nil"/>
                    <w:tr2bl w:val="nil"/>
                  </w:tcBorders>
                  <w:noWrap w:val="0"/>
                  <w:vAlign w:val="center"/>
                </w:tcPr>
                <w:p w14:paraId="124E3794">
                  <w:pPr>
                    <w:keepNext w:val="0"/>
                    <w:keepLines w:val="0"/>
                    <w:pageBreakBefore w:val="0"/>
                    <w:kinsoku/>
                    <w:wordWrap/>
                    <w:overflowPunct/>
                    <w:topLinePunct w:val="0"/>
                    <w:bidi w:val="0"/>
                    <w:adjustRightInd w:val="0"/>
                    <w:snapToGrid w:val="0"/>
                    <w:jc w:val="center"/>
                    <w:textAlignment w:val="auto"/>
                    <w:rPr>
                      <w:rFonts w:hint="default"/>
                      <w:color w:val="auto"/>
                      <w:kern w:val="2"/>
                      <w:sz w:val="21"/>
                      <w:szCs w:val="21"/>
                      <w:lang w:val="en-US" w:eastAsia="zh-CN" w:bidi="ar-SA"/>
                    </w:rPr>
                  </w:pPr>
                  <w:r>
                    <w:rPr>
                      <w:rFonts w:hint="eastAsia"/>
                      <w:color w:val="auto"/>
                      <w:kern w:val="2"/>
                      <w:sz w:val="21"/>
                      <w:szCs w:val="21"/>
                      <w:lang w:val="en-US" w:eastAsia="zh-CN" w:bidi="ar-SA"/>
                    </w:rPr>
                    <w:t>北，8.7km</w:t>
                  </w:r>
                </w:p>
              </w:tc>
            </w:tr>
            <w:tr w14:paraId="17A22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tcBorders>
                    <w:tl2br w:val="nil"/>
                    <w:tr2bl w:val="nil"/>
                  </w:tcBorders>
                  <w:noWrap w:val="0"/>
                  <w:vAlign w:val="center"/>
                </w:tcPr>
                <w:p w14:paraId="34A7AE3C">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莺脰湖重要湿地</w:t>
                  </w:r>
                </w:p>
              </w:tc>
              <w:tc>
                <w:tcPr>
                  <w:tcW w:w="571" w:type="pct"/>
                  <w:tcBorders>
                    <w:tl2br w:val="nil"/>
                    <w:tr2bl w:val="nil"/>
                  </w:tcBorders>
                  <w:noWrap w:val="0"/>
                  <w:vAlign w:val="center"/>
                </w:tcPr>
                <w:p w14:paraId="01A14232">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rPr>
                    <w:t>湿地生态系统保护</w:t>
                  </w:r>
                </w:p>
              </w:tc>
              <w:tc>
                <w:tcPr>
                  <w:tcW w:w="510" w:type="pct"/>
                  <w:tcBorders>
                    <w:tl2br w:val="nil"/>
                    <w:tr2bl w:val="nil"/>
                  </w:tcBorders>
                  <w:noWrap w:val="0"/>
                  <w:vAlign w:val="center"/>
                </w:tcPr>
                <w:p w14:paraId="262F4AB4">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p>
              </w:tc>
              <w:tc>
                <w:tcPr>
                  <w:tcW w:w="1196" w:type="pct"/>
                  <w:tcBorders>
                    <w:tl2br w:val="nil"/>
                    <w:tr2bl w:val="nil"/>
                  </w:tcBorders>
                  <w:noWrap w:val="0"/>
                  <w:vAlign w:val="center"/>
                </w:tcPr>
                <w:p w14:paraId="416F74EE">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莺脰湖</w:t>
                  </w:r>
                  <w:r>
                    <w:rPr>
                      <w:rFonts w:hint="eastAsia" w:ascii="Times New Roman" w:hAnsi="Times New Roman" w:eastAsia="宋体" w:cs="Times New Roman"/>
                      <w:color w:val="000000"/>
                      <w:lang w:eastAsia="zh-CN"/>
                    </w:rPr>
                    <w:t>水体范围</w:t>
                  </w:r>
                </w:p>
              </w:tc>
              <w:tc>
                <w:tcPr>
                  <w:tcW w:w="533" w:type="pct"/>
                  <w:tcBorders>
                    <w:tl2br w:val="nil"/>
                    <w:tr2bl w:val="nil"/>
                  </w:tcBorders>
                  <w:noWrap w:val="0"/>
                  <w:vAlign w:val="center"/>
                </w:tcPr>
                <w:p w14:paraId="285A5D0B">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p>
              </w:tc>
              <w:tc>
                <w:tcPr>
                  <w:tcW w:w="518" w:type="pct"/>
                  <w:tcBorders>
                    <w:tl2br w:val="nil"/>
                    <w:tr2bl w:val="nil"/>
                  </w:tcBorders>
                  <w:noWrap w:val="0"/>
                  <w:vAlign w:val="center"/>
                </w:tcPr>
                <w:p w14:paraId="161C9759">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2.11</w:t>
                  </w:r>
                </w:p>
              </w:tc>
              <w:tc>
                <w:tcPr>
                  <w:tcW w:w="480" w:type="pct"/>
                  <w:tcBorders>
                    <w:tl2br w:val="nil"/>
                    <w:tr2bl w:val="nil"/>
                  </w:tcBorders>
                  <w:noWrap w:val="0"/>
                  <w:vAlign w:val="center"/>
                </w:tcPr>
                <w:p w14:paraId="5427D553">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2.11</w:t>
                  </w:r>
                </w:p>
              </w:tc>
              <w:tc>
                <w:tcPr>
                  <w:tcW w:w="524" w:type="pct"/>
                  <w:tcBorders>
                    <w:tl2br w:val="nil"/>
                    <w:tr2bl w:val="nil"/>
                  </w:tcBorders>
                  <w:noWrap w:val="0"/>
                  <w:vAlign w:val="center"/>
                </w:tcPr>
                <w:p w14:paraId="26D5C0B7">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cs="Times New Roman"/>
                      <w:color w:val="000000"/>
                      <w:lang w:val="en-US" w:eastAsia="zh-CN"/>
                    </w:rPr>
                    <w:t>西南，6.2km</w:t>
                  </w:r>
                </w:p>
              </w:tc>
            </w:tr>
            <w:tr w14:paraId="28B54A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tcBorders>
                    <w:tl2br w:val="nil"/>
                    <w:tr2bl w:val="nil"/>
                  </w:tcBorders>
                  <w:noWrap w:val="0"/>
                  <w:vAlign w:val="center"/>
                </w:tcPr>
                <w:p w14:paraId="6D899C76">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草荡重要湿地</w:t>
                  </w:r>
                </w:p>
              </w:tc>
              <w:tc>
                <w:tcPr>
                  <w:tcW w:w="571" w:type="pct"/>
                  <w:tcBorders>
                    <w:tl2br w:val="nil"/>
                    <w:tr2bl w:val="nil"/>
                  </w:tcBorders>
                  <w:noWrap w:val="0"/>
                  <w:vAlign w:val="center"/>
                </w:tcPr>
                <w:p w14:paraId="5C19F97E">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rPr>
                  </w:pPr>
                  <w:r>
                    <w:rPr>
                      <w:rFonts w:hint="default" w:ascii="Times New Roman" w:hAnsi="Times New Roman" w:eastAsia="宋体" w:cs="Times New Roman"/>
                      <w:color w:val="000000"/>
                    </w:rPr>
                    <w:t>湿地生态系统保护</w:t>
                  </w:r>
                </w:p>
              </w:tc>
              <w:tc>
                <w:tcPr>
                  <w:tcW w:w="510" w:type="pct"/>
                  <w:tcBorders>
                    <w:tl2br w:val="nil"/>
                    <w:tr2bl w:val="nil"/>
                  </w:tcBorders>
                  <w:noWrap w:val="0"/>
                  <w:vAlign w:val="center"/>
                </w:tcPr>
                <w:p w14:paraId="0619C964">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p>
              </w:tc>
              <w:tc>
                <w:tcPr>
                  <w:tcW w:w="1196" w:type="pct"/>
                  <w:tcBorders>
                    <w:tl2br w:val="nil"/>
                    <w:tr2bl w:val="nil"/>
                  </w:tcBorders>
                  <w:noWrap w:val="0"/>
                  <w:vAlign w:val="center"/>
                </w:tcPr>
                <w:p w14:paraId="288385D1">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草荡水体范围</w:t>
                  </w:r>
                </w:p>
              </w:tc>
              <w:tc>
                <w:tcPr>
                  <w:tcW w:w="533" w:type="pct"/>
                  <w:tcBorders>
                    <w:tl2br w:val="nil"/>
                    <w:tr2bl w:val="nil"/>
                  </w:tcBorders>
                  <w:noWrap w:val="0"/>
                  <w:vAlign w:val="center"/>
                </w:tcPr>
                <w:p w14:paraId="5CC7613C">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w:t>
                  </w:r>
                </w:p>
              </w:tc>
              <w:tc>
                <w:tcPr>
                  <w:tcW w:w="518" w:type="pct"/>
                  <w:tcBorders>
                    <w:tl2br w:val="nil"/>
                    <w:tr2bl w:val="nil"/>
                  </w:tcBorders>
                  <w:noWrap w:val="0"/>
                  <w:vAlign w:val="center"/>
                </w:tcPr>
                <w:p w14:paraId="467764ED">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2.14</w:t>
                  </w:r>
                </w:p>
              </w:tc>
              <w:tc>
                <w:tcPr>
                  <w:tcW w:w="480" w:type="pct"/>
                  <w:tcBorders>
                    <w:tl2br w:val="nil"/>
                    <w:tr2bl w:val="nil"/>
                  </w:tcBorders>
                  <w:noWrap w:val="0"/>
                  <w:vAlign w:val="center"/>
                </w:tcPr>
                <w:p w14:paraId="3C119DEC">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2.14</w:t>
                  </w:r>
                </w:p>
              </w:tc>
              <w:tc>
                <w:tcPr>
                  <w:tcW w:w="524" w:type="pct"/>
                  <w:tcBorders>
                    <w:tl2br w:val="nil"/>
                    <w:tr2bl w:val="nil"/>
                  </w:tcBorders>
                  <w:noWrap w:val="0"/>
                  <w:vAlign w:val="center"/>
                </w:tcPr>
                <w:p w14:paraId="43ED2C53">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000000"/>
                      <w:lang w:val="en-US" w:eastAsia="zh-CN"/>
                    </w:rPr>
                  </w:pPr>
                  <w:r>
                    <w:rPr>
                      <w:rFonts w:hint="eastAsia" w:cs="Times New Roman"/>
                      <w:color w:val="000000"/>
                      <w:lang w:val="en-US" w:eastAsia="zh-CN"/>
                    </w:rPr>
                    <w:t>西南，7.9km</w:t>
                  </w:r>
                </w:p>
              </w:tc>
            </w:tr>
            <w:tr w14:paraId="790DB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5" w:type="pct"/>
                  <w:noWrap w:val="0"/>
                  <w:vAlign w:val="center"/>
                </w:tcPr>
                <w:p w14:paraId="3AEA0DAC">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太湖（吴江区）重要保护区</w:t>
                  </w:r>
                </w:p>
              </w:tc>
              <w:tc>
                <w:tcPr>
                  <w:tcW w:w="571" w:type="pct"/>
                  <w:noWrap w:val="0"/>
                  <w:vAlign w:val="center"/>
                </w:tcPr>
                <w:p w14:paraId="1F34DDD4">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湿地生态系统保护</w:t>
                  </w:r>
                </w:p>
              </w:tc>
              <w:tc>
                <w:tcPr>
                  <w:tcW w:w="510" w:type="pct"/>
                  <w:noWrap w:val="0"/>
                  <w:vAlign w:val="center"/>
                </w:tcPr>
                <w:p w14:paraId="45B83C09">
                  <w:pPr>
                    <w:keepNext w:val="0"/>
                    <w:keepLines w:val="0"/>
                    <w:pageBreakBefore w:val="0"/>
                    <w:kinsoku/>
                    <w:wordWrap/>
                    <w:overflowPunct/>
                    <w:topLinePunct w:val="0"/>
                    <w:bidi w:val="0"/>
                    <w:jc w:val="center"/>
                    <w:textAlignment w:val="auto"/>
                    <w:rPr>
                      <w:rFonts w:hint="eastAsia"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w:t>
                  </w:r>
                </w:p>
              </w:tc>
              <w:tc>
                <w:tcPr>
                  <w:tcW w:w="1196" w:type="pct"/>
                  <w:noWrap w:val="0"/>
                  <w:vAlign w:val="center"/>
                </w:tcPr>
                <w:p w14:paraId="10052FAD">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分为两部分：湖体和湖岸。湖体为吴江区内太湖水体（不包括庙港饮用水源保护区）。湖岸部分为（除太湖新城外）沿湖岸5公里范围（不包括太浦河清水通道维护区、松陵镇和七都镇部分镇区），太湖新城（吴江区）太湖沿湖岸大堤1公里陆域范围</w:t>
                  </w:r>
                </w:p>
              </w:tc>
              <w:tc>
                <w:tcPr>
                  <w:tcW w:w="533" w:type="pct"/>
                  <w:noWrap w:val="0"/>
                  <w:vAlign w:val="center"/>
                </w:tcPr>
                <w:p w14:paraId="40E56A2A">
                  <w:pPr>
                    <w:keepNext w:val="0"/>
                    <w:keepLines w:val="0"/>
                    <w:pageBreakBefore w:val="0"/>
                    <w:kinsoku/>
                    <w:wordWrap/>
                    <w:overflowPunct/>
                    <w:topLinePunct w:val="0"/>
                    <w:bidi w:val="0"/>
                    <w:jc w:val="center"/>
                    <w:textAlignment w:val="auto"/>
                    <w:rPr>
                      <w:rFonts w:hint="eastAsia"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w:t>
                  </w:r>
                </w:p>
              </w:tc>
              <w:tc>
                <w:tcPr>
                  <w:tcW w:w="518" w:type="pct"/>
                  <w:noWrap w:val="0"/>
                  <w:vAlign w:val="center"/>
                </w:tcPr>
                <w:p w14:paraId="6C933FE8">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180.80</w:t>
                  </w:r>
                </w:p>
              </w:tc>
              <w:tc>
                <w:tcPr>
                  <w:tcW w:w="480" w:type="pct"/>
                  <w:noWrap w:val="0"/>
                  <w:vAlign w:val="center"/>
                </w:tcPr>
                <w:p w14:paraId="28951B74">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default" w:ascii="Times New Roman" w:hAnsi="Times New Roman" w:cs="Times New Roman"/>
                      <w:color w:val="000000"/>
                    </w:rPr>
                    <w:t>180.80</w:t>
                  </w:r>
                </w:p>
              </w:tc>
              <w:tc>
                <w:tcPr>
                  <w:tcW w:w="524" w:type="pct"/>
                  <w:noWrap w:val="0"/>
                  <w:vAlign w:val="center"/>
                </w:tcPr>
                <w:p w14:paraId="65FF14C7">
                  <w:pPr>
                    <w:keepNext w:val="0"/>
                    <w:keepLines w:val="0"/>
                    <w:pageBreakBefore w:val="0"/>
                    <w:kinsoku/>
                    <w:wordWrap/>
                    <w:overflowPunct/>
                    <w:topLinePunct w:val="0"/>
                    <w:bidi w:val="0"/>
                    <w:jc w:val="center"/>
                    <w:textAlignment w:val="auto"/>
                    <w:rPr>
                      <w:rFonts w:hint="default" w:ascii="Times New Roman" w:hAnsi="Times New Roman" w:cs="Times New Roman"/>
                      <w:color w:val="000000"/>
                      <w:kern w:val="2"/>
                      <w:sz w:val="21"/>
                      <w:szCs w:val="24"/>
                      <w:lang w:val="en-US" w:eastAsia="zh-CN" w:bidi="ar-SA"/>
                    </w:rPr>
                  </w:pPr>
                  <w:r>
                    <w:rPr>
                      <w:rFonts w:hint="eastAsia" w:cs="Times New Roman"/>
                      <w:color w:val="000000"/>
                      <w:kern w:val="2"/>
                      <w:sz w:val="21"/>
                      <w:szCs w:val="24"/>
                      <w:lang w:val="en-US" w:eastAsia="zh-CN" w:bidi="ar-SA"/>
                    </w:rPr>
                    <w:t>西北，9.6km</w:t>
                  </w:r>
                </w:p>
              </w:tc>
            </w:tr>
          </w:tbl>
          <w:p w14:paraId="5FB64A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1"/>
                <w:lang w:val="en-US" w:eastAsia="zh-CN"/>
              </w:rPr>
            </w:pPr>
            <w:r>
              <w:rPr>
                <w:rFonts w:hint="eastAsia"/>
                <w:color w:val="auto"/>
                <w:sz w:val="24"/>
                <w:szCs w:val="21"/>
                <w:lang w:val="en-US" w:eastAsia="zh-CN"/>
              </w:rPr>
              <w:t>②《江苏省国家级生态保护红线规划》（苏政发〔2018〕74号）</w:t>
            </w:r>
          </w:p>
          <w:p w14:paraId="26DDC8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1"/>
              </w:rPr>
            </w:pPr>
            <w:r>
              <w:rPr>
                <w:rFonts w:hint="eastAsia"/>
                <w:color w:val="auto"/>
                <w:sz w:val="24"/>
                <w:szCs w:val="21"/>
                <w:lang w:val="en-US" w:eastAsia="zh-CN"/>
              </w:rPr>
              <w:t>对照《江苏省国家级生态保护红线规划》（苏政发〔2018〕74号），本项目选址不在国家级生态保护红线范围内，不会导致生态红线区域生态服务功能下降。因此，本项目的建设符合《江苏省国家级生态保护红线规划》。</w:t>
            </w:r>
          </w:p>
          <w:p w14:paraId="72E68F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kern w:val="2"/>
                <w:sz w:val="21"/>
                <w:szCs w:val="21"/>
                <w:lang w:val="en-US" w:eastAsia="zh-CN" w:bidi="ar-SA"/>
              </w:rPr>
              <w:t>表1-</w:t>
            </w:r>
            <w:r>
              <w:rPr>
                <w:rFonts w:hint="eastAsia" w:cs="Times New Roman"/>
                <w:b/>
                <w:bCs/>
                <w:color w:val="000000"/>
                <w:kern w:val="2"/>
                <w:sz w:val="21"/>
                <w:szCs w:val="21"/>
                <w:lang w:val="en-US" w:eastAsia="zh-CN" w:bidi="ar-SA"/>
              </w:rPr>
              <w:t>2</w:t>
            </w:r>
            <w:r>
              <w:rPr>
                <w:rFonts w:hint="eastAsia" w:ascii="Times New Roman" w:hAnsi="Times New Roman" w:eastAsia="宋体" w:cs="Times New Roman"/>
                <w:b/>
                <w:bCs/>
                <w:color w:val="000000"/>
                <w:kern w:val="2"/>
                <w:sz w:val="21"/>
                <w:szCs w:val="21"/>
                <w:lang w:val="en-US" w:eastAsia="zh-CN" w:bidi="ar-SA"/>
              </w:rPr>
              <w:t xml:space="preserve"> 本项目附近生态红线区域</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73"/>
              <w:gridCol w:w="1544"/>
              <w:gridCol w:w="2017"/>
              <w:gridCol w:w="1717"/>
              <w:gridCol w:w="1327"/>
            </w:tblGrid>
            <w:tr w14:paraId="5E087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0" w:type="pct"/>
                  <w:tcBorders>
                    <w:tl2br w:val="nil"/>
                    <w:tr2bl w:val="nil"/>
                  </w:tcBorders>
                  <w:noWrap w:val="0"/>
                  <w:vAlign w:val="center"/>
                </w:tcPr>
                <w:p w14:paraId="34397ADA">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i w:val="0"/>
                      <w:iCs w:val="0"/>
                      <w:color w:val="000000"/>
                      <w:spacing w:val="0"/>
                      <w:w w:val="100"/>
                      <w:sz w:val="21"/>
                      <w:szCs w:val="21"/>
                      <w:vertAlign w:val="baseline"/>
                    </w:rPr>
                    <w:t>生态保护红线名称</w:t>
                  </w:r>
                </w:p>
              </w:tc>
              <w:tc>
                <w:tcPr>
                  <w:tcW w:w="932" w:type="pct"/>
                  <w:tcBorders>
                    <w:tl2br w:val="nil"/>
                    <w:tr2bl w:val="nil"/>
                  </w:tcBorders>
                  <w:noWrap w:val="0"/>
                  <w:vAlign w:val="center"/>
                </w:tcPr>
                <w:p w14:paraId="05D83387">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i w:val="0"/>
                      <w:iCs w:val="0"/>
                      <w:color w:val="000000"/>
                      <w:spacing w:val="0"/>
                      <w:w w:val="100"/>
                      <w:sz w:val="21"/>
                      <w:szCs w:val="21"/>
                      <w:vertAlign w:val="baseline"/>
                    </w:rPr>
                    <w:t>类型</w:t>
                  </w:r>
                </w:p>
              </w:tc>
              <w:tc>
                <w:tcPr>
                  <w:tcW w:w="1218" w:type="pct"/>
                  <w:tcBorders>
                    <w:tl2br w:val="nil"/>
                    <w:tr2bl w:val="nil"/>
                  </w:tcBorders>
                  <w:noWrap w:val="0"/>
                  <w:vAlign w:val="center"/>
                </w:tcPr>
                <w:p w14:paraId="10562B50">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i w:val="0"/>
                      <w:iCs w:val="0"/>
                      <w:color w:val="000000"/>
                      <w:spacing w:val="0"/>
                      <w:w w:val="100"/>
                      <w:sz w:val="21"/>
                      <w:szCs w:val="21"/>
                      <w:vertAlign w:val="baseline"/>
                    </w:rPr>
                    <w:t>地理位置</w:t>
                  </w:r>
                </w:p>
              </w:tc>
              <w:tc>
                <w:tcPr>
                  <w:tcW w:w="1037" w:type="pct"/>
                  <w:tcBorders>
                    <w:tl2br w:val="nil"/>
                    <w:tr2bl w:val="nil"/>
                  </w:tcBorders>
                  <w:noWrap w:val="0"/>
                  <w:vAlign w:val="center"/>
                </w:tcPr>
                <w:p w14:paraId="36458B9D">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21"/>
                      <w:szCs w:val="21"/>
                      <w:lang w:val="en-US" w:eastAsia="zh-CN" w:bidi="ar-SA"/>
                    </w:rPr>
                  </w:pPr>
                  <w:r>
                    <w:rPr>
                      <w:rFonts w:hint="default" w:ascii="Times New Roman" w:hAnsi="Times New Roman" w:eastAsia="宋体" w:cs="Times New Roman"/>
                      <w:b/>
                      <w:bCs/>
                      <w:i w:val="0"/>
                      <w:iCs w:val="0"/>
                      <w:color w:val="000000"/>
                      <w:spacing w:val="0"/>
                      <w:w w:val="100"/>
                      <w:sz w:val="21"/>
                      <w:szCs w:val="21"/>
                      <w:vertAlign w:val="baseline"/>
                    </w:rPr>
                    <w:t>区域面积（km</w:t>
                  </w:r>
                  <w:r>
                    <w:rPr>
                      <w:rFonts w:hint="default" w:ascii="Times New Roman" w:hAnsi="Times New Roman" w:eastAsia="宋体" w:cs="Times New Roman"/>
                      <w:b/>
                      <w:bCs/>
                      <w:i w:val="0"/>
                      <w:iCs w:val="0"/>
                      <w:color w:val="000000"/>
                      <w:spacing w:val="0"/>
                      <w:w w:val="100"/>
                      <w:sz w:val="21"/>
                      <w:szCs w:val="21"/>
                      <w:vertAlign w:val="superscript"/>
                    </w:rPr>
                    <w:t>2</w:t>
                  </w:r>
                  <w:r>
                    <w:rPr>
                      <w:rFonts w:hint="default" w:ascii="Times New Roman" w:hAnsi="Times New Roman" w:eastAsia="宋体" w:cs="Times New Roman"/>
                      <w:b/>
                      <w:bCs/>
                      <w:i w:val="0"/>
                      <w:iCs w:val="0"/>
                      <w:color w:val="000000"/>
                      <w:spacing w:val="0"/>
                      <w:w w:val="100"/>
                      <w:sz w:val="21"/>
                      <w:szCs w:val="21"/>
                      <w:vertAlign w:val="baseline"/>
                    </w:rPr>
                    <w:t>）</w:t>
                  </w:r>
                </w:p>
              </w:tc>
              <w:tc>
                <w:tcPr>
                  <w:tcW w:w="801" w:type="pct"/>
                  <w:tcBorders>
                    <w:tl2br w:val="nil"/>
                    <w:tr2bl w:val="nil"/>
                  </w:tcBorders>
                  <w:noWrap w:val="0"/>
                  <w:vAlign w:val="center"/>
                </w:tcPr>
                <w:p w14:paraId="17084B07">
                  <w:pPr>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方位/距离</w:t>
                  </w:r>
                </w:p>
              </w:tc>
            </w:tr>
            <w:tr w14:paraId="69EAB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0" w:type="pct"/>
                  <w:tcBorders>
                    <w:tl2br w:val="nil"/>
                    <w:tr2bl w:val="nil"/>
                  </w:tcBorders>
                  <w:noWrap w:val="0"/>
                  <w:vAlign w:val="center"/>
                </w:tcPr>
                <w:p w14:paraId="2CCD4ABF">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val="0"/>
                      <w:bCs w:val="0"/>
                      <w:i w:val="0"/>
                      <w:iCs w:val="0"/>
                      <w:color w:val="000000"/>
                      <w:spacing w:val="0"/>
                      <w:w w:val="100"/>
                      <w:sz w:val="21"/>
                      <w:szCs w:val="21"/>
                      <w:vertAlign w:val="baseline"/>
                    </w:rPr>
                    <w:t>太湖重要湿地（吴江区）</w:t>
                  </w:r>
                </w:p>
              </w:tc>
              <w:tc>
                <w:tcPr>
                  <w:tcW w:w="932" w:type="pct"/>
                  <w:tcBorders>
                    <w:tl2br w:val="nil"/>
                    <w:tr2bl w:val="nil"/>
                  </w:tcBorders>
                  <w:noWrap w:val="0"/>
                  <w:vAlign w:val="center"/>
                </w:tcPr>
                <w:p w14:paraId="41236AA8">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val="0"/>
                      <w:bCs w:val="0"/>
                      <w:i w:val="0"/>
                      <w:iCs w:val="0"/>
                      <w:color w:val="000000"/>
                      <w:spacing w:val="0"/>
                      <w:w w:val="100"/>
                      <w:sz w:val="21"/>
                      <w:szCs w:val="21"/>
                      <w:vertAlign w:val="baseline"/>
                    </w:rPr>
                    <w:t>重要湖泊湿地</w:t>
                  </w:r>
                </w:p>
              </w:tc>
              <w:tc>
                <w:tcPr>
                  <w:tcW w:w="1218" w:type="pct"/>
                  <w:tcBorders>
                    <w:tl2br w:val="nil"/>
                    <w:tr2bl w:val="nil"/>
                  </w:tcBorders>
                  <w:noWrap w:val="0"/>
                  <w:vAlign w:val="center"/>
                </w:tcPr>
                <w:p w14:paraId="17C7C332">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val="0"/>
                      <w:bCs w:val="0"/>
                      <w:i w:val="0"/>
                      <w:iCs w:val="0"/>
                      <w:color w:val="000000"/>
                      <w:spacing w:val="0"/>
                      <w:w w:val="100"/>
                      <w:sz w:val="21"/>
                      <w:szCs w:val="21"/>
                      <w:vertAlign w:val="baseline"/>
                    </w:rPr>
                    <w:t>太湖湖体水域</w:t>
                  </w:r>
                </w:p>
              </w:tc>
              <w:tc>
                <w:tcPr>
                  <w:tcW w:w="1037" w:type="pct"/>
                  <w:tcBorders>
                    <w:tl2br w:val="nil"/>
                    <w:tr2bl w:val="nil"/>
                  </w:tcBorders>
                  <w:noWrap w:val="0"/>
                  <w:vAlign w:val="center"/>
                </w:tcPr>
                <w:p w14:paraId="24FFE855">
                  <w:pPr>
                    <w:pStyle w:val="19"/>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val="0"/>
                      <w:bCs w:val="0"/>
                      <w:i w:val="0"/>
                      <w:iCs w:val="0"/>
                      <w:color w:val="000000"/>
                      <w:spacing w:val="0"/>
                      <w:w w:val="100"/>
                      <w:sz w:val="21"/>
                      <w:szCs w:val="21"/>
                      <w:vertAlign w:val="baseline"/>
                    </w:rPr>
                    <w:t>72.43</w:t>
                  </w:r>
                </w:p>
              </w:tc>
              <w:tc>
                <w:tcPr>
                  <w:tcW w:w="801" w:type="pct"/>
                  <w:tcBorders>
                    <w:tl2br w:val="nil"/>
                    <w:tr2bl w:val="nil"/>
                  </w:tcBorders>
                  <w:noWrap w:val="0"/>
                  <w:vAlign w:val="center"/>
                </w:tcPr>
                <w:p w14:paraId="0CD57312">
                  <w:pPr>
                    <w:jc w:val="center"/>
                    <w:rPr>
                      <w:rFonts w:hint="default" w:ascii="Times New Roman" w:hAnsi="Times New Roman" w:eastAsia="宋体" w:cs="Times New Roman"/>
                      <w:color w:val="000000"/>
                      <w:sz w:val="21"/>
                      <w:szCs w:val="21"/>
                      <w:vertAlign w:val="baseline"/>
                      <w:lang w:val="en-US" w:eastAsia="zh-CN"/>
                    </w:rPr>
                  </w:pPr>
                  <w:r>
                    <w:rPr>
                      <w:rFonts w:hint="eastAsia" w:cs="Times New Roman"/>
                      <w:color w:val="000000"/>
                      <w:sz w:val="21"/>
                      <w:szCs w:val="21"/>
                      <w:vertAlign w:val="baseline"/>
                      <w:lang w:val="en-US" w:eastAsia="zh-CN"/>
                    </w:rPr>
                    <w:t>西北，14.6km</w:t>
                  </w:r>
                </w:p>
              </w:tc>
            </w:tr>
          </w:tbl>
          <w:p w14:paraId="6BA3524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（2）环境质量底线相符性</w:t>
            </w:r>
          </w:p>
          <w:p w14:paraId="020C1B6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szCs w:val="21"/>
              </w:rPr>
            </w:pPr>
            <w:r>
              <w:rPr>
                <w:rFonts w:hint="eastAsia"/>
                <w:color w:val="auto"/>
                <w:sz w:val="24"/>
                <w:szCs w:val="21"/>
              </w:rPr>
              <w:t>①环境空气质量</w:t>
            </w:r>
          </w:p>
          <w:p w14:paraId="493FAB80">
            <w:pPr>
              <w:pStyle w:val="5"/>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color w:val="auto"/>
                <w:sz w:val="24"/>
                <w:szCs w:val="24"/>
                <w:highlight w:val="none"/>
                <w:lang w:val="en-US" w:eastAsia="zh-CN"/>
              </w:rPr>
            </w:pPr>
            <w:r>
              <w:rPr>
                <w:color w:val="auto"/>
                <w:sz w:val="24"/>
                <w:szCs w:val="21"/>
              </w:rPr>
              <w:t>根据</w:t>
            </w:r>
            <w:r>
              <w:rPr>
                <w:color w:val="auto"/>
                <w:sz w:val="24"/>
              </w:rPr>
              <w:t>《</w:t>
            </w:r>
            <w:r>
              <w:rPr>
                <w:rFonts w:hint="eastAsia"/>
                <w:color w:val="auto"/>
                <w:sz w:val="24"/>
              </w:rPr>
              <w:t>202</w:t>
            </w:r>
            <w:r>
              <w:rPr>
                <w:rFonts w:hint="eastAsia"/>
                <w:color w:val="auto"/>
                <w:sz w:val="24"/>
                <w:lang w:val="en-US" w:eastAsia="zh-CN"/>
              </w:rPr>
              <w:t>4</w:t>
            </w:r>
            <w:r>
              <w:rPr>
                <w:rFonts w:hint="eastAsia"/>
                <w:color w:val="auto"/>
                <w:sz w:val="24"/>
              </w:rPr>
              <w:t>年度苏州市生态环境状况公报</w:t>
            </w:r>
            <w:r>
              <w:rPr>
                <w:color w:val="auto"/>
                <w:sz w:val="24"/>
              </w:rPr>
              <w:t>》</w:t>
            </w:r>
            <w:r>
              <w:rPr>
                <w:rFonts w:hint="eastAsia"/>
                <w:color w:val="auto"/>
                <w:sz w:val="24"/>
                <w:szCs w:val="21"/>
              </w:rPr>
              <w:t>：苏州市</w:t>
            </w:r>
            <w:r>
              <w:rPr>
                <w:color w:val="auto"/>
                <w:sz w:val="24"/>
                <w:szCs w:val="21"/>
              </w:rPr>
              <w:t>O</w:t>
            </w:r>
            <w:r>
              <w:rPr>
                <w:color w:val="auto"/>
                <w:sz w:val="24"/>
                <w:szCs w:val="21"/>
                <w:vertAlign w:val="subscript"/>
              </w:rPr>
              <w:t>3</w:t>
            </w:r>
            <w:r>
              <w:rPr>
                <w:rFonts w:hint="eastAsia"/>
                <w:color w:val="auto"/>
                <w:sz w:val="24"/>
                <w:szCs w:val="21"/>
              </w:rPr>
              <w:t>未达标。</w:t>
            </w:r>
            <w:r>
              <w:rPr>
                <w:rFonts w:hint="default" w:ascii="Times New Roman" w:hAnsi="Times New Roman" w:cs="Times New Roman"/>
                <w:color w:val="auto"/>
                <w:sz w:val="24"/>
                <w:szCs w:val="24"/>
                <w:highlight w:val="none"/>
                <w:lang w:val="en-US" w:eastAsia="zh-CN"/>
              </w:rPr>
              <w:t>根据《苏州市空气质量持续改善行动计划实施方案》（苏府〔2024〕50号），协同推进降碳、减污、扩绿、增长，以改善空气质量为核心，扎实推进产业、能源、交通绿色低碳转型，强化面源污染治理，加强源头防控，以高品质生态环境支撑高质量发展。主要目标是：到2025年，全市PM</w:t>
            </w:r>
            <w:r>
              <w:rPr>
                <w:rFonts w:hint="default" w:ascii="Times New Roman" w:hAnsi="Times New Roman" w:cs="Times New Roman"/>
                <w:color w:val="auto"/>
                <w:sz w:val="24"/>
                <w:szCs w:val="24"/>
                <w:highlight w:val="none"/>
                <w:vertAlign w:val="subscript"/>
                <w:lang w:val="en-US" w:eastAsia="zh-CN"/>
              </w:rPr>
              <w:t>2.5</w:t>
            </w:r>
            <w:r>
              <w:rPr>
                <w:rFonts w:hint="default" w:ascii="Times New Roman" w:hAnsi="Times New Roman" w:cs="Times New Roman"/>
                <w:color w:val="auto"/>
                <w:sz w:val="24"/>
                <w:szCs w:val="24"/>
                <w:highlight w:val="none"/>
                <w:lang w:val="en-US" w:eastAsia="zh-CN"/>
              </w:rPr>
              <w:t>浓度稳定在30微克/立方米以下，重度及以上污染天数控制在1天以内；氮氧化物和VOCs排放总量比2020年分别下降10%以上，完成省下达的减排目标。</w:t>
            </w:r>
          </w:p>
          <w:p w14:paraId="5A80AE0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rFonts w:hint="eastAsia"/>
                <w:color w:val="auto"/>
                <w:sz w:val="24"/>
                <w:szCs w:val="21"/>
                <w:highlight w:val="none"/>
              </w:rPr>
              <w:t>本项目</w:t>
            </w:r>
            <w:r>
              <w:rPr>
                <w:rFonts w:hint="eastAsia"/>
                <w:color w:val="auto"/>
                <w:sz w:val="24"/>
                <w:szCs w:val="21"/>
                <w:highlight w:val="none"/>
                <w:lang w:val="en-US" w:eastAsia="zh-CN"/>
              </w:rPr>
              <w:t>针体</w:t>
            </w:r>
            <w:r>
              <w:rPr>
                <w:rFonts w:hint="eastAsia"/>
                <w:color w:val="auto"/>
                <w:sz w:val="24"/>
                <w:szCs w:val="21"/>
                <w:highlight w:val="none"/>
              </w:rPr>
              <w:t>磨抛所产生颗粒物由集气罩收集后经布袋除尘器处理后由15m高1#排气筒排放，挤塑</w:t>
            </w:r>
            <w:r>
              <w:rPr>
                <w:rFonts w:hint="eastAsia"/>
                <w:color w:val="auto"/>
                <w:sz w:val="24"/>
                <w:szCs w:val="21"/>
                <w:highlight w:val="none"/>
                <w:lang w:eastAsia="zh-CN"/>
              </w:rPr>
              <w:t>、</w:t>
            </w:r>
            <w:r>
              <w:rPr>
                <w:rFonts w:hint="eastAsia"/>
                <w:color w:val="auto"/>
                <w:sz w:val="24"/>
                <w:szCs w:val="21"/>
                <w:highlight w:val="none"/>
                <w:lang w:val="en-US" w:eastAsia="zh-CN"/>
              </w:rPr>
              <w:t>针柄制作、封装</w:t>
            </w:r>
            <w:r>
              <w:rPr>
                <w:rFonts w:hint="eastAsia"/>
                <w:color w:val="auto"/>
                <w:sz w:val="24"/>
                <w:szCs w:val="21"/>
                <w:highlight w:val="none"/>
              </w:rPr>
              <w:t>所产生非甲烷总烃由集气罩收集后通过“二级活性炭吸附”装置处理后经15m高2#排气筒排放</w:t>
            </w:r>
            <w:r>
              <w:rPr>
                <w:rFonts w:hint="eastAsia"/>
                <w:color w:val="auto"/>
                <w:sz w:val="24"/>
                <w:szCs w:val="21"/>
                <w:highlight w:val="none"/>
                <w:lang w:eastAsia="zh-CN"/>
              </w:rPr>
              <w:t>，</w:t>
            </w:r>
            <w:r>
              <w:rPr>
                <w:rFonts w:hint="eastAsia"/>
                <w:color w:val="auto"/>
                <w:sz w:val="24"/>
                <w:szCs w:val="21"/>
                <w:highlight w:val="none"/>
              </w:rPr>
              <w:t>在加强通风的情况下对车间环境的影响不大。</w:t>
            </w:r>
            <w:r>
              <w:rPr>
                <w:rFonts w:hint="eastAsia"/>
                <w:color w:val="auto"/>
                <w:sz w:val="24"/>
                <w:szCs w:val="21"/>
              </w:rPr>
              <w:t>本项目采取的措施能满足区域环境质量改善目标管理。</w:t>
            </w:r>
          </w:p>
          <w:p w14:paraId="15C3A4B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②地</w:t>
            </w:r>
            <w:r>
              <w:rPr>
                <w:color w:val="auto"/>
                <w:sz w:val="24"/>
              </w:rPr>
              <w:t>表水环境质量</w:t>
            </w:r>
          </w:p>
          <w:p w14:paraId="2A85D6C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sz w:val="24"/>
                <w:lang w:val="en-US" w:eastAsia="zh-CN"/>
              </w:rPr>
            </w:pPr>
            <w:r>
              <w:rPr>
                <w:rFonts w:hint="default"/>
                <w:color w:val="auto"/>
                <w:sz w:val="24"/>
                <w:lang w:val="en-US" w:eastAsia="zh-CN"/>
              </w:rPr>
              <w:t>根据《202</w:t>
            </w:r>
            <w:r>
              <w:rPr>
                <w:rFonts w:hint="eastAsia"/>
                <w:color w:val="auto"/>
                <w:sz w:val="24"/>
                <w:lang w:val="en-US" w:eastAsia="zh-CN"/>
              </w:rPr>
              <w:t>4</w:t>
            </w:r>
            <w:r>
              <w:rPr>
                <w:rFonts w:hint="default"/>
                <w:color w:val="auto"/>
                <w:sz w:val="24"/>
                <w:lang w:val="en-US" w:eastAsia="zh-CN"/>
              </w:rPr>
              <w:t>年度苏州市生态环境状况公报》</w:t>
            </w:r>
            <w:r>
              <w:rPr>
                <w:rFonts w:hint="eastAsia"/>
                <w:color w:val="auto"/>
                <w:sz w:val="24"/>
                <w:lang w:val="en-US" w:eastAsia="zh-CN"/>
              </w:rPr>
              <w:t>：</w:t>
            </w:r>
          </w:p>
          <w:p w14:paraId="419A0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（一）饮用水水源地</w:t>
            </w:r>
          </w:p>
          <w:p w14:paraId="2C6A88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江苏省2024年水生态环境保护工作计划》（苏污防攻坚指办〔2024〕35号），全市共13个县级及以上城市集中式饮用水水源地，均为集中式供水。2024年取水总量约为15.20亿吨，主要取水水源长江和太湖取水量分别约占取水总量的32.1%和54.3%。依据《地表水环境质量标准》(GB 3838 2002)评价，水质均达到或优于Ⅲ类标准，全部达到考核目标要求。</w:t>
            </w:r>
          </w:p>
          <w:p w14:paraId="4C44BE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（二）国考断面</w:t>
            </w:r>
          </w:p>
          <w:p w14:paraId="156901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2024年，纳入</w:t>
            </w:r>
            <w:r>
              <w:rPr>
                <w:rFonts w:hint="eastAsia" w:ascii="宋体" w:hAnsi="宋体" w:eastAsia="宋体" w:cs="宋体"/>
                <w:color w:val="000000"/>
                <w:sz w:val="24"/>
                <w:szCs w:val="24"/>
              </w:rPr>
              <w:t>“十四五”</w:t>
            </w:r>
            <w:r>
              <w:rPr>
                <w:rFonts w:hint="default" w:ascii="Times New Roman" w:hAnsi="Times New Roman" w:eastAsia="宋体" w:cs="Times New Roman"/>
                <w:color w:val="000000"/>
                <w:sz w:val="24"/>
                <w:szCs w:val="24"/>
              </w:rPr>
              <w:t>国家地表水环境质量考核的30个断面中，年均水质达到或好于《地表水环境质量标准》</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GB 3838-2002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Ⅲ类标准的断面比例为93.3%，同比持平；未达Ⅲ类的2个断面为</w:t>
            </w:r>
            <w:r>
              <w:rPr>
                <w:rFonts w:hint="default" w:ascii="Times New Roman" w:hAnsi="Times New Roman" w:eastAsia="宋体" w:cs="Times New Roman"/>
                <w:color w:val="000000"/>
                <w:sz w:val="24"/>
                <w:szCs w:val="24"/>
                <w:lang w:eastAsia="zh-CN"/>
              </w:rPr>
              <w:t>Ⅳ类</w:t>
            </w:r>
            <w:r>
              <w:rPr>
                <w:rFonts w:hint="default" w:ascii="Times New Roman" w:hAnsi="Times New Roman" w:eastAsia="宋体" w:cs="Times New Roman"/>
                <w:color w:val="000000"/>
                <w:sz w:val="24"/>
                <w:szCs w:val="24"/>
              </w:rPr>
              <w:t>（均为湖泊）。年均水质达到Ⅱ类标准的断面比例为63.3%，同比上升10.0个百分点，Ⅱ类水体比例全省第一。</w:t>
            </w:r>
          </w:p>
          <w:p w14:paraId="155C0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（三）省考断面</w:t>
            </w:r>
          </w:p>
          <w:p w14:paraId="6E5FE8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2024年，纳入江苏省</w:t>
            </w:r>
            <w:r>
              <w:rPr>
                <w:rFonts w:hint="eastAsia" w:ascii="宋体" w:hAnsi="宋体" w:eastAsia="宋体" w:cs="宋体"/>
                <w:color w:val="000000"/>
                <w:sz w:val="24"/>
                <w:szCs w:val="24"/>
              </w:rPr>
              <w:t>“十四五”</w:t>
            </w:r>
            <w:r>
              <w:rPr>
                <w:rFonts w:hint="default" w:ascii="Times New Roman" w:hAnsi="Times New Roman" w:eastAsia="宋体" w:cs="Times New Roman"/>
                <w:color w:val="000000"/>
                <w:sz w:val="24"/>
                <w:szCs w:val="24"/>
              </w:rPr>
              <w:t>水环境质量考核的80个地表水断面（含国考断面）中，年均水质达到或好于《地表水环境质量标准》</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GB 3838-2002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Ⅲ类标准的断面比例为97.5%，同比上升2.5个百分点；未达Ⅲ类的2个断面为</w:t>
            </w:r>
            <w:r>
              <w:rPr>
                <w:rFonts w:hint="default" w:ascii="Times New Roman" w:hAnsi="Times New Roman" w:eastAsia="宋体" w:cs="Times New Roman"/>
                <w:color w:val="000000"/>
                <w:sz w:val="24"/>
                <w:szCs w:val="24"/>
                <w:lang w:eastAsia="zh-CN"/>
              </w:rPr>
              <w:t>Ⅳ类</w:t>
            </w:r>
            <w:r>
              <w:rPr>
                <w:rFonts w:hint="default" w:ascii="Times New Roman" w:hAnsi="Times New Roman" w:eastAsia="宋体" w:cs="Times New Roman"/>
                <w:color w:val="000000"/>
                <w:sz w:val="24"/>
                <w:szCs w:val="24"/>
              </w:rPr>
              <w:t>（均为湖泊）</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年均水质达到Ⅱ类标准的断面比例为68.8%，同比上升2.5个百分点，Ⅱ类水体比例全省第二。</w:t>
            </w:r>
          </w:p>
          <w:p w14:paraId="7FB46A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四</w:t>
            </w:r>
            <w:r>
              <w:rPr>
                <w:rFonts w:hint="default" w:ascii="Times New Roman" w:hAnsi="Times New Roman" w:eastAsia="宋体" w:cs="Times New Roman"/>
                <w:color w:val="000000"/>
                <w:sz w:val="24"/>
                <w:szCs w:val="24"/>
              </w:rPr>
              <w:t>）太湖（苏州辖区）</w:t>
            </w:r>
          </w:p>
          <w:p w14:paraId="4F9D1D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年，太湖湖体（苏州辖区）总体水质处于Ⅲ类。湖体高锰酸盐指数和氨氮平均浓度分别为2.8毫克/升和0.06毫克/升，保持在Ⅱ类和Ⅰ类；总磷平均浓度为0.04</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毫克/升</w:t>
            </w:r>
            <w:r>
              <w:rPr>
                <w:rFonts w:hint="default" w:ascii="Times New Roman" w:hAnsi="Times New Roman" w:eastAsia="宋体" w:cs="Times New Roman"/>
                <w:color w:val="000000"/>
                <w:sz w:val="24"/>
                <w:szCs w:val="24"/>
                <w:lang w:eastAsia="zh-CN"/>
              </w:rPr>
              <w:t>，保持在</w:t>
            </w: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lang w:eastAsia="zh-CN"/>
              </w:rPr>
              <w:t>类；</w:t>
            </w:r>
            <w:r>
              <w:rPr>
                <w:rFonts w:hint="default" w:ascii="Times New Roman" w:hAnsi="Times New Roman" w:eastAsia="宋体" w:cs="Times New Roman"/>
                <w:color w:val="000000"/>
                <w:sz w:val="24"/>
                <w:szCs w:val="24"/>
              </w:rPr>
              <w:t>总氮平均浓度为1.22毫克／升；综合营养状态指数为50.4，处于轻度富营养状态。</w:t>
            </w:r>
          </w:p>
          <w:p w14:paraId="7C4399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主要入湖河流望虞河水质稳定达到Ⅱ类．</w:t>
            </w:r>
          </w:p>
          <w:p w14:paraId="3FCFD0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2024年3月至10月安全度夏期间，通过卫星遥感监测发现太湖（苏州辖区）共计出现蓝藻水华40次，同比增加7次，最大聚集面积112平方千米，平均面积21.8平方千米，与2023年相比，最大发生面积下降32.9%，平均发生面积下降42.6%</w:t>
            </w:r>
            <w:r>
              <w:rPr>
                <w:rFonts w:hint="eastAsia" w:ascii="Times New Roman" w:hAnsi="Times New Roman" w:eastAsia="宋体" w:cs="Times New Roman"/>
                <w:color w:val="000000"/>
                <w:sz w:val="24"/>
                <w:szCs w:val="24"/>
                <w:lang w:eastAsia="zh-CN"/>
              </w:rPr>
              <w:t>。</w:t>
            </w:r>
          </w:p>
          <w:p w14:paraId="0989DA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五</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京杭大运河（苏州段）</w:t>
            </w:r>
          </w:p>
          <w:p w14:paraId="75E46D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2024年，京杭大运河</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eastAsia="zh-CN"/>
              </w:rPr>
              <w:t>苏州段</w:t>
            </w:r>
            <w:r>
              <w:rPr>
                <w:rFonts w:hint="eastAsia"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eastAsia="zh-CN"/>
              </w:rPr>
              <w:t>水质稳定在优级水平。沿线5个省考及以上监测断面水质均达到Ⅲ类，同比持平。</w:t>
            </w:r>
          </w:p>
          <w:p w14:paraId="10F4192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（3）资源利用上线相符性</w:t>
            </w:r>
          </w:p>
          <w:p w14:paraId="3B757B9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本项目生产过程中所用的资源主要为水资源和电能，项目所在地水资源丰富，且项目用水量较小，不会达到资源利用上线；项目占地符合当地规划要求，亦不会达到资源利用上线，不与环境准入相悖。</w:t>
            </w:r>
          </w:p>
          <w:p w14:paraId="036ED0B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（4）与环境准入负面清单相符性分析</w:t>
            </w:r>
          </w:p>
          <w:p w14:paraId="2096BA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sz w:val="24"/>
                <w:lang w:eastAsia="zh-CN"/>
              </w:rPr>
            </w:pPr>
            <w:r>
              <w:rPr>
                <w:rFonts w:hint="eastAsia"/>
                <w:color w:val="auto"/>
                <w:sz w:val="24"/>
                <w:lang w:val="en-US" w:eastAsia="zh-CN"/>
              </w:rPr>
              <w:t>①</w:t>
            </w:r>
            <w:r>
              <w:rPr>
                <w:rFonts w:hint="eastAsia"/>
                <w:color w:val="auto"/>
                <w:sz w:val="24"/>
              </w:rPr>
              <w:t>对照《市场准入负面清单（202</w:t>
            </w:r>
            <w:r>
              <w:rPr>
                <w:rFonts w:hint="eastAsia"/>
                <w:color w:val="auto"/>
                <w:sz w:val="24"/>
                <w:lang w:val="en-US" w:eastAsia="zh-CN"/>
              </w:rPr>
              <w:t>5</w:t>
            </w:r>
            <w:r>
              <w:rPr>
                <w:rFonts w:hint="eastAsia"/>
                <w:color w:val="auto"/>
                <w:sz w:val="24"/>
              </w:rPr>
              <w:t>年版）》</w:t>
            </w:r>
            <w:r>
              <w:rPr>
                <w:color w:val="auto"/>
                <w:sz w:val="24"/>
                <w:lang w:bidi="ar"/>
              </w:rPr>
              <w:t>（发改体改规〔202</w:t>
            </w:r>
            <w:r>
              <w:rPr>
                <w:rFonts w:hint="eastAsia"/>
                <w:color w:val="auto"/>
                <w:sz w:val="24"/>
                <w:lang w:val="en-US" w:eastAsia="zh-CN" w:bidi="ar"/>
              </w:rPr>
              <w:t>5</w:t>
            </w:r>
            <w:r>
              <w:rPr>
                <w:color w:val="auto"/>
                <w:sz w:val="24"/>
                <w:lang w:bidi="ar"/>
              </w:rPr>
              <w:t>〕</w:t>
            </w:r>
            <w:r>
              <w:rPr>
                <w:rFonts w:hint="eastAsia"/>
                <w:color w:val="auto"/>
                <w:sz w:val="24"/>
                <w:lang w:val="en-US" w:eastAsia="zh-CN" w:bidi="ar"/>
              </w:rPr>
              <w:t>446</w:t>
            </w:r>
            <w:r>
              <w:rPr>
                <w:color w:val="auto"/>
                <w:sz w:val="24"/>
                <w:lang w:bidi="ar"/>
              </w:rPr>
              <w:t>号）</w:t>
            </w:r>
            <w:r>
              <w:rPr>
                <w:rFonts w:hint="eastAsia"/>
                <w:color w:val="auto"/>
                <w:sz w:val="24"/>
              </w:rPr>
              <w:t>，本项目不属于其“禁止准入类事项”，属于其“允许准入类事项”</w:t>
            </w:r>
            <w:r>
              <w:rPr>
                <w:rFonts w:hint="eastAsia"/>
                <w:color w:val="auto"/>
                <w:sz w:val="24"/>
                <w:lang w:eastAsia="zh-CN"/>
              </w:rPr>
              <w:t>。</w:t>
            </w:r>
          </w:p>
          <w:p w14:paraId="60F55B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②对照《长江经济带发展负面清单指南（试行）</w:t>
            </w:r>
            <w:r>
              <w:rPr>
                <w:rFonts w:hint="eastAsia" w:cs="Times New Roman"/>
                <w:b w:val="0"/>
                <w:bCs w:val="0"/>
                <w:i w:val="0"/>
                <w:iCs w:val="0"/>
                <w:color w:val="000000"/>
                <w:spacing w:val="0"/>
                <w:w w:val="100"/>
                <w:kern w:val="2"/>
                <w:sz w:val="24"/>
                <w:szCs w:val="24"/>
                <w:vertAlign w:val="baseline"/>
                <w:lang w:val="en-US" w:eastAsia="zh-CN" w:bidi="ar-SA"/>
              </w:rPr>
              <w:t>，2022年版</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长江办</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2022</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7号</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，本项目的相符性分析见下表：</w:t>
            </w:r>
          </w:p>
          <w:p w14:paraId="64B80B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ascii="Times New Roman" w:hAnsi="Times New Roman" w:eastAsia="宋体" w:cs="Times New Roman"/>
                <w:b/>
                <w:bCs/>
                <w:i w:val="0"/>
                <w:iCs w:val="0"/>
                <w:color w:val="000000"/>
                <w:spacing w:val="0"/>
                <w:w w:val="100"/>
                <w:kern w:val="2"/>
                <w:sz w:val="21"/>
                <w:szCs w:val="21"/>
                <w:vertAlign w:val="baseline"/>
                <w:lang w:val="en-US" w:eastAsia="zh-CN" w:bidi="ar-SA"/>
              </w:rPr>
              <w:t>3</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与长江经济带发展负面清单指南（试行）相符性分析</w:t>
            </w:r>
          </w:p>
          <w:tbl>
            <w:tblPr>
              <w:tblStyle w:val="20"/>
              <w:tblW w:w="822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38"/>
              <w:gridCol w:w="4811"/>
              <w:gridCol w:w="1717"/>
              <w:gridCol w:w="961"/>
            </w:tblGrid>
            <w:tr w14:paraId="6AE80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61EEB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序号</w:t>
                  </w:r>
                </w:p>
              </w:tc>
              <w:tc>
                <w:tcPr>
                  <w:tcW w:w="2923"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54643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相关要求</w:t>
                  </w:r>
                </w:p>
              </w:tc>
              <w:tc>
                <w:tcPr>
                  <w:tcW w:w="1043"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D5510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本项目情况</w:t>
                  </w:r>
                </w:p>
              </w:tc>
              <w:tc>
                <w:tcPr>
                  <w:tcW w:w="584"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4227D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w:t>
                  </w:r>
                </w:p>
              </w:tc>
            </w:tr>
            <w:tr w14:paraId="0BB5E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AC30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DBD4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禁止建设不符合全国和省级港口布局规划以及港口总体规划的码头项目，禁止建设不符合《长江干线过江通道布局规划》的过长江通道项目。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E1102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B9E90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DAF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3C61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1DA9D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禁止在自然保护区核心区、缓冲区的岸线和河段范围内投资建设旅游和生产经营项目。禁止在风景名胜区核心景区的岸线和河段范围内投资建设与风景名胜资源保护无关的项目。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3855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8870C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69F5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462D8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3</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2834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A9D2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D7DD7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234FE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932D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4</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8836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C1D9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4DF8B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5D6A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635F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5</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93A0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3A318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本项目不涉及《长江岸线保护和开发利用总体规划》划定的岸线保护区；不涉及《全国重要江河湖泊水功能区划》划定的河段保护区、保留区。</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93E1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0AC0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0D396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6</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6184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9D11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本项目不涉及生态保护红线和永久基本农田范围。</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908E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D3DA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4F01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7</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A3DCC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禁止在长江干支流l公里范围内新建、扩建化工园区和化工项目。禁止在合规园区外新建、扩建钢铁、石化、化工、焦化、建材、有色等高污染项目。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7CF13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本项目距离长江干支流超过1公里。</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E5AB2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68B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46BD5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8</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13477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禁止新建、扩建不符合国家石化、现代煤化工等产业布局规划的项目。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023E4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本项目符合国家产业布局规划。</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8EDD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E249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9338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9</w:t>
                  </w:r>
                </w:p>
              </w:tc>
              <w:tc>
                <w:tcPr>
                  <w:tcW w:w="292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DD6F8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禁止新建、扩建法律法规和相关政策明令禁止的落后产能项目。</w:t>
                  </w:r>
                </w:p>
              </w:tc>
              <w:tc>
                <w:tcPr>
                  <w:tcW w:w="1043"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3AA5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本项目不属于落后产能项目。</w:t>
                  </w:r>
                </w:p>
              </w:tc>
              <w:tc>
                <w:tcPr>
                  <w:tcW w:w="584"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4AEC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5113B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49"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788BE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10</w:t>
                  </w:r>
                </w:p>
              </w:tc>
              <w:tc>
                <w:tcPr>
                  <w:tcW w:w="2923"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5393AC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禁止新建、扩建不符合国家产能置换要求的严重过剩产能行业的项目。</w:t>
                  </w:r>
                </w:p>
              </w:tc>
              <w:tc>
                <w:tcPr>
                  <w:tcW w:w="1043"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218D2E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本项目不属于国家产能置换要求的严重过剩产能行业的项目</w:t>
                  </w:r>
                </w:p>
              </w:tc>
              <w:tc>
                <w:tcPr>
                  <w:tcW w:w="584"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745DA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bl>
          <w:p w14:paraId="07941D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③对照《关于印发〈长江经济带发展负面清单指南（试行，2022年版）〉江苏省实施细则》的通知（苏长江办发〔2022〕55号），本项目的相符性分析见下表：</w:t>
            </w:r>
          </w:p>
          <w:p w14:paraId="61B30879">
            <w:pPr>
              <w:keepNext w:val="0"/>
              <w:keepLines w:val="0"/>
              <w:widowControl/>
              <w:suppressLineNumbers w:val="0"/>
              <w:spacing w:before="0" w:beforeAutospacing="0" w:after="0" w:afterAutospacing="0"/>
              <w:ind w:left="0" w:right="0"/>
              <w:jc w:val="center"/>
              <w:rPr>
                <w:rFonts w:ascii="Calibri" w:hAnsi="Calibri" w:eastAsia="宋体" w:cs="Times New Roman"/>
                <w:color w:val="000000"/>
                <w:kern w:val="2"/>
                <w:sz w:val="24"/>
                <w:szCs w:val="24"/>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ascii="Times New Roman" w:hAnsi="Times New Roman" w:eastAsia="宋体" w:cs="Times New Roman"/>
                <w:b/>
                <w:bCs/>
                <w:i w:val="0"/>
                <w:iCs w:val="0"/>
                <w:color w:val="000000"/>
                <w:spacing w:val="0"/>
                <w:w w:val="100"/>
                <w:kern w:val="2"/>
                <w:sz w:val="21"/>
                <w:szCs w:val="21"/>
                <w:vertAlign w:val="baseline"/>
                <w:lang w:val="en-US" w:eastAsia="zh-CN" w:bidi="ar-SA"/>
              </w:rPr>
              <w:t>4</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与长江经济带发展负面清单指南（试行，2022年版）江苏省实施细则相符性分析</w:t>
            </w:r>
          </w:p>
          <w:tbl>
            <w:tblPr>
              <w:tblStyle w:val="20"/>
              <w:tblW w:w="81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93"/>
              <w:gridCol w:w="4668"/>
              <w:gridCol w:w="1720"/>
              <w:gridCol w:w="932"/>
            </w:tblGrid>
            <w:tr w14:paraId="16D7C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489"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4D794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序号</w:t>
                  </w:r>
                </w:p>
              </w:tc>
              <w:tc>
                <w:tcPr>
                  <w:tcW w:w="2877"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31B2C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相关要求</w:t>
                  </w:r>
                </w:p>
              </w:tc>
              <w:tc>
                <w:tcPr>
                  <w:tcW w:w="1060"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49A67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本项目情况</w:t>
                  </w:r>
                </w:p>
              </w:tc>
              <w:tc>
                <w:tcPr>
                  <w:tcW w:w="571"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4D234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相符性分析</w:t>
                  </w:r>
                </w:p>
              </w:tc>
            </w:tr>
            <w:tr w14:paraId="63B65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000" w:type="pct"/>
                  <w:gridSpan w:val="4"/>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0FEC8A8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一、河段利用与岸线开发</w:t>
                  </w:r>
                </w:p>
              </w:tc>
            </w:tr>
            <w:tr w14:paraId="3AC14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84E525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E76D16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E1585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本项目不属于码头及过长江干线通道项目</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86068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D718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4356B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1B06869">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0615D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本项目不在自然保护区核心区、缓冲区的岸线和河段范围内</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25EF0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05C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1AF55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3</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0C2A17E">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0B73B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本项目不在饮用水水源保护区内</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74DDE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656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6A8AF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4</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8192B7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D7A5E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910A8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52C75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FF298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5</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82731C">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1A092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18488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81AB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3AAA4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6</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4315D0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禁止未经许可在长江干支流及湖泊新设、改设或扩大排污口。</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1F0C2E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6790BD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C269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000" w:type="pct"/>
                  <w:gridSpan w:val="4"/>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1660778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二、区域活动</w:t>
                  </w:r>
                </w:p>
              </w:tc>
            </w:tr>
            <w:tr w14:paraId="6BC8B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3BC3A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7</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0A5662C">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禁止长江干流、长江口、34个列入《率先全面禁捕的长江流域水生生物保护区名录》的水生生物保护区以及省规定的其他禁渔水域开展生产性捕捞。</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755D7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E4A5C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528F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AE83A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8</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68EDF0E">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禁止在距离长江干支流岸线一公里范围内新建、扩建化工园区和化工项目。长江干支流一公里按照长江干支流岸线边界（即水利部门河道管理范围边界）向陆域纵深一公里执行。</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F04E3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3876B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429FA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8A717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9</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D565F0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禁止在长江干流岸线三公里范围内新建、改建、扩建尾矿库、冶炼渣库和磷石膏库，以提升安全、生态环境保护水平为目的的改建除外。</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1D8488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6C5416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6605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4C92B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10</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694BEF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禁止在太湖流域一、二、三级保护区内开展《江苏省太湖水污染防治条例》禁止的投资建设活动。</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AF89C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本项目符合产业布局规划</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D712B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47778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79915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11</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DCB743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禁止在沿江地区新建、扩建未纳入国家和省布局规划的燃煤发电项目。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656F5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本项目不属于此类禁止项目</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A8BA8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8447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2B773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12</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16E61D8">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禁止在合规园区外新建、扩建钢铁、石化、化工、焦化、建材、有色、制浆造纸等高污染项目。合规园区名录按照《〈长江经济带发展负面清单指南</w:t>
                  </w:r>
                  <w:r>
                    <w:rPr>
                      <w:rFonts w:hint="eastAsia" w:cs="Times New Roman"/>
                      <w:b w:val="0"/>
                      <w:bCs w:val="0"/>
                      <w:i w:val="0"/>
                      <w:iCs w:val="0"/>
                      <w:color w:val="000000"/>
                      <w:spacing w:val="0"/>
                      <w:w w:val="100"/>
                      <w:kern w:val="2"/>
                      <w:sz w:val="21"/>
                      <w:szCs w:val="21"/>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（试行，2022年版）江苏省实施细则合规园区名录》执行。</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F78BC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本项目不属于高污染项目</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36403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E1AA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3CC53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13</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6D6FCE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禁止在取消化工定位的园区（集中区）内新建化工项目。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29FF0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本项目不属于化工项目</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97F3D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FDAF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B0029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14</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27A37E9">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禁止在化工企业周边建设不符合安全距离规定的劳动密集型的非化工项目和其他人员密集的公共设施项目。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2B37F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49F0B4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2CC0E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5000" w:type="pct"/>
                  <w:gridSpan w:val="4"/>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4DE3C87A">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三、产业发展</w:t>
                  </w:r>
                </w:p>
              </w:tc>
            </w:tr>
            <w:tr w14:paraId="0C9C9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0EB84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15</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B7CE1DE">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禁止新建、扩建不符合国家和省产业政策的尿素、磷铵、电石、烧碱、聚氯乙烯、纯碱等行业新增产能项目。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E85B0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D8AFB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4D65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811AC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16</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4032DB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禁止新建、改建、扩建高毒、高残留以及对环境影响大的农药原药（化学合成类）项目，禁止新建、扩建不符合国家和省产业政策的农药、医药和染料中间体化工项目。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A7E04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F24186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1F324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73C17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17</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178A6C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禁止新建、扩建不符合国家石化、现代煤化工等产业布局规划的项目，禁止新建独立焦化项目。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FD6DC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BD079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1739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7C343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18</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85A88F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74EC0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62617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18C6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DB9F1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19</w:t>
                  </w:r>
                </w:p>
              </w:tc>
              <w:tc>
                <w:tcPr>
                  <w:tcW w:w="287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C302E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禁止新建、扩建不符合国家产能置换要求的严重过剩产能行业的项目。禁止新建、扩建不符合要求的高耗能高排放项目。</w:t>
                  </w:r>
                </w:p>
              </w:tc>
              <w:tc>
                <w:tcPr>
                  <w:tcW w:w="106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8A957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71"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5763E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1E515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trPr>
              <w:tc>
                <w:tcPr>
                  <w:tcW w:w="489"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2B50BB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20</w:t>
                  </w:r>
                </w:p>
              </w:tc>
              <w:tc>
                <w:tcPr>
                  <w:tcW w:w="2877"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7F31B40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法律法规及相关政策文件有更加严格规定的从其规定。</w:t>
                  </w:r>
                </w:p>
              </w:tc>
              <w:tc>
                <w:tcPr>
                  <w:tcW w:w="1060"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2639E8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c>
                <w:tcPr>
                  <w:tcW w:w="571"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5E760A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bl>
          <w:p w14:paraId="6325B5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故本项目的建设符合《关于印发〈长江经济带发展负面清单指南（试行，2022年版）〉江苏省实施细则》的通知（苏长江办发〔2022〕55号）的要求</w:t>
            </w: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w:t>
            </w:r>
          </w:p>
          <w:p w14:paraId="7EE40E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综上，本项目的建设符合</w:t>
            </w:r>
            <w:r>
              <w:rPr>
                <w:rFonts w:hint="eastAsia" w:ascii="宋体" w:hAnsi="宋体" w:eastAsia="宋体" w:cs="宋体"/>
                <w:b w:val="0"/>
                <w:bCs w:val="0"/>
                <w:i w:val="0"/>
                <w:iCs w:val="0"/>
                <w:color w:val="000000"/>
                <w:spacing w:val="0"/>
                <w:w w:val="100"/>
                <w:kern w:val="2"/>
                <w:sz w:val="24"/>
                <w:szCs w:val="24"/>
                <w:vertAlign w:val="baseline"/>
                <w:lang w:val="en-US" w:eastAsia="zh-CN" w:bidi="ar-SA"/>
              </w:rPr>
              <w:t>“三线一单”的</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相关要求。</w:t>
            </w:r>
          </w:p>
          <w:p w14:paraId="4389CDC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color w:val="000000"/>
                <w:sz w:val="24"/>
                <w:lang w:val="en-US" w:eastAsia="zh-CN"/>
              </w:rPr>
            </w:pPr>
            <w:r>
              <w:rPr>
                <w:rFonts w:hint="eastAsia"/>
                <w:b/>
                <w:color w:val="auto"/>
                <w:sz w:val="24"/>
                <w:lang w:val="en-US" w:eastAsia="zh-CN"/>
              </w:rPr>
              <w:t>3</w:t>
            </w:r>
            <w:r>
              <w:rPr>
                <w:rFonts w:hint="eastAsia"/>
                <w:b/>
                <w:color w:val="auto"/>
                <w:sz w:val="24"/>
              </w:rPr>
              <w:t>、</w:t>
            </w:r>
            <w:r>
              <w:rPr>
                <w:rFonts w:hint="default" w:ascii="Times New Roman" w:hAnsi="Times New Roman" w:eastAsia="宋体" w:cs="Times New Roman"/>
                <w:b/>
                <w:color w:val="000000"/>
                <w:sz w:val="24"/>
                <w:lang w:val="en-US" w:eastAsia="zh-CN"/>
              </w:rPr>
              <w:t>与《江苏省2023年度生态环境分区管控动态更新成果公告》相符性分析</w:t>
            </w:r>
          </w:p>
          <w:p w14:paraId="61703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本项目位于江苏省苏州市吴江区黎里镇黎民</w:t>
            </w:r>
            <w:r>
              <w:rPr>
                <w:rFonts w:hint="eastAsia" w:cs="Times New Roman"/>
                <w:b w:val="0"/>
                <w:bCs w:val="0"/>
                <w:i w:val="0"/>
                <w:iCs w:val="0"/>
                <w:color w:val="000000"/>
                <w:spacing w:val="0"/>
                <w:w w:val="100"/>
                <w:kern w:val="2"/>
                <w:sz w:val="24"/>
                <w:szCs w:val="24"/>
                <w:vertAlign w:val="baseline"/>
                <w:lang w:val="en-US" w:eastAsia="zh-CN" w:bidi="ar-SA"/>
              </w:rPr>
              <w:t>南路37</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号，对照江苏省生态环境厅于2024年6月13日发布的《江苏省2023年度生态环境分区管控动态更新成果公告》，属于长江流域和太湖流域，为重点区域（流域），对照江苏省重点区域（流域）生态环境分区管控要求具体分析见下表：</w:t>
            </w:r>
          </w:p>
          <w:p w14:paraId="5C7798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cs="Times New Roman"/>
                <w:b/>
                <w:bCs/>
                <w:i w:val="0"/>
                <w:iCs w:val="0"/>
                <w:color w:val="000000"/>
                <w:spacing w:val="0"/>
                <w:w w:val="100"/>
                <w:kern w:val="2"/>
                <w:sz w:val="21"/>
                <w:szCs w:val="21"/>
                <w:vertAlign w:val="baseline"/>
                <w:lang w:val="en-US" w:eastAsia="zh-CN" w:bidi="ar-SA"/>
              </w:rPr>
              <w:t>5</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与江苏省重点区域（流域）生态环境分区管控要求相符性分析</w:t>
            </w:r>
          </w:p>
          <w:tbl>
            <w:tblPr>
              <w:tblStyle w:val="20"/>
              <w:tblW w:w="82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49"/>
              <w:gridCol w:w="4836"/>
              <w:gridCol w:w="1784"/>
              <w:gridCol w:w="935"/>
            </w:tblGrid>
            <w:tr w14:paraId="36AEB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2FD7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管控类别</w:t>
                  </w:r>
                </w:p>
              </w:tc>
              <w:tc>
                <w:tcPr>
                  <w:tcW w:w="4836" w:type="dxa"/>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CE916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重点管控要求</w:t>
                  </w:r>
                </w:p>
              </w:tc>
              <w:tc>
                <w:tcPr>
                  <w:tcW w:w="1784" w:type="dxa"/>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1FB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本项目情况</w:t>
                  </w:r>
                </w:p>
              </w:tc>
              <w:tc>
                <w:tcPr>
                  <w:tcW w:w="935" w:type="dxa"/>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F57D2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w:t>
                  </w:r>
                </w:p>
              </w:tc>
            </w:tr>
            <w:tr w14:paraId="0FC3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8204" w:type="dxa"/>
                  <w:gridSpan w:val="4"/>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41E72AA0">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江苏省省域生态环境管控总体要求</w:t>
                  </w:r>
                </w:p>
              </w:tc>
            </w:tr>
            <w:tr w14:paraId="3D18C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248F5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空间布局约束</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FFDE4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w:t>
                  </w: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沙</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37F9B6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2．牢牢把握推动长江经</w:t>
                  </w:r>
                  <w:r>
                    <w:rPr>
                      <w:rFonts w:hint="eastAsia" w:ascii="宋体" w:hAnsi="宋体" w:eastAsia="宋体" w:cs="宋体"/>
                      <w:b w:val="0"/>
                      <w:bCs w:val="0"/>
                      <w:i w:val="0"/>
                      <w:iCs w:val="0"/>
                      <w:color w:val="000000"/>
                      <w:spacing w:val="0"/>
                      <w:w w:val="100"/>
                      <w:kern w:val="2"/>
                      <w:sz w:val="21"/>
                      <w:szCs w:val="21"/>
                      <w:vertAlign w:val="baseline"/>
                      <w:lang w:val="en-US" w:eastAsia="zh-CN" w:bidi="ar-SA"/>
                    </w:rPr>
                    <w:t>济带发展“共抓大保护，不搞大开发”战略导向，对省域范围内</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需要重点保护的岸线、河段和区域实行严格管控，管住控好排放量大、耗能高、产能过剩的产业，推动长江经济带高质量发展。</w:t>
                  </w:r>
                </w:p>
                <w:p w14:paraId="155DFE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3．大幅压减沿长江干支流两侧1公里范围内、环境敏感区域、城镇人口</w:t>
                  </w:r>
                  <w:r>
                    <w:rPr>
                      <w:rFonts w:hint="eastAsia" w:ascii="宋体" w:hAnsi="宋体" w:eastAsia="宋体" w:cs="宋体"/>
                      <w:b w:val="0"/>
                      <w:bCs w:val="0"/>
                      <w:i w:val="0"/>
                      <w:iCs w:val="0"/>
                      <w:color w:val="000000"/>
                      <w:spacing w:val="0"/>
                      <w:w w:val="100"/>
                      <w:kern w:val="2"/>
                      <w:sz w:val="21"/>
                      <w:szCs w:val="21"/>
                      <w:vertAlign w:val="baseline"/>
                      <w:lang w:val="en-US" w:eastAsia="zh-CN" w:bidi="ar-SA"/>
                    </w:rPr>
                    <w:t>密集区、化工园区外和规模以下化工生产企业，着力破解“重化围江”突出问题，高起点同步推进沿江地区战略性转型和</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沿海地区战略性布局。</w:t>
                  </w:r>
                </w:p>
                <w:p w14:paraId="3432B8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78D652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D410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本项目属于C3589其他医疗设备及器械制造，不属于化工企业钢铁行业企业，不属于重大民生项目、重大基础设施项目</w:t>
                  </w: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交通基础设施项目等</w:t>
                  </w: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，不属于排放量大、耗能高、产能过剩的产业，土地利用性质</w:t>
                  </w:r>
                  <w:r>
                    <w:rPr>
                      <w:rFonts w:hint="eastAsia" w:cs="Times New Roman"/>
                      <w:b w:val="0"/>
                      <w:bCs w:val="0"/>
                      <w:i w:val="0"/>
                      <w:iCs w:val="0"/>
                      <w:color w:val="000000"/>
                      <w:spacing w:val="0"/>
                      <w:w w:val="100"/>
                      <w:kern w:val="2"/>
                      <w:sz w:val="21"/>
                      <w:szCs w:val="21"/>
                      <w:vertAlign w:val="baseline"/>
                      <w:lang w:val="en-US" w:eastAsia="zh-CN" w:bidi="ar-SA"/>
                    </w:rPr>
                    <w:t>现状</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为工业用地，不涉及生态管控区域与重点保护的岸线、河段。综上，项目建设符合空间布局约束要求</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3597C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4A22A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025C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污染物排放管控</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8E234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1．坚持生态环境质量只能更好、不能变坏，实施污染物总量控制，以环境容量定产业、定项目、定规模，确保开发建设行为不突破生态环境承载力。</w:t>
                  </w:r>
                </w:p>
                <w:p w14:paraId="1CA649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2．2025年，主要污染物排放减排完成国家下达任务，单位工业增加值二氧化碳排放量下降20%，主要高耗能行业单位产品二氧化碳排放达到世界先进水平。实施氮氧化物（NO</w:t>
                  </w:r>
                  <w:r>
                    <w:rPr>
                      <w:rFonts w:hint="default" w:ascii="Times New Roman" w:hAnsi="Times New Roman" w:eastAsia="宋体" w:cs="Times New Roman"/>
                      <w:b w:val="0"/>
                      <w:bCs w:val="0"/>
                      <w:i w:val="0"/>
                      <w:iCs w:val="0"/>
                      <w:color w:val="000000"/>
                      <w:spacing w:val="0"/>
                      <w:w w:val="100"/>
                      <w:kern w:val="2"/>
                      <w:sz w:val="21"/>
                      <w:szCs w:val="21"/>
                      <w:vertAlign w:val="subscript"/>
                      <w:lang w:val="en-US" w:eastAsia="zh-CN" w:bidi="ar-SA"/>
                    </w:rPr>
                    <w:t>x</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）和VOC</w:t>
                  </w:r>
                  <w:r>
                    <w:rPr>
                      <w:rFonts w:hint="default" w:ascii="Times New Roman" w:hAnsi="Times New Roman" w:eastAsia="宋体" w:cs="Times New Roman"/>
                      <w:b w:val="0"/>
                      <w:bCs w:val="0"/>
                      <w:i w:val="0"/>
                      <w:iCs w:val="0"/>
                      <w:color w:val="000000"/>
                      <w:spacing w:val="0"/>
                      <w:w w:val="100"/>
                      <w:kern w:val="2"/>
                      <w:sz w:val="21"/>
                      <w:szCs w:val="21"/>
                      <w:vertAlign w:val="subscript"/>
                      <w:lang w:val="en-US" w:eastAsia="zh-CN" w:bidi="ar-SA"/>
                    </w:rPr>
                    <w:t>s</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协同减排，推进多污染物和关联区域</w:t>
                  </w:r>
                  <w:r>
                    <w:rPr>
                      <w:rFonts w:hint="eastAsia" w:cs="Times New Roman"/>
                      <w:b w:val="0"/>
                      <w:bCs w:val="0"/>
                      <w:i w:val="0"/>
                      <w:iCs w:val="0"/>
                      <w:color w:val="000000"/>
                      <w:spacing w:val="0"/>
                      <w:w w:val="100"/>
                      <w:kern w:val="2"/>
                      <w:sz w:val="21"/>
                      <w:szCs w:val="21"/>
                      <w:vertAlign w:val="baseline"/>
                      <w:lang w:val="en-US" w:eastAsia="zh-CN" w:bidi="ar-SA"/>
                    </w:rPr>
                    <w:t>联防</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联控。</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E9C32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本项目产生的废气不涉及二氧化碳。本项目产生的废气通过处理后达标排放，符合文件要求。</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1DC0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29514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3F094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环境风险防控</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5E6B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1．强化饮用水水源环境风险管控。县级以上城市全部建成应急水源或双源供水。</w:t>
                  </w:r>
                </w:p>
                <w:p w14:paraId="70BBA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7C4ECF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3．强化环境事故应急管理。深化跨部门、跨区域环境应急协调联动，分区域建立环境应急物资储备库。各级工业园区（集聚区）和企业的环境应急装备和储备物资应纳入储备体系。</w:t>
                  </w:r>
                </w:p>
                <w:p w14:paraId="464BF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2812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属于C3589其他医疗设备及器械制造，经分析，本项目落实相关应急措施及不断强化环境风险防控能力建设后，环境风险可接受；项目产生的危险废物委托有资质单位处理，实现零排放。周边不涉及饮用水源地；与环境风险管控要求相符。</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E819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48FE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B2576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资源利用效率要求</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19D3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1．水资源利用总量及效率要求：到2025年，全省用水总量控制在525.9亿立方米以内，万元地区生产总值用水量、万元工业增加值用水量下降完成国家下达目标，农田灌溉水有效利用系数提高到0.625。</w:t>
                  </w:r>
                </w:p>
                <w:p w14:paraId="33377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2．土地资源总量要求：到2025年，江苏省耕地保有量不低于5977万亩，其中永久基本农田保护面积不低于5344万亩。</w:t>
                  </w:r>
                </w:p>
                <w:p w14:paraId="687AA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3．禁燃区要求：在禁燃区内，禁止销售、燃用高污染燃料；禁止新建、扩建燃用高污染燃料的设施，已建成的，应当在城市人民政府规定的期限内改用天然气、页岩气、液化石油气、电或者其他清洁能源。</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D4908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本项目不属于高耗水行业，区域水资源能承载项目建设；项目利用已建厂房进行建设，不新增用地，与资源利用效率管控要求相符；项目不使用高污染燃料。</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9125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3104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8204" w:type="dxa"/>
                  <w:gridSpan w:val="4"/>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52056C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长江流域</w:t>
                  </w:r>
                </w:p>
              </w:tc>
            </w:tr>
            <w:tr w14:paraId="6E038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2340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空间布局约束</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D20939D">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始终把长江生态修复放在首位，坚持共抓大保护、不搞大开发，引导长江流域产业转型升级和布局优化调整，实现科学发展、有序发展、高质量发展。</w:t>
                  </w:r>
                </w:p>
                <w:p w14:paraId="3A8796F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109AE0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3.</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禁止在沿江地区新建或扩建化学工业园区，禁止新建或扩建以大宗进口油气资源为原料的石油加工、石油化工、基础有机无机化工、煤化工项目；禁止在长江干流和主要支流岸线1公里范围内新建危化品码头。</w:t>
                  </w:r>
                </w:p>
                <w:p w14:paraId="6EC50E8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4.</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56CD264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left"/>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5.</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禁止新建独立焦化项目。</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11F1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本项目不在国家确定的生态保护红线和永久基本农田范围内；不涉及化学工业园区、石油加工、石油化工、基础有机无机化工、煤化工项目；不涉及码头及港口；不涉及独立焦化项目。</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BFCD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2D787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7CBB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污染物排放管控</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CAEED5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根据《江苏省长江水污染防治条例》实施污染物总量控制制度。</w:t>
                  </w:r>
                </w:p>
                <w:p w14:paraId="3E050B1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全面加强和规范长江入河排污口管理，有效管控入河污染物排放，形成权责清晰、监控到位、管理规范的长江入河排污口监管体系，加快改善长江水环境质量。</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FD0FB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本项目生活污水</w:t>
                  </w:r>
                  <w:r>
                    <w:rPr>
                      <w:rFonts w:hint="eastAsia" w:cs="Times New Roman"/>
                      <w:b w:val="0"/>
                      <w:bCs w:val="0"/>
                      <w:i w:val="0"/>
                      <w:iCs w:val="0"/>
                      <w:color w:val="000000"/>
                      <w:spacing w:val="0"/>
                      <w:w w:val="100"/>
                      <w:kern w:val="2"/>
                      <w:sz w:val="21"/>
                      <w:szCs w:val="21"/>
                      <w:highlight w:val="none"/>
                      <w:vertAlign w:val="baseline"/>
                      <w:lang w:val="en-US" w:eastAsia="zh-CN" w:bidi="ar-SA"/>
                    </w:rPr>
                    <w:t>接管至</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苏州汾湖水务发展有限公司（黎里工业再生水厂）处理，尾水排放至杜公漾，</w:t>
                  </w:r>
                  <w:r>
                    <w:rPr>
                      <w:rFonts w:hint="eastAsia" w:cs="Times New Roman"/>
                      <w:b w:val="0"/>
                      <w:bCs w:val="0"/>
                      <w:i w:val="0"/>
                      <w:iCs w:val="0"/>
                      <w:color w:val="000000"/>
                      <w:spacing w:val="0"/>
                      <w:w w:val="100"/>
                      <w:kern w:val="2"/>
                      <w:sz w:val="21"/>
                      <w:szCs w:val="21"/>
                      <w:highlight w:val="none"/>
                      <w:vertAlign w:val="baseline"/>
                      <w:lang w:val="en-US" w:eastAsia="zh-CN" w:bidi="ar-SA"/>
                    </w:rPr>
                    <w:t>清洗</w:t>
                  </w: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废水回用，不外排；</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固废零排</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放，不设排污口</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D0C2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179AB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7EEB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环境风险防控</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603CE5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防范沿江环境风险。深化沿江石化、化工、医药、纺织、印染、化纤、危化品和石油类仓储、涉重金属和危险废物处置等重点企业环境风险防控。</w:t>
                  </w:r>
                </w:p>
                <w:p w14:paraId="3F8D242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加强饮用水水源保护。优化水源保护区划定，推动饮用水水源地规范化建设。</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BA89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本项目不在沿江范围</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77CE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242B4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546A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资源利用效率要求</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ED276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EFBB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348F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9ADA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8204" w:type="dxa"/>
                  <w:gridSpan w:val="4"/>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7CFB9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太湖流域</w:t>
                  </w:r>
                </w:p>
              </w:tc>
            </w:tr>
            <w:tr w14:paraId="65636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8263C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空间布局约束</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1258AD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1D8813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在太湖流域一级保护区，禁止新建、扩建向水体排放污染物的建设项目，禁止新建、扩建畜禽养殖场，禁止新建、扩建高尔夫球场、水上游乐园等开发项目以及设置水上餐饮经营设施。</w:t>
                  </w:r>
                </w:p>
                <w:p w14:paraId="2FC1C45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3.</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在太湖流域二级保护区，禁止新建、扩建化工、医药生产项目，禁止新建、扩建污水集中处理设施排污口以外的排污口。</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3BF3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本项目位于太湖流域三级保护区，不涉及禁止新建、改建、扩建化学制浆造纸、制革、酿造、染料、印染、电镀以及其他排放含磷、氮等污染物的内容</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452E5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F00D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EC08D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污染物排放管控</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59F47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城镇污水处理厂、纺织工业、化学工业、造纸工业、钢铁工业、电镀工业和食品工业的污水处理设施执行《太湖地区城镇污水处理厂及重点工业行业主要水污染物排放限值》。</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D90C3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E0DE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759D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2490A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环境风险防控</w:t>
                  </w:r>
                </w:p>
              </w:tc>
              <w:tc>
                <w:tcPr>
                  <w:tcW w:w="483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D09D73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运输剧毒物质、危险化学品的船舶不得进入太湖。</w:t>
                  </w:r>
                </w:p>
                <w:p w14:paraId="35E8084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禁止向太湖流域水体排放或者倾倒油类、酸液、碱液、剧毒废渣废液、含放射性废渣废液、含病原体污水、工业废渣以及其他废弃物。</w:t>
                  </w:r>
                </w:p>
                <w:p w14:paraId="37F156A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3.</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加强太湖流域生态环境风险应急管控，着力提高防控太湖蓝藻水华风险预警和应急处置能力。</w:t>
                  </w:r>
                </w:p>
              </w:tc>
              <w:tc>
                <w:tcPr>
                  <w:tcW w:w="178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0E96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本项目各类危废均得到有效处置，不向湖体排放及倾倒</w:t>
                  </w:r>
                </w:p>
              </w:tc>
              <w:tc>
                <w:tcPr>
                  <w:tcW w:w="935"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78A88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4714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49" w:type="dxa"/>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2DEDE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资源利用效率要求</w:t>
                  </w:r>
                </w:p>
              </w:tc>
              <w:tc>
                <w:tcPr>
                  <w:tcW w:w="4836" w:type="dxa"/>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6931C1A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严格用水定额管理制度，推进取用水规范化管理，科学制定用水定额并动态调整，对超过用水定额标准的企业分类分步先期实施节水改造，鼓励重点用水企业、园区建立智慧用水管理系统。</w:t>
                  </w:r>
                </w:p>
                <w:p w14:paraId="5699E26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推进新孟河、新沟河、望虞河、走马塘等河道联合调度，科学调控太湖水位。</w:t>
                  </w:r>
                </w:p>
              </w:tc>
              <w:tc>
                <w:tcPr>
                  <w:tcW w:w="1784" w:type="dxa"/>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07B78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本项目用水依托区域供水管网</w:t>
                  </w:r>
                </w:p>
              </w:tc>
              <w:tc>
                <w:tcPr>
                  <w:tcW w:w="935" w:type="dxa"/>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676B48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bl>
          <w:p w14:paraId="0E80C42E">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color w:val="000000"/>
                <w:sz w:val="24"/>
                <w:lang w:val="en-US" w:eastAsia="zh-CN"/>
              </w:rPr>
            </w:pPr>
            <w:r>
              <w:rPr>
                <w:rFonts w:hint="eastAsia" w:cs="Times New Roman"/>
                <w:b/>
                <w:color w:val="000000"/>
                <w:sz w:val="24"/>
                <w:lang w:val="en-US" w:eastAsia="zh-CN"/>
              </w:rPr>
              <w:t>4</w:t>
            </w:r>
            <w:r>
              <w:rPr>
                <w:rFonts w:hint="eastAsia" w:ascii="Times New Roman" w:hAnsi="Times New Roman" w:eastAsia="宋体" w:cs="Times New Roman"/>
                <w:b/>
                <w:color w:val="000000"/>
                <w:sz w:val="24"/>
                <w:lang w:val="en-US" w:eastAsia="zh-CN"/>
              </w:rPr>
              <w:t>、</w:t>
            </w:r>
            <w:r>
              <w:rPr>
                <w:rFonts w:hint="default" w:ascii="Times New Roman" w:hAnsi="Times New Roman" w:eastAsia="宋体" w:cs="Times New Roman"/>
                <w:b/>
                <w:color w:val="000000"/>
                <w:sz w:val="24"/>
                <w:lang w:val="en-US" w:eastAsia="zh-CN"/>
              </w:rPr>
              <w:t>与《苏州市2023年度生态环境分区管控动态成果公告》相符性分析</w:t>
            </w:r>
          </w:p>
          <w:p w14:paraId="4A750A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对照苏州市生态环境局于2024年6月26日发布的《苏州市2023年度生态环境分区管控动态更新成果公告》，本项目位于江苏省苏州市吴江区黎里镇黎民北路369号，</w:t>
            </w:r>
            <w:r>
              <w:rPr>
                <w:rFonts w:hint="eastAsia" w:cs="Times New Roman"/>
                <w:b w:val="0"/>
                <w:bCs w:val="0"/>
                <w:i w:val="0"/>
                <w:iCs w:val="0"/>
                <w:color w:val="000000"/>
                <w:spacing w:val="0"/>
                <w:w w:val="100"/>
                <w:kern w:val="2"/>
                <w:sz w:val="24"/>
                <w:szCs w:val="24"/>
                <w:vertAlign w:val="baseline"/>
                <w:lang w:val="en-US" w:eastAsia="zh-CN" w:bidi="ar-SA"/>
              </w:rPr>
              <w:t>属于</w:t>
            </w: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黎里工业区</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，为苏州市重点管控单元，相符性分析见下表：</w:t>
            </w:r>
          </w:p>
          <w:p w14:paraId="569FB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cs="Times New Roman"/>
                <w:b/>
                <w:bCs/>
                <w:i w:val="0"/>
                <w:iCs w:val="0"/>
                <w:color w:val="000000"/>
                <w:spacing w:val="0"/>
                <w:w w:val="100"/>
                <w:kern w:val="2"/>
                <w:sz w:val="21"/>
                <w:szCs w:val="21"/>
                <w:vertAlign w:val="baseline"/>
                <w:lang w:val="en-US" w:eastAsia="zh-CN" w:bidi="ar-SA"/>
              </w:rPr>
              <w:t>6</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与苏州市市域生态环境管控要求相符性分析</w:t>
            </w:r>
          </w:p>
          <w:tbl>
            <w:tblPr>
              <w:tblStyle w:val="20"/>
              <w:tblW w:w="81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645"/>
              <w:gridCol w:w="5022"/>
              <w:gridCol w:w="1615"/>
              <w:gridCol w:w="892"/>
            </w:tblGrid>
            <w:tr w14:paraId="5BE0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395"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9FAA883">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i w:val="0"/>
                      <w:iCs w:val="0"/>
                      <w:color w:val="000000"/>
                      <w:spacing w:val="0"/>
                      <w:w w:val="100"/>
                      <w:sz w:val="21"/>
                      <w:szCs w:val="21"/>
                      <w:highlight w:val="none"/>
                      <w:vertAlign w:val="baseline"/>
                    </w:rPr>
                    <w:t>管控类别</w:t>
                  </w:r>
                </w:p>
              </w:tc>
              <w:tc>
                <w:tcPr>
                  <w:tcW w:w="3070"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793BB3">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i w:val="0"/>
                      <w:iCs w:val="0"/>
                      <w:color w:val="000000"/>
                      <w:spacing w:val="0"/>
                      <w:w w:val="100"/>
                      <w:sz w:val="21"/>
                      <w:szCs w:val="21"/>
                      <w:highlight w:val="none"/>
                      <w:vertAlign w:val="baseline"/>
                    </w:rPr>
                    <w:t>重点管控要求</w:t>
                  </w:r>
                </w:p>
              </w:tc>
              <w:tc>
                <w:tcPr>
                  <w:tcW w:w="987"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3E4C5C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i w:val="0"/>
                      <w:iCs w:val="0"/>
                      <w:color w:val="000000"/>
                      <w:spacing w:val="0"/>
                      <w:w w:val="100"/>
                      <w:sz w:val="21"/>
                      <w:szCs w:val="21"/>
                      <w:highlight w:val="none"/>
                      <w:vertAlign w:val="baseline"/>
                    </w:rPr>
                    <w:t>本项目情况</w:t>
                  </w:r>
                </w:p>
              </w:tc>
              <w:tc>
                <w:tcPr>
                  <w:tcW w:w="545"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5C1967B">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bCs/>
                      <w:i w:val="0"/>
                      <w:iCs w:val="0"/>
                      <w:color w:val="000000"/>
                      <w:spacing w:val="0"/>
                      <w:w w:val="100"/>
                      <w:sz w:val="21"/>
                      <w:szCs w:val="21"/>
                      <w:highlight w:val="none"/>
                      <w:vertAlign w:val="baseline"/>
                    </w:rPr>
                    <w:t>相符性</w:t>
                  </w:r>
                </w:p>
              </w:tc>
            </w:tr>
            <w:tr w14:paraId="3C2A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395"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0D60299">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空间布局约束</w:t>
                  </w:r>
                </w:p>
              </w:tc>
              <w:tc>
                <w:tcPr>
                  <w:tcW w:w="307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A273AB">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1</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按照《自然资源部生态环境部国家林业和草原局关于加强生态保护红线管理的通知（试行）》（自然资发</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2022</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142号）、《省政府关于印发江苏省生态空间管控区域规划的通知》（苏政发</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2020</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1号）、《关于进一步加强生态保护红线监督管理的通知》（苏自然函</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2023</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880号）、《苏州市国土空间总体规划（2021-2035年）》，坚持节约优先、保护优先、自然恢复为主的方针，以改善生态环境质量为核心，以保障和维护生态功能为主线，统筹山水林田湖草</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沙</w:t>
                  </w:r>
                  <w:r>
                    <w:rPr>
                      <w:rFonts w:hint="default" w:ascii="Times New Roman" w:hAnsi="Times New Roman" w:eastAsia="宋体" w:cs="Times New Roman"/>
                      <w:b w:val="0"/>
                      <w:bCs w:val="0"/>
                      <w:i w:val="0"/>
                      <w:iCs w:val="0"/>
                      <w:color w:val="000000"/>
                      <w:spacing w:val="0"/>
                      <w:w w:val="100"/>
                      <w:sz w:val="21"/>
                      <w:szCs w:val="21"/>
                      <w:highlight w:val="none"/>
                      <w:vertAlign w:val="baseline"/>
                    </w:rPr>
                    <w:t>一体化保护和修复，严守生态保护红线，实行最严格的生态空间管控制度，确保全市生态功能不降低、面积不减少、性质不改变，切实维护生态安全。</w:t>
                  </w:r>
                </w:p>
                <w:p w14:paraId="328AB30F">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2</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全市太湖、阳澄湖保护区执行《江苏省太湖水污染防治条例》《苏州市阳澄湖水源水质保护条例》等文件要求。</w:t>
                  </w:r>
                </w:p>
                <w:p w14:paraId="56CDF17C">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3</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严格执行《</w:t>
                  </w:r>
                  <w:r>
                    <w:rPr>
                      <w:rFonts w:hint="eastAsia" w:ascii="Times New Roman" w:hAnsi="Times New Roman"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长江经济带发展负面清单指南（试行，2022年版）</w:t>
                  </w:r>
                  <w:r>
                    <w:rPr>
                      <w:rFonts w:hint="eastAsia" w:ascii="Times New Roman" w:hAnsi="Times New Roman"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江苏省实施细则》（苏长江办发</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2022</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55号）中相关要求。</w:t>
                  </w:r>
                </w:p>
                <w:p w14:paraId="56CCC104">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4</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禁止引进列入《苏州市产业发展导向目录》禁止类、淘汰类的产业。</w:t>
                  </w:r>
                </w:p>
              </w:tc>
              <w:tc>
                <w:tcPr>
                  <w:tcW w:w="98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07D53F5">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本项目位于</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江苏省苏州市吴江区黎里镇黎民</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南路37</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号</w:t>
                  </w:r>
                  <w:r>
                    <w:rPr>
                      <w:rFonts w:hint="default" w:ascii="Times New Roman" w:hAnsi="Times New Roman" w:eastAsia="宋体" w:cs="Times New Roman"/>
                      <w:b w:val="0"/>
                      <w:bCs w:val="0"/>
                      <w:i w:val="0"/>
                      <w:iCs w:val="0"/>
                      <w:color w:val="000000"/>
                      <w:spacing w:val="0"/>
                      <w:w w:val="100"/>
                      <w:sz w:val="21"/>
                      <w:szCs w:val="21"/>
                      <w:highlight w:val="none"/>
                      <w:vertAlign w:val="baseline"/>
                    </w:rPr>
                    <w:t>，属于</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C3589其他医疗设备及器械制造</w:t>
                  </w:r>
                  <w:r>
                    <w:rPr>
                      <w:rFonts w:hint="default" w:ascii="Times New Roman" w:hAnsi="Times New Roman" w:eastAsia="宋体" w:cs="Times New Roman"/>
                      <w:b w:val="0"/>
                      <w:bCs w:val="0"/>
                      <w:i w:val="0"/>
                      <w:iCs w:val="0"/>
                      <w:color w:val="000000"/>
                      <w:spacing w:val="0"/>
                      <w:w w:val="100"/>
                      <w:sz w:val="21"/>
                      <w:szCs w:val="21"/>
                      <w:highlight w:val="none"/>
                      <w:vertAlign w:val="baseline"/>
                    </w:rPr>
                    <w:t>，不属于《苏州市产业发展导向目录》禁止淘汰类的产业</w:t>
                  </w:r>
                </w:p>
              </w:tc>
              <w:tc>
                <w:tcPr>
                  <w:tcW w:w="545"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9DA1CFB">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相符</w:t>
                  </w:r>
                </w:p>
              </w:tc>
            </w:tr>
            <w:tr w14:paraId="45E87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395"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B11622E">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污染物排放管控</w:t>
                  </w:r>
                </w:p>
              </w:tc>
              <w:tc>
                <w:tcPr>
                  <w:tcW w:w="307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13B855">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1</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坚持生态环境质量只能更好、不能变坏，实施污染物总量控制，以环境容量定产业、定项目、定规模，确保开发建设行为不突破生态环境承载力。</w:t>
                  </w:r>
                </w:p>
                <w:p w14:paraId="6DA53264">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2</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2025年苏州市主要污染物排放量达到省定要求。</w:t>
                  </w:r>
                </w:p>
                <w:p w14:paraId="57581E69">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3</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严格新建项目总量前置审批，新建项目实行区域内现役源按相关要求等量或减量替代。</w:t>
                  </w:r>
                </w:p>
              </w:tc>
              <w:tc>
                <w:tcPr>
                  <w:tcW w:w="98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3569DC8">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本项目按相关要求申请总量</w:t>
                  </w:r>
                </w:p>
              </w:tc>
              <w:tc>
                <w:tcPr>
                  <w:tcW w:w="545"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7CD494C">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相符</w:t>
                  </w:r>
                </w:p>
              </w:tc>
            </w:tr>
            <w:tr w14:paraId="1195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395"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BEF55D0">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环境风险防控</w:t>
                  </w:r>
                </w:p>
              </w:tc>
              <w:tc>
                <w:tcPr>
                  <w:tcW w:w="307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1D361E1">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1</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强化饮用水水源环境风险管控。县级以上城市全部建成应急水源或双源供水。</w:t>
                  </w:r>
                </w:p>
                <w:p w14:paraId="283ADA44">
                  <w:pPr>
                    <w:pStyle w:val="19"/>
                    <w:keepNext w:val="0"/>
                    <w:keepLines w:val="0"/>
                    <w:widowControl/>
                    <w:numPr>
                      <w:ilvl w:val="0"/>
                      <w:numId w:val="0"/>
                    </w:numPr>
                    <w:suppressLineNumbers w:val="0"/>
                    <w:spacing w:before="0" w:beforeAutospacing="0" w:after="0" w:afterAutospacing="0"/>
                    <w:ind w:right="0" w:rightChars="0"/>
                    <w:jc w:val="both"/>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eastAsia="宋体" w:cs="Times New Roman"/>
                      <w:b w:val="0"/>
                      <w:bCs w:val="0"/>
                      <w:i w:val="0"/>
                      <w:iCs w:val="0"/>
                      <w:color w:val="000000"/>
                      <w:spacing w:val="0"/>
                      <w:w w:val="100"/>
                      <w:sz w:val="21"/>
                      <w:szCs w:val="21"/>
                      <w:highlight w:val="none"/>
                      <w:vertAlign w:val="baseline"/>
                      <w:lang w:val="en-US" w:eastAsia="zh-CN"/>
                    </w:rPr>
                    <w:t>2</w:t>
                  </w:r>
                  <w:r>
                    <w:rPr>
                      <w:rFonts w:hint="eastAsia" w:ascii="Times New Roman" w:hAnsi="Times New Roman" w:eastAsia="宋体" w:cs="Times New Roman"/>
                      <w:b w:val="0"/>
                      <w:bCs w:val="0"/>
                      <w:i w:val="0"/>
                      <w:iCs w:val="0"/>
                      <w:color w:val="000000"/>
                      <w:spacing w:val="0"/>
                      <w:w w:val="100"/>
                      <w:sz w:val="21"/>
                      <w:szCs w:val="21"/>
                      <w:highlight w:val="none"/>
                      <w:vertAlign w:val="baseline"/>
                      <w:lang w:eastAsia="zh-CN"/>
                    </w:rPr>
                    <w:t>）</w:t>
                  </w:r>
                  <w:r>
                    <w:rPr>
                      <w:rFonts w:hint="default" w:ascii="Times New Roman" w:hAnsi="Times New Roman" w:eastAsia="宋体" w:cs="Times New Roman"/>
                      <w:b w:val="0"/>
                      <w:bCs w:val="0"/>
                      <w:i w:val="0"/>
                      <w:iCs w:val="0"/>
                      <w:color w:val="000000"/>
                      <w:spacing w:val="0"/>
                      <w:w w:val="100"/>
                      <w:sz w:val="21"/>
                      <w:szCs w:val="21"/>
                      <w:highlight w:val="none"/>
                      <w:vertAlign w:val="baseline"/>
                    </w:rPr>
                    <w:t>落实《苏州市突发环境事件应急预案》。完善市、县级市（区）两级突发环境事件应急响应体系，定期组织演练，提高应急处置能力。</w:t>
                  </w:r>
                </w:p>
              </w:tc>
              <w:tc>
                <w:tcPr>
                  <w:tcW w:w="98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905A47A">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企业定期组织演练，提高应急处置能力</w:t>
                  </w:r>
                </w:p>
              </w:tc>
              <w:tc>
                <w:tcPr>
                  <w:tcW w:w="545"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BF9E5E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相符</w:t>
                  </w:r>
                </w:p>
              </w:tc>
            </w:tr>
            <w:tr w14:paraId="4B8FF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395"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02182AAC">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资源利用效率要求</w:t>
                  </w:r>
                </w:p>
              </w:tc>
              <w:tc>
                <w:tcPr>
                  <w:tcW w:w="3070"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75826E68">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（1）2025年苏州市用水总量不得超过103亿立方米。</w:t>
                  </w:r>
                </w:p>
                <w:p w14:paraId="2DAC3079">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（2）2025年，苏州市耕地保有量完成国家下达任务。</w:t>
                  </w:r>
                </w:p>
                <w:p w14:paraId="61C66FD9">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（3）禁燃区禁止新建、扩建燃用高污染燃料的项目和设施，已建成的应逐步或依法限期改用天然气、电或者其他清洁能源。</w:t>
                  </w:r>
                </w:p>
              </w:tc>
              <w:tc>
                <w:tcPr>
                  <w:tcW w:w="987"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1C0B07AD">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本项目用水量较小，不会对苏州市用水总量产生明显影响；本项目使用电能生产，不使用高污染燃料。</w:t>
                  </w:r>
                </w:p>
              </w:tc>
              <w:tc>
                <w:tcPr>
                  <w:tcW w:w="545"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20B96C4D">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highlight w:val="none"/>
                      <w:vertAlign w:val="baseline"/>
                    </w:rPr>
                    <w:t>相符</w:t>
                  </w:r>
                </w:p>
              </w:tc>
            </w:tr>
          </w:tbl>
          <w:p w14:paraId="2532B2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cs="Times New Roman"/>
                <w:b/>
                <w:bCs/>
                <w:i w:val="0"/>
                <w:iCs w:val="0"/>
                <w:color w:val="000000"/>
                <w:spacing w:val="0"/>
                <w:w w:val="100"/>
                <w:kern w:val="2"/>
                <w:sz w:val="21"/>
                <w:szCs w:val="21"/>
                <w:vertAlign w:val="baseline"/>
                <w:lang w:val="en-US" w:eastAsia="zh-CN" w:bidi="ar-SA"/>
              </w:rPr>
              <w:t>7</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与苏州市重点管控单元生态环境准入清单相符性分析</w:t>
            </w:r>
          </w:p>
          <w:tbl>
            <w:tblPr>
              <w:tblStyle w:val="20"/>
              <w:tblW w:w="81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4863"/>
              <w:gridCol w:w="2462"/>
              <w:gridCol w:w="870"/>
            </w:tblGrid>
            <w:tr w14:paraId="1D673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00" w:type="pct"/>
                  <w:gridSpan w:val="3"/>
                  <w:tcBorders>
                    <w:top w:val="single" w:color="auto" w:sz="12"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40DD68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环境管控单元编码：ZH32050920269</w:t>
                  </w:r>
                </w:p>
                <w:p w14:paraId="40187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管控单元名称：黎里工业区</w:t>
                  </w:r>
                </w:p>
                <w:p w14:paraId="193E4D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管控单元分类：重点管控单元</w:t>
                  </w:r>
                </w:p>
                <w:p w14:paraId="00664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市：苏州市</w:t>
                  </w:r>
                </w:p>
                <w:p w14:paraId="7335F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yellow"/>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流域：长江流域、太湖流域</w:t>
                  </w:r>
                </w:p>
              </w:tc>
            </w:tr>
            <w:tr w14:paraId="240A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2967"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0223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管控要求</w:t>
                  </w:r>
                </w:p>
              </w:tc>
              <w:tc>
                <w:tcPr>
                  <w:tcW w:w="150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E6F1E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本项目情况</w:t>
                  </w:r>
                </w:p>
              </w:tc>
              <w:tc>
                <w:tcPr>
                  <w:tcW w:w="53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5931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相符性</w:t>
                  </w:r>
                </w:p>
              </w:tc>
            </w:tr>
            <w:tr w14:paraId="5CE4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00" w:type="pct"/>
                  <w:gridSpan w:val="3"/>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7999A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空间布局约束</w:t>
                  </w:r>
                </w:p>
              </w:tc>
            </w:tr>
            <w:tr w14:paraId="0F82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2967"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95BD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积极发展引领性绿色低碳经济、功能型总部经济、特色型服务经济、融合型数字经济、前沿型创新经济、生态型湖区经济，大力培育符合生态绿色导向的专精特新企业和战略性新兴产业，布局绿能环保、科技研发、总部办公、文旅会展和信息数创等重大产业项目。</w:t>
                  </w:r>
                </w:p>
                <w:p w14:paraId="68989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（2）积极引入绿色低碳领域技术咨询机构，支持绿色研发设计、节能环保认证、低碳规划咨询、环境检测管理等生产性服务业发展，共建区域绿色低碳技术咨询服务行业高地。</w:t>
                  </w:r>
                </w:p>
                <w:p w14:paraId="0B413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（3）先行启动区着力构</w:t>
                  </w:r>
                  <w:r>
                    <w:rPr>
                      <w:rFonts w:hint="eastAsia" w:ascii="宋体" w:hAnsi="宋体" w:eastAsia="宋体" w:cs="宋体"/>
                      <w:b w:val="0"/>
                      <w:bCs w:val="0"/>
                      <w:i w:val="0"/>
                      <w:iCs w:val="0"/>
                      <w:color w:val="000000"/>
                      <w:spacing w:val="0"/>
                      <w:w w:val="100"/>
                      <w:kern w:val="2"/>
                      <w:sz w:val="21"/>
                      <w:szCs w:val="21"/>
                      <w:highlight w:val="none"/>
                      <w:vertAlign w:val="baseline"/>
                      <w:lang w:val="en-US" w:eastAsia="zh-CN" w:bidi="ar-SA"/>
                    </w:rPr>
                    <w:t>建“十字走廊引领、空间复合渗透、人文创新融合、立体网络支撑”</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的功能布局，重点协调景观游憩、调节小气候、栖息地营造等多重生态功能，营造绿色、创新、人文融合发展空间。</w:t>
                  </w:r>
                </w:p>
                <w:p w14:paraId="59B57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（4）先行启动区依</w:t>
                  </w:r>
                  <w:r>
                    <w:rPr>
                      <w:rFonts w:hint="eastAsia" w:ascii="宋体" w:hAnsi="宋体" w:eastAsia="宋体" w:cs="宋体"/>
                      <w:b w:val="0"/>
                      <w:bCs w:val="0"/>
                      <w:i w:val="0"/>
                      <w:iCs w:val="0"/>
                      <w:color w:val="000000"/>
                      <w:spacing w:val="0"/>
                      <w:w w:val="100"/>
                      <w:kern w:val="2"/>
                      <w:sz w:val="21"/>
                      <w:szCs w:val="21"/>
                      <w:highlight w:val="none"/>
                      <w:vertAlign w:val="baseline"/>
                      <w:lang w:val="en-US" w:eastAsia="zh-CN" w:bidi="ar-SA"/>
                    </w:rPr>
                    <w:t>托“一厅三片”</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等功能区块，因地制宜布局科创研发基地、数字经济产业园、特色金融集聚区、文化创意综合体、滨湖休闲活力带和水乡颐养地等特色产业板块，共同打造世界级绿色创新活力湖区。</w:t>
                  </w:r>
                </w:p>
                <w:p w14:paraId="56AC2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（5）吴江区突出发展电子信息、光电通讯、智能装备、高端纺织四</w:t>
                  </w:r>
                  <w:r>
                    <w:rPr>
                      <w:rFonts w:hint="eastAsia" w:ascii="宋体" w:hAnsi="宋体" w:eastAsia="宋体" w:cs="宋体"/>
                      <w:b w:val="0"/>
                      <w:bCs w:val="0"/>
                      <w:i w:val="0"/>
                      <w:iCs w:val="0"/>
                      <w:color w:val="000000"/>
                      <w:spacing w:val="0"/>
                      <w:w w:val="100"/>
                      <w:kern w:val="2"/>
                      <w:sz w:val="21"/>
                      <w:szCs w:val="21"/>
                      <w:highlight w:val="none"/>
                      <w:vertAlign w:val="baseline"/>
                      <w:lang w:val="en-US" w:eastAsia="zh-CN" w:bidi="ar-SA"/>
                    </w:rPr>
                    <w:t>大“强”制</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造集群；加快发展人工智能、生命健康、新材料、绿色环保</w:t>
                  </w:r>
                  <w:r>
                    <w:rPr>
                      <w:rFonts w:hint="eastAsia" w:ascii="宋体" w:hAnsi="宋体" w:eastAsia="宋体" w:cs="宋体"/>
                      <w:b w:val="0"/>
                      <w:bCs w:val="0"/>
                      <w:i w:val="0"/>
                      <w:iCs w:val="0"/>
                      <w:color w:val="000000"/>
                      <w:spacing w:val="0"/>
                      <w:w w:val="100"/>
                      <w:kern w:val="2"/>
                      <w:sz w:val="21"/>
                      <w:szCs w:val="21"/>
                      <w:highlight w:val="none"/>
                      <w:vertAlign w:val="baseline"/>
                      <w:lang w:val="en-US" w:eastAsia="zh-CN" w:bidi="ar-SA"/>
                    </w:rPr>
                    <w:t>四大“新”制造</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集群；聚焦培育现代商贸服务、高端商务服务、数字</w:t>
                  </w:r>
                  <w:r>
                    <w:rPr>
                      <w:rFonts w:hint="eastAsia" w:ascii="宋体" w:hAnsi="宋体" w:eastAsia="宋体" w:cs="宋体"/>
                      <w:b w:val="0"/>
                      <w:bCs w:val="0"/>
                      <w:i w:val="0"/>
                      <w:iCs w:val="0"/>
                      <w:color w:val="000000"/>
                      <w:spacing w:val="0"/>
                      <w:w w:val="100"/>
                      <w:kern w:val="2"/>
                      <w:sz w:val="21"/>
                      <w:szCs w:val="21"/>
                      <w:highlight w:val="none"/>
                      <w:vertAlign w:val="baseline"/>
                      <w:lang w:val="en-US" w:eastAsia="zh-CN" w:bidi="ar-SA"/>
                    </w:rPr>
                    <w:t>赋能服务、科技创新服务、文创旅游服务五大“特”色</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服务经济。</w:t>
                  </w:r>
                </w:p>
                <w:p w14:paraId="69B85B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（6）落实《长三角生态绿色一体化发展示范区产业结构调整指导目录》《长三角一体化示范区先行启动区产业项目准入标准（试行）》，加快产业结构优化调整，引导产业园区优化布局。</w:t>
                  </w:r>
                </w:p>
                <w:p w14:paraId="0055E1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（7）以高标准生态环境准入推动传统产业转型升级，大力提升传统特色产业能级，降低单位能耗和排污强度，促进减污降碳协同增效。</w:t>
                  </w:r>
                </w:p>
                <w:p w14:paraId="723453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（8）依法依规推动传统高耗能、高排放行业的产能淘汰、转型升级和域外搬迁，支撑和推动示范区产业减污降碳。</w:t>
                  </w:r>
                </w:p>
                <w:p w14:paraId="14563F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（9）城镇生活类重点管控单元发展高端生产性服务业和高附加值都市型工业，重点深化生活、交通领域污染减排。</w:t>
                  </w:r>
                </w:p>
                <w:p w14:paraId="4AD7F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（10）一般管控单元以促进生活、生态、生产功能的融合为导向，重点加强农业、生活等领域污染治理，加强永久基本农田保护，严格限制非农项目占用耕地，促进城乡空间的弹性有机生长。</w:t>
                  </w:r>
                </w:p>
                <w:p w14:paraId="7EC859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（11）优先保护单元生态保护红线应确保功能不降低、面积不减少、性质不改变，一般生态空间以生态保护为重点，原则上不得开展有损主导生态功能的开发建设活动。</w:t>
                  </w:r>
                </w:p>
                <w:p w14:paraId="6F9AE1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（12）严格执行相关法律法规，禁止开展和建设损害生态保护红线主导生态功能、法律法规禁止的活动和项目。结构性生态空间内禁止对主导生态功能产生影响的开发建设活动。</w:t>
                  </w:r>
                </w:p>
                <w:p w14:paraId="0EAD83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13）长江流域重点水域自2021年1月1日起实行为期10年的常年禁捕，国家、省级水生生物保护区实行常年禁捕，禁捕期内全面禁止生产性捕捞和垂钓。禁止在水产种质资源保护区的岸线和河段范围内新建围湖造田等投资建设项目。淀山湖生物多样性维护区、大莲湖生物多样性维护区、嘉善县生物多样性维护区内，禁止违法猎捕野生动物、破坏野生动物栖息地和生存环境，禁止开展破坏其生态功能的活动。</w:t>
                  </w:r>
                </w:p>
                <w:p w14:paraId="03D3A7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14）禁止在自然保护区核心区、缓冲区的岸线和河段范围内投资建设旅游和生产经营项目。禁止在风景名胜区核心景区的岸线和河段范围内投资建设与风景名胜资源保护无关的项目。禁止在太湖（吴江区）重要湿地、吴江同里国家湿地公园（试点）、吴江震泽省级湿地公园的岸线和河段范围内挖沙、采矿，以及不符合主体功能定位的投资建设项目。林地、河流等生态空间严格执行相关法律法规或管理办法，禁止建设或开展法律法规规定不能建设或开展的项目或活动。</w:t>
                  </w:r>
                </w:p>
                <w:p w14:paraId="7EA08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15）禁止在饮用水水源一级保护区新建、改建、扩建与供水设施和保护水源无关的项目，以及网箱养殖、畜禽养殖、旅游等可能污染饮用水水体的投资建设活动。禁止在饮用水水源二级保护区范围内新建、改建、扩建排放污染物的建设项目。禁止在饮用水水源准保护区内新建、扩建污染水体的建设项目；改建项目不得增加排污量。对确实无法避让、涉及生态保护红线和相关法定保护区的线性交通设施、水利设施项目以及保障城市安全的工程项目，应采取无害化穿（跨）越方式，并依法依规取得相关主管部门的同意。</w:t>
                  </w:r>
                </w:p>
                <w:p w14:paraId="47740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16）禁止违法利用、占用长江流域河湖岸线。禁止在《全国重要江河湖泊水功能区划》划定的河段及湖泊保护区、保留区内投资建设不利于水资源及自然生态保护的项目。禁止未经法定许可占用水域和建设影响河道自然形态和水生态（环境）功能的项目。</w:t>
                  </w:r>
                </w:p>
                <w:p w14:paraId="1D55B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17）禁止未经同意在长江流域江河、湖泊新设、改设或扩大排污口。禁止在长江干支流、重要湖泊岸线一公里范围内新建、扩建化工园区和化工项目，现有化工企业依法逐步淘汰搬迁。禁止在长江干流岸线三公里范围内和重要支流岸线1公里范围内新建、改建、扩建尾矿库、冶炼渣库和磷石膏库，以提升安全、生态环境保护水平为目的的改建除外。</w:t>
                  </w:r>
                </w:p>
                <w:p w14:paraId="179090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18）除战略新兴产业项目外，太湖流域原则上不再审批其他生产性新增氮磷污染物的工业类建设项目。太湖沿岸5公里范围内，禁止新建、扩建向水体排放污染物的建设项目，禁止新建、扩建畜禽养殖场，禁止新建、扩建高尔夫球场和设置水上餐饮经营设施。</w:t>
                  </w:r>
                </w:p>
                <w:p w14:paraId="03C799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（19）禁止建设不符合全国和省级港口布局规划以及港口总体规划的码头项目。禁止新建、扩建不符合国家石化、现代煤化工等产业布局规划的项目。</w:t>
                  </w:r>
                </w:p>
                <w:p w14:paraId="2BF6A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（20）禁止新增化工园区。禁止在合规园区外新建、扩建钢铁、石化、化工、焦化、建材、有色、制浆造纸等高污染项目。高污染项目清单参照生态环境部《环境保护综合名录》执行。</w:t>
                  </w:r>
                </w:p>
                <w:p w14:paraId="6DC89A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21）禁止新建、扩建法律法规和相关政策明令禁止的落后产能项目。禁止新建、扩建不符合国家产能置换要求的严重过剩产能行业的项目。禁止新建、扩建不符合要求的高耗能高排放项目。严格禁止煤炭、重汕、渣汕、石油焦等高污染燃料的使用（除电站锅炉、钢铁冶炼窑炉以外）。禁止建设企业自备燃煤设施。禁止新建、扩建燃用高污染燃料的设施（除热电行业以外）。</w:t>
                  </w:r>
                </w:p>
              </w:tc>
              <w:tc>
                <w:tcPr>
                  <w:tcW w:w="150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D5D7C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本项目属于</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C3589其他医疗设备及器械制造</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符合《长三角生态绿色一体化发展示范区产业结构调整指导目录》《长三角一体化示范区先行启动区产业项目准入标准（试行）》要求；本项目不属于传统高耗能、高排放行业；不在生态保护红线范围内，不属于损害生态保护红线主导生态功能，法律法规禁止的活动和项目；本项目不在自然保护区核心区、缓冲区的岸线和河段范围内，不在风景名胜区核心景区的岸线和河段范围内，不在太湖（吴江区）重要湿地、吴江同里国家湿地公园（试点）、吴江震泽省级湿地公园的岸线和河段范围内，不在林地、河流等生态空间范围内；本项目不在饮用水水源一级保护区范围内，不在饮用水水源二级保护区范围内，不在饮用水水源准保护区内；</w:t>
                  </w:r>
                </w:p>
                <w:p w14:paraId="1694B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本项目不涉及长江流域河湖岸线；</w:t>
                  </w:r>
                </w:p>
                <w:p w14:paraId="18B23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本项目不在《全国重要江河湖泊水功能区划》划定的河段及湖泊保护区、保留区内；</w:t>
                  </w:r>
                </w:p>
                <w:p w14:paraId="1C7195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w:t>
                  </w: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生活污水</w:t>
                  </w:r>
                  <w:r>
                    <w:rPr>
                      <w:rFonts w:hint="eastAsia" w:cs="Times New Roman"/>
                      <w:b w:val="0"/>
                      <w:bCs w:val="0"/>
                      <w:i w:val="0"/>
                      <w:iCs w:val="0"/>
                      <w:color w:val="000000"/>
                      <w:spacing w:val="0"/>
                      <w:w w:val="100"/>
                      <w:kern w:val="2"/>
                      <w:sz w:val="21"/>
                      <w:szCs w:val="21"/>
                      <w:highlight w:val="none"/>
                      <w:vertAlign w:val="baseline"/>
                      <w:lang w:val="en-US" w:eastAsia="zh-CN" w:bidi="ar-SA"/>
                    </w:rPr>
                    <w:t>接管至</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苏州汾湖水务发展有限公司（黎里工业再生水厂）处理，尾水排放至杜公漾，</w:t>
                  </w:r>
                  <w:r>
                    <w:rPr>
                      <w:rFonts w:hint="eastAsia" w:cs="Times New Roman"/>
                      <w:b w:val="0"/>
                      <w:bCs w:val="0"/>
                      <w:i w:val="0"/>
                      <w:iCs w:val="0"/>
                      <w:color w:val="000000"/>
                      <w:spacing w:val="0"/>
                      <w:w w:val="100"/>
                      <w:kern w:val="2"/>
                      <w:sz w:val="21"/>
                      <w:szCs w:val="21"/>
                      <w:highlight w:val="none"/>
                      <w:vertAlign w:val="baseline"/>
                      <w:lang w:val="en-US" w:eastAsia="zh-CN" w:bidi="ar-SA"/>
                    </w:rPr>
                    <w:t>清洗</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废水回用，不外排，不新增废水排污口，本项目不属于化工项目，不属于尾矿库、冶炼渣库和磷石膏库；</w:t>
                  </w:r>
                </w:p>
                <w:p w14:paraId="670446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不新增氮磷污染物排放，不向水体排放污染物，不属于畜禽养殖场、高尔夫球场和水上餐饮经营设施；不属于码头项目，不属于石化、现代煤化工项目，不涉及化工园区，不属于钢铁、石化、化工、焦化、建材、有色、制浆造纸等高污染项目；不属于法律法规和相关政策明令禁止的落后产能项目，不属于严重过剩产能行业的项目，不属于高耗能高排放项目，不涉及煤炭、重汕、渣汕、石油焦等高污染燃料的使用，不涉及燃煤设施，不涉及燃用高污染燃料的设施。</w:t>
                  </w:r>
                </w:p>
              </w:tc>
              <w:tc>
                <w:tcPr>
                  <w:tcW w:w="53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753087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相符</w:t>
                  </w:r>
                </w:p>
              </w:tc>
            </w:tr>
            <w:tr w14:paraId="73828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00" w:type="pct"/>
                  <w:gridSpan w:val="3"/>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5A49AD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污染物排放管控</w:t>
                  </w:r>
                </w:p>
              </w:tc>
            </w:tr>
            <w:tr w14:paraId="2A3CB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2967"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3DFB05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（1）在先行启动区内新进产业项目污染物排放执行已发布的国家、沪苏浙行业及特定区域最严格的排放标准。相关要求适时扩大到一体化示范区全域。</w:t>
                  </w:r>
                </w:p>
                <w:p w14:paraId="3ABD814E">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（2）各产业集聚类重点管控单元根据产业集聚区块的功能定位，实施差异化的产业准入条件，严格实施污染物总量控制和环境风险防范制度，推进集聚区生态化改造，提高资源能源利用效率。</w:t>
                  </w:r>
                </w:p>
              </w:tc>
              <w:tc>
                <w:tcPr>
                  <w:tcW w:w="150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3A4C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本项目废气排放总量在苏州市范围内取得污染物排放总量指标，不会降低区域环境空气质量；项目生活污水</w:t>
                  </w:r>
                  <w:r>
                    <w:rPr>
                      <w:rFonts w:hint="eastAsia" w:cs="Times New Roman"/>
                      <w:b w:val="0"/>
                      <w:bCs w:val="0"/>
                      <w:i w:val="0"/>
                      <w:iCs w:val="0"/>
                      <w:color w:val="000000"/>
                      <w:spacing w:val="0"/>
                      <w:w w:val="100"/>
                      <w:kern w:val="2"/>
                      <w:sz w:val="21"/>
                      <w:szCs w:val="21"/>
                      <w:highlight w:val="none"/>
                      <w:vertAlign w:val="baseline"/>
                      <w:lang w:val="en-US" w:eastAsia="zh-CN" w:bidi="ar-SA"/>
                    </w:rPr>
                    <w:t>接管至</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苏州汾湖水务发展有限公司（黎里工业再生水厂）处理，尾水排放至杜公漾，清洗废水回用，不外排，不增加区域废水污染物排放总量；固体废物实现零排放，不需申请总量；符合文件要求</w:t>
                  </w:r>
                </w:p>
              </w:tc>
              <w:tc>
                <w:tcPr>
                  <w:tcW w:w="53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787C9A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相符</w:t>
                  </w:r>
                </w:p>
              </w:tc>
            </w:tr>
            <w:tr w14:paraId="43E9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00" w:type="pct"/>
                  <w:gridSpan w:val="3"/>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0BE4B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环境风险防控</w:t>
                  </w:r>
                </w:p>
              </w:tc>
            </w:tr>
            <w:tr w14:paraId="0D942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2967"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328E0C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在先行启动区内新进产业项目污染物排放执行已发布的国家、沪苏浙行业及特定区域最严格的排放标准。相关要求适时扩大到一体化示范区全域。</w:t>
                  </w:r>
                </w:p>
                <w:p w14:paraId="7A111EC6">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（2）各产业集聚类重点管控单元根据产业集聚区块的功能定位，实施差异化的产业准入条件，严格实施污染物总量控制和环境风险防范制度，推进集聚区生态化改造，提高资源能源利用效率。</w:t>
                  </w:r>
                </w:p>
              </w:tc>
              <w:tc>
                <w:tcPr>
                  <w:tcW w:w="1502"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2BF0B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项目属于</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C3589其他医疗设备及器械制造</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经分析，本项目环境风险潜势为Ⅰ，落实相关应急措施及不断强化环境风险防控能力建设后，环境风险可接受；项目产生的危险废物委托有资质单位处理，实现零排放。周边无临近的集中居住区；与环境风险管控要求相符。</w:t>
                  </w:r>
                </w:p>
              </w:tc>
              <w:tc>
                <w:tcPr>
                  <w:tcW w:w="53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B42B7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相符</w:t>
                  </w:r>
                </w:p>
              </w:tc>
            </w:tr>
            <w:tr w14:paraId="583A5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00" w:type="pct"/>
                  <w:gridSpan w:val="3"/>
                  <w:tcBorders>
                    <w:top w:val="single" w:color="auto" w:sz="4" w:space="0"/>
                    <w:left w:val="single" w:color="CBCDD1" w:sz="4" w:space="0"/>
                    <w:bottom w:val="single" w:color="auto" w:sz="4" w:space="0"/>
                    <w:right w:val="single" w:color="CBCDD1" w:sz="4" w:space="0"/>
                  </w:tcBorders>
                  <w:noWrap w:val="0"/>
                  <w:tcMar>
                    <w:top w:w="0" w:type="dxa"/>
                    <w:left w:w="108" w:type="dxa"/>
                    <w:bottom w:w="0" w:type="dxa"/>
                    <w:right w:w="108" w:type="dxa"/>
                  </w:tcMar>
                  <w:vAlign w:val="center"/>
                </w:tcPr>
                <w:p w14:paraId="3C7EB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资源利用效率要求</w:t>
                  </w:r>
                </w:p>
              </w:tc>
            </w:tr>
            <w:tr w14:paraId="2E6F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2967"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3EDCB27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（1）苏州市吴江区围绕“创新湖区"“乐居之城”发展定位，以绿色低碳循环为导向，强化高耗能、高排放建设项目生态环境源头防控，推动生态资源利用更加高效、绿色、安全。</w:t>
                  </w:r>
                </w:p>
                <w:p w14:paraId="41B8295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ind w:right="0" w:rightChars="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（2）在地下水禁止开采区内禁止取用地下水，但不包括《地下水管理条例》第三十五条所列三种情形。在地下水限制开采区内禁止新增取用地下水，并逐步削减地下水取水量。</w:t>
                  </w:r>
                </w:p>
              </w:tc>
              <w:tc>
                <w:tcPr>
                  <w:tcW w:w="1502"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7F8025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本项目不属于高耗能、高排放建设项目，不涉及地下水的取用。</w:t>
                  </w:r>
                </w:p>
              </w:tc>
              <w:tc>
                <w:tcPr>
                  <w:tcW w:w="530"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6F5366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相符</w:t>
                  </w:r>
                </w:p>
              </w:tc>
            </w:tr>
          </w:tbl>
          <w:p w14:paraId="12616169">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Times New Roman" w:hAnsi="Times New Roman" w:eastAsia="宋体" w:cs="Times New Roman"/>
                <w:b/>
                <w:color w:val="000000"/>
                <w:sz w:val="24"/>
                <w:lang w:val="en-US" w:eastAsia="zh-CN"/>
              </w:rPr>
            </w:pPr>
            <w:r>
              <w:rPr>
                <w:rFonts w:hint="eastAsia"/>
                <w:b/>
                <w:bCs/>
                <w:color w:val="auto"/>
                <w:sz w:val="24"/>
                <w:lang w:val="en-US" w:eastAsia="zh-CN"/>
              </w:rPr>
              <w:t>5、</w:t>
            </w:r>
            <w:r>
              <w:rPr>
                <w:rFonts w:hint="eastAsia" w:ascii="Times New Roman" w:hAnsi="Times New Roman" w:eastAsia="宋体" w:cs="Times New Roman"/>
                <w:b/>
                <w:color w:val="000000"/>
                <w:sz w:val="24"/>
                <w:lang w:val="en-US" w:eastAsia="zh-CN"/>
              </w:rPr>
              <w:t>与《太湖流域管理条例》相符性分析</w:t>
            </w:r>
          </w:p>
          <w:p w14:paraId="4D6CE4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根据《太湖流域管理条例》（已经2011年8月24日国务院169次常务会议通过，现予公布，自2011年11月1日起施行），符合性分析如下：</w:t>
            </w:r>
          </w:p>
          <w:p w14:paraId="3624E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ascii="Times New Roman" w:hAnsi="Times New Roman" w:eastAsia="宋体" w:cs="Times New Roman"/>
                <w:b/>
                <w:bCs/>
                <w:i w:val="0"/>
                <w:iCs w:val="0"/>
                <w:color w:val="000000"/>
                <w:spacing w:val="0"/>
                <w:w w:val="100"/>
                <w:kern w:val="2"/>
                <w:sz w:val="21"/>
                <w:szCs w:val="21"/>
                <w:vertAlign w:val="baseline"/>
                <w:lang w:val="en-US" w:eastAsia="zh-CN" w:bidi="ar-SA"/>
              </w:rPr>
              <w:t>8</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与《太湖流域管理条例》相符性分析</w:t>
            </w:r>
          </w:p>
          <w:tbl>
            <w:tblPr>
              <w:tblStyle w:val="20"/>
              <w:tblW w:w="82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084"/>
              <w:gridCol w:w="4252"/>
              <w:gridCol w:w="1978"/>
              <w:gridCol w:w="891"/>
            </w:tblGrid>
            <w:tr w14:paraId="4F9CF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1084" w:type="dxa"/>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E68A2C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文件名称</w:t>
                  </w:r>
                </w:p>
              </w:tc>
              <w:tc>
                <w:tcPr>
                  <w:tcW w:w="4252" w:type="dxa"/>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747497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禁止行为</w:t>
                  </w:r>
                </w:p>
              </w:tc>
              <w:tc>
                <w:tcPr>
                  <w:tcW w:w="1978" w:type="dxa"/>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6EE2D8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本项目情况</w:t>
                  </w:r>
                </w:p>
              </w:tc>
              <w:tc>
                <w:tcPr>
                  <w:tcW w:w="891" w:type="dxa"/>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387FDD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相符性分析</w:t>
                  </w:r>
                </w:p>
              </w:tc>
            </w:tr>
            <w:tr w14:paraId="7AA2F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1084" w:type="dxa"/>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E82841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《太湖流域管理条例》</w:t>
                  </w:r>
                </w:p>
              </w:tc>
              <w:tc>
                <w:tcPr>
                  <w:tcW w:w="425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B8E414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第八条 禁止在太湖流域饮用水水源保护区内设置排污口、有毒有害物品仓库以及垃圾场；已经设置的，当地县级人民政府应当责令拆除或者关闭。</w:t>
                  </w:r>
                </w:p>
              </w:tc>
              <w:tc>
                <w:tcPr>
                  <w:tcW w:w="197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024802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本项目不涉及</w:t>
                  </w:r>
                </w:p>
              </w:tc>
              <w:tc>
                <w:tcPr>
                  <w:tcW w:w="891"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54E319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65BDF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4" w:hRule="atLeast"/>
                <w:jc w:val="center"/>
              </w:trPr>
              <w:tc>
                <w:tcPr>
                  <w:tcW w:w="1084" w:type="dxa"/>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2401B6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p>
              </w:tc>
              <w:tc>
                <w:tcPr>
                  <w:tcW w:w="425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3022B4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第二十八条 禁止在太湖流域设置不符合国家产业政策和水环境综合治理要求的造纸、制革、酒精、淀粉、冶金、酿造、印染、电镀等排放水污染物的生产项目，现有的生产项目不能实现达标排放的，应当依法关闭。</w:t>
                  </w:r>
                </w:p>
              </w:tc>
              <w:tc>
                <w:tcPr>
                  <w:tcW w:w="197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F597F4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本项目属于</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C3589其他医疗设备及器械制造</w:t>
                  </w:r>
                  <w:r>
                    <w:rPr>
                      <w:rFonts w:hint="default" w:ascii="Times New Roman" w:hAnsi="Times New Roman" w:eastAsia="宋体" w:cs="Times New Roman"/>
                      <w:b w:val="0"/>
                      <w:bCs w:val="0"/>
                      <w:i w:val="0"/>
                      <w:iCs w:val="0"/>
                      <w:color w:val="000000"/>
                      <w:spacing w:val="0"/>
                      <w:w w:val="100"/>
                      <w:sz w:val="21"/>
                      <w:szCs w:val="21"/>
                      <w:vertAlign w:val="baseline"/>
                    </w:rPr>
                    <w:t>，不属于禁止排放水污染物的生产项目</w:t>
                  </w:r>
                </w:p>
              </w:tc>
              <w:tc>
                <w:tcPr>
                  <w:tcW w:w="891"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9C106C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4C8CE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1084" w:type="dxa"/>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4CFE39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p>
              </w:tc>
              <w:tc>
                <w:tcPr>
                  <w:tcW w:w="4252"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9A26FE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第二十九条 新孟河、望虞河以外的其他主要入太湖河道，自河口1万米上溯至5万米河道岸线内及其岸线两侧各1000米范围内，禁止下列行为：</w:t>
                  </w:r>
                </w:p>
                <w:p w14:paraId="6DC6467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（一）新建、扩建化工、医药生产项目；</w:t>
                  </w:r>
                </w:p>
                <w:p w14:paraId="59ABE31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（二）新建、扩建污水集中处理设施排污口</w:t>
                  </w:r>
                </w:p>
                <w:p w14:paraId="406F6A6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以外的排污口；</w:t>
                  </w:r>
                </w:p>
                <w:p w14:paraId="2CF8C4DB">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（三）扩大水产养殖规模。</w:t>
                  </w:r>
                </w:p>
              </w:tc>
              <w:tc>
                <w:tcPr>
                  <w:tcW w:w="197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7BB6D2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本项目距离</w:t>
                  </w:r>
                  <w:r>
                    <w:rPr>
                      <w:rFonts w:hint="default" w:ascii="Times New Roman" w:hAnsi="Times New Roman" w:eastAsia="宋体" w:cs="Times New Roman"/>
                      <w:b w:val="0"/>
                      <w:bCs w:val="0"/>
                      <w:i w:val="0"/>
                      <w:iCs w:val="0"/>
                      <w:color w:val="000000"/>
                      <w:spacing w:val="0"/>
                      <w:w w:val="100"/>
                      <w:sz w:val="21"/>
                      <w:szCs w:val="21"/>
                      <w:highlight w:val="none"/>
                      <w:vertAlign w:val="baseline"/>
                    </w:rPr>
                    <w:t>太湖湖体</w:t>
                  </w:r>
                  <w:r>
                    <w:rPr>
                      <w:rFonts w:hint="default" w:ascii="Times New Roman" w:hAnsi="Times New Roman" w:eastAsia="宋体" w:cs="Times New Roman"/>
                      <w:b w:val="0"/>
                      <w:bCs w:val="0"/>
                      <w:i w:val="0"/>
                      <w:iCs w:val="0"/>
                      <w:color w:val="000000"/>
                      <w:spacing w:val="0"/>
                      <w:w w:val="100"/>
                      <w:sz w:val="21"/>
                      <w:szCs w:val="21"/>
                      <w:vertAlign w:val="baseline"/>
                    </w:rPr>
                    <w:t>约</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14.7</w:t>
                  </w:r>
                  <w:r>
                    <w:rPr>
                      <w:rFonts w:hint="default" w:ascii="Times New Roman" w:hAnsi="Times New Roman" w:eastAsia="宋体" w:cs="Times New Roman"/>
                      <w:b w:val="0"/>
                      <w:bCs w:val="0"/>
                      <w:i w:val="0"/>
                      <w:iCs w:val="0"/>
                      <w:color w:val="000000"/>
                      <w:spacing w:val="0"/>
                      <w:w w:val="100"/>
                      <w:sz w:val="21"/>
                      <w:szCs w:val="21"/>
                      <w:highlight w:val="none"/>
                      <w:vertAlign w:val="baseline"/>
                    </w:rPr>
                    <w:t>公里，</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距离太浦河80m，</w:t>
                  </w:r>
                  <w:r>
                    <w:rPr>
                      <w:rFonts w:hint="default" w:ascii="Times New Roman" w:hAnsi="Times New Roman" w:eastAsia="宋体" w:cs="Times New Roman"/>
                      <w:b w:val="0"/>
                      <w:bCs w:val="0"/>
                      <w:i w:val="0"/>
                      <w:iCs w:val="0"/>
                      <w:color w:val="000000"/>
                      <w:spacing w:val="0"/>
                      <w:w w:val="100"/>
                      <w:sz w:val="21"/>
                      <w:szCs w:val="21"/>
                      <w:highlight w:val="none"/>
                      <w:vertAlign w:val="baseline"/>
                    </w:rPr>
                    <w:t>不涉及禁止</w:t>
                  </w:r>
                  <w:r>
                    <w:rPr>
                      <w:rFonts w:hint="default" w:ascii="Times New Roman" w:hAnsi="Times New Roman" w:eastAsia="宋体" w:cs="Times New Roman"/>
                      <w:b w:val="0"/>
                      <w:bCs w:val="0"/>
                      <w:i w:val="0"/>
                      <w:iCs w:val="0"/>
                      <w:color w:val="000000"/>
                      <w:spacing w:val="0"/>
                      <w:w w:val="100"/>
                      <w:sz w:val="21"/>
                      <w:szCs w:val="21"/>
                      <w:vertAlign w:val="baseline"/>
                    </w:rPr>
                    <w:t>类项目</w:t>
                  </w:r>
                </w:p>
              </w:tc>
              <w:tc>
                <w:tcPr>
                  <w:tcW w:w="891" w:type="dxa"/>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29884F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09C9B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1084" w:type="dxa"/>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8E3A59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z w:val="21"/>
                      <w:szCs w:val="21"/>
                    </w:rPr>
                  </w:pPr>
                </w:p>
              </w:tc>
              <w:tc>
                <w:tcPr>
                  <w:tcW w:w="4252" w:type="dxa"/>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5D7368C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第三十条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3EF345F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（一）设置剧毒物质、危险化学品的贮存、输送设施和废物回收场、垃圾场；</w:t>
                  </w:r>
                </w:p>
                <w:p w14:paraId="5D68AEB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（二）设置水上餐饮经营设施；</w:t>
                  </w:r>
                </w:p>
                <w:p w14:paraId="612BC83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（三）新建、扩建高尔夫球场；</w:t>
                  </w:r>
                </w:p>
                <w:p w14:paraId="0B42472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（四）新建、扩建畜禽养殖场；</w:t>
                  </w:r>
                </w:p>
                <w:p w14:paraId="35C8104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（五）新建、扩建向水体排放污染物的建设项目；</w:t>
                  </w:r>
                </w:p>
                <w:p w14:paraId="06C8B87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（六）本条例第二十九条规定的行为。</w:t>
                  </w:r>
                </w:p>
                <w:p w14:paraId="13E10FB1">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已经设置前款第一项、第二项规定设施的，当地县级人民政府应当责令拆除或者关闭。</w:t>
                  </w:r>
                </w:p>
              </w:tc>
              <w:tc>
                <w:tcPr>
                  <w:tcW w:w="1978" w:type="dxa"/>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2FC0149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vertAlign w:val="baseline"/>
                    </w:rPr>
                    <w:t>本项目距离太湖湖体</w:t>
                  </w:r>
                  <w:r>
                    <w:rPr>
                      <w:rFonts w:hint="default" w:ascii="Times New Roman" w:hAnsi="Times New Roman" w:eastAsia="宋体" w:cs="Times New Roman"/>
                      <w:b w:val="0"/>
                      <w:bCs w:val="0"/>
                      <w:i w:val="0"/>
                      <w:iCs w:val="0"/>
                      <w:color w:val="000000"/>
                      <w:spacing w:val="0"/>
                      <w:w w:val="100"/>
                      <w:sz w:val="21"/>
                      <w:szCs w:val="21"/>
                      <w:highlight w:val="none"/>
                      <w:vertAlign w:val="baseline"/>
                    </w:rPr>
                    <w:t>约</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14.7</w:t>
                  </w:r>
                  <w:r>
                    <w:rPr>
                      <w:rFonts w:hint="default" w:ascii="Times New Roman" w:hAnsi="Times New Roman" w:cs="Times New Roman"/>
                      <w:b w:val="0"/>
                      <w:bCs w:val="0"/>
                      <w:i w:val="0"/>
                      <w:iCs w:val="0"/>
                      <w:color w:val="000000"/>
                      <w:spacing w:val="0"/>
                      <w:w w:val="100"/>
                      <w:sz w:val="21"/>
                      <w:szCs w:val="21"/>
                      <w:highlight w:val="none"/>
                      <w:vertAlign w:val="baseline"/>
                      <w:lang w:val="en-US" w:eastAsia="zh-CN"/>
                    </w:rPr>
                    <w:t>公</w:t>
                  </w:r>
                  <w:r>
                    <w:rPr>
                      <w:rFonts w:hint="default" w:ascii="Times New Roman" w:hAnsi="Times New Roman" w:eastAsia="宋体" w:cs="Times New Roman"/>
                      <w:b w:val="0"/>
                      <w:bCs w:val="0"/>
                      <w:i w:val="0"/>
                      <w:iCs w:val="0"/>
                      <w:color w:val="000000"/>
                      <w:spacing w:val="0"/>
                      <w:w w:val="100"/>
                      <w:sz w:val="21"/>
                      <w:szCs w:val="21"/>
                      <w:highlight w:val="none"/>
                      <w:vertAlign w:val="baseline"/>
                    </w:rPr>
                    <w:t>里</w:t>
                  </w:r>
                  <w:r>
                    <w:rPr>
                      <w:rFonts w:hint="eastAsia" w:ascii="Times New Roman" w:hAnsi="Times New Roman" w:cs="Times New Roman"/>
                      <w:b w:val="0"/>
                      <w:bCs w:val="0"/>
                      <w:i w:val="0"/>
                      <w:iCs w:val="0"/>
                      <w:color w:val="000000"/>
                      <w:spacing w:val="0"/>
                      <w:w w:val="100"/>
                      <w:sz w:val="21"/>
                      <w:szCs w:val="21"/>
                      <w:highlight w:val="none"/>
                      <w:vertAlign w:val="baseline"/>
                      <w:lang w:eastAsia="zh-CN"/>
                    </w:rPr>
                    <w:t>，</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距离太浦河80m</w:t>
                  </w:r>
                  <w:r>
                    <w:rPr>
                      <w:rFonts w:hint="default" w:ascii="Times New Roman" w:hAnsi="Times New Roman" w:eastAsia="宋体" w:cs="Times New Roman"/>
                      <w:b w:val="0"/>
                      <w:bCs w:val="0"/>
                      <w:i w:val="0"/>
                      <w:iCs w:val="0"/>
                      <w:color w:val="000000"/>
                      <w:spacing w:val="0"/>
                      <w:w w:val="100"/>
                      <w:sz w:val="21"/>
                      <w:szCs w:val="21"/>
                      <w:highlight w:val="none"/>
                      <w:vertAlign w:val="baseline"/>
                    </w:rPr>
                    <w:t>；</w:t>
                  </w:r>
                </w:p>
                <w:p w14:paraId="272DC47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highlight w:val="none"/>
                      <w:vertAlign w:val="baseline"/>
                    </w:rPr>
                    <w:t>本项目不使</w:t>
                  </w:r>
                  <w:r>
                    <w:rPr>
                      <w:rFonts w:hint="default" w:ascii="Times New Roman" w:hAnsi="Times New Roman" w:eastAsia="宋体" w:cs="Times New Roman"/>
                      <w:b w:val="0"/>
                      <w:bCs w:val="0"/>
                      <w:i w:val="0"/>
                      <w:iCs w:val="0"/>
                      <w:color w:val="000000"/>
                      <w:spacing w:val="0"/>
                      <w:w w:val="100"/>
                      <w:sz w:val="21"/>
                      <w:szCs w:val="21"/>
                      <w:vertAlign w:val="baseline"/>
                    </w:rPr>
                    <w:t>用剧毒物质，厂区内不设危险化学品储存。</w:t>
                  </w:r>
                </w:p>
                <w:p w14:paraId="67B01A1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生活污水</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接管至</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苏州汾湖水务发展有限公司（黎里工业再生水厂）处理，尾水排放至杜公漾，清洗废水回用，不外排</w:t>
                  </w:r>
                  <w:r>
                    <w:rPr>
                      <w:rFonts w:hint="default" w:ascii="Times New Roman" w:hAnsi="Times New Roman" w:eastAsia="宋体" w:cs="Times New Roman"/>
                      <w:b w:val="0"/>
                      <w:bCs w:val="0"/>
                      <w:i w:val="0"/>
                      <w:iCs w:val="0"/>
                      <w:color w:val="000000"/>
                      <w:spacing w:val="0"/>
                      <w:w w:val="100"/>
                      <w:sz w:val="21"/>
                      <w:szCs w:val="21"/>
                      <w:highlight w:val="none"/>
                      <w:vertAlign w:val="baseline"/>
                    </w:rPr>
                    <w:t>。不涉及其他</w:t>
                  </w:r>
                  <w:r>
                    <w:rPr>
                      <w:rFonts w:hint="default" w:ascii="Times New Roman" w:hAnsi="Times New Roman" w:eastAsia="宋体" w:cs="Times New Roman"/>
                      <w:b w:val="0"/>
                      <w:bCs w:val="0"/>
                      <w:i w:val="0"/>
                      <w:iCs w:val="0"/>
                      <w:color w:val="000000"/>
                      <w:spacing w:val="0"/>
                      <w:w w:val="100"/>
                      <w:sz w:val="21"/>
                      <w:szCs w:val="21"/>
                      <w:vertAlign w:val="baseline"/>
                    </w:rPr>
                    <w:t>禁止类行为</w:t>
                  </w:r>
                </w:p>
              </w:tc>
              <w:tc>
                <w:tcPr>
                  <w:tcW w:w="891" w:type="dxa"/>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76CD59B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bl>
          <w:p w14:paraId="629F3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综上，本项目符合《太湖流域管理条例》的有关规定。</w:t>
            </w:r>
          </w:p>
          <w:p w14:paraId="1D7E8F2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color w:val="000000"/>
                <w:sz w:val="24"/>
                <w:lang w:val="en-US" w:eastAsia="zh-CN"/>
              </w:rPr>
            </w:pPr>
            <w:r>
              <w:rPr>
                <w:rFonts w:hint="eastAsia" w:cs="Times New Roman"/>
                <w:b/>
                <w:color w:val="000000"/>
                <w:sz w:val="24"/>
                <w:lang w:val="en-US" w:eastAsia="zh-CN"/>
              </w:rPr>
              <w:t>6、</w:t>
            </w:r>
            <w:r>
              <w:rPr>
                <w:rFonts w:hint="default" w:ascii="Times New Roman" w:hAnsi="Times New Roman" w:eastAsia="宋体" w:cs="Times New Roman"/>
                <w:b/>
                <w:color w:val="000000"/>
                <w:sz w:val="24"/>
                <w:lang w:val="en-US" w:eastAsia="zh-CN"/>
              </w:rPr>
              <w:t>与《江苏省太湖水污染防治条例》（2021年修订）相符性分析</w:t>
            </w:r>
          </w:p>
          <w:p w14:paraId="0B8D67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根据《江苏省太湖水污染防治条例》第二条规定</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太湖流域划分为三级保护区：太湖湖体、沿湖岸五公里区域、入湖河道上溯十公里以及沿岸两侧各一公里范围为一级保护区；主要入湖河道上溯十公里至五</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十公里以及沿岸两侧各一公里范围为二级保护区；其他地区为三级保护区。”本项目距离东太湖约</w:t>
            </w:r>
            <w:r>
              <w:rPr>
                <w:rFonts w:hint="eastAsia" w:cs="Times New Roman"/>
                <w:b w:val="0"/>
                <w:bCs w:val="0"/>
                <w:i w:val="0"/>
                <w:iCs w:val="0"/>
                <w:color w:val="000000"/>
                <w:spacing w:val="0"/>
                <w:w w:val="100"/>
                <w:kern w:val="2"/>
                <w:sz w:val="24"/>
                <w:szCs w:val="24"/>
                <w:highlight w:val="none"/>
                <w:vertAlign w:val="baseline"/>
                <w:lang w:val="en-US" w:eastAsia="zh-CN" w:bidi="ar-SA"/>
              </w:rPr>
              <w:t>14.7</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公里，位于太湖流域</w:t>
            </w:r>
            <w:r>
              <w:rPr>
                <w:rFonts w:hint="eastAsia" w:cs="Times New Roman"/>
                <w:b w:val="0"/>
                <w:bCs w:val="0"/>
                <w:i w:val="0"/>
                <w:iCs w:val="0"/>
                <w:color w:val="000000"/>
                <w:spacing w:val="0"/>
                <w:w w:val="100"/>
                <w:kern w:val="2"/>
                <w:sz w:val="24"/>
                <w:szCs w:val="24"/>
                <w:highlight w:val="none"/>
                <w:vertAlign w:val="baseline"/>
                <w:lang w:val="en-US" w:eastAsia="zh-CN" w:bidi="ar-SA"/>
              </w:rPr>
              <w:t>三</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级保护区。</w:t>
            </w:r>
          </w:p>
          <w:p w14:paraId="3CAC71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根据《江苏省太湖水污染防治条例》（2021年修正），符合性分析如下：</w:t>
            </w:r>
          </w:p>
          <w:p w14:paraId="735934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ascii="Times New Roman" w:hAnsi="Times New Roman" w:eastAsia="宋体" w:cs="Times New Roman"/>
                <w:b/>
                <w:bCs/>
                <w:i w:val="0"/>
                <w:iCs w:val="0"/>
                <w:color w:val="000000"/>
                <w:spacing w:val="0"/>
                <w:w w:val="100"/>
                <w:kern w:val="2"/>
                <w:sz w:val="21"/>
                <w:szCs w:val="21"/>
                <w:vertAlign w:val="baseline"/>
                <w:lang w:val="en-US" w:eastAsia="zh-CN" w:bidi="ar-SA"/>
              </w:rPr>
              <w:t>9</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与《江苏省太湖水污染防治条例》（2021年修订）相符性分析</w:t>
            </w:r>
          </w:p>
          <w:tbl>
            <w:tblPr>
              <w:tblStyle w:val="20"/>
              <w:tblW w:w="4998" w:type="pct"/>
              <w:jc w:val="center"/>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Layout w:type="autofit"/>
              <w:tblCellMar>
                <w:top w:w="15" w:type="dxa"/>
                <w:left w:w="15" w:type="dxa"/>
                <w:bottom w:w="15" w:type="dxa"/>
                <w:right w:w="15" w:type="dxa"/>
              </w:tblCellMar>
            </w:tblPr>
            <w:tblGrid>
              <w:gridCol w:w="846"/>
              <w:gridCol w:w="4637"/>
              <w:gridCol w:w="1925"/>
              <w:gridCol w:w="860"/>
            </w:tblGrid>
            <w:tr w14:paraId="45161A78">
              <w:tblPrEx>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11" w:type="pct"/>
                  <w:tcBorders>
                    <w:tl2br w:val="nil"/>
                    <w:tr2bl w:val="nil"/>
                  </w:tcBorders>
                  <w:noWrap w:val="0"/>
                  <w:tcMar>
                    <w:top w:w="0" w:type="dxa"/>
                    <w:left w:w="108" w:type="dxa"/>
                    <w:bottom w:w="0" w:type="dxa"/>
                    <w:right w:w="108" w:type="dxa"/>
                  </w:tcMar>
                  <w:vAlign w:val="center"/>
                </w:tcPr>
                <w:p w14:paraId="7091D625">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文件名称</w:t>
                  </w:r>
                </w:p>
              </w:tc>
              <w:tc>
                <w:tcPr>
                  <w:tcW w:w="2803" w:type="pct"/>
                  <w:tcBorders>
                    <w:tl2br w:val="nil"/>
                    <w:tr2bl w:val="nil"/>
                  </w:tcBorders>
                  <w:noWrap w:val="0"/>
                  <w:tcMar>
                    <w:top w:w="0" w:type="dxa"/>
                    <w:left w:w="108" w:type="dxa"/>
                    <w:bottom w:w="0" w:type="dxa"/>
                    <w:right w:w="108" w:type="dxa"/>
                  </w:tcMar>
                  <w:vAlign w:val="center"/>
                </w:tcPr>
                <w:p w14:paraId="7543AC15">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禁止行为</w:t>
                  </w:r>
                </w:p>
              </w:tc>
              <w:tc>
                <w:tcPr>
                  <w:tcW w:w="1164" w:type="pct"/>
                  <w:tcBorders>
                    <w:tl2br w:val="nil"/>
                    <w:tr2bl w:val="nil"/>
                  </w:tcBorders>
                  <w:noWrap w:val="0"/>
                  <w:tcMar>
                    <w:top w:w="0" w:type="dxa"/>
                    <w:left w:w="108" w:type="dxa"/>
                    <w:bottom w:w="0" w:type="dxa"/>
                    <w:right w:w="108" w:type="dxa"/>
                  </w:tcMar>
                  <w:vAlign w:val="center"/>
                </w:tcPr>
                <w:p w14:paraId="2E3F89E7">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本项目情况</w:t>
                  </w:r>
                </w:p>
              </w:tc>
              <w:tc>
                <w:tcPr>
                  <w:tcW w:w="520" w:type="pct"/>
                  <w:tcBorders>
                    <w:tl2br w:val="nil"/>
                    <w:tr2bl w:val="nil"/>
                  </w:tcBorders>
                  <w:noWrap w:val="0"/>
                  <w:tcMar>
                    <w:top w:w="0" w:type="dxa"/>
                    <w:left w:w="108" w:type="dxa"/>
                    <w:bottom w:w="0" w:type="dxa"/>
                    <w:right w:w="108" w:type="dxa"/>
                  </w:tcMar>
                  <w:vAlign w:val="center"/>
                </w:tcPr>
                <w:p w14:paraId="51361755">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相符性分析</w:t>
                  </w:r>
                </w:p>
              </w:tc>
            </w:tr>
            <w:tr w14:paraId="6B78F8E5">
              <w:tblPrEx>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511" w:type="pct"/>
                  <w:tcBorders>
                    <w:tl2br w:val="nil"/>
                    <w:tr2bl w:val="nil"/>
                  </w:tcBorders>
                  <w:noWrap w:val="0"/>
                  <w:tcMar>
                    <w:top w:w="0" w:type="dxa"/>
                    <w:left w:w="108" w:type="dxa"/>
                    <w:bottom w:w="0" w:type="dxa"/>
                    <w:right w:w="108" w:type="dxa"/>
                  </w:tcMar>
                  <w:vAlign w:val="center"/>
                </w:tcPr>
                <w:p w14:paraId="4DB78BD7">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《江苏省太湖水污染防治条例》（2021年修订）</w:t>
                  </w:r>
                </w:p>
              </w:tc>
              <w:tc>
                <w:tcPr>
                  <w:tcW w:w="2803" w:type="pct"/>
                  <w:tcBorders>
                    <w:tl2br w:val="nil"/>
                    <w:tr2bl w:val="nil"/>
                  </w:tcBorders>
                  <w:noWrap w:val="0"/>
                  <w:tcMar>
                    <w:top w:w="0" w:type="dxa"/>
                    <w:left w:w="108" w:type="dxa"/>
                    <w:bottom w:w="0" w:type="dxa"/>
                    <w:right w:w="108" w:type="dxa"/>
                  </w:tcMar>
                  <w:vAlign w:val="center"/>
                </w:tcPr>
                <w:p w14:paraId="2343D18E">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第四十三条 太湖流域一、二、三级保护区禁止下列行为：</w:t>
                  </w:r>
                </w:p>
                <w:p w14:paraId="3A1C6505">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（一）新建、改建、扩建化学制浆造纸、制革、酿造、染料、印染、电镀以及其他排放含磷、氮等污染物的企业和项目，城镇污水集中处理等环境基础设施项目和第四十六条规定的情形除外；</w:t>
                  </w:r>
                </w:p>
                <w:p w14:paraId="74B2935A">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（二）销售、使用含磷洗涤用品；</w:t>
                  </w:r>
                </w:p>
                <w:p w14:paraId="03BB5C5A">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（三）向水体排放或者倾倒油类、酸液、碱液、剧毒废渣废液、含放射性废渣废液、含病原体污水、工业废渣以及其他废弃物；</w:t>
                  </w:r>
                </w:p>
                <w:p w14:paraId="7F156CBC">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（四）在水体清洗装贮过油类或者有毒有害污染物的车辆、船舶和容器等；</w:t>
                  </w:r>
                </w:p>
                <w:p w14:paraId="64B312FA">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（五）使用农药等有毒物毒杀水生生物；</w:t>
                  </w:r>
                </w:p>
                <w:p w14:paraId="67CE774F">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（六）向水体直接排放人畜粪便、倾倒垃圾；</w:t>
                  </w:r>
                </w:p>
                <w:p w14:paraId="075B249F">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（七）围湖造地；</w:t>
                  </w:r>
                </w:p>
                <w:p w14:paraId="508E24CD">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（八）违法开山采石，或者进行破坏林木、植被、水生生物的活动；</w:t>
                  </w:r>
                </w:p>
                <w:p w14:paraId="068CDC03">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（九）法律法规禁止的其他行为。</w:t>
                  </w:r>
                </w:p>
              </w:tc>
              <w:tc>
                <w:tcPr>
                  <w:tcW w:w="1164" w:type="pct"/>
                  <w:tcBorders>
                    <w:tl2br w:val="nil"/>
                    <w:tr2bl w:val="nil"/>
                  </w:tcBorders>
                  <w:noWrap w:val="0"/>
                  <w:tcMar>
                    <w:top w:w="0" w:type="dxa"/>
                    <w:left w:w="108" w:type="dxa"/>
                    <w:bottom w:w="0" w:type="dxa"/>
                    <w:right w:w="108" w:type="dxa"/>
                  </w:tcMar>
                  <w:vAlign w:val="center"/>
                </w:tcPr>
                <w:p w14:paraId="4CA9B480">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highlight w:val="none"/>
                    </w:rPr>
                  </w:pPr>
                  <w:r>
                    <w:rPr>
                      <w:rFonts w:hint="default" w:ascii="Times New Roman" w:hAnsi="Times New Roman" w:eastAsia="宋体" w:cs="Times New Roman"/>
                      <w:b w:val="0"/>
                      <w:bCs w:val="0"/>
                      <w:i w:val="0"/>
                      <w:iCs w:val="0"/>
                      <w:color w:val="000000"/>
                      <w:spacing w:val="0"/>
                      <w:w w:val="100"/>
                      <w:sz w:val="21"/>
                      <w:szCs w:val="21"/>
                      <w:vertAlign w:val="baseline"/>
                    </w:rPr>
                    <w:t>本项目距离太湖湖体</w:t>
                  </w:r>
                  <w:r>
                    <w:rPr>
                      <w:rFonts w:hint="default" w:ascii="Times New Roman" w:hAnsi="Times New Roman" w:eastAsia="宋体" w:cs="Times New Roman"/>
                      <w:b w:val="0"/>
                      <w:bCs w:val="0"/>
                      <w:i w:val="0"/>
                      <w:iCs w:val="0"/>
                      <w:color w:val="000000"/>
                      <w:spacing w:val="0"/>
                      <w:w w:val="100"/>
                      <w:sz w:val="21"/>
                      <w:szCs w:val="21"/>
                      <w:highlight w:val="none"/>
                      <w:vertAlign w:val="baseline"/>
                    </w:rPr>
                    <w:t>约</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14.7</w:t>
                  </w:r>
                  <w:r>
                    <w:rPr>
                      <w:rFonts w:hint="default" w:ascii="Times New Roman" w:hAnsi="Times New Roman" w:eastAsia="宋体" w:cs="Times New Roman"/>
                      <w:b w:val="0"/>
                      <w:bCs w:val="0"/>
                      <w:i w:val="0"/>
                      <w:iCs w:val="0"/>
                      <w:color w:val="000000"/>
                      <w:spacing w:val="0"/>
                      <w:w w:val="100"/>
                      <w:sz w:val="21"/>
                      <w:szCs w:val="21"/>
                      <w:highlight w:val="none"/>
                      <w:vertAlign w:val="baseline"/>
                    </w:rPr>
                    <w:t>公里，位于太湖流域</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三</w:t>
                  </w:r>
                  <w:r>
                    <w:rPr>
                      <w:rFonts w:hint="default" w:ascii="Times New Roman" w:hAnsi="Times New Roman" w:eastAsia="宋体" w:cs="Times New Roman"/>
                      <w:b w:val="0"/>
                      <w:bCs w:val="0"/>
                      <w:i w:val="0"/>
                      <w:iCs w:val="0"/>
                      <w:color w:val="000000"/>
                      <w:spacing w:val="0"/>
                      <w:w w:val="100"/>
                      <w:sz w:val="21"/>
                      <w:szCs w:val="21"/>
                      <w:highlight w:val="none"/>
                      <w:vertAlign w:val="baseline"/>
                    </w:rPr>
                    <w:t>级保护区；</w:t>
                  </w:r>
                </w:p>
                <w:p w14:paraId="25E75772">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highlight w:val="none"/>
                      <w:vertAlign w:val="baseline"/>
                    </w:rPr>
                    <w:t>本项目</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生活污水</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接管至</w:t>
                  </w:r>
                  <w:r>
                    <w:rPr>
                      <w:rFonts w:hint="default" w:ascii="Times New Roman" w:hAnsi="Times New Roman" w:eastAsia="宋体" w:cs="Times New Roman"/>
                      <w:b w:val="0"/>
                      <w:bCs w:val="0"/>
                      <w:i w:val="0"/>
                      <w:iCs w:val="0"/>
                      <w:color w:val="000000"/>
                      <w:spacing w:val="0"/>
                      <w:w w:val="100"/>
                      <w:sz w:val="21"/>
                      <w:szCs w:val="21"/>
                      <w:highlight w:val="none"/>
                      <w:vertAlign w:val="baseline"/>
                      <w:lang w:val="en-US" w:eastAsia="zh-CN"/>
                    </w:rPr>
                    <w:t>苏州汾湖水务发展有限公司（黎里工业再生水厂）处理，尾水排放至杜公漾，清洗废水回用，不外排</w:t>
                  </w:r>
                  <w:r>
                    <w:rPr>
                      <w:rFonts w:hint="default" w:ascii="Times New Roman" w:hAnsi="Times New Roman" w:eastAsia="宋体" w:cs="Times New Roman"/>
                      <w:b w:val="0"/>
                      <w:bCs w:val="0"/>
                      <w:i w:val="0"/>
                      <w:iCs w:val="0"/>
                      <w:color w:val="000000"/>
                      <w:spacing w:val="0"/>
                      <w:w w:val="100"/>
                      <w:sz w:val="21"/>
                      <w:szCs w:val="21"/>
                      <w:highlight w:val="none"/>
                      <w:vertAlign w:val="baseline"/>
                    </w:rPr>
                    <w:t>；本项目一般固</w:t>
                  </w:r>
                  <w:r>
                    <w:rPr>
                      <w:rFonts w:hint="default" w:ascii="Times New Roman" w:hAnsi="Times New Roman" w:eastAsia="宋体" w:cs="Times New Roman"/>
                      <w:b w:val="0"/>
                      <w:bCs w:val="0"/>
                      <w:i w:val="0"/>
                      <w:iCs w:val="0"/>
                      <w:color w:val="000000"/>
                      <w:spacing w:val="0"/>
                      <w:w w:val="100"/>
                      <w:sz w:val="21"/>
                      <w:szCs w:val="21"/>
                      <w:vertAlign w:val="baseline"/>
                    </w:rPr>
                    <w:t>废收集后外售综合利用，生活垃圾由当地环卫部门收集处理。</w:t>
                  </w:r>
                </w:p>
                <w:p w14:paraId="0F5C8680">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不涉及其他禁止类行为</w:t>
                  </w:r>
                </w:p>
              </w:tc>
              <w:tc>
                <w:tcPr>
                  <w:tcW w:w="520" w:type="pct"/>
                  <w:tcBorders>
                    <w:tl2br w:val="nil"/>
                    <w:tr2bl w:val="nil"/>
                  </w:tcBorders>
                  <w:noWrap w:val="0"/>
                  <w:tcMar>
                    <w:top w:w="0" w:type="dxa"/>
                    <w:left w:w="108" w:type="dxa"/>
                    <w:bottom w:w="0" w:type="dxa"/>
                    <w:right w:w="108" w:type="dxa"/>
                  </w:tcMar>
                  <w:vAlign w:val="center"/>
                </w:tcPr>
                <w:p w14:paraId="132F1815">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bl>
          <w:p w14:paraId="3E950D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因此本项目不在上述所禁止的活动范围内，符合《江苏省太湖水污染防治条例》（2021年修订）的相关规定。</w:t>
            </w:r>
          </w:p>
          <w:p w14:paraId="5FA59F01">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cs="Times New Roman"/>
                <w:b/>
                <w:color w:val="000000"/>
                <w:sz w:val="24"/>
                <w:lang w:val="en-US" w:eastAsia="zh-CN"/>
              </w:rPr>
            </w:pPr>
            <w:r>
              <w:rPr>
                <w:rFonts w:hint="eastAsia" w:cs="Times New Roman"/>
                <w:b/>
                <w:color w:val="000000"/>
                <w:sz w:val="24"/>
                <w:lang w:val="en-US" w:eastAsia="zh-CN"/>
              </w:rPr>
              <w:t>7、</w:t>
            </w:r>
            <w:r>
              <w:rPr>
                <w:rFonts w:hint="default" w:cs="Times New Roman"/>
                <w:b/>
                <w:color w:val="000000"/>
                <w:sz w:val="24"/>
                <w:lang w:val="en-US" w:eastAsia="zh-CN"/>
              </w:rPr>
              <w:t>与《江苏省土壤污染防治条例》相符性分析</w:t>
            </w:r>
          </w:p>
          <w:p w14:paraId="013CCA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根据《江苏省土壤污染防治条例》（2022年3月31日江苏省第十三届人民代表大会常务委员会第二十九次会议通过），符合性分析如下：</w:t>
            </w:r>
          </w:p>
          <w:p w14:paraId="2577A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表1-1</w:t>
            </w:r>
            <w:r>
              <w:rPr>
                <w:rFonts w:hint="eastAsia" w:cs="Times New Roman"/>
                <w:b/>
                <w:bCs/>
                <w:i w:val="0"/>
                <w:iCs w:val="0"/>
                <w:color w:val="000000"/>
                <w:spacing w:val="0"/>
                <w:w w:val="100"/>
                <w:kern w:val="2"/>
                <w:sz w:val="21"/>
                <w:szCs w:val="21"/>
                <w:vertAlign w:val="baseline"/>
                <w:lang w:val="en-US" w:eastAsia="zh-CN" w:bidi="ar-SA"/>
              </w:rPr>
              <w:t>0</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与《江苏省土壤污染防治条例》相符性分析</w:t>
            </w:r>
          </w:p>
          <w:tbl>
            <w:tblPr>
              <w:tblStyle w:val="20"/>
              <w:tblW w:w="4998" w:type="pct"/>
              <w:tblInd w:w="0" w:type="dxa"/>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Layout w:type="autofit"/>
              <w:tblCellMar>
                <w:top w:w="15" w:type="dxa"/>
                <w:left w:w="15" w:type="dxa"/>
                <w:bottom w:w="15" w:type="dxa"/>
                <w:right w:w="15" w:type="dxa"/>
              </w:tblCellMar>
            </w:tblPr>
            <w:tblGrid>
              <w:gridCol w:w="776"/>
              <w:gridCol w:w="5012"/>
              <w:gridCol w:w="1590"/>
              <w:gridCol w:w="890"/>
            </w:tblGrid>
            <w:tr w14:paraId="4C55D928">
              <w:tblPrEx>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469" w:type="pct"/>
                  <w:tcBorders>
                    <w:tl2br w:val="nil"/>
                    <w:tr2bl w:val="nil"/>
                  </w:tcBorders>
                  <w:noWrap w:val="0"/>
                  <w:tcMar>
                    <w:top w:w="0" w:type="dxa"/>
                    <w:left w:w="108" w:type="dxa"/>
                    <w:bottom w:w="0" w:type="dxa"/>
                    <w:right w:w="108" w:type="dxa"/>
                  </w:tcMar>
                  <w:vAlign w:val="center"/>
                </w:tcPr>
                <w:p w14:paraId="6932363C">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文件名称</w:t>
                  </w:r>
                </w:p>
              </w:tc>
              <w:tc>
                <w:tcPr>
                  <w:tcW w:w="3030" w:type="pct"/>
                  <w:tcBorders>
                    <w:tl2br w:val="nil"/>
                    <w:tr2bl w:val="nil"/>
                  </w:tcBorders>
                  <w:noWrap w:val="0"/>
                  <w:tcMar>
                    <w:top w:w="0" w:type="dxa"/>
                    <w:left w:w="108" w:type="dxa"/>
                    <w:bottom w:w="0" w:type="dxa"/>
                    <w:right w:w="108" w:type="dxa"/>
                  </w:tcMar>
                  <w:vAlign w:val="center"/>
                </w:tcPr>
                <w:p w14:paraId="16ED6740">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禁止行为</w:t>
                  </w:r>
                </w:p>
              </w:tc>
              <w:tc>
                <w:tcPr>
                  <w:tcW w:w="961" w:type="pct"/>
                  <w:tcBorders>
                    <w:tl2br w:val="nil"/>
                    <w:tr2bl w:val="nil"/>
                  </w:tcBorders>
                  <w:noWrap w:val="0"/>
                  <w:tcMar>
                    <w:top w:w="0" w:type="dxa"/>
                    <w:left w:w="108" w:type="dxa"/>
                    <w:bottom w:w="0" w:type="dxa"/>
                    <w:right w:w="108" w:type="dxa"/>
                  </w:tcMar>
                  <w:vAlign w:val="center"/>
                </w:tcPr>
                <w:p w14:paraId="6C1DFA41">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本项目情况</w:t>
                  </w:r>
                </w:p>
              </w:tc>
              <w:tc>
                <w:tcPr>
                  <w:tcW w:w="538" w:type="pct"/>
                  <w:tcBorders>
                    <w:tl2br w:val="nil"/>
                    <w:tr2bl w:val="nil"/>
                  </w:tcBorders>
                  <w:noWrap w:val="0"/>
                  <w:tcMar>
                    <w:top w:w="0" w:type="dxa"/>
                    <w:left w:w="108" w:type="dxa"/>
                    <w:bottom w:w="0" w:type="dxa"/>
                    <w:right w:w="108" w:type="dxa"/>
                  </w:tcMar>
                  <w:vAlign w:val="center"/>
                </w:tcPr>
                <w:p w14:paraId="51E1D0DE">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相符性分析</w:t>
                  </w:r>
                </w:p>
              </w:tc>
            </w:tr>
            <w:tr w14:paraId="342CC841">
              <w:tblPrEx>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469" w:type="pct"/>
                  <w:vMerge w:val="restart"/>
                  <w:tcBorders>
                    <w:tl2br w:val="nil"/>
                    <w:tr2bl w:val="nil"/>
                  </w:tcBorders>
                  <w:noWrap w:val="0"/>
                  <w:tcMar>
                    <w:top w:w="0" w:type="dxa"/>
                    <w:left w:w="108" w:type="dxa"/>
                    <w:bottom w:w="0" w:type="dxa"/>
                    <w:right w:w="108" w:type="dxa"/>
                  </w:tcMar>
                  <w:vAlign w:val="center"/>
                </w:tcPr>
                <w:p w14:paraId="4565311F">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《江苏省土壤污染防治条例》</w:t>
                  </w:r>
                </w:p>
              </w:tc>
              <w:tc>
                <w:tcPr>
                  <w:tcW w:w="3030" w:type="pct"/>
                  <w:tcBorders>
                    <w:tl2br w:val="nil"/>
                    <w:tr2bl w:val="nil"/>
                  </w:tcBorders>
                  <w:noWrap w:val="0"/>
                  <w:tcMar>
                    <w:top w:w="0" w:type="dxa"/>
                    <w:left w:w="108" w:type="dxa"/>
                    <w:bottom w:w="0" w:type="dxa"/>
                    <w:right w:w="108" w:type="dxa"/>
                  </w:tcMar>
                  <w:vAlign w:val="center"/>
                </w:tcPr>
                <w:p w14:paraId="1AEB6BDD">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第四条 任何组织和个人都有保护土壤、防止土壤污染的义务。</w:t>
                  </w:r>
                </w:p>
                <w:p w14:paraId="71F8414B">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土地使用权人从事土地开发利用活动，企业事业单位和其他生产经营者从事生产经营活动，应当采取有效措施，防止、减少土壤污染，对所造成的土壤污染依法承担责任。</w:t>
                  </w:r>
                </w:p>
              </w:tc>
              <w:tc>
                <w:tcPr>
                  <w:tcW w:w="961" w:type="pct"/>
                  <w:vMerge w:val="restart"/>
                  <w:tcBorders>
                    <w:tl2br w:val="nil"/>
                    <w:tr2bl w:val="nil"/>
                  </w:tcBorders>
                  <w:noWrap w:val="0"/>
                  <w:tcMar>
                    <w:top w:w="0" w:type="dxa"/>
                    <w:left w:w="108" w:type="dxa"/>
                    <w:bottom w:w="0" w:type="dxa"/>
                    <w:right w:w="108" w:type="dxa"/>
                  </w:tcMar>
                  <w:vAlign w:val="center"/>
                </w:tcPr>
                <w:p w14:paraId="2ECE54A7">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本项目危险废物暂存于危废仓库，危废仓库设有防腐防渗设施。</w:t>
                  </w:r>
                </w:p>
              </w:tc>
              <w:tc>
                <w:tcPr>
                  <w:tcW w:w="538" w:type="pct"/>
                  <w:vMerge w:val="restart"/>
                  <w:tcBorders>
                    <w:tl2br w:val="nil"/>
                    <w:tr2bl w:val="nil"/>
                  </w:tcBorders>
                  <w:noWrap w:val="0"/>
                  <w:tcMar>
                    <w:top w:w="0" w:type="dxa"/>
                    <w:left w:w="108" w:type="dxa"/>
                    <w:bottom w:w="0" w:type="dxa"/>
                    <w:right w:w="108" w:type="dxa"/>
                  </w:tcMar>
                  <w:vAlign w:val="center"/>
                </w:tcPr>
                <w:p w14:paraId="1A0ADDCA">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44BFE16B">
              <w:tblPrEx>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469" w:type="pct"/>
                  <w:vMerge w:val="continue"/>
                  <w:tcBorders>
                    <w:tl2br w:val="nil"/>
                    <w:tr2bl w:val="nil"/>
                  </w:tcBorders>
                  <w:noWrap w:val="0"/>
                  <w:tcMar>
                    <w:top w:w="0" w:type="dxa"/>
                    <w:left w:w="108" w:type="dxa"/>
                    <w:bottom w:w="0" w:type="dxa"/>
                    <w:right w:w="108" w:type="dxa"/>
                  </w:tcMar>
                  <w:vAlign w:val="center"/>
                </w:tcPr>
                <w:p w14:paraId="13E74A46">
                  <w:pPr>
                    <w:keepNext w:val="0"/>
                    <w:keepLines w:val="0"/>
                    <w:pageBreakBefore w:val="0"/>
                    <w:kinsoku/>
                    <w:wordWrap/>
                    <w:overflowPunct/>
                    <w:topLinePunct w:val="0"/>
                    <w:autoSpaceDE/>
                    <w:autoSpaceDN/>
                    <w:bidi w:val="0"/>
                    <w:ind w:firstLine="0"/>
                    <w:textAlignment w:val="auto"/>
                    <w:rPr>
                      <w:rFonts w:hint="default" w:ascii="Times New Roman" w:hAnsi="Times New Roman" w:eastAsia="宋体" w:cs="Times New Roman"/>
                      <w:color w:val="000000"/>
                      <w:sz w:val="21"/>
                      <w:szCs w:val="21"/>
                    </w:rPr>
                  </w:pPr>
                </w:p>
              </w:tc>
              <w:tc>
                <w:tcPr>
                  <w:tcW w:w="3030" w:type="pct"/>
                  <w:tcBorders>
                    <w:tl2br w:val="nil"/>
                    <w:tr2bl w:val="nil"/>
                  </w:tcBorders>
                  <w:noWrap w:val="0"/>
                  <w:tcMar>
                    <w:top w:w="0" w:type="dxa"/>
                    <w:left w:w="108" w:type="dxa"/>
                    <w:bottom w:w="0" w:type="dxa"/>
                    <w:right w:w="108" w:type="dxa"/>
                  </w:tcMar>
                  <w:vAlign w:val="center"/>
                </w:tcPr>
                <w:p w14:paraId="221B9454">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第十八条 从事生产、使用、贮存、运输、回收、处置、排放有毒有害物质的单位和个人，应当采取下列措施，防止土壤受到污染：</w:t>
                  </w:r>
                </w:p>
                <w:p w14:paraId="05FE4340">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（一）采用符合清洁生产的工艺、技术和设备，淘汰不能保证防渗漏的生产工艺、设备；</w:t>
                  </w:r>
                </w:p>
                <w:p w14:paraId="1211B94D">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（二）配套建设环境保护设施并保持正常运转；</w:t>
                  </w:r>
                </w:p>
                <w:p w14:paraId="40908868">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（三）对化学物品、危险废物以及其他有毒有害物质采取防渗漏、防流失、防扬散措施；</w:t>
                  </w:r>
                </w:p>
                <w:p w14:paraId="46466CE7">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（四）定期巡查生产和环境保护设施设备的运行情况，及时发现并处理生产过程中有毒有害材料、产品或者废物的渗漏、流失、扬散等问题。</w:t>
                  </w:r>
                </w:p>
                <w:p w14:paraId="40C6A2C8">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both"/>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shd w:val="clear" w:color="auto" w:fill="FFFFFF"/>
                      <w:vertAlign w:val="baseline"/>
                    </w:rPr>
                    <w:t>（五）法律法规规定的其他措施。</w:t>
                  </w:r>
                </w:p>
              </w:tc>
              <w:tc>
                <w:tcPr>
                  <w:tcW w:w="961" w:type="pct"/>
                  <w:vMerge w:val="continue"/>
                  <w:tcBorders>
                    <w:tl2br w:val="nil"/>
                    <w:tr2bl w:val="nil"/>
                  </w:tcBorders>
                  <w:noWrap w:val="0"/>
                  <w:tcMar>
                    <w:top w:w="0" w:type="dxa"/>
                    <w:left w:w="108" w:type="dxa"/>
                    <w:bottom w:w="0" w:type="dxa"/>
                    <w:right w:w="108" w:type="dxa"/>
                  </w:tcMar>
                  <w:vAlign w:val="center"/>
                </w:tcPr>
                <w:p w14:paraId="2936F615">
                  <w:pPr>
                    <w:keepNext w:val="0"/>
                    <w:keepLines w:val="0"/>
                    <w:pageBreakBefore w:val="0"/>
                    <w:kinsoku/>
                    <w:wordWrap/>
                    <w:overflowPunct/>
                    <w:topLinePunct w:val="0"/>
                    <w:autoSpaceDE/>
                    <w:autoSpaceDN/>
                    <w:bidi w:val="0"/>
                    <w:ind w:firstLine="0"/>
                    <w:textAlignment w:val="auto"/>
                    <w:rPr>
                      <w:rFonts w:hint="default" w:ascii="Times New Roman" w:hAnsi="Times New Roman" w:eastAsia="宋体" w:cs="Times New Roman"/>
                      <w:color w:val="000000"/>
                      <w:sz w:val="21"/>
                      <w:szCs w:val="21"/>
                    </w:rPr>
                  </w:pPr>
                </w:p>
              </w:tc>
              <w:tc>
                <w:tcPr>
                  <w:tcW w:w="538" w:type="pct"/>
                  <w:vMerge w:val="continue"/>
                  <w:tcBorders>
                    <w:tl2br w:val="nil"/>
                    <w:tr2bl w:val="nil"/>
                  </w:tcBorders>
                  <w:noWrap w:val="0"/>
                  <w:tcMar>
                    <w:top w:w="0" w:type="dxa"/>
                    <w:left w:w="108" w:type="dxa"/>
                    <w:bottom w:w="0" w:type="dxa"/>
                    <w:right w:w="108" w:type="dxa"/>
                  </w:tcMar>
                  <w:vAlign w:val="center"/>
                </w:tcPr>
                <w:p w14:paraId="54292150">
                  <w:pPr>
                    <w:keepNext w:val="0"/>
                    <w:keepLines w:val="0"/>
                    <w:pageBreakBefore w:val="0"/>
                    <w:kinsoku/>
                    <w:wordWrap/>
                    <w:overflowPunct/>
                    <w:topLinePunct w:val="0"/>
                    <w:autoSpaceDE/>
                    <w:autoSpaceDN/>
                    <w:bidi w:val="0"/>
                    <w:ind w:firstLine="0"/>
                    <w:textAlignment w:val="auto"/>
                    <w:rPr>
                      <w:rFonts w:hint="default" w:ascii="Times New Roman" w:hAnsi="Times New Roman" w:eastAsia="宋体" w:cs="Times New Roman"/>
                      <w:color w:val="000000"/>
                      <w:sz w:val="21"/>
                      <w:szCs w:val="21"/>
                    </w:rPr>
                  </w:pPr>
                </w:p>
              </w:tc>
            </w:tr>
            <w:tr w14:paraId="7169728F">
              <w:tblPrEx>
                <w:tblBorders>
                  <w:top w:val="single" w:color="auto" w:sz="12" w:space="0"/>
                  <w:left w:val="single" w:color="CBCDD1" w:sz="4" w:space="0"/>
                  <w:bottom w:val="single" w:color="auto" w:sz="12" w:space="0"/>
                  <w:right w:val="single" w:color="CBCDD1"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469" w:type="pct"/>
                  <w:vMerge w:val="continue"/>
                  <w:tcBorders>
                    <w:tl2br w:val="nil"/>
                    <w:tr2bl w:val="nil"/>
                  </w:tcBorders>
                  <w:noWrap w:val="0"/>
                  <w:tcMar>
                    <w:top w:w="0" w:type="dxa"/>
                    <w:left w:w="108" w:type="dxa"/>
                    <w:bottom w:w="0" w:type="dxa"/>
                    <w:right w:w="108" w:type="dxa"/>
                  </w:tcMar>
                  <w:vAlign w:val="center"/>
                </w:tcPr>
                <w:p w14:paraId="23BE3706">
                  <w:pPr>
                    <w:keepNext w:val="0"/>
                    <w:keepLines w:val="0"/>
                    <w:pageBreakBefore w:val="0"/>
                    <w:kinsoku/>
                    <w:wordWrap/>
                    <w:overflowPunct/>
                    <w:topLinePunct w:val="0"/>
                    <w:autoSpaceDE/>
                    <w:autoSpaceDN/>
                    <w:bidi w:val="0"/>
                    <w:ind w:firstLine="0"/>
                    <w:textAlignment w:val="auto"/>
                    <w:rPr>
                      <w:rFonts w:hint="default" w:ascii="Times New Roman" w:hAnsi="Times New Roman" w:eastAsia="宋体" w:cs="Times New Roman"/>
                      <w:color w:val="000000"/>
                      <w:sz w:val="21"/>
                      <w:szCs w:val="21"/>
                    </w:rPr>
                  </w:pPr>
                </w:p>
              </w:tc>
              <w:tc>
                <w:tcPr>
                  <w:tcW w:w="3030" w:type="pct"/>
                  <w:tcBorders>
                    <w:tl2br w:val="nil"/>
                    <w:tr2bl w:val="nil"/>
                  </w:tcBorders>
                  <w:noWrap w:val="0"/>
                  <w:tcMar>
                    <w:top w:w="0" w:type="dxa"/>
                    <w:left w:w="108" w:type="dxa"/>
                    <w:bottom w:w="0" w:type="dxa"/>
                    <w:right w:w="108" w:type="dxa"/>
                  </w:tcMar>
                  <w:vAlign w:val="center"/>
                </w:tcPr>
                <w:p w14:paraId="25232E49">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left"/>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第二十一条：土壤污染重点监管单位应当定期开展土壤和地下水监测，将监测数据及时报生态环境主管部门并向社会公开。土壤污染重点监管单位应当对监测数据的真实性、准确性和完整性负责。监测数据异常的，土壤污染重点监管单位应当立即开展相关排查，及时对隐患进行整改，采取措施防止污染扩散。</w:t>
                  </w:r>
                </w:p>
              </w:tc>
              <w:tc>
                <w:tcPr>
                  <w:tcW w:w="961" w:type="pct"/>
                  <w:tcBorders>
                    <w:tl2br w:val="nil"/>
                    <w:tr2bl w:val="nil"/>
                  </w:tcBorders>
                  <w:noWrap w:val="0"/>
                  <w:tcMar>
                    <w:top w:w="0" w:type="dxa"/>
                    <w:left w:w="108" w:type="dxa"/>
                    <w:bottom w:w="0" w:type="dxa"/>
                    <w:right w:w="108" w:type="dxa"/>
                  </w:tcMar>
                  <w:vAlign w:val="center"/>
                </w:tcPr>
                <w:p w14:paraId="6934D25E">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b w:val="0"/>
                      <w:bCs w:val="0"/>
                      <w:i w:val="0"/>
                      <w:iCs w:val="0"/>
                      <w:color w:val="000000"/>
                      <w:spacing w:val="0"/>
                      <w:w w:val="100"/>
                      <w:sz w:val="21"/>
                      <w:szCs w:val="21"/>
                      <w:vertAlign w:val="baseline"/>
                    </w:rPr>
                    <w:t>本公司未纳入土壤污染重点监管单位</w:t>
                  </w:r>
                  <w:r>
                    <w:rPr>
                      <w:rFonts w:hint="eastAsia" w:ascii="Times New Roman" w:hAnsi="Times New Roman" w:cs="Times New Roman"/>
                      <w:b w:val="0"/>
                      <w:bCs w:val="0"/>
                      <w:i w:val="0"/>
                      <w:iCs w:val="0"/>
                      <w:color w:val="000000"/>
                      <w:spacing w:val="0"/>
                      <w:w w:val="100"/>
                      <w:sz w:val="21"/>
                      <w:szCs w:val="21"/>
                      <w:vertAlign w:val="baseline"/>
                      <w:lang w:eastAsia="zh-CN"/>
                    </w:rPr>
                    <w:t>。</w:t>
                  </w:r>
                </w:p>
              </w:tc>
              <w:tc>
                <w:tcPr>
                  <w:tcW w:w="538" w:type="pct"/>
                  <w:tcBorders>
                    <w:tl2br w:val="nil"/>
                    <w:tr2bl w:val="nil"/>
                  </w:tcBorders>
                  <w:noWrap w:val="0"/>
                  <w:tcMar>
                    <w:top w:w="0" w:type="dxa"/>
                    <w:left w:w="108" w:type="dxa"/>
                    <w:bottom w:w="0" w:type="dxa"/>
                    <w:right w:w="108" w:type="dxa"/>
                  </w:tcMar>
                  <w:vAlign w:val="center"/>
                </w:tcPr>
                <w:p w14:paraId="27B33F1D">
                  <w:pPr>
                    <w:pStyle w:val="19"/>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bl>
          <w:p w14:paraId="4E18828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cs="Times New Roman"/>
                <w:b/>
                <w:color w:val="000000"/>
                <w:sz w:val="24"/>
                <w:lang w:val="en-US" w:eastAsia="zh-CN"/>
              </w:rPr>
            </w:pPr>
            <w:r>
              <w:rPr>
                <w:rFonts w:hint="eastAsia" w:cs="Times New Roman"/>
                <w:b/>
                <w:color w:val="000000"/>
                <w:sz w:val="24"/>
                <w:lang w:val="en-US" w:eastAsia="zh-CN"/>
              </w:rPr>
              <w:t>8、与《长三角生态绿色一体化发展示范区生态环境准入清单》相符性分析</w:t>
            </w:r>
          </w:p>
          <w:p w14:paraId="57406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pP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本项目与《浙江省生态环境厅上海市生态环境局 江苏省生态环境厅长三角生态绿色一体化发展示范区执委会关于印发长三角生态绿色一体化发展示范区生态环境准入清单的通知》（浙环函〔2022〕260号）附件《长三角生态绿色一体化发展示范区生态环境准入清单》相关要求相符性见下表：</w:t>
            </w:r>
          </w:p>
          <w:p w14:paraId="3C8D74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表1-1</w:t>
            </w:r>
            <w:r>
              <w:rPr>
                <w:rFonts w:hint="eastAsia" w:cs="Times New Roman"/>
                <w:b/>
                <w:bCs/>
                <w:i w:val="0"/>
                <w:iCs w:val="0"/>
                <w:color w:val="000000"/>
                <w:spacing w:val="0"/>
                <w:w w:val="100"/>
                <w:kern w:val="2"/>
                <w:sz w:val="21"/>
                <w:szCs w:val="21"/>
                <w:vertAlign w:val="baseline"/>
                <w:lang w:val="en-US" w:eastAsia="zh-CN" w:bidi="ar-SA"/>
              </w:rPr>
              <w:t xml:space="preserve">1 </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与《长三角生态绿色一体化发展示范区生态环境准入清单》（浙环函〔2022〕260号）相符性分析</w:t>
            </w:r>
          </w:p>
          <w:tbl>
            <w:tblPr>
              <w:tblStyle w:val="20"/>
              <w:tblW w:w="82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09"/>
              <w:gridCol w:w="5081"/>
              <w:gridCol w:w="1586"/>
              <w:gridCol w:w="905"/>
            </w:tblGrid>
            <w:tr w14:paraId="23D45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7" w:hRule="atLeast"/>
                <w:jc w:val="center"/>
              </w:trPr>
              <w:tc>
                <w:tcPr>
                  <w:tcW w:w="428"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EF016B7">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内容</w:t>
                  </w:r>
                </w:p>
              </w:tc>
              <w:tc>
                <w:tcPr>
                  <w:tcW w:w="3067"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A0A8A3C">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2"/>
                      <w:w w:val="100"/>
                      <w:sz w:val="21"/>
                      <w:szCs w:val="21"/>
                      <w:vertAlign w:val="baseline"/>
                    </w:rPr>
                    <w:t>文件要求</w:t>
                  </w:r>
                </w:p>
              </w:tc>
              <w:tc>
                <w:tcPr>
                  <w:tcW w:w="957"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DB0AB10">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本项目情况</w:t>
                  </w:r>
                </w:p>
              </w:tc>
              <w:tc>
                <w:tcPr>
                  <w:tcW w:w="546"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1BEBBDE">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相符性分析</w:t>
                  </w:r>
                </w:p>
              </w:tc>
            </w:tr>
            <w:tr w14:paraId="58B85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E117661">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一、鼓励事项</w:t>
                  </w: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4F7B507">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积极发展引领性绿色低碳经济、功能型总部经济、特色型服务经济、融合型数字经济、前沿型创新经济、生态型湖区经济，大力培育符合生态绿色导向的专精特新企业和战略性新兴产业，布局绿能环保、科技研发、总部办公、文旅会展和信息数创等重大产业项目。</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F6B8581">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01647B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w:t>
                  </w:r>
                </w:p>
              </w:tc>
            </w:tr>
            <w:tr w14:paraId="0B4B1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313189B">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ABE211">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2、积极引入绿色低碳领域技术咨询机构，支持绿色研发设计、节能环保认证、低碳规划咨询、环境检测管理等生产性服务业发展，共建区域绿色低碳技术咨询服务行业高地。</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7CFF18B">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E9BAE72">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w:t>
                  </w:r>
                </w:p>
              </w:tc>
            </w:tr>
            <w:tr w14:paraId="424F1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2A32440">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45E8E92">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3、在先行启动区内新进产业项目污染物排放执行已发布的国家、沪苏浙行业及特定区域最严格的排放标准。相关要求适时扩大到一体化示范区全域。</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3728F1C">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本项目污染物执行已发布的国家、沪苏浙行业及特定区域最严格的排放标准</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214CB4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35EB3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22DECFA">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E69C5CC">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8、苏州市吴江区围</w:t>
                  </w:r>
                  <w:r>
                    <w:rPr>
                      <w:rFonts w:hint="eastAsia" w:ascii="宋体" w:hAnsi="宋体" w:eastAsia="宋体" w:cs="宋体"/>
                      <w:b w:val="0"/>
                      <w:bCs w:val="0"/>
                      <w:i w:val="0"/>
                      <w:iCs w:val="0"/>
                      <w:color w:val="000000"/>
                      <w:spacing w:val="-2"/>
                      <w:w w:val="100"/>
                      <w:sz w:val="21"/>
                      <w:szCs w:val="21"/>
                      <w:vertAlign w:val="baseline"/>
                    </w:rPr>
                    <w:t>绕“创新湖区”“乐居之城”发展定</w:t>
                  </w:r>
                  <w:r>
                    <w:rPr>
                      <w:rFonts w:hint="default" w:ascii="Times New Roman" w:hAnsi="Times New Roman" w:eastAsia="宋体" w:cs="Times New Roman"/>
                      <w:b w:val="0"/>
                      <w:bCs w:val="0"/>
                      <w:i w:val="0"/>
                      <w:iCs w:val="0"/>
                      <w:color w:val="000000"/>
                      <w:spacing w:val="-2"/>
                      <w:w w:val="100"/>
                      <w:sz w:val="21"/>
                      <w:szCs w:val="21"/>
                      <w:vertAlign w:val="baseline"/>
                    </w:rPr>
                    <w:t>位，以绿色低碳循环为导向，强化高耗能、高排放建设项目生态环境源头防控，推动生态资源利用更加高效、绿色、安全。</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269E11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本项目不属于高耗能、高排放项目</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7AB4888E">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5C73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C8F0FDC">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D129D04">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9、吴江区突出发展电子信息、光电通信、智能装备、高端纺织四</w:t>
                  </w:r>
                  <w:r>
                    <w:rPr>
                      <w:rFonts w:hint="eastAsia" w:ascii="宋体" w:hAnsi="宋体" w:eastAsia="宋体" w:cs="宋体"/>
                      <w:b w:val="0"/>
                      <w:bCs w:val="0"/>
                      <w:i w:val="0"/>
                      <w:iCs w:val="0"/>
                      <w:color w:val="000000"/>
                      <w:spacing w:val="-2"/>
                      <w:w w:val="100"/>
                      <w:sz w:val="21"/>
                      <w:szCs w:val="21"/>
                      <w:vertAlign w:val="baseline"/>
                    </w:rPr>
                    <w:t>大“强”制造集群；加快发展人工智能、生命健康、新材料、绿色环保四大“新”制造</w:t>
                  </w:r>
                  <w:r>
                    <w:rPr>
                      <w:rFonts w:hint="default" w:ascii="Times New Roman" w:hAnsi="Times New Roman" w:eastAsia="宋体" w:cs="Times New Roman"/>
                      <w:b w:val="0"/>
                      <w:bCs w:val="0"/>
                      <w:i w:val="0"/>
                      <w:iCs w:val="0"/>
                      <w:color w:val="000000"/>
                      <w:spacing w:val="-2"/>
                      <w:w w:val="100"/>
                      <w:sz w:val="21"/>
                      <w:szCs w:val="21"/>
                      <w:vertAlign w:val="baseline"/>
                    </w:rPr>
                    <w:t>集群；聚焦培育现代商贸服务、高端商务服务、数字赋能服务、科技创新服务、文创</w:t>
                  </w:r>
                  <w:r>
                    <w:rPr>
                      <w:rFonts w:hint="eastAsia" w:ascii="宋体" w:hAnsi="宋体" w:eastAsia="宋体" w:cs="宋体"/>
                      <w:b w:val="0"/>
                      <w:bCs w:val="0"/>
                      <w:i w:val="0"/>
                      <w:iCs w:val="0"/>
                      <w:color w:val="000000"/>
                      <w:spacing w:val="-2"/>
                      <w:w w:val="100"/>
                      <w:sz w:val="21"/>
                      <w:szCs w:val="21"/>
                      <w:vertAlign w:val="baseline"/>
                    </w:rPr>
                    <w:t>旅游服务五大“特”色</w:t>
                  </w:r>
                  <w:r>
                    <w:rPr>
                      <w:rFonts w:hint="default" w:ascii="Times New Roman" w:hAnsi="Times New Roman" w:eastAsia="宋体" w:cs="Times New Roman"/>
                      <w:b w:val="0"/>
                      <w:bCs w:val="0"/>
                      <w:i w:val="0"/>
                      <w:iCs w:val="0"/>
                      <w:color w:val="000000"/>
                      <w:spacing w:val="-2"/>
                      <w:w w:val="100"/>
                      <w:sz w:val="21"/>
                      <w:szCs w:val="21"/>
                      <w:vertAlign w:val="baseline"/>
                    </w:rPr>
                    <w:t>服务经济。</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0109F04">
                  <w:pPr>
                    <w:pStyle w:val="1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 w:val="0"/>
                      <w:bCs w:val="0"/>
                      <w:i w:val="0"/>
                      <w:iCs w:val="0"/>
                      <w:color w:val="000000"/>
                      <w:spacing w:val="0"/>
                      <w:w w:val="100"/>
                      <w:sz w:val="21"/>
                      <w:szCs w:val="21"/>
                      <w:vertAlign w:val="baseline"/>
                      <w:lang w:val="en-US" w:eastAsia="zh-CN"/>
                    </w:rPr>
                    <w:t>/</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0DC6948">
                  <w:pPr>
                    <w:pStyle w:val="19"/>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b w:val="0"/>
                      <w:bCs w:val="0"/>
                      <w:i w:val="0"/>
                      <w:iCs w:val="0"/>
                      <w:color w:val="000000"/>
                      <w:spacing w:val="0"/>
                      <w:w w:val="100"/>
                      <w:sz w:val="21"/>
                      <w:szCs w:val="21"/>
                      <w:vertAlign w:val="baseline"/>
                      <w:lang w:val="en-US" w:eastAsia="zh-CN"/>
                    </w:rPr>
                    <w:t>/</w:t>
                  </w:r>
                </w:p>
              </w:tc>
            </w:tr>
            <w:tr w14:paraId="2E43C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C5167B7">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二、引导事项</w:t>
                  </w: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F39D25C">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12、落实《长三角生态绿色一体化发展示范区产业结构调整指导目录》《长三角一体化示范区先行启动区产业项目准入标准（试行）》，加快产业结构优化调整，引导产业园区优化布局。</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C64B5A">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E9B1220">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w:t>
                  </w:r>
                </w:p>
              </w:tc>
            </w:tr>
            <w:tr w14:paraId="21F06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5147237">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E14BD18">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13、以高标准生态环境准入推动传统产业转型升级，大力提升传统特色产业能级，降低单位能耗和排污强度，促进减污降碳协同增效。</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E6D7E8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本项目不属于高耗能、高排放项目</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1914217">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73488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2E228D4">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5749571">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14、依法依规推动传统高耗能、高排放行业的产能淘汰、转型升级和域外搬迁，支撑和推动示范区产业减污降碳。</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3A5BAFE">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本项目不属于高耗能、高排放项目</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67D6C15">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07B3A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C6316DF">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5F46A2">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15、各产业集聚类重点管控单元根据产业集聚区块的功能定位，实施差异化的产业准入条件，严格实施污染物总量控制和环境风险防范制度，推进集聚区生态化改造，提高资源能源利用效率。</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C64CDE4">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本项目符合准入条件</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70A421C3">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6CE58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FF80371">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4449C13">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16、产业园区邻近现有及规划集中居住区的，应合理设置产业控制带，细化产业控制带设置范围及产业准入要求。产业控制带内原则上不得新建住宅、学校、医疗机构等敏感目标，不宜引入环境风险潜势为Ⅱ级及以上的项目（依据《建设项目环境风险评价技术导则》）。</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E61A05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本项目周边无居住区</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04C516D">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51F04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5D03D46">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EDD55FF">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17、城镇生活类重点管控单元发展高端生产性服务业和高附加值都市型工业，重点深化生活、交通领域污染减排。</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157FFD2">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不涉及</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A7A11DA">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1A759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F062605">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C32F2F8">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18、一般管控单元以促进生活、生态、生产功能的融合为导向，重点加强农业、生活等领域污染治理，加强永久基本农田保护，严格限制非农项目占用耕地，促进城乡空间的弹性有机生长。</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339BAE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本项目不涉及</w:t>
                  </w:r>
                  <w:r>
                    <w:rPr>
                      <w:rFonts w:hint="default" w:ascii="Times New Roman" w:hAnsi="Times New Roman" w:eastAsia="宋体" w:cs="Times New Roman"/>
                      <w:b w:val="0"/>
                      <w:bCs w:val="0"/>
                      <w:i w:val="0"/>
                      <w:iCs w:val="0"/>
                      <w:color w:val="000000"/>
                      <w:spacing w:val="-2"/>
                      <w:w w:val="100"/>
                      <w:sz w:val="21"/>
                      <w:szCs w:val="21"/>
                      <w:vertAlign w:val="baseline"/>
                    </w:rPr>
                    <w:t>一般管控单元</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9BB450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1BAAD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015C7EC">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D427BF7">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19、优先保护单元生态保护红线应确保功能不降低、面积不减少、性质不改变，一般生态空间以生态保护为重点，原则上不得开展有损主导生态功能的开发建设活动。</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430C10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不涉及</w:t>
                  </w:r>
                  <w:r>
                    <w:rPr>
                      <w:rFonts w:hint="default" w:ascii="Times New Roman" w:hAnsi="Times New Roman" w:eastAsia="宋体" w:cs="Times New Roman"/>
                      <w:b w:val="0"/>
                      <w:bCs w:val="0"/>
                      <w:i w:val="0"/>
                      <w:iCs w:val="0"/>
                      <w:color w:val="000000"/>
                      <w:spacing w:val="-2"/>
                      <w:w w:val="100"/>
                      <w:sz w:val="21"/>
                      <w:szCs w:val="21"/>
                      <w:vertAlign w:val="baseline"/>
                    </w:rPr>
                    <w:t>优先保护单元</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E627BEE">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7EC40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AAB5223">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三、禁止事项</w:t>
                  </w: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D002C2">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20、严格执行相关法律法规，禁止开展和建设损害生态保护红线主导生态功能、法律法规禁止的活动和项目。结构性生态空间内禁止对主导生态功能产生影响的开发建设活动。</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F493881">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w:t>
                  </w:r>
                  <w:r>
                    <w:rPr>
                      <w:rFonts w:hint="default" w:ascii="Times New Roman" w:hAnsi="Times New Roman" w:eastAsia="宋体" w:cs="Times New Roman"/>
                      <w:b w:val="0"/>
                      <w:bCs w:val="0"/>
                      <w:i w:val="0"/>
                      <w:iCs w:val="0"/>
                      <w:color w:val="000000"/>
                      <w:spacing w:val="-2"/>
                      <w:w w:val="100"/>
                      <w:sz w:val="21"/>
                      <w:szCs w:val="21"/>
                      <w:vertAlign w:val="baseline"/>
                    </w:rPr>
                    <w:t>严格执行相关法律法规</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DAC01FF">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7AA1E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90B95A6">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001EBC7">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21、长江流域重点水域自2021年1月1日起实行为期10年的常年禁捕，国家、省级水生生物保护区实行常年禁捕，禁捕期内全面禁止生产性捕捞和垂钓。禁止在水产种质资源保护区的岸线和河段范围内新建围湖造田等投资建设项目。淀山湖生物多样性维护区、大莲湖生物多样性维护区、嘉善县生物多样性维护区内，禁止违法猎捕野生动物、破坏野生动物栖息地和生存环境，禁止开展破坏其生态功能的活动。</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CD09B9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本项目不涉及</w:t>
                  </w:r>
                  <w:r>
                    <w:rPr>
                      <w:rFonts w:hint="default" w:ascii="Times New Roman" w:hAnsi="Times New Roman" w:eastAsia="宋体" w:cs="Times New Roman"/>
                      <w:b w:val="0"/>
                      <w:bCs w:val="0"/>
                      <w:i w:val="0"/>
                      <w:iCs w:val="0"/>
                      <w:color w:val="000000"/>
                      <w:spacing w:val="-2"/>
                      <w:w w:val="100"/>
                      <w:sz w:val="21"/>
                      <w:szCs w:val="21"/>
                      <w:vertAlign w:val="baseline"/>
                    </w:rPr>
                    <w:t>长江流域重点水域</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F16E58C">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7505D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1DDF7E1">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A851BBE">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22、禁止在自然保护区核心区、缓冲区的岸线和河段范围内投资建设旅游和生产经营项目。禁止在风景名胜区核心景区的岸线和河段范围内投资建设与风景名胜资源保护无关的项目。禁止在太湖（吴江区）重要湿地、吴江同里国家湿地公园（试点）、吴江震泽省级湿地公园的岸线和河段范围内挖沙、采矿，以及不符合主体功能定位的投资建设项目。林地、河流等生态空间严格执行相关法律法规或管理办法，禁止建设或开展法律法规规定不能建设或开展的项目或活动。</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949D484">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本项目不涉及</w:t>
                  </w:r>
                  <w:r>
                    <w:rPr>
                      <w:rFonts w:hint="default" w:ascii="Times New Roman" w:hAnsi="Times New Roman" w:eastAsia="宋体" w:cs="Times New Roman"/>
                      <w:b w:val="0"/>
                      <w:bCs w:val="0"/>
                      <w:i w:val="0"/>
                      <w:iCs w:val="0"/>
                      <w:color w:val="000000"/>
                      <w:spacing w:val="-2"/>
                      <w:w w:val="100"/>
                      <w:sz w:val="21"/>
                      <w:szCs w:val="21"/>
                      <w:vertAlign w:val="baseline"/>
                    </w:rPr>
                    <w:t>自然保护区核心区、缓冲区的岸线和河段</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6ECB20C">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324CC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386B70F">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F5382B5">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23、禁止在饮用水水源一级保护区新建、改建、扩建与供水设施和保护水源无关的项目，以及网箱养殖、畜禽养殖、旅游等可能污染饮用水水体的投资建设活动。禁止在饮用水水源二级保护区范围内新建、改建、扩建排放污染物的建设项目。禁止在饮用水水源准保护区内新建、扩建污染水体的建设项目；改建项目不得增加排污量。对确实无法避让、涉及生态保护红线和相关法定保护区的线性交通设施、水利设施项目以及保障城市安全的工程项目，应采取无害化穿（跨）越方式，并依法依规取得相关主管部门的同意。</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575A745">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本项目不在</w:t>
                  </w:r>
                  <w:r>
                    <w:rPr>
                      <w:rFonts w:hint="default" w:ascii="Times New Roman" w:hAnsi="Times New Roman" w:eastAsia="宋体" w:cs="Times New Roman"/>
                      <w:b w:val="0"/>
                      <w:bCs w:val="0"/>
                      <w:i w:val="0"/>
                      <w:iCs w:val="0"/>
                      <w:color w:val="000000"/>
                      <w:spacing w:val="-2"/>
                      <w:w w:val="100"/>
                      <w:sz w:val="21"/>
                      <w:szCs w:val="21"/>
                      <w:vertAlign w:val="baseline"/>
                    </w:rPr>
                    <w:t>饮用水水源一级保护区内、不在饮用水水源准保护区内</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6D91E19">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7BE5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3BD3293">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0CE5983">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24、禁止违法利用、占用长江流域河湖岸线。禁止在《全国重要江河湖泊水功能区划》划定的河段及湖泊保护区、保留区内投资建设不利于水资源及自然生态保护的项目。禁止未经法定许可占用水域和建设影响河道自然形态和水生态（环境）功能的项目。</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F85385">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本项目不涉及</w:t>
                  </w:r>
                  <w:r>
                    <w:rPr>
                      <w:rFonts w:hint="default" w:ascii="Times New Roman" w:hAnsi="Times New Roman" w:eastAsia="宋体" w:cs="Times New Roman"/>
                      <w:b w:val="0"/>
                      <w:bCs w:val="0"/>
                      <w:i w:val="0"/>
                      <w:iCs w:val="0"/>
                      <w:color w:val="000000"/>
                      <w:spacing w:val="-2"/>
                      <w:w w:val="100"/>
                      <w:sz w:val="21"/>
                      <w:szCs w:val="21"/>
                      <w:vertAlign w:val="baseline"/>
                    </w:rPr>
                    <w:t>长江流域河湖岸线</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7BC8E95">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46166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77873C1">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BB71251">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25、禁止未经同意在长江流域江河、湖泊新设、改设或扩大排污口。禁止在长江干支流、重要湖泊岸线一公里范围内新建、扩建化工园区和化工项目，现有化工企业依法逐步淘汰搬迁。禁止在长江干流岸线三公里范围内和重要支流岸线1公里范围内新建、改建、扩建尾矿库、冶炼渣库和磷石膏库，以提升安全、生态环境保护水平为目的的改建除外。</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C68C0F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本项目不新增入河排污口</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F4FC343">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4FD97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4360825">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D9F780D">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26、除战略新兴产业项目外，太湖流域原则上不再审批其他生产性新增氮磷污染物的工业类建设项目。太湖沿岸5公里范围内，禁止新建、扩建向水体排放污染物的建设项目，禁止新建、扩建畜禽养殖场，禁止新建、扩建高尔夫球场和设置水上餐饮经营设施。</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59AA8B9">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本项目不新增工业废水排放</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AD29699">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080087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2037F2A">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619146D">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27、禁止建设不符合全国和省级港口布局规划以及港口总体规划的码头项目。禁止新建、扩建不符合国家石化、现代煤化工等产业布局规划的项目。</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13716D9">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本项目不涉及码头</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EF5EA7E">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5D366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AC2E0FB">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E2CC05">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28、禁止新增化工园区。禁止在合规园区外新建、扩建钢铁、石化、化工、焦化、建材、有色、制浆造纸等高污染项目。高污染项目清单参照生态环境部《环境保护综合名录》执行。</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FA77C31">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本项目不属于化工项目，不属于高污染项目</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6A4DA5A">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4FCB5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14FF947">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FC185A5">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29、禁止新建、扩建法律法规和相关政策明令禁止的落后产能项目。禁止新建、扩建不符合国家产能置换要求的严重过剩产能行业的项目。禁止新建、扩建不符合要求的高耗能高排放项目。严格禁止煤炭、重汕、渣汕、石油焦等高污染燃料的使用（除电站锅炉、钢铁冶炼窑炉以外）。禁止建设企业自备燃煤设施。禁止新建、扩建燃用高污染燃料的设施（除热电行业以外）。</w:t>
                  </w:r>
                </w:p>
              </w:tc>
              <w:tc>
                <w:tcPr>
                  <w:tcW w:w="95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39072CB">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本项目不属于落后产能项目，不属于产能过剩的项目，不属于高耗能高排放项目</w:t>
                  </w:r>
                </w:p>
              </w:tc>
              <w:tc>
                <w:tcPr>
                  <w:tcW w:w="546"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9528E44">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5C694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28"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05749CD">
                  <w:pPr>
                    <w:rPr>
                      <w:rFonts w:hint="default" w:ascii="Times New Roman" w:hAnsi="Times New Roman" w:eastAsia="宋体" w:cs="Times New Roman"/>
                      <w:color w:val="000000"/>
                      <w:sz w:val="21"/>
                      <w:szCs w:val="21"/>
                    </w:rPr>
                  </w:pPr>
                </w:p>
              </w:tc>
              <w:tc>
                <w:tcPr>
                  <w:tcW w:w="3067"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153143E8">
                  <w:pPr>
                    <w:pStyle w:val="19"/>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2"/>
                      <w:w w:val="100"/>
                      <w:sz w:val="21"/>
                      <w:szCs w:val="21"/>
                      <w:vertAlign w:val="baseline"/>
                    </w:rPr>
                    <w:t>30、在地下水禁止开采区内禁止取用地下水，但不包括《地下水管理条例》第三十五条所列三种情形。在地下水限制开采区内禁止新增取用地下水，并逐步削减地下水取水量。</w:t>
                  </w:r>
                </w:p>
              </w:tc>
              <w:tc>
                <w:tcPr>
                  <w:tcW w:w="957"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04E6EDCD">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本项目不开采地下水</w:t>
                  </w:r>
                </w:p>
              </w:tc>
              <w:tc>
                <w:tcPr>
                  <w:tcW w:w="546"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551AE8DA">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bl>
          <w:p w14:paraId="545A5589">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cs="Times New Roman"/>
                <w:b/>
                <w:color w:val="000000"/>
                <w:sz w:val="24"/>
                <w:lang w:val="en-US" w:eastAsia="zh-CN"/>
              </w:rPr>
            </w:pPr>
            <w:r>
              <w:rPr>
                <w:rFonts w:hint="eastAsia" w:cs="Times New Roman"/>
                <w:b/>
                <w:color w:val="000000"/>
                <w:sz w:val="24"/>
                <w:lang w:val="en-US" w:eastAsia="zh-CN"/>
              </w:rPr>
              <w:t>9、</w:t>
            </w:r>
            <w:r>
              <w:rPr>
                <w:rFonts w:hint="default" w:cs="Times New Roman"/>
                <w:b/>
                <w:color w:val="000000"/>
                <w:sz w:val="24"/>
                <w:lang w:val="en-US" w:eastAsia="zh-CN"/>
              </w:rPr>
              <w:t>与《深入打好重污染天气消除、臭氧污染防治和柴油货车污染治理攻坚战行动方案》相符性分析</w:t>
            </w:r>
          </w:p>
          <w:p w14:paraId="3A962C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表1-1</w:t>
            </w:r>
            <w:r>
              <w:rPr>
                <w:rFonts w:hint="eastAsia" w:cs="Times New Roman"/>
                <w:b/>
                <w:bCs/>
                <w:i w:val="0"/>
                <w:iCs w:val="0"/>
                <w:color w:val="000000"/>
                <w:spacing w:val="0"/>
                <w:w w:val="100"/>
                <w:kern w:val="2"/>
                <w:sz w:val="21"/>
                <w:szCs w:val="21"/>
                <w:vertAlign w:val="baseline"/>
                <w:lang w:val="en-US" w:eastAsia="zh-CN" w:bidi="ar-SA"/>
              </w:rPr>
              <w:t xml:space="preserve">2 </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《深入打好重污染天气消除、臭氧污染防治和柴油货车污染治理攻坚战行动方案》相符性分析</w:t>
            </w:r>
          </w:p>
          <w:tbl>
            <w:tblPr>
              <w:tblStyle w:val="2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838"/>
              <w:gridCol w:w="4927"/>
              <w:gridCol w:w="1605"/>
              <w:gridCol w:w="909"/>
            </w:tblGrid>
            <w:tr w14:paraId="52587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7B9290FF">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0"/>
                      <w:w w:val="100"/>
                      <w:sz w:val="21"/>
                      <w:szCs w:val="21"/>
                      <w:vertAlign w:val="baseline"/>
                    </w:rPr>
                    <w:t>文件名称</w:t>
                  </w:r>
                </w:p>
              </w:tc>
              <w:tc>
                <w:tcPr>
                  <w:tcW w:w="2974"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6681944">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2"/>
                      <w:w w:val="100"/>
                      <w:sz w:val="21"/>
                      <w:szCs w:val="21"/>
                      <w:vertAlign w:val="baseline"/>
                    </w:rPr>
                    <w:t>控制要求</w:t>
                  </w:r>
                </w:p>
              </w:tc>
              <w:tc>
                <w:tcPr>
                  <w:tcW w:w="969"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8133FF">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0"/>
                      <w:w w:val="100"/>
                      <w:sz w:val="21"/>
                      <w:szCs w:val="21"/>
                      <w:vertAlign w:val="baseline"/>
                    </w:rPr>
                    <w:t>本项目情况</w:t>
                  </w:r>
                </w:p>
              </w:tc>
              <w:tc>
                <w:tcPr>
                  <w:tcW w:w="548"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797DCA73">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0"/>
                      <w:w w:val="100"/>
                      <w:sz w:val="21"/>
                      <w:szCs w:val="21"/>
                      <w:vertAlign w:val="baseline"/>
                    </w:rPr>
                    <w:t>相符性分析</w:t>
                  </w:r>
                </w:p>
              </w:tc>
            </w:tr>
            <w:tr w14:paraId="1A852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046FD8A">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深入打好重污染天气消除、臭氧污染防治和柴油货车污染治理攻坚战行动方案</w:t>
                  </w:r>
                </w:p>
              </w:tc>
              <w:tc>
                <w:tcPr>
                  <w:tcW w:w="297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3291618">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b/>
                      <w:bCs/>
                      <w:color w:val="000000"/>
                    </w:rPr>
                  </w:pPr>
                  <w:r>
                    <w:rPr>
                      <w:rFonts w:hint="default" w:ascii="Times New Roman" w:hAnsi="Times New Roman" w:eastAsia="宋体" w:cs="Times New Roman"/>
                      <w:b/>
                      <w:bCs/>
                      <w:i w:val="0"/>
                      <w:iCs w:val="0"/>
                      <w:color w:val="000000"/>
                      <w:spacing w:val="-2"/>
                      <w:w w:val="100"/>
                      <w:sz w:val="21"/>
                      <w:szCs w:val="21"/>
                      <w:vertAlign w:val="baseline"/>
                    </w:rPr>
                    <w:t>三、推进重点工程</w:t>
                  </w:r>
                </w:p>
                <w:p w14:paraId="6DDB3AA5">
                  <w:pPr>
                    <w:pStyle w:val="19"/>
                    <w:keepNext w:val="0"/>
                    <w:keepLines w:val="0"/>
                    <w:widowControl/>
                    <w:suppressLineNumbers w:val="0"/>
                    <w:spacing w:before="0" w:beforeAutospacing="0" w:after="0" w:afterAutospacing="0"/>
                    <w:ind w:left="0" w:right="0" w:firstLine="412" w:firstLineChars="200"/>
                    <w:jc w:val="both"/>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2"/>
                      <w:w w:val="100"/>
                      <w:sz w:val="21"/>
                      <w:szCs w:val="21"/>
                      <w:vertAlign w:val="baseline"/>
                    </w:rPr>
                    <w:t>统筹大气污染防治</w:t>
                  </w:r>
                  <w:r>
                    <w:rPr>
                      <w:rFonts w:hint="eastAsia" w:ascii="宋体" w:hAnsi="宋体" w:eastAsia="宋体" w:cs="宋体"/>
                      <w:b w:val="0"/>
                      <w:bCs w:val="0"/>
                      <w:i w:val="0"/>
                      <w:iCs w:val="0"/>
                      <w:color w:val="000000"/>
                      <w:spacing w:val="-2"/>
                      <w:w w:val="100"/>
                      <w:sz w:val="21"/>
                      <w:szCs w:val="21"/>
                      <w:vertAlign w:val="baseline"/>
                    </w:rPr>
                    <w:t>与“双碳”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公转铁”“公转水”，</w:t>
                  </w:r>
                  <w:r>
                    <w:rPr>
                      <w:rFonts w:hint="default" w:ascii="Times New Roman" w:hAnsi="Times New Roman" w:eastAsia="宋体" w:cs="Times New Roman"/>
                      <w:b w:val="0"/>
                      <w:bCs w:val="0"/>
                      <w:i w:val="0"/>
                      <w:iCs w:val="0"/>
                      <w:color w:val="000000"/>
                      <w:spacing w:val="-2"/>
                      <w:w w:val="100"/>
                      <w:sz w:val="21"/>
                      <w:szCs w:val="21"/>
                      <w:vertAlign w:val="baseline"/>
                    </w:rPr>
                    <w:t>提高机动车船和非道路移动机械绿色低碳水平。强化挥发性有机物（VOCs）、氮氧化物等多污染物协同减排，以石化、化工、涂装、制药、包装印刷和油品储运销等为重点，加强VOCs源头、过程、末端全流程治理；持续推进钢铁行业超低排放改造，出台焦化、水泥行业超低排放改造方案；开展低效治理设施全面提升改造工程。严把治理工程质量，多措并举治理低价中标乱象，对工程质量低劣、环保设施运营管理水平低甚至存在弄虚作假行为的企业、环保公司和运维机构加大联合惩戒力度。统筹做好大气污染防治过程中安全防范工作。</w:t>
                  </w:r>
                </w:p>
              </w:tc>
              <w:tc>
                <w:tcPr>
                  <w:tcW w:w="96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07E2132">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eastAsia" w:ascii="宋体" w:hAnsi="宋体" w:eastAsia="宋体" w:cs="宋体"/>
                      <w:b w:val="0"/>
                      <w:bCs w:val="0"/>
                      <w:i w:val="0"/>
                      <w:iCs w:val="0"/>
                      <w:color w:val="000000"/>
                      <w:spacing w:val="0"/>
                      <w:w w:val="100"/>
                      <w:sz w:val="21"/>
                      <w:szCs w:val="21"/>
                      <w:vertAlign w:val="baseline"/>
                    </w:rPr>
                    <w:t>本项目不属于“两高”行</w:t>
                  </w:r>
                  <w:r>
                    <w:rPr>
                      <w:rFonts w:hint="default" w:ascii="Times New Roman" w:hAnsi="Times New Roman" w:eastAsia="宋体" w:cs="Times New Roman"/>
                      <w:b w:val="0"/>
                      <w:bCs w:val="0"/>
                      <w:i w:val="0"/>
                      <w:iCs w:val="0"/>
                      <w:color w:val="000000"/>
                      <w:spacing w:val="0"/>
                      <w:w w:val="100"/>
                      <w:sz w:val="21"/>
                      <w:szCs w:val="21"/>
                      <w:vertAlign w:val="baseline"/>
                    </w:rPr>
                    <w:t>业，</w:t>
                  </w:r>
                  <w:r>
                    <w:rPr>
                      <w:rFonts w:hint="default" w:ascii="Times New Roman" w:hAnsi="Times New Roman" w:eastAsia="宋体" w:cs="Times New Roman"/>
                      <w:b w:val="0"/>
                      <w:bCs w:val="0"/>
                      <w:i w:val="0"/>
                      <w:iCs w:val="0"/>
                      <w:color w:val="000000"/>
                      <w:spacing w:val="0"/>
                      <w:w w:val="100"/>
                      <w:sz w:val="21"/>
                      <w:szCs w:val="21"/>
                      <w:highlight w:val="none"/>
                      <w:vertAlign w:val="baseline"/>
                    </w:rPr>
                    <w:t>生产过程中产生的</w:t>
                  </w:r>
                  <w:r>
                    <w:rPr>
                      <w:rFonts w:hint="eastAsia" w:ascii="Times New Roman" w:hAnsi="Times New Roman" w:cs="Times New Roman"/>
                      <w:b w:val="0"/>
                      <w:bCs w:val="0"/>
                      <w:i w:val="0"/>
                      <w:iCs w:val="0"/>
                      <w:color w:val="000000"/>
                      <w:spacing w:val="0"/>
                      <w:w w:val="100"/>
                      <w:sz w:val="21"/>
                      <w:szCs w:val="21"/>
                      <w:highlight w:val="none"/>
                      <w:vertAlign w:val="baseline"/>
                      <w:lang w:val="en-US" w:eastAsia="zh-CN"/>
                    </w:rPr>
                    <w:t>废气</w:t>
                  </w:r>
                  <w:r>
                    <w:rPr>
                      <w:rFonts w:hint="default" w:ascii="Times New Roman" w:hAnsi="Times New Roman" w:eastAsia="宋体" w:cs="Times New Roman"/>
                      <w:b w:val="0"/>
                      <w:bCs w:val="0"/>
                      <w:i w:val="0"/>
                      <w:iCs w:val="0"/>
                      <w:color w:val="000000"/>
                      <w:spacing w:val="0"/>
                      <w:w w:val="100"/>
                      <w:sz w:val="21"/>
                      <w:szCs w:val="21"/>
                      <w:highlight w:val="none"/>
                      <w:vertAlign w:val="baseline"/>
                    </w:rPr>
                    <w:t>经二级活性炭吸附后达标排放</w:t>
                  </w:r>
                </w:p>
              </w:tc>
              <w:tc>
                <w:tcPr>
                  <w:tcW w:w="54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F1F7C4F">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5B546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100237D">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附件1重污染天气消除攻坚行动方案</w:t>
                  </w:r>
                </w:p>
              </w:tc>
              <w:tc>
                <w:tcPr>
                  <w:tcW w:w="297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7A8D3D7">
                  <w:pPr>
                    <w:pStyle w:val="19"/>
                    <w:keepNext w:val="0"/>
                    <w:keepLines w:val="0"/>
                    <w:widowControl/>
                    <w:suppressLineNumbers w:val="0"/>
                    <w:spacing w:before="0" w:beforeAutospacing="0" w:after="0" w:afterAutospacing="0"/>
                    <w:ind w:left="0" w:right="0" w:firstLine="422"/>
                    <w:jc w:val="both"/>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0"/>
                      <w:w w:val="100"/>
                      <w:sz w:val="21"/>
                      <w:szCs w:val="21"/>
                      <w:vertAlign w:val="baseline"/>
                    </w:rPr>
                    <w:t>推动产业结构和布局优化调整。</w:t>
                  </w:r>
                  <w:r>
                    <w:rPr>
                      <w:rFonts w:hint="default" w:ascii="Times New Roman" w:hAnsi="Times New Roman" w:eastAsia="宋体" w:cs="Times New Roman"/>
                      <w:b w:val="0"/>
                      <w:bCs w:val="0"/>
                      <w:i w:val="0"/>
                      <w:iCs w:val="0"/>
                      <w:color w:val="000000"/>
                      <w:spacing w:val="0"/>
                      <w:w w:val="100"/>
                      <w:sz w:val="21"/>
                      <w:szCs w:val="21"/>
                      <w:vertAlign w:val="baseline"/>
                    </w:rPr>
                    <w:t>坚决遏制高耗能、高排放、低水平项目盲目发展，严格落实国家产业规划、产业政策、</w:t>
                  </w:r>
                  <w:r>
                    <w:rPr>
                      <w:rFonts w:hint="eastAsia" w:ascii="宋体" w:hAnsi="宋体" w:eastAsia="宋体" w:cs="宋体"/>
                      <w:b w:val="0"/>
                      <w:bCs w:val="0"/>
                      <w:i w:val="0"/>
                      <w:iCs w:val="0"/>
                      <w:color w:val="000000"/>
                      <w:spacing w:val="0"/>
                      <w:w w:val="100"/>
                      <w:sz w:val="21"/>
                      <w:szCs w:val="21"/>
                      <w:vertAlign w:val="baseline"/>
                    </w:rPr>
                    <w:t>“三线一单”、规划环评，以及产能置换、煤炭消费减量替代、区域污染物削减等要求，坚决叫停不符合要求的</w:t>
                  </w:r>
                  <w:r>
                    <w:rPr>
                      <w:rFonts w:hint="default" w:ascii="Times New Roman" w:hAnsi="Times New Roman" w:eastAsia="宋体" w:cs="Times New Roman"/>
                      <w:b w:val="0"/>
                      <w:bCs w:val="0"/>
                      <w:i w:val="0"/>
                      <w:iCs w:val="0"/>
                      <w:color w:val="000000"/>
                      <w:spacing w:val="0"/>
                      <w:w w:val="100"/>
                      <w:sz w:val="21"/>
                      <w:szCs w:val="21"/>
                      <w:vertAlign w:val="baseline"/>
                    </w:rPr>
                    <w:t>高耗能、高排放、低水平项目。依法依规退出重点行业落后产能，修订《产业结构调整指导目录》，将大气污染物排放强度高、治理难度大的工艺和装备纳入淘汰类或限制类名单。推行钢铁、焦化、烧结一体化布局，有序推动长流程炼钢转型为电炉短流程炼钢。持续推动常态化水泥错峰生产。</w:t>
                  </w:r>
                </w:p>
              </w:tc>
              <w:tc>
                <w:tcPr>
                  <w:tcW w:w="96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2C489B1">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本项目为</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C3589其他医疗设备及器械制造</w:t>
                  </w:r>
                  <w:r>
                    <w:rPr>
                      <w:rFonts w:hint="default" w:ascii="Times New Roman" w:hAnsi="Times New Roman" w:eastAsia="宋体" w:cs="Times New Roman"/>
                      <w:b w:val="0"/>
                      <w:bCs w:val="0"/>
                      <w:i w:val="0"/>
                      <w:iCs w:val="0"/>
                      <w:color w:val="000000"/>
                      <w:spacing w:val="0"/>
                      <w:w w:val="100"/>
                      <w:sz w:val="21"/>
                      <w:szCs w:val="21"/>
                      <w:vertAlign w:val="baseline"/>
                    </w:rPr>
                    <w:t>，生产过程使用电能，不属于高能耗、落后产能项目</w:t>
                  </w:r>
                </w:p>
              </w:tc>
              <w:tc>
                <w:tcPr>
                  <w:tcW w:w="54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BFC315A">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3A60B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5C8D651">
                  <w:pPr>
                    <w:rPr>
                      <w:rFonts w:hint="default" w:ascii="Times New Roman" w:hAnsi="Times New Roman" w:cs="Times New Roman"/>
                      <w:color w:val="000000"/>
                      <w:sz w:val="24"/>
                      <w:szCs w:val="24"/>
                    </w:rPr>
                  </w:pPr>
                </w:p>
              </w:tc>
              <w:tc>
                <w:tcPr>
                  <w:tcW w:w="297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CD8A3D0">
                  <w:pPr>
                    <w:pStyle w:val="19"/>
                    <w:keepNext w:val="0"/>
                    <w:keepLines w:val="0"/>
                    <w:widowControl/>
                    <w:suppressLineNumbers w:val="0"/>
                    <w:spacing w:before="0" w:beforeAutospacing="0" w:after="0" w:afterAutospacing="0"/>
                    <w:ind w:left="0" w:right="0" w:firstLine="422"/>
                    <w:jc w:val="both"/>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0"/>
                      <w:w w:val="100"/>
                      <w:sz w:val="21"/>
                      <w:szCs w:val="21"/>
                      <w:vertAlign w:val="baseline"/>
                    </w:rPr>
                    <w:t>推动能源绿色低碳转型。</w:t>
                  </w:r>
                  <w:r>
                    <w:rPr>
                      <w:rFonts w:hint="default" w:ascii="Times New Roman" w:hAnsi="Times New Roman" w:eastAsia="宋体" w:cs="Times New Roman"/>
                      <w:b w:val="0"/>
                      <w:bCs w:val="0"/>
                      <w:i w:val="0"/>
                      <w:iCs w:val="0"/>
                      <w:color w:val="000000"/>
                      <w:spacing w:val="0"/>
                      <w:w w:val="100"/>
                      <w:sz w:val="21"/>
                      <w:szCs w:val="21"/>
                      <w:vertAlign w:val="baseline"/>
                    </w:rPr>
                    <w:t>大力发展新能源和清洁能源，非化石能源逐步成为能源消费增量主体。严控煤炭消费增长，重点区域继续实施煤炭消费总量控制，推动煤炭清洁高效利用。将确保群众安全过冬、温暖过冬放在首位，宜电则电、宜气则气、宜煤则煤、宜热则热，因地制宜稳妥推进北方地区清洁取暖，有序实施民用和农业散煤替代，在推进过程中要坚持以供定需、以气定改、先立后破、不立不破。着力整合供热资源，加快供热区域热网互联互通，充分释放燃煤电厂、工业余热等供热能力，发展长输供热项目，淘汰管网覆盖范围内的燃煤锅炉和散煤。实施工业炉窑清洁能源替代，大力推进电能替代煤炭，在不影响民生用气稳定、已落实合同气源的前提下，稳妥有序引导以气代煤。</w:t>
                  </w:r>
                </w:p>
              </w:tc>
              <w:tc>
                <w:tcPr>
                  <w:tcW w:w="96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B1C7708">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本</w:t>
                  </w:r>
                  <w:r>
                    <w:rPr>
                      <w:rFonts w:hint="default" w:ascii="Times New Roman" w:hAnsi="Times New Roman" w:eastAsia="宋体" w:cs="Times New Roman"/>
                      <w:b w:val="0"/>
                      <w:bCs w:val="0"/>
                      <w:i w:val="0"/>
                      <w:iCs w:val="0"/>
                      <w:color w:val="000000"/>
                      <w:spacing w:val="0"/>
                      <w:w w:val="100"/>
                      <w:sz w:val="21"/>
                      <w:szCs w:val="21"/>
                      <w:highlight w:val="none"/>
                      <w:vertAlign w:val="baseline"/>
                    </w:rPr>
                    <w:t>项目生产过程所用能源为电能</w:t>
                  </w:r>
                </w:p>
              </w:tc>
              <w:tc>
                <w:tcPr>
                  <w:tcW w:w="54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45399BD">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40AD1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6F1C0430">
                  <w:pPr>
                    <w:rPr>
                      <w:rFonts w:hint="default" w:ascii="Times New Roman" w:hAnsi="Times New Roman" w:cs="Times New Roman"/>
                      <w:color w:val="000000"/>
                      <w:sz w:val="24"/>
                      <w:szCs w:val="24"/>
                    </w:rPr>
                  </w:pPr>
                </w:p>
              </w:tc>
              <w:tc>
                <w:tcPr>
                  <w:tcW w:w="297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7FE6EE1">
                  <w:pPr>
                    <w:pStyle w:val="19"/>
                    <w:keepNext w:val="0"/>
                    <w:keepLines w:val="0"/>
                    <w:widowControl/>
                    <w:suppressLineNumbers w:val="0"/>
                    <w:spacing w:before="0" w:beforeAutospacing="0" w:after="0" w:afterAutospacing="0"/>
                    <w:ind w:left="0" w:right="0" w:firstLine="422"/>
                    <w:jc w:val="both"/>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0"/>
                      <w:w w:val="100"/>
                      <w:sz w:val="21"/>
                      <w:szCs w:val="21"/>
                      <w:vertAlign w:val="baseline"/>
                    </w:rPr>
                    <w:t>开展传统产业集群升级改造。</w:t>
                  </w:r>
                  <w:r>
                    <w:rPr>
                      <w:rFonts w:hint="default" w:ascii="Times New Roman" w:hAnsi="Times New Roman" w:eastAsia="宋体" w:cs="Times New Roman"/>
                      <w:b w:val="0"/>
                      <w:bCs w:val="0"/>
                      <w:i w:val="0"/>
                      <w:iCs w:val="0"/>
                      <w:color w:val="000000"/>
                      <w:spacing w:val="0"/>
                      <w:w w:val="100"/>
                      <w:sz w:val="21"/>
                      <w:szCs w:val="21"/>
                      <w:vertAlign w:val="baseline"/>
                    </w:rPr>
                    <w:t>开展涉气产业集群排查及分类治理，各地要进一步分析产业发展定位，</w:t>
                  </w:r>
                  <w:r>
                    <w:rPr>
                      <w:rFonts w:hint="eastAsia" w:ascii="宋体" w:hAnsi="宋体" w:eastAsia="宋体" w:cs="宋体"/>
                      <w:b w:val="0"/>
                      <w:bCs w:val="0"/>
                      <w:i w:val="0"/>
                      <w:iCs w:val="0"/>
                      <w:color w:val="000000"/>
                      <w:spacing w:val="0"/>
                      <w:w w:val="100"/>
                      <w:sz w:val="21"/>
                      <w:szCs w:val="21"/>
                      <w:vertAlign w:val="baseline"/>
                    </w:rPr>
                    <w:t>“一群一策”制</w:t>
                  </w:r>
                  <w:r>
                    <w:rPr>
                      <w:rFonts w:hint="default" w:ascii="Times New Roman" w:hAnsi="Times New Roman" w:eastAsia="宋体" w:cs="Times New Roman"/>
                      <w:b w:val="0"/>
                      <w:bCs w:val="0"/>
                      <w:i w:val="0"/>
                      <w:iCs w:val="0"/>
                      <w:color w:val="000000"/>
                      <w:spacing w:val="0"/>
                      <w:w w:val="100"/>
                      <w:sz w:val="21"/>
                      <w:szCs w:val="21"/>
                      <w:vertAlign w:val="baseline"/>
                    </w:rPr>
                    <w:t>定整治提升方案，树立行业标杆，从生产工艺、产品质量、产能规模、能耗水平、燃料类型、原辅材料替代、污染治理和区域环境综合整治等方面明确升级改造标准。实施拉单挂账式管理，淘汰关停一批、搬迁入园一批、</w:t>
                  </w:r>
                  <w:r>
                    <w:rPr>
                      <w:rFonts w:hint="eastAsia" w:ascii="Times New Roman" w:hAnsi="Times New Roman" w:cs="Times New Roman"/>
                      <w:b w:val="0"/>
                      <w:bCs w:val="0"/>
                      <w:i w:val="0"/>
                      <w:iCs w:val="0"/>
                      <w:color w:val="000000"/>
                      <w:spacing w:val="0"/>
                      <w:w w:val="100"/>
                      <w:sz w:val="21"/>
                      <w:szCs w:val="21"/>
                      <w:vertAlign w:val="baseline"/>
                      <w:lang w:val="en-US" w:eastAsia="zh-CN"/>
                    </w:rPr>
                    <w:t>就地</w:t>
                  </w:r>
                  <w:r>
                    <w:rPr>
                      <w:rFonts w:hint="default" w:ascii="Times New Roman" w:hAnsi="Times New Roman" w:eastAsia="宋体" w:cs="Times New Roman"/>
                      <w:b w:val="0"/>
                      <w:bCs w:val="0"/>
                      <w:i w:val="0"/>
                      <w:iCs w:val="0"/>
                      <w:color w:val="000000"/>
                      <w:spacing w:val="0"/>
                      <w:w w:val="100"/>
                      <w:sz w:val="21"/>
                      <w:szCs w:val="21"/>
                      <w:vertAlign w:val="baseline"/>
                    </w:rPr>
                    <w:t>改造一批、做优做强一批，切实提升产业发展质量和环保治理水平。完善动态管理机制，严</w:t>
                  </w:r>
                  <w:r>
                    <w:rPr>
                      <w:rFonts w:hint="eastAsia" w:ascii="宋体" w:hAnsi="宋体" w:eastAsia="宋体" w:cs="宋体"/>
                      <w:b w:val="0"/>
                      <w:bCs w:val="0"/>
                      <w:i w:val="0"/>
                      <w:iCs w:val="0"/>
                      <w:color w:val="000000"/>
                      <w:spacing w:val="0"/>
                      <w:w w:val="100"/>
                      <w:sz w:val="21"/>
                      <w:szCs w:val="21"/>
                      <w:vertAlign w:val="baseline"/>
                    </w:rPr>
                    <w:t>防“散乱污”企业</w:t>
                  </w:r>
                  <w:r>
                    <w:rPr>
                      <w:rFonts w:hint="default" w:ascii="Times New Roman" w:hAnsi="Times New Roman" w:eastAsia="宋体" w:cs="Times New Roman"/>
                      <w:b w:val="0"/>
                      <w:bCs w:val="0"/>
                      <w:i w:val="0"/>
                      <w:iCs w:val="0"/>
                      <w:color w:val="000000"/>
                      <w:spacing w:val="0"/>
                      <w:w w:val="100"/>
                      <w:sz w:val="21"/>
                      <w:szCs w:val="21"/>
                      <w:vertAlign w:val="baseline"/>
                    </w:rPr>
                    <w:t>反弹。</w:t>
                  </w:r>
                </w:p>
              </w:tc>
              <w:tc>
                <w:tcPr>
                  <w:tcW w:w="96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418B6EB">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本项目不涉及</w:t>
                  </w:r>
                </w:p>
              </w:tc>
              <w:tc>
                <w:tcPr>
                  <w:tcW w:w="54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8E005AD">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292E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C259189">
                  <w:pPr>
                    <w:rPr>
                      <w:rFonts w:hint="default" w:ascii="Times New Roman" w:hAnsi="Times New Roman" w:cs="Times New Roman"/>
                      <w:color w:val="000000"/>
                      <w:sz w:val="24"/>
                      <w:szCs w:val="24"/>
                    </w:rPr>
                  </w:pPr>
                </w:p>
              </w:tc>
              <w:tc>
                <w:tcPr>
                  <w:tcW w:w="297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BBE66C9">
                  <w:pPr>
                    <w:pStyle w:val="19"/>
                    <w:keepNext w:val="0"/>
                    <w:keepLines w:val="0"/>
                    <w:widowControl/>
                    <w:suppressLineNumbers w:val="0"/>
                    <w:spacing w:before="0" w:beforeAutospacing="0" w:after="0" w:afterAutospacing="0"/>
                    <w:ind w:left="0" w:right="0" w:firstLine="414" w:firstLineChars="200"/>
                    <w:jc w:val="both"/>
                    <w:rPr>
                      <w:rFonts w:hint="default" w:ascii="Times New Roman" w:hAnsi="Times New Roman" w:cs="Times New Roman"/>
                      <w:color w:val="000000"/>
                    </w:rPr>
                  </w:pPr>
                  <w:r>
                    <w:rPr>
                      <w:rFonts w:hint="default" w:ascii="Times New Roman" w:hAnsi="Times New Roman" w:eastAsia="宋体" w:cs="Times New Roman"/>
                      <w:b/>
                      <w:bCs/>
                      <w:i w:val="0"/>
                      <w:iCs w:val="0"/>
                      <w:color w:val="000000"/>
                      <w:spacing w:val="-2"/>
                      <w:w w:val="100"/>
                      <w:sz w:val="21"/>
                      <w:szCs w:val="21"/>
                      <w:vertAlign w:val="baseline"/>
                    </w:rPr>
                    <w:t>其他地区加大重污染天气消除攻坚力度。</w:t>
                  </w:r>
                  <w:r>
                    <w:rPr>
                      <w:rFonts w:hint="default" w:ascii="Times New Roman" w:hAnsi="Times New Roman" w:eastAsia="宋体" w:cs="Times New Roman"/>
                      <w:b w:val="0"/>
                      <w:bCs w:val="0"/>
                      <w:i w:val="0"/>
                      <w:iCs w:val="0"/>
                      <w:color w:val="000000"/>
                      <w:spacing w:val="-2"/>
                      <w:w w:val="100"/>
                      <w:sz w:val="21"/>
                      <w:szCs w:val="21"/>
                      <w:vertAlign w:val="baseline"/>
                    </w:rPr>
                    <w:t>其他地区根据国家下达</w:t>
                  </w:r>
                  <w:r>
                    <w:rPr>
                      <w:rFonts w:hint="eastAsia" w:ascii="宋体" w:hAnsi="宋体" w:eastAsia="宋体" w:cs="宋体"/>
                      <w:b w:val="0"/>
                      <w:bCs w:val="0"/>
                      <w:i w:val="0"/>
                      <w:iCs w:val="0"/>
                      <w:color w:val="000000"/>
                      <w:spacing w:val="-2"/>
                      <w:w w:val="100"/>
                      <w:sz w:val="21"/>
                      <w:szCs w:val="21"/>
                      <w:vertAlign w:val="baseline"/>
                    </w:rPr>
                    <w:t>的“十四五”重污</w:t>
                  </w:r>
                  <w:r>
                    <w:rPr>
                      <w:rFonts w:hint="default" w:ascii="Times New Roman" w:hAnsi="Times New Roman" w:eastAsia="宋体" w:cs="Times New Roman"/>
                      <w:b w:val="0"/>
                      <w:bCs w:val="0"/>
                      <w:i w:val="0"/>
                      <w:iCs w:val="0"/>
                      <w:color w:val="000000"/>
                      <w:spacing w:val="-2"/>
                      <w:w w:val="100"/>
                      <w:sz w:val="21"/>
                      <w:szCs w:val="21"/>
                      <w:vertAlign w:val="baseline"/>
                    </w:rPr>
                    <w:t>染天气比率控制目标，结合自身产业、能源、运输结构和重污染天气成因，明确重污染天气消除攻坚战任务措施，加大力度持续推进大气污染防治工作，努力消除重污染天气。</w:t>
                  </w:r>
                </w:p>
              </w:tc>
              <w:tc>
                <w:tcPr>
                  <w:tcW w:w="96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E57193D">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本项目根据当地要求，适时进行停产减产措施，配合努力消除重污染天气</w:t>
                  </w:r>
                </w:p>
              </w:tc>
              <w:tc>
                <w:tcPr>
                  <w:tcW w:w="54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3F7D5B0">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2DFF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506"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29BE7D06">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附件2臭氧污染防治攻坚行动方案</w:t>
                  </w:r>
                </w:p>
              </w:tc>
              <w:tc>
                <w:tcPr>
                  <w:tcW w:w="2974"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2769D1FD">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2"/>
                      <w:w w:val="100"/>
                      <w:sz w:val="21"/>
                      <w:szCs w:val="21"/>
                      <w:vertAlign w:val="baseline"/>
                    </w:rPr>
                    <w:t>二、含VOCs原辅材料源头替代行动</w:t>
                  </w:r>
                </w:p>
                <w:p w14:paraId="0F24A0FE">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2"/>
                      <w:w w:val="100"/>
                      <w:sz w:val="21"/>
                      <w:szCs w:val="21"/>
                      <w:vertAlign w:val="baseline"/>
                    </w:rPr>
                    <w:t>加快实施低VOCs含量原辅材料替代。各地对溶剂型涂料、油墨、胶粘剂、清洗剂使用企业制定低VOCs含量原辅材料替代计划。全面推进汽车整车制造底漆、中涂、色漆使用低VOCs含量涂料；在木制家具、汽车零部件、工程机械、钢结构、船舶制造技术成熟的工艺环节，大力推广使用低VOCs含量涂料，重点区域、中央企业加大使用比例。在房屋建筑和市政工程中，全面推广使用低VOCs含量涂料和胶粘剂；重点区域、珠三角地区除特殊功能要求外的室内地坪施工、室外构筑物防护和城市道路交通标志基本使用低VOCs含量涂料。完善VOCs产品标准体系，建立低VOCs含量产品标识制度。</w:t>
                  </w:r>
                </w:p>
              </w:tc>
              <w:tc>
                <w:tcPr>
                  <w:tcW w:w="969"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45C15C67">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本项目不涉及溶剂型原辅材料</w:t>
                  </w:r>
                </w:p>
              </w:tc>
              <w:tc>
                <w:tcPr>
                  <w:tcW w:w="548"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3129286D">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bl>
          <w:p w14:paraId="268C99AB">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cs="Times New Roman"/>
                <w:b/>
                <w:color w:val="000000"/>
                <w:sz w:val="24"/>
                <w:lang w:val="en-US" w:eastAsia="zh-CN"/>
              </w:rPr>
            </w:pPr>
            <w:r>
              <w:rPr>
                <w:rFonts w:hint="eastAsia" w:cs="Times New Roman"/>
                <w:b/>
                <w:color w:val="000000"/>
                <w:sz w:val="24"/>
                <w:lang w:val="en-US" w:eastAsia="zh-CN"/>
              </w:rPr>
              <w:t>10、与《挥发性有机物无组织排放控制标准》（GB37822-2019）相符性分析</w:t>
            </w:r>
          </w:p>
          <w:p w14:paraId="6352953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color w:val="000000"/>
              </w:rPr>
            </w:pPr>
            <w:r>
              <w:rPr>
                <w:rFonts w:hint="default" w:ascii="Times New Roman" w:hAnsi="Times New Roman" w:eastAsia="宋体" w:cs="Times New Roman"/>
                <w:b w:val="0"/>
                <w:bCs w:val="0"/>
                <w:i w:val="0"/>
                <w:iCs w:val="0"/>
                <w:color w:val="000000"/>
                <w:spacing w:val="0"/>
                <w:w w:val="100"/>
                <w:sz w:val="24"/>
                <w:szCs w:val="24"/>
                <w:vertAlign w:val="baseline"/>
              </w:rPr>
              <w:t>本项目与《挥发性有机物无组织排放控制标准》（GB37822-2019）的相符性分析见下表。</w:t>
            </w:r>
          </w:p>
          <w:p w14:paraId="671A26A8">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pacing w:val="0"/>
                <w:w w:val="100"/>
                <w:sz w:val="21"/>
                <w:szCs w:val="21"/>
                <w:vertAlign w:val="baseline"/>
              </w:rPr>
            </w:pPr>
            <w:r>
              <w:rPr>
                <w:rFonts w:hint="default" w:ascii="Times New Roman" w:hAnsi="Times New Roman" w:eastAsia="宋体" w:cs="Times New Roman"/>
                <w:b/>
                <w:bCs/>
                <w:i w:val="0"/>
                <w:iCs w:val="0"/>
                <w:color w:val="000000"/>
                <w:spacing w:val="0"/>
                <w:w w:val="100"/>
                <w:sz w:val="21"/>
                <w:szCs w:val="21"/>
                <w:vertAlign w:val="baseline"/>
              </w:rPr>
              <w:t>表1-1</w:t>
            </w:r>
            <w:r>
              <w:rPr>
                <w:rFonts w:hint="eastAsia" w:ascii="Times New Roman" w:hAnsi="Times New Roman" w:cs="Times New Roman"/>
                <w:b/>
                <w:bCs/>
                <w:i w:val="0"/>
                <w:iCs w:val="0"/>
                <w:color w:val="000000"/>
                <w:spacing w:val="0"/>
                <w:w w:val="100"/>
                <w:sz w:val="21"/>
                <w:szCs w:val="21"/>
                <w:vertAlign w:val="baseline"/>
                <w:lang w:val="en-US" w:eastAsia="zh-CN"/>
              </w:rPr>
              <w:t>3</w:t>
            </w:r>
            <w:r>
              <w:rPr>
                <w:rFonts w:hint="default" w:ascii="Times New Roman" w:hAnsi="Times New Roman" w:eastAsia="宋体" w:cs="Times New Roman"/>
                <w:b/>
                <w:bCs/>
                <w:i w:val="0"/>
                <w:iCs w:val="0"/>
                <w:color w:val="000000"/>
                <w:spacing w:val="0"/>
                <w:w w:val="100"/>
                <w:sz w:val="21"/>
                <w:szCs w:val="21"/>
                <w:vertAlign w:val="baseline"/>
              </w:rPr>
              <w:t xml:space="preserve"> 与《挥发性有机物无组织排放控制标准》相符性分析</w:t>
            </w:r>
          </w:p>
          <w:tbl>
            <w:tblPr>
              <w:tblStyle w:val="20"/>
              <w:tblW w:w="82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201"/>
              <w:gridCol w:w="3842"/>
              <w:gridCol w:w="2310"/>
              <w:gridCol w:w="928"/>
            </w:tblGrid>
            <w:tr w14:paraId="2B3E6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7328624">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规定</w:t>
                  </w:r>
                </w:p>
              </w:tc>
              <w:tc>
                <w:tcPr>
                  <w:tcW w:w="2319"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7621152">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要求</w:t>
                  </w:r>
                </w:p>
              </w:tc>
              <w:tc>
                <w:tcPr>
                  <w:tcW w:w="1394"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3A4AF23">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本项目情况</w:t>
                  </w:r>
                </w:p>
              </w:tc>
              <w:tc>
                <w:tcPr>
                  <w:tcW w:w="560"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4C946694">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bCs/>
                      <w:i w:val="0"/>
                      <w:iCs w:val="0"/>
                      <w:color w:val="000000"/>
                      <w:spacing w:val="0"/>
                      <w:w w:val="100"/>
                      <w:sz w:val="21"/>
                      <w:szCs w:val="21"/>
                      <w:vertAlign w:val="baseline"/>
                    </w:rPr>
                    <w:t>相符性</w:t>
                  </w:r>
                </w:p>
              </w:tc>
            </w:tr>
            <w:tr w14:paraId="1E130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B35882B">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VOCs物料储存无组织排放控制要求</w:t>
                  </w:r>
                </w:p>
              </w:tc>
              <w:tc>
                <w:tcPr>
                  <w:tcW w:w="2319" w:type="pct"/>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F363314">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5.1.1</w:t>
                  </w:r>
                  <w:r>
                    <w:rPr>
                      <w:rFonts w:hint="eastAsia" w:ascii="Times New Roman" w:hAnsi="Times New Roman" w:eastAsia="宋体" w:cs="Times New Roman"/>
                      <w:b w:val="0"/>
                      <w:bCs w:val="0"/>
                      <w:i w:val="0"/>
                      <w:iCs w:val="0"/>
                      <w:color w:val="000000"/>
                      <w:spacing w:val="0"/>
                      <w:w w:val="100"/>
                      <w:sz w:val="21"/>
                      <w:szCs w:val="21"/>
                      <w:vertAlign w:val="baseline"/>
                      <w:lang w:val="en-US" w:eastAsia="zh-CN"/>
                    </w:rPr>
                    <w:t xml:space="preserve"> </w:t>
                  </w:r>
                  <w:r>
                    <w:rPr>
                      <w:rFonts w:hint="default" w:ascii="Times New Roman" w:hAnsi="Times New Roman" w:eastAsia="宋体" w:cs="Times New Roman"/>
                      <w:b w:val="0"/>
                      <w:bCs w:val="0"/>
                      <w:i w:val="0"/>
                      <w:iCs w:val="0"/>
                      <w:color w:val="000000"/>
                      <w:spacing w:val="0"/>
                      <w:w w:val="100"/>
                      <w:sz w:val="21"/>
                      <w:szCs w:val="21"/>
                      <w:vertAlign w:val="baseline"/>
                    </w:rPr>
                    <w:t>VOCs物料应储存于密闭的容器、包装袋、储罐、储库、料仓中。</w:t>
                  </w:r>
                </w:p>
                <w:p w14:paraId="7B75622D">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5.1.2</w:t>
                  </w:r>
                  <w:r>
                    <w:rPr>
                      <w:rFonts w:hint="eastAsia" w:ascii="Times New Roman" w:hAnsi="Times New Roman" w:eastAsia="宋体" w:cs="Times New Roman"/>
                      <w:b w:val="0"/>
                      <w:bCs w:val="0"/>
                      <w:i w:val="0"/>
                      <w:iCs w:val="0"/>
                      <w:color w:val="000000"/>
                      <w:spacing w:val="0"/>
                      <w:w w:val="100"/>
                      <w:sz w:val="21"/>
                      <w:szCs w:val="21"/>
                      <w:vertAlign w:val="baseline"/>
                      <w:lang w:val="en-US" w:eastAsia="zh-CN"/>
                    </w:rPr>
                    <w:t xml:space="preserve"> </w:t>
                  </w:r>
                  <w:r>
                    <w:rPr>
                      <w:rFonts w:hint="default" w:ascii="Times New Roman" w:hAnsi="Times New Roman" w:eastAsia="宋体" w:cs="Times New Roman"/>
                      <w:b w:val="0"/>
                      <w:bCs w:val="0"/>
                      <w:i w:val="0"/>
                      <w:iCs w:val="0"/>
                      <w:color w:val="000000"/>
                      <w:spacing w:val="0"/>
                      <w:w w:val="100"/>
                      <w:sz w:val="21"/>
                      <w:szCs w:val="21"/>
                      <w:vertAlign w:val="baseline"/>
                    </w:rPr>
                    <w:t>盛装VOCs物料的容器或包装袋应存放于室内，或存放于设置有雨棚、遮阳和防渗设施的专用场地。盛装VOCs物料的容器或包装袋在非取用状态时应加盖、封口、保持密闭。</w:t>
                  </w:r>
                </w:p>
                <w:p w14:paraId="604EACEB">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5.1.3 VOCs物料储罐应密封良好，其中挥发性有机液体储罐应符合5.2条规定。</w:t>
                  </w:r>
                </w:p>
                <w:p w14:paraId="2624EACE">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5.1.4 VOCs物料储库、料仓应满足3.6条对密闭空间的要求。</w:t>
                  </w:r>
                </w:p>
              </w:tc>
              <w:tc>
                <w:tcPr>
                  <w:tcW w:w="13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44DEF1D">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本项目VOCs物料均贮存于密封容器中</w:t>
                  </w:r>
                </w:p>
              </w:tc>
              <w:tc>
                <w:tcPr>
                  <w:tcW w:w="56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6F92C3AB">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5BB24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D1CD414">
                  <w:pPr>
                    <w:rPr>
                      <w:rFonts w:hint="default" w:ascii="Times New Roman" w:hAnsi="Times New Roman" w:cs="Times New Roman"/>
                      <w:color w:val="000000"/>
                      <w:sz w:val="21"/>
                      <w:szCs w:val="21"/>
                    </w:rPr>
                  </w:pPr>
                </w:p>
              </w:tc>
              <w:tc>
                <w:tcPr>
                  <w:tcW w:w="2319" w:type="pct"/>
                  <w:vMerge w:val="continue"/>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21EC33B">
                  <w:pPr>
                    <w:jc w:val="both"/>
                    <w:rPr>
                      <w:rFonts w:hint="default" w:ascii="Times New Roman" w:hAnsi="Times New Roman" w:cs="Times New Roman"/>
                      <w:color w:val="000000"/>
                      <w:sz w:val="21"/>
                      <w:szCs w:val="21"/>
                    </w:rPr>
                  </w:pPr>
                </w:p>
              </w:tc>
              <w:tc>
                <w:tcPr>
                  <w:tcW w:w="13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1500A7B">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w:t>
                  </w:r>
                  <w:r>
                    <w:rPr>
                      <w:rFonts w:hint="default" w:ascii="Times New Roman" w:hAnsi="Times New Roman" w:eastAsia="宋体" w:cs="Times New Roman"/>
                      <w:b w:val="0"/>
                      <w:bCs w:val="0"/>
                      <w:i w:val="0"/>
                      <w:iCs w:val="0"/>
                      <w:color w:val="000000"/>
                      <w:spacing w:val="0"/>
                      <w:w w:val="100"/>
                      <w:sz w:val="21"/>
                      <w:szCs w:val="21"/>
                      <w:highlight w:val="none"/>
                      <w:vertAlign w:val="baseline"/>
                    </w:rPr>
                    <w:t>项目含有VOCs的原辅料均为密闭容器储存，存放于室内，在非取用状态时封口</w:t>
                  </w:r>
                  <w:r>
                    <w:rPr>
                      <w:rFonts w:hint="default" w:ascii="Times New Roman" w:hAnsi="Times New Roman" w:eastAsia="宋体" w:cs="Times New Roman"/>
                      <w:b w:val="0"/>
                      <w:bCs w:val="0"/>
                      <w:i w:val="0"/>
                      <w:iCs w:val="0"/>
                      <w:color w:val="000000"/>
                      <w:spacing w:val="0"/>
                      <w:w w:val="100"/>
                      <w:sz w:val="21"/>
                      <w:szCs w:val="21"/>
                      <w:vertAlign w:val="baseline"/>
                    </w:rPr>
                    <w:t>、保持密闭</w:t>
                  </w:r>
                </w:p>
              </w:tc>
              <w:tc>
                <w:tcPr>
                  <w:tcW w:w="56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F946817">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0C0A0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075E094">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VOCs物料转移和输送无组织排放控制要求</w:t>
                  </w:r>
                </w:p>
              </w:tc>
              <w:tc>
                <w:tcPr>
                  <w:tcW w:w="231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829FFC6">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6.1.1</w:t>
                  </w:r>
                  <w:r>
                    <w:rPr>
                      <w:rFonts w:hint="eastAsia" w:ascii="Times New Roman" w:hAnsi="Times New Roman" w:eastAsia="宋体" w:cs="Times New Roman"/>
                      <w:b w:val="0"/>
                      <w:bCs w:val="0"/>
                      <w:i w:val="0"/>
                      <w:iCs w:val="0"/>
                      <w:color w:val="000000"/>
                      <w:spacing w:val="0"/>
                      <w:w w:val="100"/>
                      <w:sz w:val="21"/>
                      <w:szCs w:val="21"/>
                      <w:vertAlign w:val="baseline"/>
                      <w:lang w:val="en-US" w:eastAsia="zh-CN"/>
                    </w:rPr>
                    <w:t xml:space="preserve"> </w:t>
                  </w:r>
                  <w:r>
                    <w:rPr>
                      <w:rFonts w:hint="default" w:ascii="Times New Roman" w:hAnsi="Times New Roman" w:eastAsia="宋体" w:cs="Times New Roman"/>
                      <w:b w:val="0"/>
                      <w:bCs w:val="0"/>
                      <w:i w:val="0"/>
                      <w:iCs w:val="0"/>
                      <w:color w:val="000000"/>
                      <w:spacing w:val="0"/>
                      <w:w w:val="100"/>
                      <w:sz w:val="21"/>
                      <w:szCs w:val="21"/>
                      <w:vertAlign w:val="baseline"/>
                    </w:rPr>
                    <w:t>液态VOCs物料应采用密闭管道输送。采用非管道输送方式转移液态VOCs物料时，应采用密闭容器、罐车。</w:t>
                  </w:r>
                </w:p>
                <w:p w14:paraId="16D2E0CA">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6.2.1</w:t>
                  </w:r>
                  <w:r>
                    <w:rPr>
                      <w:rFonts w:hint="eastAsia" w:ascii="Times New Roman" w:hAnsi="Times New Roman" w:eastAsia="宋体" w:cs="Times New Roman"/>
                      <w:b w:val="0"/>
                      <w:bCs w:val="0"/>
                      <w:i w:val="0"/>
                      <w:iCs w:val="0"/>
                      <w:color w:val="000000"/>
                      <w:spacing w:val="0"/>
                      <w:w w:val="100"/>
                      <w:sz w:val="21"/>
                      <w:szCs w:val="21"/>
                      <w:vertAlign w:val="baseline"/>
                      <w:lang w:val="en-US" w:eastAsia="zh-CN"/>
                    </w:rPr>
                    <w:t xml:space="preserve"> </w:t>
                  </w:r>
                  <w:r>
                    <w:rPr>
                      <w:rFonts w:hint="default" w:ascii="Times New Roman" w:hAnsi="Times New Roman" w:eastAsia="宋体" w:cs="Times New Roman"/>
                      <w:b w:val="0"/>
                      <w:bCs w:val="0"/>
                      <w:i w:val="0"/>
                      <w:iCs w:val="0"/>
                      <w:color w:val="000000"/>
                      <w:spacing w:val="0"/>
                      <w:w w:val="100"/>
                      <w:sz w:val="21"/>
                      <w:szCs w:val="21"/>
                      <w:vertAlign w:val="baseline"/>
                    </w:rPr>
                    <w:t>装载方式挥发性有机液体应采用底部装载方式；若采用顶部浸没式装载，出料管口距离槽（罐）底部高度应小于200mm</w:t>
                  </w:r>
                </w:p>
              </w:tc>
              <w:tc>
                <w:tcPr>
                  <w:tcW w:w="13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D4D09F0">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本项</w:t>
                  </w:r>
                  <w:r>
                    <w:rPr>
                      <w:rFonts w:hint="default" w:ascii="Times New Roman" w:hAnsi="Times New Roman" w:eastAsia="宋体" w:cs="Times New Roman"/>
                      <w:b w:val="0"/>
                      <w:bCs w:val="0"/>
                      <w:i w:val="0"/>
                      <w:iCs w:val="0"/>
                      <w:color w:val="000000"/>
                      <w:spacing w:val="0"/>
                      <w:w w:val="100"/>
                      <w:sz w:val="21"/>
                      <w:szCs w:val="21"/>
                      <w:highlight w:val="none"/>
                      <w:vertAlign w:val="baseline"/>
                    </w:rPr>
                    <w:t>目含有VOCs的原辅料均为外购，密闭容器储存，由供货商委托</w:t>
                  </w:r>
                  <w:r>
                    <w:rPr>
                      <w:rFonts w:hint="default" w:ascii="Times New Roman" w:hAnsi="Times New Roman" w:eastAsia="宋体" w:cs="Times New Roman"/>
                      <w:b w:val="0"/>
                      <w:bCs w:val="0"/>
                      <w:i w:val="0"/>
                      <w:iCs w:val="0"/>
                      <w:color w:val="000000"/>
                      <w:spacing w:val="0"/>
                      <w:w w:val="100"/>
                      <w:sz w:val="21"/>
                      <w:szCs w:val="21"/>
                      <w:vertAlign w:val="baseline"/>
                    </w:rPr>
                    <w:t>资质车辆运输至厂区内</w:t>
                  </w:r>
                </w:p>
              </w:tc>
              <w:tc>
                <w:tcPr>
                  <w:tcW w:w="56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EE6FC2E">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09F5F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1E8AA6CC">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工艺过程VOCs无组织排放控制要求</w:t>
                  </w:r>
                </w:p>
              </w:tc>
              <w:tc>
                <w:tcPr>
                  <w:tcW w:w="231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1DF9F53">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7.2</w:t>
                  </w:r>
                  <w:r>
                    <w:rPr>
                      <w:rFonts w:hint="eastAsia" w:ascii="Times New Roman" w:hAnsi="Times New Roman" w:eastAsia="宋体" w:cs="Times New Roman"/>
                      <w:b w:val="0"/>
                      <w:bCs w:val="0"/>
                      <w:i w:val="0"/>
                      <w:iCs w:val="0"/>
                      <w:color w:val="000000"/>
                      <w:spacing w:val="0"/>
                      <w:w w:val="100"/>
                      <w:sz w:val="21"/>
                      <w:szCs w:val="21"/>
                      <w:vertAlign w:val="baseline"/>
                      <w:lang w:val="en-US" w:eastAsia="zh-CN"/>
                    </w:rPr>
                    <w:t xml:space="preserve"> </w:t>
                  </w:r>
                  <w:r>
                    <w:rPr>
                      <w:rFonts w:hint="default" w:ascii="Times New Roman" w:hAnsi="Times New Roman" w:eastAsia="宋体" w:cs="Times New Roman"/>
                      <w:b w:val="0"/>
                      <w:bCs w:val="0"/>
                      <w:i w:val="0"/>
                      <w:iCs w:val="0"/>
                      <w:color w:val="000000"/>
                      <w:spacing w:val="0"/>
                      <w:w w:val="100"/>
                      <w:sz w:val="21"/>
                      <w:szCs w:val="21"/>
                      <w:vertAlign w:val="baseline"/>
                    </w:rPr>
                    <w:t>含VOCs产品的使用过程</w:t>
                  </w:r>
                </w:p>
                <w:p w14:paraId="1010BB94">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7.2.1</w:t>
                  </w:r>
                  <w:r>
                    <w:rPr>
                      <w:rFonts w:hint="eastAsia" w:ascii="Times New Roman" w:hAnsi="Times New Roman" w:eastAsia="宋体" w:cs="Times New Roman"/>
                      <w:b w:val="0"/>
                      <w:bCs w:val="0"/>
                      <w:i w:val="0"/>
                      <w:iCs w:val="0"/>
                      <w:color w:val="000000"/>
                      <w:spacing w:val="0"/>
                      <w:w w:val="100"/>
                      <w:sz w:val="21"/>
                      <w:szCs w:val="21"/>
                      <w:vertAlign w:val="baseline"/>
                      <w:lang w:val="en-US" w:eastAsia="zh-CN"/>
                    </w:rPr>
                    <w:t xml:space="preserve"> </w:t>
                  </w:r>
                  <w:r>
                    <w:rPr>
                      <w:rFonts w:hint="default" w:ascii="Times New Roman" w:hAnsi="Times New Roman" w:eastAsia="宋体" w:cs="Times New Roman"/>
                      <w:b w:val="0"/>
                      <w:bCs w:val="0"/>
                      <w:i w:val="0"/>
                      <w:iCs w:val="0"/>
                      <w:color w:val="000000"/>
                      <w:spacing w:val="0"/>
                      <w:w w:val="100"/>
                      <w:sz w:val="21"/>
                      <w:szCs w:val="21"/>
                      <w:vertAlign w:val="baseline"/>
                    </w:rPr>
                    <w:t>VOCs质量占比大于等于10%的含VOCs产品，其使用过程应采用密闭设备或在密闭空间内操作，废气应排至VOCs废气收集处理系统；无法密闭的，应采取局部气体收集措施，废气应排至VOCs废气收集处理系统。含VOCs产品的使用过程包括但不限于以下作业：</w:t>
                  </w:r>
                </w:p>
                <w:p w14:paraId="20849CCB">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a）调配（混合、搅拌等）﹔</w:t>
                  </w:r>
                </w:p>
                <w:p w14:paraId="02E72553">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b）涂装（喷涂、浸涂、淋涂、混涂、刷涂、涂布等）﹔</w:t>
                  </w:r>
                </w:p>
                <w:p w14:paraId="0FA49117">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c）印刷（平版、凸版、凹版、孔版等）﹔</w:t>
                  </w:r>
                </w:p>
                <w:p w14:paraId="6415A38E">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d）粘结（涂胶、热压、复合、贴合等）；e）印染（染色、印花、定型等）﹔</w:t>
                  </w:r>
                </w:p>
                <w:p w14:paraId="1DDE2FCC">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f）干燥（烘干、风干、晾干等）﹔</w:t>
                  </w:r>
                </w:p>
                <w:p w14:paraId="5D743A9A">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g）清洗（浸洗、喷洗、淋洗、冲洗、擦洗等）</w:t>
                  </w:r>
                </w:p>
              </w:tc>
              <w:tc>
                <w:tcPr>
                  <w:tcW w:w="13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C5EBD86">
                  <w:pPr>
                    <w:pStyle w:val="19"/>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val="0"/>
                      <w:bCs w:val="0"/>
                      <w:i w:val="0"/>
                      <w:iCs w:val="0"/>
                      <w:color w:val="000000"/>
                      <w:spacing w:val="0"/>
                      <w:w w:val="100"/>
                      <w:sz w:val="21"/>
                      <w:szCs w:val="21"/>
                      <w:vertAlign w:val="baseline"/>
                    </w:rPr>
                    <w:t>本项目生产过程使用涉及VOCs物料，使用过程中产生的废气经收集处理后排放</w:t>
                  </w:r>
                </w:p>
              </w:tc>
              <w:tc>
                <w:tcPr>
                  <w:tcW w:w="56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0AB2E1B2">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30890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B13C678">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VOCs无组织排放废气收集处理系统要求</w:t>
                  </w:r>
                </w:p>
              </w:tc>
              <w:tc>
                <w:tcPr>
                  <w:tcW w:w="2319"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F915CE6">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VOCs废气收集处理系统应与生产工艺设备同步运行。VOCs废气收集系统发生故障或检修时，对应的生产工艺设备应停止运行，待检修完毕后同步投入使用；生产工艺设备不能停止运行或不能及时停止运行的，应设置废气应急处理设施或采取其他替代措施。</w:t>
                  </w:r>
                </w:p>
              </w:tc>
              <w:tc>
                <w:tcPr>
                  <w:tcW w:w="13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4A6EC23">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本</w:t>
                  </w:r>
                  <w:r>
                    <w:rPr>
                      <w:rFonts w:hint="default" w:ascii="Times New Roman" w:hAnsi="Times New Roman" w:eastAsia="宋体" w:cs="Times New Roman"/>
                      <w:b w:val="0"/>
                      <w:bCs w:val="0"/>
                      <w:i w:val="0"/>
                      <w:iCs w:val="0"/>
                      <w:color w:val="000000"/>
                      <w:spacing w:val="0"/>
                      <w:w w:val="100"/>
                      <w:sz w:val="21"/>
                      <w:szCs w:val="21"/>
                      <w:highlight w:val="none"/>
                      <w:vertAlign w:val="baseline"/>
                    </w:rPr>
                    <w:t>项目VOCs废气收集系统发生故障或检修时，生产工艺设备应及时停止运行，待检</w:t>
                  </w:r>
                  <w:r>
                    <w:rPr>
                      <w:rFonts w:hint="default" w:ascii="Times New Roman" w:hAnsi="Times New Roman" w:eastAsia="宋体" w:cs="Times New Roman"/>
                      <w:b w:val="0"/>
                      <w:bCs w:val="0"/>
                      <w:i w:val="0"/>
                      <w:iCs w:val="0"/>
                      <w:color w:val="000000"/>
                      <w:spacing w:val="0"/>
                      <w:w w:val="100"/>
                      <w:sz w:val="21"/>
                      <w:szCs w:val="21"/>
                      <w:vertAlign w:val="baseline"/>
                    </w:rPr>
                    <w:t>修完毕后同步投入使用</w:t>
                  </w:r>
                </w:p>
              </w:tc>
              <w:tc>
                <w:tcPr>
                  <w:tcW w:w="56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A00732A">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r w14:paraId="1E4CF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725"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45A3226A">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污染物监测要求</w:t>
                  </w:r>
                </w:p>
              </w:tc>
              <w:tc>
                <w:tcPr>
                  <w:tcW w:w="2319"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368E841A">
                  <w:pPr>
                    <w:pStyle w:val="19"/>
                    <w:keepNext w:val="0"/>
                    <w:keepLines w:val="0"/>
                    <w:widowControl/>
                    <w:suppressLineNumbers w:val="0"/>
                    <w:spacing w:before="0" w:beforeAutospacing="0" w:after="0" w:afterAutospacing="0"/>
                    <w:ind w:left="0" w:right="0"/>
                    <w:jc w:val="both"/>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企业应按照有关法律、《环境监测管理办法》和HJ819等规定，建立企业监测制度，制定监测方案，对污染物排放情况及其对周边环境质量的影响开展自行监测，保存原始监测记录，并公开监测结果。</w:t>
                  </w:r>
                </w:p>
              </w:tc>
              <w:tc>
                <w:tcPr>
                  <w:tcW w:w="1394"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51271D38">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企业已制定环境监测计划，项目建设完成后应根据计划进行监测</w:t>
                  </w:r>
                </w:p>
              </w:tc>
              <w:tc>
                <w:tcPr>
                  <w:tcW w:w="560"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5A895BBC">
                  <w:pPr>
                    <w:pStyle w:val="19"/>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b w:val="0"/>
                      <w:bCs w:val="0"/>
                      <w:i w:val="0"/>
                      <w:iCs w:val="0"/>
                      <w:color w:val="000000"/>
                      <w:spacing w:val="0"/>
                      <w:w w:val="100"/>
                      <w:sz w:val="21"/>
                      <w:szCs w:val="21"/>
                      <w:vertAlign w:val="baseline"/>
                    </w:rPr>
                    <w:t>相符</w:t>
                  </w:r>
                </w:p>
              </w:tc>
            </w:tr>
          </w:tbl>
          <w:p w14:paraId="7F35BE00">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1</w:t>
            </w:r>
            <w:r>
              <w:rPr>
                <w:rFonts w:hint="eastAsia" w:cs="Times New Roman"/>
                <w:b/>
                <w:color w:val="000000"/>
                <w:kern w:val="2"/>
                <w:sz w:val="24"/>
                <w:szCs w:val="24"/>
                <w:lang w:val="en-US" w:eastAsia="zh-CN" w:bidi="ar-SA"/>
              </w:rPr>
              <w:t>1</w:t>
            </w:r>
            <w:r>
              <w:rPr>
                <w:rFonts w:hint="eastAsia" w:ascii="Times New Roman" w:hAnsi="Times New Roman" w:eastAsia="宋体" w:cs="Times New Roman"/>
                <w:b/>
                <w:color w:val="000000"/>
                <w:kern w:val="2"/>
                <w:sz w:val="24"/>
                <w:szCs w:val="24"/>
                <w:lang w:val="en-US" w:eastAsia="zh-CN" w:bidi="ar-SA"/>
              </w:rPr>
              <w:t>、与《关于印发</w:t>
            </w:r>
            <w:r>
              <w:rPr>
                <w:rFonts w:hint="eastAsia" w:cs="Times New Roman"/>
                <w:b/>
                <w:color w:val="000000"/>
                <w:kern w:val="2"/>
                <w:sz w:val="24"/>
                <w:szCs w:val="24"/>
                <w:lang w:val="en-US" w:eastAsia="zh-CN" w:bidi="ar-SA"/>
              </w:rPr>
              <w:t>〈</w:t>
            </w:r>
            <w:r>
              <w:rPr>
                <w:rFonts w:hint="eastAsia" w:ascii="Times New Roman" w:hAnsi="Times New Roman" w:eastAsia="宋体" w:cs="Times New Roman"/>
                <w:b/>
                <w:color w:val="000000"/>
                <w:kern w:val="2"/>
                <w:sz w:val="24"/>
                <w:szCs w:val="24"/>
                <w:lang w:val="en-US" w:eastAsia="zh-CN" w:bidi="ar-SA"/>
              </w:rPr>
              <w:t>江苏省挥发性有机物清洁原料替代工作方案</w:t>
            </w:r>
            <w:r>
              <w:rPr>
                <w:rFonts w:hint="eastAsia" w:cs="Times New Roman"/>
                <w:b/>
                <w:color w:val="000000"/>
                <w:kern w:val="2"/>
                <w:sz w:val="24"/>
                <w:szCs w:val="24"/>
                <w:lang w:val="en-US" w:eastAsia="zh-CN" w:bidi="ar-SA"/>
              </w:rPr>
              <w:t>〉</w:t>
            </w:r>
            <w:r>
              <w:rPr>
                <w:rFonts w:hint="eastAsia" w:ascii="Times New Roman" w:hAnsi="Times New Roman" w:eastAsia="宋体" w:cs="Times New Roman"/>
                <w:b/>
                <w:color w:val="000000"/>
                <w:kern w:val="2"/>
                <w:sz w:val="24"/>
                <w:szCs w:val="24"/>
                <w:lang w:val="en-US" w:eastAsia="zh-CN" w:bidi="ar-SA"/>
              </w:rPr>
              <w:t>的通知》（苏大气办〔2021〕2号）相符性分析</w:t>
            </w:r>
          </w:p>
          <w:p w14:paraId="114377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表1-1</w:t>
            </w:r>
            <w:r>
              <w:rPr>
                <w:rFonts w:hint="eastAsia" w:cs="Times New Roman"/>
                <w:b/>
                <w:bCs/>
                <w:i w:val="0"/>
                <w:iCs w:val="0"/>
                <w:color w:val="000000"/>
                <w:spacing w:val="0"/>
                <w:w w:val="100"/>
                <w:kern w:val="2"/>
                <w:sz w:val="21"/>
                <w:szCs w:val="21"/>
                <w:vertAlign w:val="baseline"/>
                <w:lang w:val="en-US" w:eastAsia="zh-CN" w:bidi="ar-SA"/>
              </w:rPr>
              <w:t>4</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与《江苏省挥发性有机物清洁原料替代工作方案》相符性分析</w:t>
            </w:r>
          </w:p>
          <w:tbl>
            <w:tblPr>
              <w:tblStyle w:val="2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037"/>
              <w:gridCol w:w="4131"/>
              <w:gridCol w:w="2100"/>
              <w:gridCol w:w="1010"/>
            </w:tblGrid>
            <w:tr w14:paraId="03526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26"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5613C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内容</w:t>
                  </w:r>
                </w:p>
              </w:tc>
              <w:tc>
                <w:tcPr>
                  <w:tcW w:w="2494"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DC7D2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相关要求</w:t>
                  </w:r>
                </w:p>
              </w:tc>
              <w:tc>
                <w:tcPr>
                  <w:tcW w:w="1268"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0947A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本项目情况</w:t>
                  </w:r>
                </w:p>
              </w:tc>
              <w:tc>
                <w:tcPr>
                  <w:tcW w:w="610"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5D15D9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w:t>
                  </w:r>
                </w:p>
              </w:tc>
            </w:tr>
            <w:tr w14:paraId="26247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26"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06283DC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（一）明确替代要求</w:t>
                  </w:r>
                </w:p>
              </w:tc>
              <w:tc>
                <w:tcPr>
                  <w:tcW w:w="24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71AFDBDE">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以工业涂装、包装印刷、木材加工、纺织等行业为重点，分阶段推进3130家企业清洁原料替代工作。实施替代的企业要使用符合《低挥发性有机化合物含量涂料产品技术要求》（GB/T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38508-2020）规定的水基、半水基清洗剂产品；符合《胶粘剂挥发性有机化合物限量》（GB33372-2020）规定的水基型、本体型胶粘剂产品。若确实无法达到上述要求，应提供相应的论证说明，相关涂料、油墨、清洗剂、胶粘剂等产品应符合相关标准中VOCs含量的限值要求。</w:t>
                  </w:r>
                </w:p>
              </w:tc>
              <w:tc>
                <w:tcPr>
                  <w:tcW w:w="1268"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D57F4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本项目属于C3589其他医疗设备及器械制造，</w:t>
                  </w:r>
                  <w:r>
                    <w:rPr>
                      <w:rFonts w:hint="eastAsia" w:cs="Times New Roman"/>
                      <w:b w:val="0"/>
                      <w:bCs w:val="0"/>
                      <w:i w:val="0"/>
                      <w:iCs w:val="0"/>
                      <w:color w:val="000000"/>
                      <w:spacing w:val="0"/>
                      <w:w w:val="100"/>
                      <w:kern w:val="2"/>
                      <w:sz w:val="21"/>
                      <w:szCs w:val="21"/>
                      <w:highlight w:val="none"/>
                      <w:vertAlign w:val="baseline"/>
                      <w:lang w:val="en-US" w:eastAsia="zh-CN" w:bidi="ar-SA"/>
                    </w:rPr>
                    <w:t>本项目不涉及</w:t>
                  </w:r>
                </w:p>
              </w:tc>
              <w:tc>
                <w:tcPr>
                  <w:tcW w:w="61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239EF1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符合</w:t>
                  </w:r>
                </w:p>
              </w:tc>
            </w:tr>
            <w:tr w14:paraId="6C839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26" w:type="pc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B3FA94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（二）严格</w:t>
                  </w:r>
                </w:p>
                <w:p w14:paraId="371A45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准入条件</w:t>
                  </w:r>
                </w:p>
              </w:tc>
              <w:tc>
                <w:tcPr>
                  <w:tcW w:w="2494"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3F3904E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禁止建设生产和使用高VOCs含量的涂料、油墨、胶黏剂等项目。2021年起，全市工业涂装、包装印刷、纺织、木材加工等行业以及涂料、油墨等生产企业的新（改、扩）建项目需满足低（无）VOCs含量限值要求。省内市场上流通的水性涂料等低挥发性有机物含量涂料产品，执行国家《低挥发性有机化合物含量涂料产品技术要求》（GB/T38597-2020）。</w:t>
                  </w:r>
                </w:p>
              </w:tc>
              <w:tc>
                <w:tcPr>
                  <w:tcW w:w="1268"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59EFEE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本项目</w:t>
                  </w:r>
                  <w:r>
                    <w:rPr>
                      <w:rFonts w:hint="eastAsia" w:cs="Times New Roman"/>
                      <w:b w:val="0"/>
                      <w:bCs w:val="0"/>
                      <w:i w:val="0"/>
                      <w:iCs w:val="0"/>
                      <w:color w:val="000000"/>
                      <w:spacing w:val="0"/>
                      <w:w w:val="100"/>
                      <w:kern w:val="2"/>
                      <w:sz w:val="21"/>
                      <w:szCs w:val="21"/>
                      <w:highlight w:val="none"/>
                      <w:vertAlign w:val="baseline"/>
                      <w:lang w:val="en-US" w:eastAsia="zh-CN" w:bidi="ar-SA"/>
                    </w:rPr>
                    <w:t>不涉及</w:t>
                  </w:r>
                </w:p>
              </w:tc>
              <w:tc>
                <w:tcPr>
                  <w:tcW w:w="610"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68EDD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符合</w:t>
                  </w:r>
                </w:p>
              </w:tc>
            </w:tr>
            <w:tr w14:paraId="7B8A4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626" w:type="pct"/>
                  <w:tcBorders>
                    <w:top w:val="single" w:color="auto" w:sz="4" w:space="0"/>
                    <w:left w:val="single" w:color="CBCDD1" w:sz="4" w:space="0"/>
                    <w:bottom w:val="single" w:color="auto" w:sz="12" w:space="0"/>
                    <w:right w:val="single" w:color="auto" w:sz="4" w:space="0"/>
                  </w:tcBorders>
                  <w:noWrap w:val="0"/>
                  <w:tcMar>
                    <w:top w:w="0" w:type="dxa"/>
                    <w:left w:w="108" w:type="dxa"/>
                    <w:bottom w:w="0" w:type="dxa"/>
                    <w:right w:w="108" w:type="dxa"/>
                  </w:tcMar>
                  <w:vAlign w:val="center"/>
                </w:tcPr>
                <w:p w14:paraId="227180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（三）强化排查整治</w:t>
                  </w:r>
                </w:p>
              </w:tc>
              <w:tc>
                <w:tcPr>
                  <w:tcW w:w="2494"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7C62140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各地在推动3130家企业实施源头替代的基础上，举一反三，对工业涂装、包装印刷、木材加工、纺织等涉VOCs重点行业进行再排查、再梳理，督促企业建立涂料等原辅材料购销台账，如实记录使用情况。对具备替代条件的，要列入治理清单，推动企业实施清洁原料替代；对替代技术尚不成熟的，要开展论证核实，并加强现场监管，确保VOCs无组织排放得到有效控制，废气排气口达到国家及地方VOCs排放控制标准要求。</w:t>
                  </w:r>
                </w:p>
              </w:tc>
              <w:tc>
                <w:tcPr>
                  <w:tcW w:w="1268"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086096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企业设立主要原料台账</w:t>
                  </w:r>
                </w:p>
              </w:tc>
              <w:tc>
                <w:tcPr>
                  <w:tcW w:w="610"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46492AA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符合</w:t>
                  </w:r>
                </w:p>
              </w:tc>
            </w:tr>
          </w:tbl>
          <w:p w14:paraId="6822AB37">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cs="Times New Roman"/>
                <w:b/>
                <w:color w:val="000000"/>
                <w:sz w:val="24"/>
                <w:lang w:val="en-US" w:eastAsia="zh-CN"/>
              </w:rPr>
            </w:pPr>
            <w:r>
              <w:rPr>
                <w:rFonts w:hint="eastAsia" w:cs="Times New Roman"/>
                <w:b/>
                <w:color w:val="000000"/>
                <w:sz w:val="24"/>
                <w:lang w:val="en-US" w:eastAsia="zh-CN"/>
              </w:rPr>
              <w:t>12、与《关于印发〈江苏省重点行业挥发性有机物污染控制指南〉的通知》（苏环办〔2014〕128号）相符性</w:t>
            </w:r>
          </w:p>
          <w:p w14:paraId="6D649C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根据《关于印发</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江苏省重点行业挥发性有机物污染控制指南</w:t>
            </w:r>
            <w:r>
              <w:rPr>
                <w:rFonts w:hint="eastAsia"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的通知》（苏环办</w:t>
            </w: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2014</w:t>
            </w: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128号），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凹印涂料表面涂装、包装印刷业的VOCs总收集、净化处理率均不低于90%，其他行业原则上不低于75%。</w:t>
            </w:r>
          </w:p>
          <w:p w14:paraId="11D7F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本项目属于C3589其他医疗设备及器械制造，</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产生的</w:t>
            </w:r>
            <w:r>
              <w:rPr>
                <w:rFonts w:hint="eastAsia"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有机废气</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由集气罩收集后（收集效率90%）经</w:t>
            </w:r>
            <w:r>
              <w:rPr>
                <w:rFonts w:hint="eastAsia" w:ascii="宋体" w:hAnsi="宋体" w:eastAsia="宋体" w:cs="宋体"/>
                <w:b w:val="0"/>
                <w:bCs w:val="0"/>
                <w:i w:val="0"/>
                <w:iCs w:val="0"/>
                <w:color w:val="000000"/>
                <w:spacing w:val="0"/>
                <w:w w:val="100"/>
                <w:kern w:val="2"/>
                <w:sz w:val="24"/>
                <w:szCs w:val="24"/>
                <w:highlight w:val="none"/>
                <w:vertAlign w:val="baseline"/>
                <w:lang w:val="en-US" w:eastAsia="zh-CN" w:bidi="ar-SA"/>
              </w:rPr>
              <w:t>二级活性炭吸附装置</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处理后通过</w:t>
            </w:r>
            <w:r>
              <w:rPr>
                <w:rFonts w:hint="eastAsia"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15</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米高</w:t>
            </w:r>
            <w:r>
              <w:rPr>
                <w:rFonts w:hint="eastAsia"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2</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#排气筒排放。</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因此，本项目的建设符合《江苏省重点行业挥发性有机物污染控制指南》（苏环办</w:t>
            </w: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2014</w:t>
            </w:r>
            <w:r>
              <w:rPr>
                <w:rFonts w:hint="eastAsia" w:ascii="Times New Roman" w:hAnsi="Times New Roman" w:eastAsia="宋体" w:cs="Times New Roman"/>
                <w:b w:val="0"/>
                <w:bCs w:val="0"/>
                <w:i w:val="0"/>
                <w:iCs w:val="0"/>
                <w:color w:val="000000"/>
                <w:spacing w:val="0"/>
                <w:w w:val="100"/>
                <w:kern w:val="2"/>
                <w:sz w:val="24"/>
                <w:szCs w:val="24"/>
                <w:vertAlign w:val="baseline"/>
                <w:lang w:val="en-US" w:eastAsia="zh-CN" w:bidi="ar-SA"/>
              </w:rPr>
              <w:t>〕</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128号）的相关要求。</w:t>
            </w:r>
          </w:p>
          <w:p w14:paraId="5977471E">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eastAsia" w:cs="Times New Roman"/>
                <w:b/>
                <w:color w:val="000000"/>
                <w:sz w:val="24"/>
                <w:lang w:val="en-US" w:eastAsia="zh-CN"/>
              </w:rPr>
              <w:t>13、与《江苏省固体废物全过程环境监管工作意见》（苏环办〔2024〕16号）符合性分析</w:t>
            </w:r>
          </w:p>
          <w:p w14:paraId="6065EA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cs="Times New Roman"/>
                <w:b/>
                <w:bCs/>
                <w:i w:val="0"/>
                <w:iCs w:val="0"/>
                <w:color w:val="000000"/>
                <w:spacing w:val="0"/>
                <w:w w:val="100"/>
                <w:kern w:val="2"/>
                <w:sz w:val="21"/>
                <w:szCs w:val="21"/>
                <w:vertAlign w:val="baseline"/>
                <w:lang w:val="en-US" w:eastAsia="zh-CN" w:bidi="ar-SA"/>
              </w:rPr>
              <w:t>15</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与《江苏省固体废物全过程环境监管工作意见》（苏环办〔2024〕16号）符合性分析</w:t>
            </w:r>
          </w:p>
          <w:tbl>
            <w:tblPr>
              <w:tblStyle w:val="21"/>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688"/>
              <w:gridCol w:w="2153"/>
              <w:gridCol w:w="801"/>
            </w:tblGrid>
            <w:tr w14:paraId="34CEB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tcBorders>
                    <w:tl2br w:val="nil"/>
                    <w:tr2bl w:val="nil"/>
                  </w:tcBorders>
                  <w:noWrap w:val="0"/>
                  <w:vAlign w:val="center"/>
                </w:tcPr>
                <w:p w14:paraId="05656C5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类别</w:t>
                  </w:r>
                </w:p>
              </w:tc>
              <w:tc>
                <w:tcPr>
                  <w:tcW w:w="2867" w:type="pct"/>
                  <w:tcBorders>
                    <w:tl2br w:val="nil"/>
                    <w:tr2bl w:val="nil"/>
                  </w:tcBorders>
                  <w:noWrap w:val="0"/>
                  <w:vAlign w:val="center"/>
                </w:tcPr>
                <w:p w14:paraId="355C18F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要求</w:t>
                  </w:r>
                </w:p>
              </w:tc>
              <w:tc>
                <w:tcPr>
                  <w:tcW w:w="1201" w:type="pct"/>
                  <w:tcBorders>
                    <w:tl2br w:val="nil"/>
                    <w:tr2bl w:val="nil"/>
                  </w:tcBorders>
                  <w:noWrap w:val="0"/>
                  <w:vAlign w:val="center"/>
                </w:tcPr>
                <w:p w14:paraId="2E313D1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项目情况</w:t>
                  </w:r>
                </w:p>
              </w:tc>
              <w:tc>
                <w:tcPr>
                  <w:tcW w:w="516" w:type="pct"/>
                  <w:tcBorders>
                    <w:tl2br w:val="nil"/>
                    <w:tr2bl w:val="nil"/>
                  </w:tcBorders>
                  <w:noWrap w:val="0"/>
                  <w:vAlign w:val="center"/>
                </w:tcPr>
                <w:p w14:paraId="57C71F3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w:t>
                  </w:r>
                </w:p>
              </w:tc>
            </w:tr>
            <w:tr w14:paraId="2CF28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restart"/>
                  <w:tcBorders>
                    <w:tl2br w:val="nil"/>
                    <w:tr2bl w:val="nil"/>
                  </w:tcBorders>
                  <w:noWrap w:val="0"/>
                  <w:vAlign w:val="center"/>
                </w:tcPr>
                <w:p w14:paraId="685C8A2B">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一、注重源头预防</w:t>
                  </w:r>
                </w:p>
              </w:tc>
              <w:tc>
                <w:tcPr>
                  <w:tcW w:w="2867" w:type="pct"/>
                  <w:tcBorders>
                    <w:tl2br w:val="nil"/>
                    <w:tr2bl w:val="nil"/>
                  </w:tcBorders>
                  <w:noWrap w:val="0"/>
                  <w:vAlign w:val="center"/>
                </w:tcPr>
                <w:p w14:paraId="5A235C6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1.落实规划环评要求。</w:t>
                  </w:r>
                </w:p>
                <w:p w14:paraId="5F4DD899">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化工园区规划环评要对本区域内固体废物产生种类、数量及其利用处置方式进行详细分析阐述，明确源头减量总体目标、具体措施，以及补齐区域利用处置能力短板的具体建设项目，力争实现区域内固体废物就近利用处置。</w:t>
                  </w:r>
                </w:p>
              </w:tc>
              <w:tc>
                <w:tcPr>
                  <w:tcW w:w="1201" w:type="pct"/>
                  <w:tcBorders>
                    <w:tl2br w:val="nil"/>
                    <w:tr2bl w:val="nil"/>
                  </w:tcBorders>
                  <w:noWrap w:val="0"/>
                  <w:vAlign w:val="center"/>
                </w:tcPr>
                <w:p w14:paraId="241BC85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16" w:type="pct"/>
                  <w:tcBorders>
                    <w:tl2br w:val="nil"/>
                    <w:tr2bl w:val="nil"/>
                  </w:tcBorders>
                  <w:noWrap w:val="0"/>
                  <w:vAlign w:val="center"/>
                </w:tcPr>
                <w:p w14:paraId="01EF72E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r w14:paraId="01299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3BDFD2A4">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1282952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2.规范项目环评审批。</w:t>
                  </w:r>
                </w:p>
                <w:p w14:paraId="748803D3">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建设项目环评要评价产生的固体废物种类、数量、来源和属性，论述贮存、转移和利用处置方式合规性、合理性，提出切实可行的污染防治对策措施。所有产物要按照以下五类属性给予明确并规范表述：目标产物（产品、副产品）鉴别属于产品（符合国家、地方或行业标准）、可定向用于特定用途按产品管理（如符合团体标准）、一般固体废物和危险废物。不得将不符合GB34330、HJ1091等标准的产</w:t>
                  </w:r>
                  <w:r>
                    <w:rPr>
                      <w:rFonts w:hint="eastAsia" w:ascii="宋体" w:hAnsi="宋体" w:eastAsia="宋体" w:cs="宋体"/>
                      <w:b w:val="0"/>
                      <w:bCs w:val="0"/>
                      <w:i w:val="0"/>
                      <w:iCs w:val="0"/>
                      <w:color w:val="000000"/>
                      <w:spacing w:val="0"/>
                      <w:w w:val="100"/>
                      <w:kern w:val="2"/>
                      <w:sz w:val="21"/>
                      <w:szCs w:val="21"/>
                      <w:vertAlign w:val="baseline"/>
                      <w:lang w:val="en-US" w:eastAsia="zh-CN" w:bidi="ar-SA"/>
                    </w:rPr>
                    <w:t>物认定为“再生产</w:t>
                  </w:r>
                  <w:r>
                    <w:rPr>
                      <w:rFonts w:hint="eastAsia" w:ascii="宋体" w:hAnsi="宋体" w:cs="宋体"/>
                      <w:b w:val="0"/>
                      <w:bCs w:val="0"/>
                      <w:i w:val="0"/>
                      <w:iCs w:val="0"/>
                      <w:color w:val="000000"/>
                      <w:spacing w:val="0"/>
                      <w:w w:val="100"/>
                      <w:kern w:val="2"/>
                      <w:sz w:val="21"/>
                      <w:szCs w:val="21"/>
                      <w:vertAlign w:val="baseline"/>
                      <w:lang w:val="en-US" w:eastAsia="zh-CN" w:bidi="ar-SA"/>
                    </w:rPr>
                    <w:t>品</w:t>
                  </w:r>
                  <w:r>
                    <w:rPr>
                      <w:rFonts w:hint="eastAsia" w:ascii="宋体" w:hAnsi="宋体" w:eastAsia="宋体" w:cs="宋体"/>
                      <w:b w:val="0"/>
                      <w:bCs w:val="0"/>
                      <w:i w:val="0"/>
                      <w:iCs w:val="0"/>
                      <w:color w:val="000000"/>
                      <w:spacing w:val="0"/>
                      <w:w w:val="100"/>
                      <w:kern w:val="2"/>
                      <w:sz w:val="21"/>
                      <w:szCs w:val="21"/>
                      <w:vertAlign w:val="baseline"/>
                      <w:lang w:val="en-US" w:eastAsia="zh-CN" w:bidi="ar-SA"/>
                    </w:rPr>
                    <w:t>”，不得出现“中间产物”“再生产物”等不规范表述，严禁以“副产品”名义逃避监管。不能排除危险特性的固体废物，须在环评文件中明确具体鉴别方案，鉴别前按危险废物</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管理，鉴别后根据结论按一般固废或危险废物管理。危险废物经营单位项目环评审批要点要与危险废物经营许可审查要求衔接一致。</w:t>
                  </w:r>
                </w:p>
              </w:tc>
              <w:tc>
                <w:tcPr>
                  <w:tcW w:w="1201" w:type="pct"/>
                  <w:tcBorders>
                    <w:tl2br w:val="nil"/>
                    <w:tr2bl w:val="nil"/>
                  </w:tcBorders>
                  <w:noWrap w:val="0"/>
                  <w:vAlign w:val="center"/>
                </w:tcPr>
                <w:p w14:paraId="1AF68C4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本项目已根据固体废物种类、数量、来源等进行评价；并根据《固体废物鉴别标准通则》（GB34330-2017）、《国家危险废物名录（2025年版）》等文件对产生的固体废物进行鉴别。</w:t>
                  </w:r>
                </w:p>
              </w:tc>
              <w:tc>
                <w:tcPr>
                  <w:tcW w:w="516" w:type="pct"/>
                  <w:tcBorders>
                    <w:tl2br w:val="nil"/>
                    <w:tr2bl w:val="nil"/>
                  </w:tcBorders>
                  <w:noWrap w:val="0"/>
                  <w:vAlign w:val="center"/>
                </w:tcPr>
                <w:p w14:paraId="0BFD4B5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0A8E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7AC5C368">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76CB4AA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3.落实排污许可制度。</w:t>
                  </w:r>
                </w:p>
                <w:p w14:paraId="612FB6F5">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w:t>
                  </w:r>
                </w:p>
              </w:tc>
              <w:tc>
                <w:tcPr>
                  <w:tcW w:w="1201" w:type="pct"/>
                  <w:tcBorders>
                    <w:tl2br w:val="nil"/>
                    <w:tr2bl w:val="nil"/>
                  </w:tcBorders>
                  <w:noWrap w:val="0"/>
                  <w:vAlign w:val="center"/>
                </w:tcPr>
                <w:p w14:paraId="3EB3455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项目建成后企业应在排污许可管理系统中全面准确申报工业固体废物产生种类，以及贮存设施和利用处置等相关情况。</w:t>
                  </w:r>
                </w:p>
              </w:tc>
              <w:tc>
                <w:tcPr>
                  <w:tcW w:w="516" w:type="pct"/>
                  <w:tcBorders>
                    <w:tl2br w:val="nil"/>
                    <w:tr2bl w:val="nil"/>
                  </w:tcBorders>
                  <w:noWrap w:val="0"/>
                  <w:vAlign w:val="center"/>
                </w:tcPr>
                <w:p w14:paraId="7B30359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01E2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358D5138">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7152709D">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4.规范危废经营许可。</w:t>
                  </w:r>
                </w:p>
                <w:p w14:paraId="64E5490D">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核准危险废物经营许可时，应当符合经营单位建设项目环评和排污许可要求，并重点审查经营单位分析检测能力、贮存管理和产物去向等情况。许可证上应载明核准利用处置的危险废物类别并附带相应文字说明，许可条件中应明确违反后需采取的相应惩戒措施。</w:t>
                  </w:r>
                </w:p>
              </w:tc>
              <w:tc>
                <w:tcPr>
                  <w:tcW w:w="1201" w:type="pct"/>
                  <w:tcBorders>
                    <w:tl2br w:val="nil"/>
                    <w:tr2bl w:val="nil"/>
                  </w:tcBorders>
                  <w:noWrap w:val="0"/>
                  <w:vAlign w:val="center"/>
                </w:tcPr>
                <w:p w14:paraId="6796ECC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16" w:type="pct"/>
                  <w:tcBorders>
                    <w:tl2br w:val="nil"/>
                    <w:tr2bl w:val="nil"/>
                  </w:tcBorders>
                  <w:noWrap w:val="0"/>
                  <w:vAlign w:val="center"/>
                </w:tcPr>
                <w:p w14:paraId="13711E5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r w14:paraId="42071B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39AB1D75">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2433C5A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5.调优利用处置能力。</w:t>
                  </w:r>
                </w:p>
                <w:p w14:paraId="661258B4">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各设区市生态环境部门要定期发布固体废物产生种类、数量及利用处置能力等相关信息，详细分析固体废物（尤其是废盐、飞灰、废酸、高卤素残渣等）产生和利用处置能力匹配情况，精准补齐能力短板，稳步推</w:t>
                  </w:r>
                  <w:r>
                    <w:rPr>
                      <w:rFonts w:hint="eastAsia" w:ascii="宋体" w:hAnsi="宋体" w:eastAsia="宋体" w:cs="宋体"/>
                      <w:b w:val="0"/>
                      <w:bCs w:val="0"/>
                      <w:i w:val="0"/>
                      <w:iCs w:val="0"/>
                      <w:color w:val="000000"/>
                      <w:spacing w:val="0"/>
                      <w:w w:val="100"/>
                      <w:kern w:val="2"/>
                      <w:sz w:val="21"/>
                      <w:szCs w:val="21"/>
                      <w:vertAlign w:val="baseline"/>
                      <w:lang w:val="en-US" w:eastAsia="zh-CN" w:bidi="ar-SA"/>
                    </w:rPr>
                    <w:t>进“趋零填埋”省</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厅按年度公开全省危险废物产生和利用处置等有关情况，科学引导社会资本理性投资；组织对全省危险废物利用处置工艺水平进行整体评估，发布鼓励类、限制类危险废物利用处置技术目录不断提高行业利用处置先进性水平。</w:t>
                  </w:r>
                </w:p>
              </w:tc>
              <w:tc>
                <w:tcPr>
                  <w:tcW w:w="1201" w:type="pct"/>
                  <w:tcBorders>
                    <w:tl2br w:val="nil"/>
                    <w:tr2bl w:val="nil"/>
                  </w:tcBorders>
                  <w:noWrap w:val="0"/>
                  <w:vAlign w:val="center"/>
                </w:tcPr>
                <w:p w14:paraId="0A869CD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16" w:type="pct"/>
                  <w:tcBorders>
                    <w:tl2br w:val="nil"/>
                    <w:tr2bl w:val="nil"/>
                  </w:tcBorders>
                  <w:noWrap w:val="0"/>
                  <w:vAlign w:val="center"/>
                </w:tcPr>
                <w:p w14:paraId="26FDDCF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r w14:paraId="0AD3B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restart"/>
                  <w:tcBorders>
                    <w:tl2br w:val="nil"/>
                    <w:tr2bl w:val="nil"/>
                  </w:tcBorders>
                  <w:noWrap w:val="0"/>
                  <w:vAlign w:val="center"/>
                </w:tcPr>
                <w:p w14:paraId="7A93621E">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二、严格过程控制</w:t>
                  </w:r>
                </w:p>
              </w:tc>
              <w:tc>
                <w:tcPr>
                  <w:tcW w:w="2867" w:type="pct"/>
                  <w:tcBorders>
                    <w:tl2br w:val="nil"/>
                    <w:tr2bl w:val="nil"/>
                  </w:tcBorders>
                  <w:noWrap w:val="0"/>
                  <w:vAlign w:val="center"/>
                </w:tcPr>
                <w:p w14:paraId="5845BF7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6.规范贮存管理要求。</w:t>
                  </w:r>
                </w:p>
                <w:p w14:paraId="47D8CEC0">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2021〕290号）中关于贮存周期和贮存量的要求，Ⅰ级、Ⅱ级、Ⅲ级危险废物贮存时间分别不得超过30天、60天、90天，最大贮存量不得超过1吨。</w:t>
                  </w:r>
                </w:p>
              </w:tc>
              <w:tc>
                <w:tcPr>
                  <w:tcW w:w="1201" w:type="pct"/>
                  <w:tcBorders>
                    <w:tl2br w:val="nil"/>
                    <w:tr2bl w:val="nil"/>
                  </w:tcBorders>
                  <w:noWrap w:val="0"/>
                  <w:vAlign w:val="center"/>
                </w:tcPr>
                <w:p w14:paraId="68D719A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目设置</w:t>
                  </w:r>
                  <w:r>
                    <w:rPr>
                      <w:rFonts w:hint="eastAsia" w:cs="Times New Roman"/>
                      <w:b w:val="0"/>
                      <w:bCs w:val="0"/>
                      <w:i w:val="0"/>
                      <w:iCs w:val="0"/>
                      <w:color w:val="000000"/>
                      <w:spacing w:val="0"/>
                      <w:w w:val="100"/>
                      <w:kern w:val="2"/>
                      <w:sz w:val="21"/>
                      <w:szCs w:val="21"/>
                      <w:highlight w:val="none"/>
                      <w:vertAlign w:val="baseline"/>
                      <w:lang w:val="en-US" w:eastAsia="zh-CN" w:bidi="ar-SA"/>
                    </w:rPr>
                    <w:t>10</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m</w:t>
                  </w:r>
                  <w:r>
                    <w:rPr>
                      <w:rFonts w:hint="eastAsia" w:cs="Times New Roman"/>
                      <w:b w:val="0"/>
                      <w:bCs w:val="0"/>
                      <w:i w:val="0"/>
                      <w:iCs w:val="0"/>
                      <w:color w:val="000000"/>
                      <w:spacing w:val="0"/>
                      <w:w w:val="100"/>
                      <w:kern w:val="2"/>
                      <w:sz w:val="21"/>
                      <w:szCs w:val="21"/>
                      <w:highlight w:val="none"/>
                      <w:vertAlign w:val="superscript"/>
                      <w:lang w:val="en-US" w:eastAsia="zh-CN" w:bidi="ar-SA"/>
                    </w:rPr>
                    <w:t>2</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危废仓库贮存危废，建设要求符合</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相应的污染控制标准；本项目贮存周期为</w:t>
                  </w:r>
                  <w:r>
                    <w:rPr>
                      <w:rFonts w:hint="eastAsia" w:cs="Times New Roman"/>
                      <w:b w:val="0"/>
                      <w:bCs w:val="0"/>
                      <w:i w:val="0"/>
                      <w:iCs w:val="0"/>
                      <w:color w:val="000000"/>
                      <w:spacing w:val="0"/>
                      <w:w w:val="100"/>
                      <w:kern w:val="2"/>
                      <w:sz w:val="21"/>
                      <w:szCs w:val="21"/>
                      <w:vertAlign w:val="baseline"/>
                      <w:lang w:val="en-US" w:eastAsia="zh-CN" w:bidi="ar-SA"/>
                    </w:rPr>
                    <w:t>一</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年。</w:t>
                  </w:r>
                </w:p>
              </w:tc>
              <w:tc>
                <w:tcPr>
                  <w:tcW w:w="516" w:type="pct"/>
                  <w:tcBorders>
                    <w:tl2br w:val="nil"/>
                    <w:tr2bl w:val="nil"/>
                  </w:tcBorders>
                  <w:noWrap w:val="0"/>
                  <w:vAlign w:val="center"/>
                </w:tcPr>
                <w:p w14:paraId="31E751F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702962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6482951E">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36060BC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7.提高小微收集水平。</w:t>
                  </w:r>
                </w:p>
                <w:p w14:paraId="3237F5FB">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各地要统筹布局并加快推进小微收集体系建设，</w:t>
                  </w:r>
                  <w:r>
                    <w:rPr>
                      <w:rFonts w:hint="eastAsia" w:ascii="宋体" w:hAnsi="宋体" w:eastAsia="宋体" w:cs="宋体"/>
                      <w:b w:val="0"/>
                      <w:bCs w:val="0"/>
                      <w:i w:val="0"/>
                      <w:iCs w:val="0"/>
                      <w:color w:val="000000"/>
                      <w:spacing w:val="0"/>
                      <w:w w:val="100"/>
                      <w:kern w:val="2"/>
                      <w:sz w:val="21"/>
                      <w:szCs w:val="21"/>
                      <w:vertAlign w:val="baseline"/>
                      <w:lang w:val="en-US" w:eastAsia="zh-CN" w:bidi="ar-SA"/>
                    </w:rPr>
                    <w:t>杜绝“无人收”和“无序收”现象。督促小微收集单位履行协助危险废物环境管理延伸服务的职责，充分发挥“网格化+铁脚板”作用，主动上门对辖区内实验室废物和小微产废单位全面系统排查，发现未报漏报企业以及非法收集处置等违法行为，及时报告</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属地生态环境部门。属地生态环境部门要督促企业依法申报、限期整改，并联合公安机关严厉打击非法收集处置等违法行为。对存在未按规定频次收集、选择性收集等未按要求开展试点工作的小微收集单位，依法依规予以处理，直至取消收集试点资格。</w:t>
                  </w:r>
                </w:p>
              </w:tc>
              <w:tc>
                <w:tcPr>
                  <w:tcW w:w="1201" w:type="pct"/>
                  <w:tcBorders>
                    <w:tl2br w:val="nil"/>
                    <w:tr2bl w:val="nil"/>
                  </w:tcBorders>
                  <w:noWrap w:val="0"/>
                  <w:vAlign w:val="center"/>
                </w:tcPr>
                <w:p w14:paraId="711C86A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w:t>
                  </w:r>
                  <w:r>
                    <w:rPr>
                      <w:rFonts w:hint="eastAsia" w:ascii="Times New Roman" w:hAnsi="Times New Roman" w:eastAsia="宋体" w:cs="Times New Roman"/>
                      <w:b w:val="0"/>
                      <w:bCs w:val="0"/>
                      <w:i w:val="0"/>
                      <w:iCs w:val="0"/>
                      <w:color w:val="000000"/>
                      <w:spacing w:val="0"/>
                      <w:w w:val="100"/>
                      <w:kern w:val="2"/>
                      <w:sz w:val="21"/>
                      <w:szCs w:val="21"/>
                      <w:vertAlign w:val="baseline"/>
                      <w:lang w:val="en-US" w:eastAsia="zh-CN" w:bidi="ar-SA"/>
                    </w:rPr>
                    <w:t>生产</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过程产生的危废委托有资质单位处理。</w:t>
                  </w:r>
                </w:p>
              </w:tc>
              <w:tc>
                <w:tcPr>
                  <w:tcW w:w="516" w:type="pct"/>
                  <w:tcBorders>
                    <w:tl2br w:val="nil"/>
                    <w:tr2bl w:val="nil"/>
                  </w:tcBorders>
                  <w:noWrap w:val="0"/>
                  <w:vAlign w:val="center"/>
                </w:tcPr>
                <w:p w14:paraId="4AE3746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5301D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160F1328">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10947E12">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8.强化转移过程管理。</w:t>
                  </w:r>
                </w:p>
                <w:p w14:paraId="5D37D42E">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全面落实危险废物转移电子联单制度，实行省内全域扫描</w:t>
                  </w:r>
                  <w:r>
                    <w:rPr>
                      <w:rFonts w:hint="eastAsia" w:ascii="宋体" w:hAnsi="宋体" w:eastAsia="宋体" w:cs="宋体"/>
                      <w:b w:val="0"/>
                      <w:bCs w:val="0"/>
                      <w:i w:val="0"/>
                      <w:iCs w:val="0"/>
                      <w:color w:val="000000"/>
                      <w:spacing w:val="0"/>
                      <w:w w:val="100"/>
                      <w:kern w:val="2"/>
                      <w:sz w:val="21"/>
                      <w:szCs w:val="21"/>
                      <w:vertAlign w:val="baseline"/>
                      <w:lang w:val="en-US" w:eastAsia="zh-CN" w:bidi="ar-SA"/>
                    </w:rPr>
                    <w:t>“二维码”转移</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w:t>
                  </w:r>
                  <w:r>
                    <w:rPr>
                      <w:rFonts w:hint="eastAsia" w:ascii="宋体" w:hAnsi="宋体" w:eastAsia="宋体" w:cs="宋体"/>
                      <w:b w:val="0"/>
                      <w:bCs w:val="0"/>
                      <w:i w:val="0"/>
                      <w:iCs w:val="0"/>
                      <w:color w:val="000000"/>
                      <w:spacing w:val="0"/>
                      <w:w w:val="100"/>
                      <w:kern w:val="2"/>
                      <w:sz w:val="21"/>
                      <w:szCs w:val="21"/>
                      <w:vertAlign w:val="baseline"/>
                      <w:lang w:val="en-US" w:eastAsia="zh-CN" w:bidi="ar-SA"/>
                    </w:rPr>
                    <w:t>禁“空转”二</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维码。积极推行一般工业固体废物转移电子联单制度，优先选择环境风险较大的污泥、矿渣等固体废物试行。</w:t>
                  </w:r>
                </w:p>
              </w:tc>
              <w:tc>
                <w:tcPr>
                  <w:tcW w:w="1201" w:type="pct"/>
                  <w:tcBorders>
                    <w:tl2br w:val="nil"/>
                    <w:tr2bl w:val="nil"/>
                  </w:tcBorders>
                  <w:noWrap w:val="0"/>
                  <w:vAlign w:val="center"/>
                </w:tcPr>
                <w:p w14:paraId="2B9DC7F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本项目与有资质的危废处置公司签订委托合同，实行危险废物转移电子联单制度。</w:t>
                  </w:r>
                </w:p>
              </w:tc>
              <w:tc>
                <w:tcPr>
                  <w:tcW w:w="516" w:type="pct"/>
                  <w:tcBorders>
                    <w:tl2br w:val="nil"/>
                    <w:tr2bl w:val="nil"/>
                  </w:tcBorders>
                  <w:noWrap w:val="0"/>
                  <w:vAlign w:val="center"/>
                </w:tcPr>
                <w:p w14:paraId="07CF587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24A7A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3B9B57B5">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2B67963E">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9.落实信息公开制度。</w:t>
                  </w:r>
                </w:p>
                <w:p w14:paraId="0F8A067B">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1201" w:type="pct"/>
                  <w:tcBorders>
                    <w:tl2br w:val="nil"/>
                    <w:tr2bl w:val="nil"/>
                  </w:tcBorders>
                  <w:noWrap w:val="0"/>
                  <w:vAlign w:val="center"/>
                </w:tcPr>
                <w:p w14:paraId="635EDB2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本项目不属于危险废物环境重点监管单位。</w:t>
                  </w:r>
                </w:p>
              </w:tc>
              <w:tc>
                <w:tcPr>
                  <w:tcW w:w="516" w:type="pct"/>
                  <w:tcBorders>
                    <w:tl2br w:val="nil"/>
                    <w:tr2bl w:val="nil"/>
                  </w:tcBorders>
                  <w:noWrap w:val="0"/>
                  <w:vAlign w:val="center"/>
                </w:tcPr>
                <w:p w14:paraId="25C0B27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r w14:paraId="5F17D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029744FE">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3EF6071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10.开展常态化规范化评估。</w:t>
                  </w:r>
                </w:p>
                <w:p w14:paraId="783D3474">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建立固管、环评、执法、监测等多部门联合评估机制，各设区市每年评估产废和经营单位分别不少于80家、20家。现场评估原则上应采</w:t>
                  </w:r>
                  <w:r>
                    <w:rPr>
                      <w:rFonts w:hint="eastAsia" w:ascii="宋体" w:hAnsi="宋体" w:eastAsia="宋体" w:cs="宋体"/>
                      <w:b w:val="0"/>
                      <w:bCs w:val="0"/>
                      <w:i w:val="0"/>
                      <w:iCs w:val="0"/>
                      <w:color w:val="000000"/>
                      <w:spacing w:val="0"/>
                      <w:w w:val="100"/>
                      <w:kern w:val="2"/>
                      <w:sz w:val="21"/>
                      <w:szCs w:val="21"/>
                      <w:vertAlign w:val="baseline"/>
                      <w:lang w:val="en-US" w:eastAsia="zh-CN" w:bidi="ar-SA"/>
                    </w:rPr>
                    <w:t>取“四不两直”</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方式，重点评估许可证审查要点执行情况、新制度和标准落实情况、企业相关负责人危废管理知识掌握情况等。严格评估问题整改，形成发现问题、跟踪整改、闭环销号的工作机制，对企业标签标志，台账管理不规范等问题，督促企业立行立改；对违反许可条件的经营单位，要立即启动限制接收危险废物措施；对屡查屡犯或发现超范围接收、未如实申报、账实不符、去向不明等违法违规问题，要及时移送执法部门。</w:t>
                  </w:r>
                </w:p>
              </w:tc>
              <w:tc>
                <w:tcPr>
                  <w:tcW w:w="1201" w:type="pct"/>
                  <w:tcBorders>
                    <w:tl2br w:val="nil"/>
                    <w:tr2bl w:val="nil"/>
                  </w:tcBorders>
                  <w:noWrap w:val="0"/>
                  <w:vAlign w:val="center"/>
                </w:tcPr>
                <w:p w14:paraId="048D5CC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本项目建成后应按规范设置标签标志，并建立危废台账等。</w:t>
                  </w:r>
                </w:p>
              </w:tc>
              <w:tc>
                <w:tcPr>
                  <w:tcW w:w="516" w:type="pct"/>
                  <w:tcBorders>
                    <w:tl2br w:val="nil"/>
                    <w:tr2bl w:val="nil"/>
                  </w:tcBorders>
                  <w:noWrap w:val="0"/>
                  <w:vAlign w:val="center"/>
                </w:tcPr>
                <w:p w14:paraId="6054B3C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925AC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484E5177">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0EFD3CE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11.提升非现场监管能力。</w:t>
                  </w:r>
                </w:p>
                <w:p w14:paraId="6D4C1F2A">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开展产废过程物料衡算，依托固废管理信息系统建立算法模型，测算建设项目生产工艺流程中原辅料与产品、固体废物等的数量关系，并优先选择印染和水处理行业开展试点。对衡算结果与实际产废情况相差明显的，督促企业如实申报，对故意隐瞒废物种类、数量的，依法查处。化工园区要持续督促园区内企业将固体废物相关信息接入园区平台管理。充分运用卫星遥感、无人机等智能化手段，提升主动发现非法倾倒固体废物能力。</w:t>
                  </w:r>
                </w:p>
              </w:tc>
              <w:tc>
                <w:tcPr>
                  <w:tcW w:w="1201" w:type="pct"/>
                  <w:tcBorders>
                    <w:tl2br w:val="nil"/>
                    <w:tr2bl w:val="nil"/>
                  </w:tcBorders>
                  <w:noWrap w:val="0"/>
                  <w:vAlign w:val="center"/>
                </w:tcPr>
                <w:p w14:paraId="3224972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本项目建成后应在固废管理信息系统中如实申报，固体废物委托有资质单位妥善处置，做到零排放。</w:t>
                  </w:r>
                </w:p>
              </w:tc>
              <w:tc>
                <w:tcPr>
                  <w:tcW w:w="516" w:type="pct"/>
                  <w:tcBorders>
                    <w:tl2br w:val="nil"/>
                    <w:tr2bl w:val="nil"/>
                  </w:tcBorders>
                  <w:noWrap w:val="0"/>
                  <w:vAlign w:val="center"/>
                </w:tcPr>
                <w:p w14:paraId="53FA351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03DE9A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restart"/>
                  <w:tcBorders>
                    <w:tl2br w:val="nil"/>
                    <w:tr2bl w:val="nil"/>
                  </w:tcBorders>
                  <w:noWrap w:val="0"/>
                  <w:vAlign w:val="center"/>
                </w:tcPr>
                <w:p w14:paraId="362037F1">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三、强化末端管理</w:t>
                  </w:r>
                </w:p>
              </w:tc>
              <w:tc>
                <w:tcPr>
                  <w:tcW w:w="2867" w:type="pct"/>
                  <w:tcBorders>
                    <w:tl2br w:val="nil"/>
                    <w:tr2bl w:val="nil"/>
                  </w:tcBorders>
                  <w:noWrap w:val="0"/>
                  <w:vAlign w:val="center"/>
                </w:tcPr>
                <w:p w14:paraId="3E67F7D7">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12.推进固废就近利用处置。</w:t>
                  </w:r>
                </w:p>
                <w:p w14:paraId="34B3A0F0">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各地要提请属地政府，根据实际需求统筹推进本地危险废物利用处置能力建设。依托固废管理信息系统就近利用处置提醒功能，及时引导企业合理选择利用处置去向，实现危险废物市内消纳率逐步提升，防范长距离运输带来的环境风险。</w:t>
                  </w:r>
                </w:p>
              </w:tc>
              <w:tc>
                <w:tcPr>
                  <w:tcW w:w="1201" w:type="pct"/>
                  <w:tcBorders>
                    <w:tl2br w:val="nil"/>
                    <w:tr2bl w:val="nil"/>
                  </w:tcBorders>
                  <w:noWrap w:val="0"/>
                  <w:vAlign w:val="center"/>
                </w:tcPr>
                <w:p w14:paraId="1AB64E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本项目应就近选择有资质的危废处置单位进行处置。</w:t>
                  </w:r>
                </w:p>
              </w:tc>
              <w:tc>
                <w:tcPr>
                  <w:tcW w:w="516" w:type="pct"/>
                  <w:tcBorders>
                    <w:tl2br w:val="nil"/>
                    <w:tr2bl w:val="nil"/>
                  </w:tcBorders>
                  <w:noWrap w:val="0"/>
                  <w:vAlign w:val="center"/>
                </w:tcPr>
                <w:p w14:paraId="4A4551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5533F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140DE6BC">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02BC3BB0">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13.加强企业产物监管。</w:t>
                  </w:r>
                </w:p>
                <w:p w14:paraId="4598803B">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危险废物利用单位的所有产物须按照本文件第2条明确的五类属性进行分类管理，其中按产品管理的需要对其特征污染物开展检测分析，严防污染物向下游转移。全国性行业协会或江苏省地方行业协会制定的团体标准若包括危险废物来源、利用工艺、利用产物功能性指标、有效成分含量、特征污染物含量和利用产物用途的，可作为用于工业生产替代原料的综合利用产物环境风险评价的依据，其环境风险评价要重点阐述标准落实情况。严格执行风险评价要求的利用产物可按照产品管理。</w:t>
                  </w:r>
                </w:p>
              </w:tc>
              <w:tc>
                <w:tcPr>
                  <w:tcW w:w="1201" w:type="pct"/>
                  <w:tcBorders>
                    <w:tl2br w:val="nil"/>
                    <w:tr2bl w:val="nil"/>
                  </w:tcBorders>
                  <w:noWrap w:val="0"/>
                  <w:vAlign w:val="center"/>
                </w:tcPr>
                <w:p w14:paraId="2A010A3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16" w:type="pct"/>
                  <w:tcBorders>
                    <w:tl2br w:val="nil"/>
                    <w:tr2bl w:val="nil"/>
                  </w:tcBorders>
                  <w:noWrap w:val="0"/>
                  <w:vAlign w:val="center"/>
                </w:tcPr>
                <w:p w14:paraId="321A8C0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r w14:paraId="4BB3C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1901516B">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6B228604">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14.开展监督性监测。</w:t>
                  </w:r>
                </w:p>
                <w:p w14:paraId="2CA16B64">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各地要认真组织好辖区内危险废物经营单位监督性监测工作，将入厂危废和产物中特征污染物纳入监测范围。现</w:t>
                  </w:r>
                  <w:r>
                    <w:rPr>
                      <w:rFonts w:hint="eastAsia" w:ascii="宋体" w:hAnsi="宋体" w:eastAsia="宋体" w:cs="宋体"/>
                      <w:b w:val="0"/>
                      <w:bCs w:val="0"/>
                      <w:i w:val="0"/>
                      <w:iCs w:val="0"/>
                      <w:color w:val="000000"/>
                      <w:spacing w:val="0"/>
                      <w:w w:val="100"/>
                      <w:kern w:val="2"/>
                      <w:sz w:val="21"/>
                      <w:szCs w:val="21"/>
                      <w:vertAlign w:val="baseline"/>
                      <w:lang w:val="en-US" w:eastAsia="zh-CN" w:bidi="ar-SA"/>
                    </w:rPr>
                    <w:t>场采样须采取“四不两直”方式，分别根据排污许可证（或许可条件）、产品标准确定入厂危废和产物监测指标，不得缺项漏项。经营单位要严格执行国</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家、行业、地方污染控制标准入场危废不符合接收标准的，视同未按照许可证规定从事危险废物经营活动。产物中特征污染物含量超出标准限值的，仍须按照危险废物进行管理，严禁作为产品出售；因超标导致污染环境、破坏生态的，依法予以立案查处。</w:t>
                  </w:r>
                </w:p>
              </w:tc>
              <w:tc>
                <w:tcPr>
                  <w:tcW w:w="1201" w:type="pct"/>
                  <w:tcBorders>
                    <w:tl2br w:val="nil"/>
                    <w:tr2bl w:val="nil"/>
                  </w:tcBorders>
                  <w:noWrap w:val="0"/>
                  <w:vAlign w:val="center"/>
                </w:tcPr>
                <w:p w14:paraId="3934549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16" w:type="pct"/>
                  <w:tcBorders>
                    <w:tl2br w:val="nil"/>
                    <w:tr2bl w:val="nil"/>
                  </w:tcBorders>
                  <w:noWrap w:val="0"/>
                  <w:vAlign w:val="center"/>
                </w:tcPr>
                <w:p w14:paraId="4120457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r w14:paraId="43056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4" w:type="pct"/>
                  <w:vMerge w:val="continue"/>
                  <w:tcBorders>
                    <w:tl2br w:val="nil"/>
                    <w:tr2bl w:val="nil"/>
                  </w:tcBorders>
                  <w:noWrap w:val="0"/>
                  <w:vAlign w:val="center"/>
                </w:tcPr>
                <w:p w14:paraId="2C1B4F37">
                  <w:pPr>
                    <w:keepNext w:val="0"/>
                    <w:keepLines w:val="0"/>
                    <w:widowControl/>
                    <w:suppressLineNumbers w:val="0"/>
                    <w:spacing w:before="0" w:beforeAutospacing="0" w:after="0" w:afterAutospacing="0"/>
                    <w:ind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p>
              </w:tc>
              <w:tc>
                <w:tcPr>
                  <w:tcW w:w="2867" w:type="pct"/>
                  <w:tcBorders>
                    <w:tl2br w:val="nil"/>
                    <w:tr2bl w:val="nil"/>
                  </w:tcBorders>
                  <w:noWrap w:val="0"/>
                  <w:vAlign w:val="center"/>
                </w:tcPr>
                <w:p w14:paraId="22DC7C16">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15.规范一般工业固废管理。</w:t>
                  </w:r>
                </w:p>
                <w:p w14:paraId="4C10697A">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tc>
              <w:tc>
                <w:tcPr>
                  <w:tcW w:w="1201" w:type="pct"/>
                  <w:tcBorders>
                    <w:tl2br w:val="nil"/>
                    <w:tr2bl w:val="nil"/>
                  </w:tcBorders>
                  <w:noWrap w:val="0"/>
                  <w:vAlign w:val="center"/>
                </w:tcPr>
                <w:p w14:paraId="464C51D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本项目不涉及</w:t>
                  </w:r>
                </w:p>
              </w:tc>
              <w:tc>
                <w:tcPr>
                  <w:tcW w:w="516" w:type="pct"/>
                  <w:tcBorders>
                    <w:tl2br w:val="nil"/>
                    <w:tr2bl w:val="nil"/>
                  </w:tcBorders>
                  <w:noWrap w:val="0"/>
                  <w:vAlign w:val="center"/>
                </w:tcPr>
                <w:p w14:paraId="4E67BAE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r>
          </w:tbl>
          <w:p w14:paraId="67662AB6">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cs="Times New Roman"/>
                <w:b/>
                <w:color w:val="000000"/>
                <w:sz w:val="24"/>
                <w:lang w:val="en-US" w:eastAsia="zh-CN"/>
              </w:rPr>
            </w:pPr>
            <w:r>
              <w:rPr>
                <w:rFonts w:hint="eastAsia" w:cs="Times New Roman"/>
                <w:b/>
                <w:color w:val="000000"/>
                <w:sz w:val="24"/>
                <w:lang w:val="en-US" w:eastAsia="zh-CN"/>
              </w:rPr>
              <w:t>14、与《江苏省重点行业工业企业雨水排放环境管理办法》（苏污防攻坚指办〔2023〕71号）符合性分析</w:t>
            </w:r>
          </w:p>
          <w:p w14:paraId="58A1E9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cs="Times New Roman"/>
                <w:b/>
                <w:bCs/>
                <w:i w:val="0"/>
                <w:iCs w:val="0"/>
                <w:color w:val="000000"/>
                <w:spacing w:val="0"/>
                <w:w w:val="100"/>
                <w:kern w:val="2"/>
                <w:sz w:val="21"/>
                <w:szCs w:val="21"/>
                <w:vertAlign w:val="baseline"/>
                <w:lang w:val="en-US" w:eastAsia="zh-CN" w:bidi="ar-SA"/>
              </w:rPr>
              <w:t>16</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与《江苏省重点行业工业企业雨水排放环境管理办法》符合性分析</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3565"/>
              <w:gridCol w:w="3037"/>
              <w:gridCol w:w="952"/>
            </w:tblGrid>
            <w:tr w14:paraId="0220C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1E945A1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序号</w:t>
                  </w:r>
                </w:p>
              </w:tc>
              <w:tc>
                <w:tcPr>
                  <w:tcW w:w="2153" w:type="pct"/>
                  <w:tcBorders>
                    <w:tl2br w:val="nil"/>
                    <w:tr2bl w:val="nil"/>
                  </w:tcBorders>
                  <w:noWrap w:val="0"/>
                  <w:vAlign w:val="center"/>
                </w:tcPr>
                <w:p w14:paraId="5EB316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要求</w:t>
                  </w:r>
                </w:p>
              </w:tc>
              <w:tc>
                <w:tcPr>
                  <w:tcW w:w="1834" w:type="pct"/>
                  <w:tcBorders>
                    <w:tl2br w:val="nil"/>
                    <w:tr2bl w:val="nil"/>
                  </w:tcBorders>
                  <w:noWrap w:val="0"/>
                  <w:vAlign w:val="center"/>
                </w:tcPr>
                <w:p w14:paraId="3AD48F7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项目情况</w:t>
                  </w:r>
                </w:p>
              </w:tc>
              <w:tc>
                <w:tcPr>
                  <w:tcW w:w="575" w:type="pct"/>
                  <w:tcBorders>
                    <w:tl2br w:val="nil"/>
                    <w:tr2bl w:val="nil"/>
                  </w:tcBorders>
                  <w:noWrap w:val="0"/>
                  <w:vAlign w:val="center"/>
                </w:tcPr>
                <w:p w14:paraId="0461448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w:t>
                  </w:r>
                </w:p>
              </w:tc>
            </w:tr>
            <w:tr w14:paraId="1449C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243EA04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1</w:t>
                  </w:r>
                </w:p>
              </w:tc>
              <w:tc>
                <w:tcPr>
                  <w:tcW w:w="2153" w:type="pct"/>
                  <w:tcBorders>
                    <w:tl2br w:val="nil"/>
                    <w:tr2bl w:val="nil"/>
                  </w:tcBorders>
                  <w:noWrap w:val="0"/>
                  <w:vAlign w:val="center"/>
                </w:tcPr>
                <w:p w14:paraId="7047D8EC">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第三条 工业企业应结合环境风险评估，制定雨水管理制度，规范雨水排放行为，绘制管网分布图，标明雨水管网、附属设施（收集池、检查井、提升泵等），以及排放口位置和水流流向，并标明厂区污染区域。本办法所称污染区域，是指企业日常生产，物料和产品装卸、存储及主要转运通道，污染治理等过程中易产生污染物遗撒或径流污染的区域。</w:t>
                  </w:r>
                </w:p>
              </w:tc>
              <w:tc>
                <w:tcPr>
                  <w:tcW w:w="1834" w:type="pct"/>
                  <w:tcBorders>
                    <w:tl2br w:val="nil"/>
                    <w:tr2bl w:val="nil"/>
                  </w:tcBorders>
                  <w:noWrap w:val="0"/>
                  <w:vAlign w:val="center"/>
                </w:tcPr>
                <w:p w14:paraId="2FB9A61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本项目建设单位将按照规定制定雨水管理制度，规范雨水排放行为，并按要求绘制管网分布图，标明雨水管网、附属设施（收集池、检查井、提升泵等），以及排放口位置和水流流向，并标明厂区污染区域。</w:t>
                  </w:r>
                </w:p>
              </w:tc>
              <w:tc>
                <w:tcPr>
                  <w:tcW w:w="575" w:type="pct"/>
                  <w:tcBorders>
                    <w:tl2br w:val="nil"/>
                    <w:tr2bl w:val="nil"/>
                  </w:tcBorders>
                  <w:noWrap w:val="0"/>
                  <w:vAlign w:val="center"/>
                </w:tcPr>
                <w:p w14:paraId="2507EFB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92D3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05B35B3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w:t>
                  </w:r>
                </w:p>
              </w:tc>
              <w:tc>
                <w:tcPr>
                  <w:tcW w:w="2153" w:type="pct"/>
                  <w:tcBorders>
                    <w:tl2br w:val="nil"/>
                    <w:tr2bl w:val="nil"/>
                  </w:tcBorders>
                  <w:noWrap w:val="0"/>
                  <w:vAlign w:val="center"/>
                </w:tcPr>
                <w:p w14:paraId="7D09297C">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第四条 工业企业应根据厂区地形、平面布置、污染区域及环境管理要求等开展雨水分区收集，建设独立雨水收集系统，实现雨水收集系统全覆盖。实施雨污分流、清污分流，严禁将生产废水和生活污水接入雨水收集系统，或出现溢流、渗漏进入雨水收集管网的现象。</w:t>
                  </w:r>
                </w:p>
              </w:tc>
              <w:tc>
                <w:tcPr>
                  <w:tcW w:w="1834" w:type="pct"/>
                  <w:tcBorders>
                    <w:tl2br w:val="nil"/>
                    <w:tr2bl w:val="nil"/>
                  </w:tcBorders>
                  <w:noWrap w:val="0"/>
                  <w:vAlign w:val="center"/>
                </w:tcPr>
                <w:p w14:paraId="3BEE6D2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本项目厂区需根据厂区地形、平面布置、污染区域及环境管理要求等开展雨水分区收集，建设独立雨水收集系统，实现雨水收集系统全覆盖。其</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雨水管网</w:t>
                  </w:r>
                  <w:r>
                    <w:rPr>
                      <w:rFonts w:hint="eastAsia" w:cs="Times New Roman"/>
                      <w:b w:val="0"/>
                      <w:bCs w:val="0"/>
                      <w:i w:val="0"/>
                      <w:iCs w:val="0"/>
                      <w:color w:val="000000"/>
                      <w:spacing w:val="0"/>
                      <w:w w:val="100"/>
                      <w:kern w:val="2"/>
                      <w:sz w:val="21"/>
                      <w:szCs w:val="21"/>
                      <w:highlight w:val="none"/>
                      <w:vertAlign w:val="baseline"/>
                      <w:lang w:val="en-US" w:eastAsia="zh-CN" w:bidi="ar-SA"/>
                    </w:rPr>
                    <w:t>已</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纳入市政雨水管网，实施雨污分流、清污分流，本项目生活污水</w:t>
                  </w:r>
                  <w:r>
                    <w:rPr>
                      <w:rFonts w:hint="eastAsia" w:cs="Times New Roman"/>
                      <w:b w:val="0"/>
                      <w:bCs w:val="0"/>
                      <w:i w:val="0"/>
                      <w:iCs w:val="0"/>
                      <w:color w:val="000000"/>
                      <w:spacing w:val="0"/>
                      <w:w w:val="100"/>
                      <w:kern w:val="2"/>
                      <w:sz w:val="21"/>
                      <w:szCs w:val="21"/>
                      <w:highlight w:val="none"/>
                      <w:vertAlign w:val="baseline"/>
                      <w:lang w:val="en-US" w:eastAsia="zh-CN" w:bidi="ar-SA"/>
                    </w:rPr>
                    <w:t>接管至</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苏州汾湖水务发展有限公司（黎里工业再生水厂）处理，尾水排放至杜公漾，清洗废水回用，不外排</w:t>
                  </w:r>
                  <w:r>
                    <w:rPr>
                      <w:rFonts w:hint="eastAsia"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w:t>
                  </w:r>
                </w:p>
              </w:tc>
              <w:tc>
                <w:tcPr>
                  <w:tcW w:w="575" w:type="pct"/>
                  <w:tcBorders>
                    <w:tl2br w:val="nil"/>
                    <w:tr2bl w:val="nil"/>
                  </w:tcBorders>
                  <w:noWrap w:val="0"/>
                  <w:vAlign w:val="center"/>
                </w:tcPr>
                <w:p w14:paraId="4D18D4D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1FBCE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0A03F63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3</w:t>
                  </w:r>
                </w:p>
              </w:tc>
              <w:tc>
                <w:tcPr>
                  <w:tcW w:w="2153" w:type="pct"/>
                  <w:tcBorders>
                    <w:tl2br w:val="nil"/>
                    <w:tr2bl w:val="nil"/>
                  </w:tcBorders>
                  <w:noWrap w:val="0"/>
                  <w:vAlign w:val="center"/>
                </w:tcPr>
                <w:p w14:paraId="5C43BA08">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第十五条 后期雨水可直接排放或纳管市政雨水管网。雨水排放口水质应保持稳定、清洁。严禁将后期雨水排入污水收集处理设施，借道污水排口排放的，不得在污水排放监控点之前汇入，避免影响污水处理设施效能或产生稀释排污的嫌疑。</w:t>
                  </w:r>
                </w:p>
              </w:tc>
              <w:tc>
                <w:tcPr>
                  <w:tcW w:w="1834" w:type="pct"/>
                  <w:tcBorders>
                    <w:tl2br w:val="nil"/>
                    <w:tr2bl w:val="nil"/>
                  </w:tcBorders>
                  <w:noWrap w:val="0"/>
                  <w:vAlign w:val="center"/>
                </w:tcPr>
                <w:p w14:paraId="547DBE7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本项目雨水管网已纳入市政雨水管网，所在地厂区已经实行</w:t>
                  </w:r>
                  <w:r>
                    <w:rPr>
                      <w:rFonts w:hint="eastAsia" w:ascii="宋体" w:hAnsi="宋体" w:eastAsia="宋体" w:cs="宋体"/>
                      <w:b w:val="0"/>
                      <w:bCs w:val="0"/>
                      <w:i w:val="0"/>
                      <w:iCs w:val="0"/>
                      <w:color w:val="000000"/>
                      <w:spacing w:val="0"/>
                      <w:w w:val="100"/>
                      <w:kern w:val="2"/>
                      <w:sz w:val="21"/>
                      <w:szCs w:val="21"/>
                      <w:vertAlign w:val="baseline"/>
                      <w:lang w:val="en-US" w:eastAsia="zh-CN" w:bidi="ar-SA"/>
                    </w:rPr>
                    <w:t>“雨污分流”</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w:t>
                  </w:r>
                </w:p>
              </w:tc>
              <w:tc>
                <w:tcPr>
                  <w:tcW w:w="575" w:type="pct"/>
                  <w:tcBorders>
                    <w:tl2br w:val="nil"/>
                    <w:tr2bl w:val="nil"/>
                  </w:tcBorders>
                  <w:noWrap w:val="0"/>
                  <w:vAlign w:val="center"/>
                </w:tcPr>
                <w:p w14:paraId="2D782AD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33CCA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1A64AD4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4</w:t>
                  </w:r>
                </w:p>
              </w:tc>
              <w:tc>
                <w:tcPr>
                  <w:tcW w:w="2153" w:type="pct"/>
                  <w:tcBorders>
                    <w:tl2br w:val="nil"/>
                    <w:tr2bl w:val="nil"/>
                  </w:tcBorders>
                  <w:noWrap w:val="0"/>
                  <w:vAlign w:val="center"/>
                </w:tcPr>
                <w:p w14:paraId="640126F7">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第十六条 工业企业原则上一个厂区只允许设置一个雨水排放口。确需设置两个及以上雨水排放口的，应书面告知生态环境部门。</w:t>
                  </w:r>
                </w:p>
              </w:tc>
              <w:tc>
                <w:tcPr>
                  <w:tcW w:w="1834" w:type="pct"/>
                  <w:tcBorders>
                    <w:tl2br w:val="nil"/>
                    <w:tr2bl w:val="nil"/>
                  </w:tcBorders>
                  <w:noWrap w:val="0"/>
                  <w:vAlign w:val="center"/>
                </w:tcPr>
                <w:p w14:paraId="35BD89A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项目厂区有</w:t>
                  </w:r>
                  <w:r>
                    <w:rPr>
                      <w:rFonts w:hint="eastAsia" w:cs="Times New Roman"/>
                      <w:b w:val="0"/>
                      <w:bCs w:val="0"/>
                      <w:i w:val="0"/>
                      <w:iCs w:val="0"/>
                      <w:color w:val="000000"/>
                      <w:spacing w:val="0"/>
                      <w:w w:val="100"/>
                      <w:kern w:val="2"/>
                      <w:sz w:val="21"/>
                      <w:szCs w:val="21"/>
                      <w:highlight w:val="none"/>
                      <w:vertAlign w:val="baseline"/>
                      <w:lang w:val="en-US" w:eastAsia="zh-CN" w:bidi="ar-SA"/>
                    </w:rPr>
                    <w:t>一</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个雨水排放口。</w:t>
                  </w:r>
                </w:p>
              </w:tc>
              <w:tc>
                <w:tcPr>
                  <w:tcW w:w="575" w:type="pct"/>
                  <w:tcBorders>
                    <w:tl2br w:val="nil"/>
                    <w:tr2bl w:val="nil"/>
                  </w:tcBorders>
                  <w:noWrap w:val="0"/>
                  <w:vAlign w:val="center"/>
                </w:tcPr>
                <w:p w14:paraId="3386053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6894A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2158398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5</w:t>
                  </w:r>
                </w:p>
              </w:tc>
              <w:tc>
                <w:tcPr>
                  <w:tcW w:w="2153" w:type="pct"/>
                  <w:tcBorders>
                    <w:tl2br w:val="nil"/>
                    <w:tr2bl w:val="nil"/>
                  </w:tcBorders>
                  <w:noWrap w:val="0"/>
                  <w:vAlign w:val="center"/>
                </w:tcPr>
                <w:p w14:paraId="1FC89AAA">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第十八条 工业企业雨水排放口应设立标志牌，标志牌安放位置醒目，保持清洁，不得污损、破坏。</w:t>
                  </w:r>
                </w:p>
              </w:tc>
              <w:tc>
                <w:tcPr>
                  <w:tcW w:w="1834" w:type="pct"/>
                  <w:tcBorders>
                    <w:tl2br w:val="nil"/>
                    <w:tr2bl w:val="nil"/>
                  </w:tcBorders>
                  <w:noWrap w:val="0"/>
                  <w:vAlign w:val="center"/>
                </w:tcPr>
                <w:p w14:paraId="66AFE10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本项目租赁厂区雨水排放口需设置标识标牌。</w:t>
                  </w:r>
                </w:p>
              </w:tc>
              <w:tc>
                <w:tcPr>
                  <w:tcW w:w="575" w:type="pct"/>
                  <w:tcBorders>
                    <w:tl2br w:val="nil"/>
                    <w:tr2bl w:val="nil"/>
                  </w:tcBorders>
                  <w:noWrap w:val="0"/>
                  <w:vAlign w:val="center"/>
                </w:tcPr>
                <w:p w14:paraId="33E34E0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43AEB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7" w:type="pct"/>
                  <w:tcBorders>
                    <w:tl2br w:val="nil"/>
                    <w:tr2bl w:val="nil"/>
                  </w:tcBorders>
                  <w:noWrap w:val="0"/>
                  <w:vAlign w:val="center"/>
                </w:tcPr>
                <w:p w14:paraId="750040A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6</w:t>
                  </w:r>
                </w:p>
              </w:tc>
              <w:tc>
                <w:tcPr>
                  <w:tcW w:w="2153" w:type="pct"/>
                  <w:tcBorders>
                    <w:tl2br w:val="nil"/>
                    <w:tr2bl w:val="nil"/>
                  </w:tcBorders>
                  <w:noWrap w:val="0"/>
                  <w:vAlign w:val="center"/>
                </w:tcPr>
                <w:p w14:paraId="24038E04">
                  <w:pPr>
                    <w:keepNext w:val="0"/>
                    <w:keepLines w:val="0"/>
                    <w:widowControl/>
                    <w:suppressLineNumbers w:val="0"/>
                    <w:spacing w:before="0" w:beforeAutospacing="0" w:after="0" w:afterAutospacing="0"/>
                    <w:ind w:left="0" w:leftChars="0" w:right="0" w:rightChars="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第二十六条 工业企业应建立明确的雨水排放口管理制度和操作规程，并张贴上墙，开展日常操作演练，避免人为误操作等引发环境污染事故。</w:t>
                  </w:r>
                </w:p>
              </w:tc>
              <w:tc>
                <w:tcPr>
                  <w:tcW w:w="1834" w:type="pct"/>
                  <w:tcBorders>
                    <w:tl2br w:val="nil"/>
                    <w:tr2bl w:val="nil"/>
                  </w:tcBorders>
                  <w:noWrap w:val="0"/>
                  <w:vAlign w:val="center"/>
                </w:tcPr>
                <w:p w14:paraId="234535B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企业将定期检查雨水管网排口情况，建立明确的制度和操作流程。</w:t>
                  </w:r>
                </w:p>
              </w:tc>
              <w:tc>
                <w:tcPr>
                  <w:tcW w:w="575" w:type="pct"/>
                  <w:tcBorders>
                    <w:tl2br w:val="nil"/>
                    <w:tr2bl w:val="nil"/>
                  </w:tcBorders>
                  <w:noWrap w:val="0"/>
                  <w:vAlign w:val="center"/>
                </w:tcPr>
                <w:p w14:paraId="11F13B3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bl>
          <w:p w14:paraId="06FC5B90">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b/>
                <w:color w:val="000000"/>
                <w:sz w:val="24"/>
                <w:lang w:val="en-US" w:eastAsia="zh-CN"/>
              </w:rPr>
            </w:pPr>
            <w:r>
              <w:rPr>
                <w:rFonts w:hint="default" w:ascii="Times New Roman" w:hAnsi="Times New Roman" w:eastAsia="宋体" w:cs="Times New Roman"/>
                <w:b/>
                <w:color w:val="000000"/>
                <w:sz w:val="24"/>
                <w:lang w:val="en-US" w:eastAsia="zh-CN"/>
              </w:rPr>
              <w:t>1</w:t>
            </w:r>
            <w:r>
              <w:rPr>
                <w:rFonts w:hint="eastAsia" w:cs="Times New Roman"/>
                <w:b/>
                <w:color w:val="000000"/>
                <w:sz w:val="24"/>
                <w:lang w:val="en-US" w:eastAsia="zh-CN"/>
              </w:rPr>
              <w:t>5</w:t>
            </w:r>
            <w:r>
              <w:rPr>
                <w:rFonts w:hint="default" w:ascii="Times New Roman" w:hAnsi="Times New Roman" w:eastAsia="宋体" w:cs="Times New Roman"/>
                <w:b/>
                <w:color w:val="000000"/>
                <w:sz w:val="24"/>
                <w:lang w:val="en-US" w:eastAsia="zh-CN"/>
              </w:rPr>
              <w:t>、与《苏州市</w:t>
            </w:r>
            <w:r>
              <w:rPr>
                <w:rFonts w:hint="eastAsia" w:ascii="宋体" w:hAnsi="宋体" w:eastAsia="宋体" w:cs="宋体"/>
                <w:b/>
                <w:color w:val="000000"/>
                <w:sz w:val="24"/>
                <w:lang w:val="en-US" w:eastAsia="zh-CN"/>
              </w:rPr>
              <w:t>“十四五”</w:t>
            </w:r>
            <w:r>
              <w:rPr>
                <w:rFonts w:hint="default" w:ascii="Times New Roman" w:hAnsi="Times New Roman" w:eastAsia="宋体" w:cs="Times New Roman"/>
                <w:b/>
                <w:color w:val="000000"/>
                <w:sz w:val="24"/>
                <w:lang w:val="en-US" w:eastAsia="zh-CN"/>
              </w:rPr>
              <w:t>生态环境保护规划》符合性分析</w:t>
            </w:r>
          </w:p>
          <w:p w14:paraId="7A78E5C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ascii="Times New Roman" w:hAnsi="Times New Roman" w:eastAsia="宋体" w:cs="Times New Roman"/>
                <w:b/>
                <w:bCs/>
                <w:i w:val="0"/>
                <w:iCs w:val="0"/>
                <w:color w:val="000000"/>
                <w:spacing w:val="0"/>
                <w:w w:val="100"/>
                <w:kern w:val="2"/>
                <w:sz w:val="21"/>
                <w:szCs w:val="21"/>
                <w:vertAlign w:val="baseline"/>
                <w:lang w:val="en-US" w:eastAsia="zh-CN" w:bidi="ar-SA"/>
              </w:rPr>
              <w:t>17</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 xml:space="preserve"> 与《苏</w:t>
            </w:r>
            <w:r>
              <w:rPr>
                <w:rFonts w:hint="eastAsia" w:ascii="宋体" w:hAnsi="宋体" w:eastAsia="宋体" w:cs="宋体"/>
                <w:b/>
                <w:bCs/>
                <w:i w:val="0"/>
                <w:iCs w:val="0"/>
                <w:color w:val="000000"/>
                <w:spacing w:val="0"/>
                <w:w w:val="100"/>
                <w:kern w:val="2"/>
                <w:sz w:val="21"/>
                <w:szCs w:val="21"/>
                <w:vertAlign w:val="baseline"/>
                <w:lang w:val="en-US" w:eastAsia="zh-CN" w:bidi="ar-SA"/>
              </w:rPr>
              <w:t>州市“十四五”生态环</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境保护规划》符合性分析</w:t>
            </w:r>
          </w:p>
          <w:tbl>
            <w:tblPr>
              <w:tblStyle w:val="20"/>
              <w:tblW w:w="82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89"/>
              <w:gridCol w:w="4947"/>
              <w:gridCol w:w="1670"/>
              <w:gridCol w:w="875"/>
            </w:tblGrid>
            <w:tr w14:paraId="7D937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76" w:type="pct"/>
                  <w:tcBorders>
                    <w:top w:val="single" w:color="auto" w:sz="12"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5B6D6F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类别</w:t>
                  </w:r>
                </w:p>
              </w:tc>
              <w:tc>
                <w:tcPr>
                  <w:tcW w:w="2986"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9C17F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规划要求</w:t>
                  </w:r>
                </w:p>
              </w:tc>
              <w:tc>
                <w:tcPr>
                  <w:tcW w:w="1008" w:type="pct"/>
                  <w:tcBorders>
                    <w:top w:val="single" w:color="auto" w:sz="12"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6017B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项目情况</w:t>
                  </w:r>
                </w:p>
              </w:tc>
              <w:tc>
                <w:tcPr>
                  <w:tcW w:w="528" w:type="pct"/>
                  <w:tcBorders>
                    <w:top w:val="single" w:color="auto" w:sz="12"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975EC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相符性</w:t>
                  </w:r>
                </w:p>
              </w:tc>
            </w:tr>
            <w:tr w14:paraId="31E3E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76" w:type="pct"/>
                  <w:vMerge w:val="restart"/>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274547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加大VOCs治理力度</w:t>
                  </w:r>
                </w:p>
              </w:tc>
              <w:tc>
                <w:tcPr>
                  <w:tcW w:w="298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F00587B">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分类实施原材料绿色化替代。按照国家、省清洁原料替代要求，在技术成熟领域持续推进使用低VOCs含量的涂料、油墨、胶粘剂、清洗剂和其他低（无）VOCs含量、低反应活性的原辅材料，提高木制家具、工程机械制造、汽车制造行业低挥发性有机物含量涂料产品使用比例，在技术尚未全部成熟领域开展替代试点，从源头减少VOCs产生。</w:t>
                  </w:r>
                </w:p>
              </w:tc>
              <w:tc>
                <w:tcPr>
                  <w:tcW w:w="1008"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5AA41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eastAsia" w:cs="Times New Roman"/>
                      <w:b w:val="0"/>
                      <w:bCs w:val="0"/>
                      <w:i w:val="0"/>
                      <w:iCs w:val="0"/>
                      <w:color w:val="000000"/>
                      <w:spacing w:val="0"/>
                      <w:w w:val="100"/>
                      <w:kern w:val="2"/>
                      <w:sz w:val="21"/>
                      <w:szCs w:val="21"/>
                      <w:highlight w:val="none"/>
                      <w:vertAlign w:val="baseline"/>
                      <w:lang w:val="en-US" w:eastAsia="zh-CN" w:bidi="ar-SA"/>
                    </w:rPr>
                    <w:t>本项目不涉及</w:t>
                  </w:r>
                </w:p>
              </w:tc>
              <w:tc>
                <w:tcPr>
                  <w:tcW w:w="52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121A42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4FD2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76"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35FAC214">
                  <w:pPr>
                    <w:rPr>
                      <w:rFonts w:hint="default" w:ascii="Times New Roman" w:hAnsi="Times New Roman" w:eastAsia="宋体" w:cs="Times New Roman"/>
                      <w:color w:val="000000"/>
                      <w:sz w:val="21"/>
                      <w:szCs w:val="21"/>
                    </w:rPr>
                  </w:pPr>
                </w:p>
              </w:tc>
              <w:tc>
                <w:tcPr>
                  <w:tcW w:w="298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B62E3AA">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强化无组织排放管理。对企业含VOCs物料储存、转移和输送、设备与管线组件泄漏、敞开液面逸散以及工艺过程等五类排放源加强管理，有效削减VOCs无组织排放。按</w:t>
                  </w:r>
                  <w:r>
                    <w:rPr>
                      <w:rFonts w:hint="eastAsia" w:ascii="宋体" w:hAnsi="宋体" w:eastAsia="宋体" w:cs="宋体"/>
                      <w:b w:val="0"/>
                      <w:bCs w:val="0"/>
                      <w:i w:val="0"/>
                      <w:iCs w:val="0"/>
                      <w:color w:val="000000"/>
                      <w:spacing w:val="0"/>
                      <w:w w:val="100"/>
                      <w:kern w:val="2"/>
                      <w:sz w:val="21"/>
                      <w:szCs w:val="21"/>
                      <w:vertAlign w:val="baseline"/>
                      <w:lang w:val="en-US" w:eastAsia="zh-CN" w:bidi="ar-SA"/>
                    </w:rPr>
                    <w:t>照“应收尽收、分质收集”的</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原则，优先采用密闭集气罩收集废气，提高废气收集率。</w:t>
                  </w:r>
                </w:p>
              </w:tc>
              <w:tc>
                <w:tcPr>
                  <w:tcW w:w="1008"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07755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本项目产生的废气由集气罩收集进入废气设施处理</w:t>
                  </w:r>
                </w:p>
              </w:tc>
              <w:tc>
                <w:tcPr>
                  <w:tcW w:w="528" w:type="pct"/>
                  <w:tcBorders>
                    <w:top w:val="single" w:color="auto" w:sz="4" w:space="0"/>
                    <w:left w:val="single" w:color="auto" w:sz="4" w:space="0"/>
                    <w:bottom w:val="single" w:color="auto" w:sz="4" w:space="0"/>
                    <w:right w:val="single" w:color="CBCDD1" w:sz="4" w:space="0"/>
                  </w:tcBorders>
                  <w:noWrap w:val="0"/>
                  <w:tcMar>
                    <w:top w:w="0" w:type="dxa"/>
                    <w:left w:w="108" w:type="dxa"/>
                    <w:bottom w:w="0" w:type="dxa"/>
                    <w:right w:w="108" w:type="dxa"/>
                  </w:tcMar>
                  <w:vAlign w:val="center"/>
                </w:tcPr>
                <w:p w14:paraId="39BD301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5E2ED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4" w:hRule="atLeast"/>
                <w:jc w:val="center"/>
              </w:trPr>
              <w:tc>
                <w:tcPr>
                  <w:tcW w:w="476" w:type="pct"/>
                  <w:vMerge w:val="continue"/>
                  <w:tcBorders>
                    <w:top w:val="single" w:color="auto" w:sz="4" w:space="0"/>
                    <w:left w:val="single" w:color="CBCDD1" w:sz="4" w:space="0"/>
                    <w:bottom w:val="single" w:color="auto" w:sz="4" w:space="0"/>
                    <w:right w:val="single" w:color="auto" w:sz="4" w:space="0"/>
                  </w:tcBorders>
                  <w:noWrap w:val="0"/>
                  <w:tcMar>
                    <w:top w:w="0" w:type="dxa"/>
                    <w:left w:w="108" w:type="dxa"/>
                    <w:bottom w:w="0" w:type="dxa"/>
                    <w:right w:w="108" w:type="dxa"/>
                  </w:tcMar>
                  <w:vAlign w:val="center"/>
                </w:tcPr>
                <w:p w14:paraId="4B9327F4">
                  <w:pPr>
                    <w:rPr>
                      <w:rFonts w:hint="default" w:ascii="Times New Roman" w:hAnsi="Times New Roman" w:eastAsia="宋体" w:cs="Times New Roman"/>
                      <w:color w:val="000000"/>
                      <w:sz w:val="21"/>
                      <w:szCs w:val="21"/>
                    </w:rPr>
                  </w:pPr>
                </w:p>
              </w:tc>
              <w:tc>
                <w:tcPr>
                  <w:tcW w:w="2986"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17F7944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强非正常工况排放控制，规范化工装置开停工及维护检修流程。指导企业制定VOCs无组织排放控制规程，按期开展泄漏检测与修复工作，及时修复泄漏源。深入实施精细化管控。深化石化、化工、工业涂装、包装印刷、油品储运销售等重点行业VOCs深度治理和重点集群整治，实施VOCs达标区和重点化工企业VOCs达标示范工程，逐步取消石化、化工、工业涂装、包装印刷等企业非必要废气排放系统旁路。针对存在突出问题的工业园区、企业集群、重点管控企业制定整改方案，做到措施精准、时限明确、责任到人，适时推进整治成效后评估，到2025年，实现市级及以上工业园区整治提升全覆盖。推进工业园区建立健全监测预警监控体系，开展工业园区常态化走航监测、异常因子排查溯源等。推进工业园区和企业集群建设VOCs</w:t>
                  </w:r>
                  <w:r>
                    <w:rPr>
                      <w:rFonts w:hint="eastAsia" w:ascii="宋体" w:hAnsi="宋体" w:eastAsia="宋体" w:cs="宋体"/>
                      <w:b w:val="0"/>
                      <w:bCs w:val="0"/>
                      <w:i w:val="0"/>
                      <w:iCs w:val="0"/>
                      <w:color w:val="000000"/>
                      <w:spacing w:val="0"/>
                      <w:w w:val="100"/>
                      <w:kern w:val="2"/>
                      <w:sz w:val="21"/>
                      <w:szCs w:val="21"/>
                      <w:vertAlign w:val="baseline"/>
                      <w:lang w:val="en-US" w:eastAsia="zh-CN" w:bidi="ar-SA"/>
                    </w:rPr>
                    <w:t>“绿岛”项</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目，统筹规划建设一批集中涂装中心、活性炭集中处理中心、溶剂回收中心等，实现VOCs集中高效处理。</w:t>
                  </w:r>
                </w:p>
              </w:tc>
              <w:tc>
                <w:tcPr>
                  <w:tcW w:w="1008" w:type="pct"/>
                  <w:tcBorders>
                    <w:top w:val="single" w:color="auto" w:sz="4" w:space="0"/>
                    <w:left w:val="single" w:color="auto" w:sz="4" w:space="0"/>
                    <w:bottom w:val="single" w:color="auto" w:sz="12" w:space="0"/>
                    <w:right w:val="single" w:color="auto" w:sz="4" w:space="0"/>
                  </w:tcBorders>
                  <w:noWrap w:val="0"/>
                  <w:tcMar>
                    <w:top w:w="0" w:type="dxa"/>
                    <w:left w:w="108" w:type="dxa"/>
                    <w:bottom w:w="0" w:type="dxa"/>
                    <w:right w:w="108" w:type="dxa"/>
                  </w:tcMar>
                  <w:vAlign w:val="center"/>
                </w:tcPr>
                <w:p w14:paraId="03EF26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本项目为C3589其他医疗设备及器械制造</w:t>
                  </w:r>
                  <w:r>
                    <w:rPr>
                      <w:rFonts w:hint="default" w:ascii="Times New Roman" w:hAnsi="Times New Roman" w:eastAsia="宋体" w:cs="Times New Roman"/>
                      <w:b w:val="0"/>
                      <w:bCs w:val="0"/>
                      <w:i w:val="0"/>
                      <w:iCs w:val="0"/>
                      <w:color w:val="000000"/>
                      <w:spacing w:val="0"/>
                      <w:w w:val="100"/>
                      <w:kern w:val="2"/>
                      <w:sz w:val="21"/>
                      <w:szCs w:val="21"/>
                      <w:highlight w:val="none"/>
                      <w:vertAlign w:val="baseline"/>
                      <w:lang w:val="en-US" w:eastAsia="zh-CN" w:bidi="ar-SA"/>
                    </w:rPr>
                    <w:t>，在项目投产后依据相关要求制定VOCs无组织排放控制规程</w:t>
                  </w:r>
                </w:p>
              </w:tc>
              <w:tc>
                <w:tcPr>
                  <w:tcW w:w="528" w:type="pct"/>
                  <w:tcBorders>
                    <w:top w:val="single" w:color="auto" w:sz="4" w:space="0"/>
                    <w:left w:val="single" w:color="auto" w:sz="4" w:space="0"/>
                    <w:bottom w:val="single" w:color="auto" w:sz="12" w:space="0"/>
                    <w:right w:val="single" w:color="CBCDD1" w:sz="4" w:space="0"/>
                  </w:tcBorders>
                  <w:noWrap w:val="0"/>
                  <w:tcMar>
                    <w:top w:w="0" w:type="dxa"/>
                    <w:left w:w="108" w:type="dxa"/>
                    <w:bottom w:w="0" w:type="dxa"/>
                    <w:right w:w="108" w:type="dxa"/>
                  </w:tcMar>
                  <w:vAlign w:val="center"/>
                </w:tcPr>
                <w:p w14:paraId="3981D3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bl>
          <w:p w14:paraId="56EC8661">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cs="Times New Roman"/>
                <w:b/>
                <w:color w:val="000000"/>
                <w:sz w:val="24"/>
                <w:lang w:val="en-US" w:eastAsia="zh-CN"/>
              </w:rPr>
            </w:pPr>
            <w:r>
              <w:rPr>
                <w:rFonts w:hint="eastAsia" w:cs="Times New Roman"/>
                <w:b/>
                <w:color w:val="000000"/>
                <w:sz w:val="24"/>
                <w:lang w:val="en-US" w:eastAsia="zh-CN"/>
              </w:rPr>
              <w:t>16、与《苏州市吴江</w:t>
            </w:r>
            <w:r>
              <w:rPr>
                <w:rFonts w:hint="eastAsia" w:ascii="宋体" w:hAnsi="宋体" w:eastAsia="宋体" w:cs="宋体"/>
                <w:b/>
                <w:color w:val="000000"/>
                <w:sz w:val="24"/>
                <w:lang w:val="en-US" w:eastAsia="zh-CN"/>
              </w:rPr>
              <w:t>区“十四五”生态环</w:t>
            </w:r>
            <w:r>
              <w:rPr>
                <w:rFonts w:hint="eastAsia" w:cs="Times New Roman"/>
                <w:b/>
                <w:color w:val="000000"/>
                <w:sz w:val="24"/>
                <w:lang w:val="en-US" w:eastAsia="zh-CN"/>
              </w:rPr>
              <w:t>境保护规划》（吴政办〔2022〕153 号）相符性分析</w:t>
            </w:r>
          </w:p>
          <w:p w14:paraId="1CCDF2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表1-</w:t>
            </w:r>
            <w:r>
              <w:rPr>
                <w:rFonts w:hint="eastAsia" w:ascii="Times New Roman" w:hAnsi="Times New Roman" w:eastAsia="宋体" w:cs="Times New Roman"/>
                <w:b/>
                <w:bCs/>
                <w:i w:val="0"/>
                <w:iCs w:val="0"/>
                <w:color w:val="000000"/>
                <w:spacing w:val="0"/>
                <w:w w:val="100"/>
                <w:kern w:val="2"/>
                <w:sz w:val="21"/>
                <w:szCs w:val="21"/>
                <w:vertAlign w:val="baseline"/>
                <w:lang w:val="en-US" w:eastAsia="zh-CN" w:bidi="ar-SA"/>
              </w:rPr>
              <w:t xml:space="preserve">18 </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与《苏州市吴江</w:t>
            </w:r>
            <w:r>
              <w:rPr>
                <w:rFonts w:hint="eastAsia" w:ascii="宋体" w:hAnsi="宋体" w:eastAsia="宋体" w:cs="宋体"/>
                <w:b/>
                <w:bCs/>
                <w:i w:val="0"/>
                <w:iCs w:val="0"/>
                <w:color w:val="000000"/>
                <w:spacing w:val="0"/>
                <w:w w:val="100"/>
                <w:kern w:val="2"/>
                <w:sz w:val="21"/>
                <w:szCs w:val="21"/>
                <w:vertAlign w:val="baseline"/>
                <w:lang w:val="en-US" w:eastAsia="zh-CN" w:bidi="ar-SA"/>
              </w:rPr>
              <w:t>区“十四五”生态</w:t>
            </w: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环境保护规划》（吴政办〔2022〕153号）相符性分析</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892"/>
              <w:gridCol w:w="5348"/>
              <w:gridCol w:w="1088"/>
              <w:gridCol w:w="953"/>
            </w:tblGrid>
            <w:tr w14:paraId="716DA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893" w:type="dxa"/>
                  <w:tcBorders>
                    <w:tl2br w:val="nil"/>
                    <w:tr2bl w:val="nil"/>
                  </w:tcBorders>
                  <w:noWrap w:val="0"/>
                  <w:tcMar>
                    <w:top w:w="0" w:type="dxa"/>
                    <w:left w:w="108" w:type="dxa"/>
                    <w:bottom w:w="0" w:type="dxa"/>
                    <w:right w:w="108" w:type="dxa"/>
                  </w:tcMar>
                  <w:vAlign w:val="center"/>
                </w:tcPr>
                <w:p w14:paraId="23EDA4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内容</w:t>
                  </w:r>
                </w:p>
              </w:tc>
              <w:tc>
                <w:tcPr>
                  <w:tcW w:w="5350" w:type="dxa"/>
                  <w:tcBorders>
                    <w:tl2br w:val="nil"/>
                    <w:tr2bl w:val="nil"/>
                  </w:tcBorders>
                  <w:noWrap w:val="0"/>
                  <w:tcMar>
                    <w:top w:w="0" w:type="dxa"/>
                    <w:left w:w="108" w:type="dxa"/>
                    <w:bottom w:w="0" w:type="dxa"/>
                    <w:right w:w="108" w:type="dxa"/>
                  </w:tcMar>
                  <w:vAlign w:val="center"/>
                </w:tcPr>
                <w:p w14:paraId="4860A2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bCs/>
                      <w:i w:val="0"/>
                      <w:iCs w:val="0"/>
                      <w:color w:val="000000"/>
                      <w:spacing w:val="0"/>
                      <w:w w:val="100"/>
                      <w:kern w:val="2"/>
                      <w:sz w:val="21"/>
                      <w:szCs w:val="21"/>
                      <w:vertAlign w:val="baseline"/>
                      <w:lang w:val="en-US" w:eastAsia="zh-CN" w:bidi="ar-SA"/>
                    </w:rPr>
                    <w:t>相关要求</w:t>
                  </w:r>
                </w:p>
              </w:tc>
              <w:tc>
                <w:tcPr>
                  <w:tcW w:w="1088" w:type="dxa"/>
                  <w:tcBorders>
                    <w:tl2br w:val="nil"/>
                    <w:tr2bl w:val="nil"/>
                  </w:tcBorders>
                  <w:noWrap w:val="0"/>
                  <w:tcMar>
                    <w:top w:w="0" w:type="dxa"/>
                    <w:left w:w="108" w:type="dxa"/>
                    <w:bottom w:w="0" w:type="dxa"/>
                    <w:right w:w="108" w:type="dxa"/>
                  </w:tcMar>
                  <w:vAlign w:val="center"/>
                </w:tcPr>
                <w:p w14:paraId="350674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项目情况</w:t>
                  </w:r>
                </w:p>
              </w:tc>
              <w:tc>
                <w:tcPr>
                  <w:tcW w:w="953" w:type="dxa"/>
                  <w:tcBorders>
                    <w:tl2br w:val="nil"/>
                    <w:tr2bl w:val="nil"/>
                  </w:tcBorders>
                  <w:noWrap w:val="0"/>
                  <w:tcMar>
                    <w:top w:w="0" w:type="dxa"/>
                    <w:left w:w="108" w:type="dxa"/>
                    <w:bottom w:w="0" w:type="dxa"/>
                    <w:right w:w="108" w:type="dxa"/>
                  </w:tcMar>
                  <w:vAlign w:val="center"/>
                </w:tcPr>
                <w:p w14:paraId="60F5BA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bCs/>
                      <w:i w:val="0"/>
                      <w:iCs w:val="0"/>
                      <w:color w:val="000000"/>
                      <w:spacing w:val="0"/>
                      <w:w w:val="100"/>
                      <w:kern w:val="2"/>
                      <w:sz w:val="21"/>
                      <w:szCs w:val="21"/>
                      <w:highlight w:val="none"/>
                      <w:vertAlign w:val="baseline"/>
                      <w:lang w:val="en-US" w:eastAsia="zh-CN" w:bidi="ar-SA"/>
                    </w:rPr>
                    <w:t>相符性</w:t>
                  </w:r>
                </w:p>
              </w:tc>
            </w:tr>
            <w:tr w14:paraId="72AB6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893" w:type="dxa"/>
                  <w:tcBorders>
                    <w:tl2br w:val="nil"/>
                    <w:tr2bl w:val="nil"/>
                  </w:tcBorders>
                  <w:noWrap w:val="0"/>
                  <w:tcMar>
                    <w:top w:w="0" w:type="dxa"/>
                    <w:left w:w="108" w:type="dxa"/>
                    <w:bottom w:w="0" w:type="dxa"/>
                    <w:right w:w="108" w:type="dxa"/>
                  </w:tcMar>
                  <w:vAlign w:val="center"/>
                </w:tcPr>
                <w:p w14:paraId="668E18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二、加强挥发性有机物治理攻坚</w:t>
                  </w:r>
                </w:p>
              </w:tc>
              <w:tc>
                <w:tcPr>
                  <w:tcW w:w="5350" w:type="dxa"/>
                  <w:tcBorders>
                    <w:tl2br w:val="nil"/>
                    <w:tr2bl w:val="nil"/>
                  </w:tcBorders>
                  <w:noWrap w:val="0"/>
                  <w:tcMar>
                    <w:top w:w="0" w:type="dxa"/>
                    <w:left w:w="108" w:type="dxa"/>
                    <w:bottom w:w="0" w:type="dxa"/>
                    <w:right w:w="108" w:type="dxa"/>
                  </w:tcMar>
                  <w:vAlign w:val="center"/>
                </w:tcPr>
                <w:p w14:paraId="5C431BB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持续推进源头替代。以减少苯、甲苯、二甲苯等溶剂和助剂的使用为重点，推进低VOCs含量、低反应活性原辅材料和产品的替代，重点对纺织涂层、机械喷涂、电子喷涂、彩钢板、木制品行业推广实施《低挥发性有机化合物含量涂料产品技术要求》。推进实施至少5个新增替代项目。结合产业结构分布，培育1家以上源头替代示范型企业。制定吴江区低挥发性有机物等原辅料源头替代工作方案。严格准入要求，禁止建设生产和使用高VOCs含量的溶剂型涂料、油墨、胶黏剂等项目。将符合低挥发性有机化合物含量产品技术要求的企业纳入清洁原料替代正面清单。</w:t>
                  </w:r>
                </w:p>
                <w:p w14:paraId="279EE2BF">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开展重点行业企业深度治理。加强化工、工业涂装、包装印刷、油品储运销售等重点行业VOCs深度治理，编制实</w:t>
                  </w:r>
                  <w:r>
                    <w:rPr>
                      <w:rFonts w:hint="eastAsia" w:ascii="宋体" w:hAnsi="宋体" w:eastAsia="宋体" w:cs="宋体"/>
                      <w:b w:val="0"/>
                      <w:bCs w:val="0"/>
                      <w:i w:val="0"/>
                      <w:iCs w:val="0"/>
                      <w:color w:val="000000"/>
                      <w:spacing w:val="0"/>
                      <w:w w:val="100"/>
                      <w:kern w:val="2"/>
                      <w:sz w:val="21"/>
                      <w:szCs w:val="21"/>
                      <w:vertAlign w:val="baseline"/>
                      <w:lang w:val="en-US" w:eastAsia="zh-CN" w:bidi="ar-SA"/>
                    </w:rPr>
                    <w:t>施“一企一策”综</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合治理方案。完善省重点行业VOCs总量核算体系，实施新建项目总量平衡</w:t>
                  </w:r>
                  <w:r>
                    <w:rPr>
                      <w:rFonts w:hint="eastAsia" w:ascii="宋体" w:hAnsi="宋体" w:eastAsia="宋体" w:cs="宋体"/>
                      <w:b w:val="0"/>
                      <w:bCs w:val="0"/>
                      <w:i w:val="0"/>
                      <w:iCs w:val="0"/>
                      <w:color w:val="000000"/>
                      <w:spacing w:val="0"/>
                      <w:w w:val="100"/>
                      <w:kern w:val="2"/>
                      <w:sz w:val="21"/>
                      <w:szCs w:val="21"/>
                      <w:vertAlign w:val="baseline"/>
                      <w:lang w:val="en-US" w:eastAsia="zh-CN" w:bidi="ar-SA"/>
                    </w:rPr>
                    <w:t>“减二增一”。</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引导化工、制药等行业合理安排停检修计划，减少非正常工况VOCs排放。深化VOCs无组织排放控制。执行《挥发性有机物无组织排放控制要求（GB27822-2019）》标准，对VOCs物料储存、物料转移和输送、工艺过程、设备与管线组件VOCs泄漏、敞开液面VOCs无组织排放、VOCs无组织排放废气收集处理系统等薄弱环节加强整治。在无组织排放标准实施过程中，充分考虑生产治理环境，确保排放过程、治理过程安全。</w:t>
                  </w:r>
                </w:p>
                <w:p w14:paraId="0E172165">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每年组织开展VOCs无组织排放专项执法行动，不断巩固成效。</w:t>
                  </w:r>
                </w:p>
              </w:tc>
              <w:tc>
                <w:tcPr>
                  <w:tcW w:w="1088" w:type="dxa"/>
                  <w:tcBorders>
                    <w:tl2br w:val="nil"/>
                    <w:tr2bl w:val="nil"/>
                  </w:tcBorders>
                  <w:noWrap w:val="0"/>
                  <w:tcMar>
                    <w:top w:w="0" w:type="dxa"/>
                    <w:left w:w="108" w:type="dxa"/>
                    <w:bottom w:w="0" w:type="dxa"/>
                    <w:right w:w="108" w:type="dxa"/>
                  </w:tcMar>
                  <w:vAlign w:val="center"/>
                </w:tcPr>
                <w:p w14:paraId="1B05F229">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本项目属于</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C3589其他医疗设备及器械制造</w:t>
                  </w:r>
                  <w:r>
                    <w:rPr>
                      <w:rFonts w:hint="eastAsia" w:cs="Times New Roman"/>
                      <w:color w:val="000000"/>
                      <w:sz w:val="21"/>
                      <w:szCs w:val="21"/>
                      <w:lang w:val="en-US" w:eastAsia="zh-CN"/>
                    </w:rPr>
                    <w:t>，VOC</w:t>
                  </w:r>
                  <w:r>
                    <w:rPr>
                      <w:rFonts w:hint="eastAsia" w:cs="Times New Roman"/>
                      <w:color w:val="000000"/>
                      <w:sz w:val="21"/>
                      <w:szCs w:val="21"/>
                      <w:vertAlign w:val="subscript"/>
                      <w:lang w:val="en-US" w:eastAsia="zh-CN"/>
                    </w:rPr>
                    <w:t>s</w:t>
                  </w:r>
                  <w:r>
                    <w:rPr>
                      <w:rFonts w:hint="eastAsia" w:cs="Times New Roman"/>
                      <w:color w:val="000000"/>
                      <w:sz w:val="21"/>
                      <w:szCs w:val="21"/>
                      <w:lang w:val="en-US" w:eastAsia="zh-CN"/>
                    </w:rPr>
                    <w:t>无组织排放满足相关要求。</w:t>
                  </w:r>
                </w:p>
              </w:tc>
              <w:tc>
                <w:tcPr>
                  <w:tcW w:w="953" w:type="dxa"/>
                  <w:tcBorders>
                    <w:tl2br w:val="nil"/>
                    <w:tr2bl w:val="nil"/>
                  </w:tcBorders>
                  <w:noWrap w:val="0"/>
                  <w:tcMar>
                    <w:top w:w="0" w:type="dxa"/>
                    <w:left w:w="108" w:type="dxa"/>
                    <w:bottom w:w="0" w:type="dxa"/>
                    <w:right w:w="108" w:type="dxa"/>
                  </w:tcMar>
                  <w:vAlign w:val="center"/>
                </w:tcPr>
                <w:p w14:paraId="2F37FC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r w14:paraId="130B0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893" w:type="dxa"/>
                  <w:tcBorders>
                    <w:tl2br w:val="nil"/>
                    <w:tr2bl w:val="nil"/>
                  </w:tcBorders>
                  <w:noWrap w:val="0"/>
                  <w:tcMar>
                    <w:top w:w="0" w:type="dxa"/>
                    <w:left w:w="108" w:type="dxa"/>
                    <w:bottom w:w="0" w:type="dxa"/>
                    <w:right w:w="108" w:type="dxa"/>
                  </w:tcMar>
                  <w:vAlign w:val="center"/>
                </w:tcPr>
                <w:p w14:paraId="0708441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三、推进固</w:t>
                  </w:r>
                  <w:r>
                    <w:rPr>
                      <w:rFonts w:hint="eastAsia" w:cs="Times New Roman"/>
                      <w:b w:val="0"/>
                      <w:bCs w:val="0"/>
                      <w:i w:val="0"/>
                      <w:iCs w:val="0"/>
                      <w:color w:val="000000"/>
                      <w:spacing w:val="0"/>
                      <w:w w:val="100"/>
                      <w:kern w:val="2"/>
                      <w:sz w:val="21"/>
                      <w:szCs w:val="21"/>
                      <w:vertAlign w:val="baseline"/>
                      <w:lang w:val="en-US" w:eastAsia="zh-CN" w:bidi="ar-SA"/>
                    </w:rPr>
                    <w:t>定</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源深度</w:t>
                  </w:r>
                </w:p>
                <w:p w14:paraId="5336DC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治理</w:t>
                  </w:r>
                </w:p>
              </w:tc>
              <w:tc>
                <w:tcPr>
                  <w:tcW w:w="5350" w:type="dxa"/>
                  <w:tcBorders>
                    <w:tl2br w:val="nil"/>
                    <w:tr2bl w:val="nil"/>
                  </w:tcBorders>
                  <w:noWrap w:val="0"/>
                  <w:tcMar>
                    <w:top w:w="0" w:type="dxa"/>
                    <w:left w:w="108" w:type="dxa"/>
                    <w:bottom w:w="0" w:type="dxa"/>
                    <w:right w:w="108" w:type="dxa"/>
                  </w:tcMar>
                  <w:vAlign w:val="center"/>
                </w:tcPr>
                <w:p w14:paraId="06600CC2">
                  <w:pPr>
                    <w:keepNext w:val="0"/>
                    <w:keepLines w:val="0"/>
                    <w:widowControl/>
                    <w:suppressLineNumbers w:val="0"/>
                    <w:spacing w:before="0" w:beforeAutospacing="0" w:after="0" w:afterAutospacing="0"/>
                    <w:ind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加强锅炉和炉窑综合治理。开展拉网式排查，2021年逐步建立辖区内各类锅炉和工业炉窑管理清单。全面完成燃气锅炉低氮改造工作，氮氧化物排放浓度不高于50毫克/立方米。</w:t>
                  </w:r>
                </w:p>
                <w:p w14:paraId="327DB321">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2021年全面完成全区5蒸吨/小时以下燃气锅炉低氮改造任务，并全面开展一轮5蒸吨/小时及以上燃气锅炉低氮改造情</w:t>
                  </w:r>
                  <w:r>
                    <w:rPr>
                      <w:rFonts w:hint="eastAsia" w:ascii="宋体" w:hAnsi="宋体" w:eastAsia="宋体" w:cs="宋体"/>
                      <w:b w:val="0"/>
                      <w:bCs w:val="0"/>
                      <w:i w:val="0"/>
                      <w:iCs w:val="0"/>
                      <w:color w:val="000000"/>
                      <w:spacing w:val="0"/>
                      <w:w w:val="100"/>
                      <w:kern w:val="2"/>
                      <w:sz w:val="21"/>
                      <w:szCs w:val="21"/>
                      <w:vertAlign w:val="baseline"/>
                      <w:lang w:val="en-US" w:eastAsia="zh-CN" w:bidi="ar-SA"/>
                    </w:rPr>
                    <w:t>况“回头看”</w:t>
                  </w: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开展生物质锅炉专项整治，生物质专用锅炉全部完成超低排放改造。工业聚集区内存在多台分散生物质锅炉的，推进生物质锅炉拆小并大。4蒸吨/小时以上生物质锅炉安装烟气排放自动监控设施，并与生态环境部门联网。</w:t>
                  </w:r>
                </w:p>
                <w:p w14:paraId="70329B38">
                  <w:pPr>
                    <w:keepNext w:val="0"/>
                    <w:keepLines w:val="0"/>
                    <w:widowControl/>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对尚未完成超低排放改造的重点涉工业炉窑企业，对照《苏州市工业炉窑大气污染综合治理方案》，通过工艺治理提标以及清洁低碳能源、工厂余热、热力替代等方式，实现有组织排放全面达标、无组织排放有效管控、全过程精细化监管。</w:t>
                  </w:r>
                </w:p>
              </w:tc>
              <w:tc>
                <w:tcPr>
                  <w:tcW w:w="1088" w:type="dxa"/>
                  <w:tcBorders>
                    <w:tl2br w:val="nil"/>
                    <w:tr2bl w:val="nil"/>
                  </w:tcBorders>
                  <w:noWrap w:val="0"/>
                  <w:tcMar>
                    <w:top w:w="0" w:type="dxa"/>
                    <w:left w:w="108" w:type="dxa"/>
                    <w:bottom w:w="0" w:type="dxa"/>
                    <w:right w:w="108" w:type="dxa"/>
                  </w:tcMar>
                  <w:vAlign w:val="center"/>
                </w:tcPr>
                <w:p w14:paraId="539CF28F">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本项目不涉及</w:t>
                  </w:r>
                </w:p>
              </w:tc>
              <w:tc>
                <w:tcPr>
                  <w:tcW w:w="953" w:type="dxa"/>
                  <w:tcBorders>
                    <w:tl2br w:val="nil"/>
                    <w:tr2bl w:val="nil"/>
                  </w:tcBorders>
                  <w:noWrap w:val="0"/>
                  <w:tcMar>
                    <w:top w:w="0" w:type="dxa"/>
                    <w:left w:w="108" w:type="dxa"/>
                    <w:bottom w:w="0" w:type="dxa"/>
                    <w:right w:w="108" w:type="dxa"/>
                  </w:tcMar>
                  <w:vAlign w:val="center"/>
                </w:tcPr>
                <w:p w14:paraId="5071D4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b w:val="0"/>
                      <w:bCs w:val="0"/>
                      <w:i w:val="0"/>
                      <w:iCs w:val="0"/>
                      <w:color w:val="000000"/>
                      <w:spacing w:val="0"/>
                      <w:w w:val="100"/>
                      <w:kern w:val="2"/>
                      <w:sz w:val="21"/>
                      <w:szCs w:val="21"/>
                      <w:vertAlign w:val="baseline"/>
                      <w:lang w:val="en-US" w:eastAsia="zh-CN" w:bidi="ar-SA"/>
                    </w:rPr>
                    <w:t>相符</w:t>
                  </w:r>
                </w:p>
              </w:tc>
            </w:tr>
          </w:tbl>
          <w:p w14:paraId="1780FEAB">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cs="Times New Roman"/>
                <w:b/>
                <w:color w:val="000000"/>
                <w:sz w:val="24"/>
                <w:lang w:val="en-US" w:eastAsia="zh-CN"/>
              </w:rPr>
            </w:pPr>
            <w:r>
              <w:rPr>
                <w:rFonts w:hint="eastAsia" w:cs="Times New Roman"/>
                <w:b/>
                <w:color w:val="000000"/>
                <w:sz w:val="24"/>
                <w:lang w:val="en-US" w:eastAsia="zh-CN"/>
              </w:rPr>
              <w:t>17、与《大运河苏州段核心监控区国土空间管控细则》（苏府规字〔2022〕8号）相符性分析</w:t>
            </w:r>
          </w:p>
          <w:p w14:paraId="6656B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大运河苏州段核心监控区国土空间管控细则》（苏府规字〔2022〕8号）所称核心监控区，是指大运河苏州段主河道两岸各2千米范围。具体范围以河道岸线临水边界线为起始线，以行政区边界、自然山体、道路、建筑物及构筑物外围界线等地形地物为终止线统筹划定，涉及相城区、虎丘区（苏州高新区）、姑苏区、吴中区、吴江区和苏州工业园区，总面积约为349平方公里。滨河生态空间，是指核心监控区内，原则上除建成区外，大运河苏州段主河道两岸各1千米范围内的区域。</w:t>
            </w:r>
          </w:p>
          <w:p w14:paraId="312A6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核心监控区按照滨河生态空间、建成区和核心监控区其他区域（</w:t>
            </w:r>
            <w:r>
              <w:rPr>
                <w:rFonts w:hint="eastAsia" w:ascii="宋体" w:hAnsi="宋体" w:eastAsia="宋体" w:cs="宋体"/>
                <w:b w:val="0"/>
                <w:bCs w:val="0"/>
                <w:i w:val="0"/>
                <w:iCs w:val="0"/>
                <w:color w:val="000000"/>
                <w:spacing w:val="0"/>
                <w:w w:val="100"/>
                <w:kern w:val="2"/>
                <w:sz w:val="24"/>
                <w:szCs w:val="24"/>
                <w:vertAlign w:val="baseline"/>
                <w:lang w:val="en-US" w:eastAsia="zh-CN" w:bidi="ar-SA"/>
              </w:rPr>
              <w:t>“三区”</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）予以分区管控。</w:t>
            </w:r>
          </w:p>
          <w:p w14:paraId="3C061D9B">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本项目位于江苏省苏州市吴江区黎里镇黎民</w:t>
            </w:r>
            <w:r>
              <w:rPr>
                <w:rFonts w:hint="eastAsia" w:cs="Times New Roman"/>
                <w:b w:val="0"/>
                <w:bCs w:val="0"/>
                <w:i w:val="0"/>
                <w:iCs w:val="0"/>
                <w:color w:val="000000"/>
                <w:spacing w:val="0"/>
                <w:w w:val="100"/>
                <w:kern w:val="2"/>
                <w:sz w:val="24"/>
                <w:szCs w:val="24"/>
                <w:vertAlign w:val="baseline"/>
                <w:lang w:val="en-US" w:eastAsia="zh-CN" w:bidi="ar-SA"/>
              </w:rPr>
              <w:t>南路37</w:t>
            </w:r>
            <w:r>
              <w:rPr>
                <w:rFonts w:hint="default" w:ascii="Times New Roman" w:hAnsi="Times New Roman" w:eastAsia="宋体" w:cs="Times New Roman"/>
                <w:b w:val="0"/>
                <w:bCs w:val="0"/>
                <w:i w:val="0"/>
                <w:iCs w:val="0"/>
                <w:color w:val="000000"/>
                <w:spacing w:val="0"/>
                <w:w w:val="100"/>
                <w:kern w:val="2"/>
                <w:sz w:val="24"/>
                <w:szCs w:val="24"/>
                <w:vertAlign w:val="baseline"/>
                <w:lang w:val="en-US" w:eastAsia="zh-CN" w:bidi="ar-SA"/>
              </w:rPr>
              <w:t>号，距离京杭运</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河的最近距离</w:t>
            </w:r>
            <w:r>
              <w:rPr>
                <w:rFonts w:hint="eastAsia" w:cs="Times New Roman"/>
                <w:b w:val="0"/>
                <w:bCs w:val="0"/>
                <w:i w:val="0"/>
                <w:iCs w:val="0"/>
                <w:color w:val="000000"/>
                <w:spacing w:val="0"/>
                <w:w w:val="100"/>
                <w:kern w:val="2"/>
                <w:sz w:val="24"/>
                <w:szCs w:val="24"/>
                <w:highlight w:val="none"/>
                <w:vertAlign w:val="baseline"/>
                <w:lang w:val="en-US" w:eastAsia="zh-CN" w:bidi="ar-SA"/>
              </w:rPr>
              <w:t>5.5km</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w:t>
            </w:r>
            <w:r>
              <w:rPr>
                <w:rFonts w:hint="eastAsia" w:cs="Times New Roman"/>
                <w:b w:val="0"/>
                <w:bCs w:val="0"/>
                <w:i w:val="0"/>
                <w:iCs w:val="0"/>
                <w:color w:val="000000"/>
                <w:spacing w:val="0"/>
                <w:w w:val="100"/>
                <w:kern w:val="2"/>
                <w:sz w:val="24"/>
                <w:szCs w:val="24"/>
                <w:highlight w:val="none"/>
                <w:vertAlign w:val="baseline"/>
                <w:lang w:val="en-US" w:eastAsia="zh-CN" w:bidi="ar-SA"/>
              </w:rPr>
              <w:t>不</w:t>
            </w:r>
            <w:r>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t>属于核心监控区。</w:t>
            </w:r>
          </w:p>
          <w:p w14:paraId="24F437DC">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73B0CFA3">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3724FA2A">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2D71A627">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51F525F5">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3E58EC28">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3C567018">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4EB88FFD">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11D63E4E">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22DA1900">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1645BB00">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i w:val="0"/>
                <w:iCs w:val="0"/>
                <w:color w:val="000000"/>
                <w:spacing w:val="0"/>
                <w:w w:val="100"/>
                <w:kern w:val="2"/>
                <w:sz w:val="24"/>
                <w:szCs w:val="24"/>
                <w:highlight w:val="none"/>
                <w:vertAlign w:val="baseline"/>
                <w:lang w:val="en-US" w:eastAsia="zh-CN" w:bidi="ar-SA"/>
              </w:rPr>
            </w:pPr>
          </w:p>
          <w:p w14:paraId="725C2464">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rPr>
            </w:pPr>
          </w:p>
        </w:tc>
      </w:tr>
    </w:tbl>
    <w:p w14:paraId="224D4A10">
      <w:pPr>
        <w:sectPr>
          <w:footerReference r:id="rId3" w:type="default"/>
          <w:pgSz w:w="11906" w:h="16838"/>
          <w:pgMar w:top="1440" w:right="1800" w:bottom="1440" w:left="1800" w:header="851" w:footer="992" w:gutter="0"/>
          <w:pgNumType w:fmt="decimal" w:start="1"/>
          <w:cols w:space="425" w:num="1"/>
          <w:docGrid w:type="lines" w:linePitch="312" w:charSpace="0"/>
        </w:sectPr>
      </w:pPr>
    </w:p>
    <w:p w14:paraId="56631C91">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二、建设项目工程分析</w:t>
      </w:r>
    </w:p>
    <w:tbl>
      <w:tblPr>
        <w:tblStyle w:val="20"/>
        <w:tblW w:w="89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448"/>
      </w:tblGrid>
      <w:tr w14:paraId="735D9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8" w:type="dxa"/>
            <w:noWrap w:val="0"/>
            <w:vAlign w:val="center"/>
          </w:tcPr>
          <w:p w14:paraId="2DB993C1">
            <w:pPr>
              <w:pStyle w:val="19"/>
              <w:adjustRightInd w:val="0"/>
              <w:snapToGrid w:val="0"/>
              <w:spacing w:before="0" w:beforeAutospacing="0" w:after="0" w:afterAutospacing="0"/>
              <w:jc w:val="center"/>
              <w:rPr>
                <w:rFonts w:cs="宋体"/>
                <w:b/>
                <w:color w:val="auto"/>
                <w:sz w:val="21"/>
                <w:szCs w:val="21"/>
              </w:rPr>
            </w:pPr>
            <w:r>
              <w:rPr>
                <w:rFonts w:hint="eastAsia" w:cs="宋体"/>
                <w:b/>
                <w:color w:val="auto"/>
                <w:sz w:val="21"/>
                <w:szCs w:val="21"/>
              </w:rPr>
              <w:t>建设内容</w:t>
            </w:r>
          </w:p>
        </w:tc>
        <w:tc>
          <w:tcPr>
            <w:tcW w:w="8448" w:type="dxa"/>
            <w:noWrap w:val="0"/>
            <w:vAlign w:val="top"/>
          </w:tcPr>
          <w:p w14:paraId="7E6DEBE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bCs/>
                <w:color w:val="auto"/>
                <w:sz w:val="24"/>
                <w:lang w:val="en-US" w:eastAsia="zh-CN"/>
              </w:rPr>
            </w:pPr>
            <w:r>
              <w:rPr>
                <w:rFonts w:hint="eastAsia"/>
                <w:b/>
                <w:bCs/>
                <w:color w:val="auto"/>
                <w:sz w:val="24"/>
              </w:rPr>
              <w:t>1</w:t>
            </w:r>
            <w:r>
              <w:rPr>
                <w:rFonts w:hint="eastAsia"/>
                <w:b/>
                <w:bCs/>
                <w:color w:val="auto"/>
                <w:sz w:val="24"/>
                <w:lang w:eastAsia="zh-CN"/>
              </w:rPr>
              <w:t>、</w:t>
            </w:r>
            <w:r>
              <w:rPr>
                <w:rFonts w:hint="eastAsia"/>
                <w:b/>
                <w:bCs/>
                <w:color w:val="auto"/>
                <w:sz w:val="24"/>
                <w:lang w:val="en-US" w:eastAsia="zh-CN"/>
              </w:rPr>
              <w:t>项目由来</w:t>
            </w:r>
          </w:p>
          <w:p w14:paraId="1649CA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lang w:eastAsia="zh-CN"/>
              </w:rPr>
            </w:pPr>
            <w:r>
              <w:rPr>
                <w:rFonts w:hint="eastAsia"/>
                <w:bCs/>
                <w:color w:val="auto"/>
                <w:sz w:val="24"/>
                <w:lang w:val="en-US" w:eastAsia="zh-CN"/>
              </w:rPr>
              <w:t>吴江市佳辰针灸器械</w:t>
            </w:r>
            <w:r>
              <w:rPr>
                <w:rFonts w:hint="eastAsia"/>
                <w:bCs/>
                <w:color w:val="auto"/>
                <w:sz w:val="24"/>
                <w:lang w:eastAsia="zh-CN"/>
              </w:rPr>
              <w:t>有限公司</w:t>
            </w:r>
            <w:r>
              <w:rPr>
                <w:rFonts w:hint="eastAsia"/>
                <w:bCs/>
                <w:color w:val="auto"/>
                <w:sz w:val="24"/>
              </w:rPr>
              <w:t>成立于</w:t>
            </w:r>
            <w:r>
              <w:rPr>
                <w:rFonts w:hint="eastAsia"/>
                <w:bCs/>
                <w:color w:val="auto"/>
                <w:sz w:val="24"/>
                <w:lang w:val="en-US" w:eastAsia="zh-CN"/>
              </w:rPr>
              <w:t>1999年10</w:t>
            </w:r>
            <w:r>
              <w:rPr>
                <w:rFonts w:hint="eastAsia"/>
                <w:bCs/>
                <w:color w:val="auto"/>
                <w:sz w:val="24"/>
              </w:rPr>
              <w:t>月</w:t>
            </w:r>
            <w:r>
              <w:rPr>
                <w:rFonts w:hint="eastAsia"/>
                <w:bCs/>
                <w:color w:val="auto"/>
                <w:sz w:val="24"/>
                <w:lang w:val="en-US" w:eastAsia="zh-CN"/>
              </w:rPr>
              <w:t>28</w:t>
            </w:r>
            <w:r>
              <w:rPr>
                <w:rFonts w:hint="eastAsia"/>
                <w:bCs/>
                <w:color w:val="auto"/>
                <w:sz w:val="24"/>
              </w:rPr>
              <w:t>日，主要从事许可项目：第二类医疗器械生产；货物进出口；进出口代理；医护人员防护用品生产（Ⅱ类医疗器械）（依法须经批准的项目，经相关部门批准后方可开展经营活动，具体经营项目以审批结果为准）</w:t>
            </w:r>
            <w:r>
              <w:rPr>
                <w:rFonts w:hint="eastAsia"/>
                <w:bCs/>
                <w:color w:val="auto"/>
                <w:sz w:val="24"/>
                <w:lang w:eastAsia="zh-CN"/>
              </w:rPr>
              <w:t>；</w:t>
            </w:r>
            <w:r>
              <w:rPr>
                <w:rFonts w:hint="eastAsia"/>
                <w:bCs/>
                <w:color w:val="auto"/>
                <w:sz w:val="24"/>
              </w:rPr>
              <w:t>一般项目：第二类医疗器械销售；第一类医疗器械生产；第一类医疗器械销售；教学用模型及教具销售；针纺织品及原料销售；面料纺织加工；互联网销售（除销售需要许可的商品）；信息技术咨询服务（除依法须经批准的项目外，凭营业执照依法自主开展经营活动）</w:t>
            </w:r>
            <w:r>
              <w:rPr>
                <w:rFonts w:hint="eastAsia"/>
                <w:bCs/>
                <w:color w:val="auto"/>
                <w:sz w:val="24"/>
                <w:lang w:eastAsia="zh-CN"/>
              </w:rPr>
              <w:t>。</w:t>
            </w:r>
          </w:p>
          <w:p w14:paraId="1AF04A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Cs/>
                <w:color w:val="auto"/>
                <w:sz w:val="24"/>
                <w:lang w:eastAsia="zh-CN"/>
              </w:rPr>
            </w:pPr>
            <w:r>
              <w:rPr>
                <w:rFonts w:hint="eastAsia"/>
                <w:bCs/>
                <w:color w:val="auto"/>
                <w:sz w:val="24"/>
                <w:lang w:val="en-US" w:eastAsia="zh-CN"/>
              </w:rPr>
              <w:t>吴江市佳辰针灸器械</w:t>
            </w:r>
            <w:r>
              <w:rPr>
                <w:rFonts w:hint="eastAsia"/>
                <w:bCs/>
                <w:color w:val="auto"/>
                <w:sz w:val="24"/>
                <w:lang w:eastAsia="zh-CN"/>
              </w:rPr>
              <w:t>有限公司</w:t>
            </w:r>
            <w:r>
              <w:rPr>
                <w:rFonts w:hint="eastAsia"/>
                <w:bCs/>
                <w:color w:val="auto"/>
                <w:sz w:val="24"/>
              </w:rPr>
              <w:t>拟投资</w:t>
            </w:r>
            <w:r>
              <w:rPr>
                <w:rFonts w:hint="eastAsia"/>
                <w:bCs/>
                <w:color w:val="auto"/>
                <w:sz w:val="24"/>
                <w:lang w:val="en-US" w:eastAsia="zh-CN"/>
              </w:rPr>
              <w:t>500</w:t>
            </w:r>
            <w:r>
              <w:rPr>
                <w:rFonts w:hint="eastAsia"/>
                <w:bCs/>
                <w:color w:val="auto"/>
                <w:sz w:val="24"/>
              </w:rPr>
              <w:t>万元，</w:t>
            </w:r>
            <w:r>
              <w:rPr>
                <w:rFonts w:hint="eastAsia"/>
                <w:bCs/>
                <w:color w:val="auto"/>
                <w:sz w:val="24"/>
                <w:lang w:val="en-US" w:eastAsia="zh-CN"/>
              </w:rPr>
              <w:t>利用位于吴江区黎里镇黎民南路37号自有厂房进行生产</w:t>
            </w:r>
            <w:r>
              <w:rPr>
                <w:rFonts w:hint="eastAsia"/>
                <w:bCs/>
                <w:color w:val="auto"/>
                <w:sz w:val="24"/>
                <w:lang w:eastAsia="zh-CN"/>
              </w:rPr>
              <w:t>。</w:t>
            </w:r>
            <w:r>
              <w:rPr>
                <w:rFonts w:hint="eastAsia"/>
                <w:bCs/>
                <w:color w:val="auto"/>
                <w:sz w:val="24"/>
              </w:rPr>
              <w:t>项目完成后可形成</w:t>
            </w:r>
            <w:r>
              <w:rPr>
                <w:rFonts w:hint="eastAsia"/>
                <w:bCs/>
                <w:color w:val="auto"/>
                <w:sz w:val="24"/>
                <w:lang w:val="en-US" w:eastAsia="zh-CN"/>
              </w:rPr>
              <w:t>年产针灸器械8亿支</w:t>
            </w:r>
            <w:r>
              <w:rPr>
                <w:rFonts w:hint="eastAsia"/>
                <w:bCs/>
                <w:color w:val="auto"/>
                <w:sz w:val="24"/>
              </w:rPr>
              <w:t>的生产能力。</w:t>
            </w:r>
          </w:p>
          <w:p w14:paraId="1D8EF7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sz w:val="24"/>
              </w:rPr>
            </w:pPr>
            <w:r>
              <w:rPr>
                <w:rFonts w:hint="eastAsia"/>
                <w:bCs/>
                <w:color w:val="auto"/>
                <w:sz w:val="24"/>
              </w:rPr>
              <w:t>本项目已在苏州市吴江区</w:t>
            </w:r>
            <w:r>
              <w:rPr>
                <w:rFonts w:hint="eastAsia"/>
                <w:bCs/>
                <w:color w:val="auto"/>
                <w:sz w:val="24"/>
                <w:lang w:val="en-US" w:eastAsia="zh-CN"/>
              </w:rPr>
              <w:t>行政审批局</w:t>
            </w:r>
            <w:r>
              <w:rPr>
                <w:rFonts w:hint="eastAsia"/>
                <w:bCs/>
                <w:color w:val="auto"/>
                <w:sz w:val="24"/>
              </w:rPr>
              <w:t>备案（备案证号：</w:t>
            </w:r>
            <w:r>
              <w:rPr>
                <w:rFonts w:hint="eastAsia"/>
                <w:bCs/>
                <w:color w:val="auto"/>
                <w:sz w:val="24"/>
                <w:lang w:val="en-US" w:eastAsia="zh-CN"/>
              </w:rPr>
              <w:t>吴行审备〔2023〕388</w:t>
            </w:r>
            <w:r>
              <w:rPr>
                <w:rFonts w:hint="eastAsia"/>
                <w:bCs/>
                <w:color w:val="auto"/>
                <w:sz w:val="24"/>
              </w:rPr>
              <w:t>号；项目代码：2</w:t>
            </w:r>
            <w:r>
              <w:rPr>
                <w:rFonts w:hint="eastAsia"/>
                <w:bCs/>
                <w:color w:val="auto"/>
                <w:sz w:val="24"/>
                <w:lang w:val="en-US" w:eastAsia="zh-CN"/>
              </w:rPr>
              <w:t>308</w:t>
            </w:r>
            <w:r>
              <w:rPr>
                <w:rFonts w:hint="eastAsia"/>
                <w:bCs/>
                <w:color w:val="auto"/>
                <w:sz w:val="24"/>
              </w:rPr>
              <w:t>-320</w:t>
            </w:r>
            <w:r>
              <w:rPr>
                <w:rFonts w:hint="eastAsia"/>
                <w:bCs/>
                <w:color w:val="auto"/>
                <w:sz w:val="24"/>
                <w:lang w:val="en-US" w:eastAsia="zh-CN"/>
              </w:rPr>
              <w:t>509</w:t>
            </w:r>
            <w:r>
              <w:rPr>
                <w:rFonts w:hint="eastAsia"/>
                <w:bCs/>
                <w:color w:val="auto"/>
                <w:sz w:val="24"/>
              </w:rPr>
              <w:t>-89-0</w:t>
            </w:r>
            <w:r>
              <w:rPr>
                <w:rFonts w:hint="eastAsia"/>
                <w:bCs/>
                <w:color w:val="auto"/>
                <w:sz w:val="24"/>
                <w:lang w:val="en-US" w:eastAsia="zh-CN"/>
              </w:rPr>
              <w:t>1</w:t>
            </w:r>
            <w:r>
              <w:rPr>
                <w:rFonts w:hint="eastAsia"/>
                <w:bCs/>
                <w:color w:val="auto"/>
                <w:sz w:val="24"/>
              </w:rPr>
              <w:t>-</w:t>
            </w:r>
            <w:r>
              <w:rPr>
                <w:rFonts w:hint="eastAsia"/>
                <w:bCs/>
                <w:color w:val="auto"/>
                <w:sz w:val="24"/>
                <w:lang w:val="en-US" w:eastAsia="zh-CN"/>
              </w:rPr>
              <w:t>791378</w:t>
            </w:r>
            <w:r>
              <w:rPr>
                <w:rFonts w:hint="eastAsia"/>
                <w:bCs/>
                <w:color w:val="auto"/>
                <w:sz w:val="24"/>
              </w:rPr>
              <w:t>）。对照《建设项目环境影响评价分类管理名录（2021年版）》，本项目属于“</w:t>
            </w:r>
            <w:r>
              <w:rPr>
                <w:rFonts w:hint="eastAsia"/>
                <w:bCs/>
                <w:color w:val="auto"/>
                <w:sz w:val="24"/>
                <w:lang w:val="en-US" w:eastAsia="zh-CN"/>
              </w:rPr>
              <w:t>三十二、专用设备制造业 35 70 医疗仪器设备及器械制造358</w:t>
            </w:r>
            <w:r>
              <w:rPr>
                <w:rFonts w:hint="eastAsia"/>
                <w:bCs/>
                <w:color w:val="auto"/>
                <w:sz w:val="24"/>
              </w:rPr>
              <w:t>”。编制类别及本项目情况详见下表。</w:t>
            </w:r>
          </w:p>
          <w:p w14:paraId="5C35FA5F">
            <w:pPr>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表2-1</w:t>
            </w:r>
            <w:r>
              <w:rPr>
                <w:rFonts w:hint="eastAsia" w:ascii="Times New Roman" w:hAnsi="Times New Roman" w:eastAsia="宋体"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rPr>
              <w:t>建设项目编制类别判定表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18"/>
              <w:gridCol w:w="1309"/>
              <w:gridCol w:w="1425"/>
              <w:gridCol w:w="1975"/>
              <w:gridCol w:w="1013"/>
              <w:gridCol w:w="1992"/>
            </w:tblGrid>
            <w:tr w14:paraId="4B443E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109" w:type="pct"/>
                  <w:gridSpan w:val="2"/>
                  <w:tcBorders>
                    <w:top w:val="single" w:color="auto" w:sz="12" w:space="0"/>
                    <w:bottom w:val="single" w:color="auto" w:sz="2" w:space="0"/>
                    <w:tl2br w:val="single" w:color="auto" w:sz="4" w:space="0"/>
                  </w:tcBorders>
                  <w:noWrap w:val="0"/>
                  <w:vAlign w:val="center"/>
                </w:tcPr>
                <w:p w14:paraId="5DC1EEDC">
                  <w:pPr>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b/>
                      <w:color w:val="auto"/>
                      <w:kern w:val="0"/>
                      <w:szCs w:val="21"/>
                    </w:rPr>
                  </w:pPr>
                  <w:r>
                    <w:rPr>
                      <w:b/>
                      <w:color w:val="auto"/>
                      <w:kern w:val="0"/>
                      <w:szCs w:val="21"/>
                    </w:rPr>
                    <w:t xml:space="preserve">    </w:t>
                  </w:r>
                  <w:r>
                    <w:rPr>
                      <w:rFonts w:hint="eastAsia"/>
                      <w:b/>
                      <w:color w:val="auto"/>
                      <w:kern w:val="0"/>
                      <w:szCs w:val="21"/>
                    </w:rPr>
                    <w:t xml:space="preserve">  </w:t>
                  </w:r>
                  <w:r>
                    <w:rPr>
                      <w:b/>
                      <w:color w:val="auto"/>
                      <w:kern w:val="0"/>
                      <w:szCs w:val="21"/>
                    </w:rPr>
                    <w:t>环评类别</w:t>
                  </w:r>
                </w:p>
                <w:p w14:paraId="525378C1">
                  <w:pPr>
                    <w:keepNext w:val="0"/>
                    <w:keepLines w:val="0"/>
                    <w:pageBreakBefore w:val="0"/>
                    <w:widowControl w:val="0"/>
                    <w:kinsoku/>
                    <w:wordWrap/>
                    <w:overflowPunct/>
                    <w:topLinePunct w:val="0"/>
                    <w:bidi w:val="0"/>
                    <w:adjustRightInd w:val="0"/>
                    <w:snapToGrid w:val="0"/>
                    <w:spacing w:before="63" w:beforeLines="20" w:after="63" w:afterLines="20"/>
                    <w:textAlignment w:val="auto"/>
                    <w:rPr>
                      <w:b/>
                      <w:color w:val="auto"/>
                      <w:kern w:val="0"/>
                      <w:szCs w:val="21"/>
                    </w:rPr>
                  </w:pPr>
                  <w:r>
                    <w:rPr>
                      <w:b/>
                      <w:color w:val="auto"/>
                      <w:kern w:val="0"/>
                      <w:szCs w:val="21"/>
                    </w:rPr>
                    <w:t>项目类别</w:t>
                  </w:r>
                </w:p>
              </w:tc>
              <w:tc>
                <w:tcPr>
                  <w:tcW w:w="865" w:type="pct"/>
                  <w:noWrap w:val="0"/>
                  <w:vAlign w:val="center"/>
                </w:tcPr>
                <w:p w14:paraId="073629D8">
                  <w:pPr>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b/>
                      <w:color w:val="auto"/>
                      <w:kern w:val="0"/>
                      <w:szCs w:val="21"/>
                    </w:rPr>
                  </w:pPr>
                  <w:r>
                    <w:rPr>
                      <w:b/>
                      <w:color w:val="auto"/>
                      <w:kern w:val="0"/>
                      <w:szCs w:val="21"/>
                    </w:rPr>
                    <w:t>报告书</w:t>
                  </w:r>
                </w:p>
              </w:tc>
              <w:tc>
                <w:tcPr>
                  <w:tcW w:w="1199" w:type="pct"/>
                  <w:noWrap w:val="0"/>
                  <w:vAlign w:val="center"/>
                </w:tcPr>
                <w:p w14:paraId="43D3AC8A">
                  <w:pPr>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b/>
                      <w:color w:val="auto"/>
                      <w:kern w:val="0"/>
                      <w:szCs w:val="21"/>
                    </w:rPr>
                  </w:pPr>
                  <w:r>
                    <w:rPr>
                      <w:b/>
                      <w:color w:val="auto"/>
                      <w:kern w:val="0"/>
                      <w:szCs w:val="21"/>
                    </w:rPr>
                    <w:t>报告表</w:t>
                  </w:r>
                </w:p>
              </w:tc>
              <w:tc>
                <w:tcPr>
                  <w:tcW w:w="615" w:type="pct"/>
                  <w:noWrap w:val="0"/>
                  <w:vAlign w:val="center"/>
                </w:tcPr>
                <w:p w14:paraId="5B538601">
                  <w:pPr>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b/>
                      <w:color w:val="auto"/>
                      <w:kern w:val="0"/>
                      <w:szCs w:val="21"/>
                    </w:rPr>
                  </w:pPr>
                  <w:r>
                    <w:rPr>
                      <w:b/>
                      <w:color w:val="auto"/>
                      <w:kern w:val="0"/>
                      <w:szCs w:val="21"/>
                    </w:rPr>
                    <w:t>登记表</w:t>
                  </w:r>
                </w:p>
              </w:tc>
              <w:tc>
                <w:tcPr>
                  <w:tcW w:w="1209" w:type="pct"/>
                  <w:noWrap w:val="0"/>
                  <w:vAlign w:val="center"/>
                </w:tcPr>
                <w:p w14:paraId="3A3CBC40">
                  <w:pPr>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b/>
                      <w:color w:val="auto"/>
                      <w:kern w:val="0"/>
                      <w:szCs w:val="21"/>
                    </w:rPr>
                  </w:pPr>
                  <w:r>
                    <w:rPr>
                      <w:b/>
                      <w:color w:val="auto"/>
                      <w:kern w:val="0"/>
                      <w:szCs w:val="21"/>
                    </w:rPr>
                    <w:t>本项目情况</w:t>
                  </w:r>
                </w:p>
              </w:tc>
            </w:tr>
            <w:tr w14:paraId="54C6656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5000" w:type="pct"/>
                  <w:gridSpan w:val="6"/>
                  <w:noWrap w:val="0"/>
                  <w:vAlign w:val="center"/>
                </w:tcPr>
                <w:p w14:paraId="3A2DBAE1">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jc w:val="left"/>
                    <w:textAlignment w:val="auto"/>
                    <w:rPr>
                      <w:color w:val="auto"/>
                      <w:kern w:val="0"/>
                      <w:szCs w:val="21"/>
                    </w:rPr>
                  </w:pPr>
                  <w:r>
                    <w:rPr>
                      <w:rFonts w:hint="eastAsia"/>
                      <w:color w:val="auto"/>
                      <w:kern w:val="0"/>
                      <w:szCs w:val="21"/>
                      <w:lang w:val="en-GB"/>
                    </w:rPr>
                    <w:t>三十二、专用设备制造业</w:t>
                  </w:r>
                </w:p>
              </w:tc>
            </w:tr>
            <w:tr w14:paraId="471CF1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314" w:type="pct"/>
                  <w:tcBorders>
                    <w:right w:val="single" w:color="auto" w:sz="4" w:space="0"/>
                  </w:tcBorders>
                  <w:noWrap w:val="0"/>
                  <w:vAlign w:val="center"/>
                </w:tcPr>
                <w:p w14:paraId="3733212E">
                  <w:pPr>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rFonts w:hint="default" w:eastAsia="宋体"/>
                      <w:color w:val="auto"/>
                      <w:kern w:val="0"/>
                      <w:szCs w:val="21"/>
                      <w:lang w:val="en-US" w:eastAsia="zh-CN"/>
                    </w:rPr>
                  </w:pPr>
                  <w:r>
                    <w:rPr>
                      <w:rFonts w:hint="eastAsia"/>
                      <w:color w:val="auto"/>
                      <w:kern w:val="0"/>
                      <w:szCs w:val="21"/>
                      <w:lang w:val="en-US" w:eastAsia="zh-CN"/>
                    </w:rPr>
                    <w:t>70</w:t>
                  </w:r>
                </w:p>
              </w:tc>
              <w:tc>
                <w:tcPr>
                  <w:tcW w:w="795" w:type="pct"/>
                  <w:tcBorders>
                    <w:left w:val="single" w:color="auto" w:sz="4" w:space="0"/>
                  </w:tcBorders>
                  <w:noWrap w:val="0"/>
                  <w:vAlign w:val="center"/>
                </w:tcPr>
                <w:p w14:paraId="371DC88A">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jc w:val="left"/>
                    <w:textAlignment w:val="auto"/>
                    <w:rPr>
                      <w:rFonts w:hint="default" w:eastAsia="宋体"/>
                      <w:color w:val="auto"/>
                      <w:kern w:val="0"/>
                      <w:szCs w:val="21"/>
                      <w:lang w:val="en-US" w:eastAsia="zh-CN"/>
                    </w:rPr>
                  </w:pPr>
                  <w:r>
                    <w:rPr>
                      <w:rFonts w:hint="eastAsia"/>
                      <w:color w:val="auto"/>
                      <w:kern w:val="0"/>
                      <w:szCs w:val="21"/>
                      <w:lang w:val="en-US" w:eastAsia="zh-CN"/>
                    </w:rPr>
                    <w:t>医疗仪器设备及器械制造358</w:t>
                  </w:r>
                </w:p>
              </w:tc>
              <w:tc>
                <w:tcPr>
                  <w:tcW w:w="865" w:type="pct"/>
                  <w:noWrap w:val="0"/>
                  <w:vAlign w:val="center"/>
                </w:tcPr>
                <w:p w14:paraId="641B1F19">
                  <w:pPr>
                    <w:keepNext w:val="0"/>
                    <w:keepLines w:val="0"/>
                    <w:pageBreakBefore w:val="0"/>
                    <w:widowControl w:val="0"/>
                    <w:kinsoku/>
                    <w:wordWrap/>
                    <w:overflowPunct/>
                    <w:topLinePunct w:val="0"/>
                    <w:autoSpaceDE w:val="0"/>
                    <w:autoSpaceDN w:val="0"/>
                    <w:bidi w:val="0"/>
                    <w:adjustRightInd w:val="0"/>
                    <w:snapToGrid w:val="0"/>
                    <w:spacing w:before="63" w:beforeLines="20" w:after="63" w:afterLines="20"/>
                    <w:jc w:val="left"/>
                    <w:textAlignment w:val="auto"/>
                    <w:rPr>
                      <w:rFonts w:hint="eastAsia" w:eastAsia="宋体"/>
                      <w:color w:val="auto"/>
                      <w:kern w:val="0"/>
                      <w:szCs w:val="21"/>
                      <w:lang w:val="en-US" w:eastAsia="zh-CN"/>
                    </w:rPr>
                  </w:pPr>
                  <w:r>
                    <w:rPr>
                      <w:rFonts w:hint="eastAsia" w:eastAsia="宋体"/>
                      <w:color w:val="auto"/>
                      <w:kern w:val="0"/>
                      <w:szCs w:val="21"/>
                      <w:lang w:val="en-US" w:eastAsia="zh-CN"/>
                    </w:rPr>
                    <w:t>有电镀工艺的；年用溶剂型涂料（含稀释剂）10吨及以上的</w:t>
                  </w:r>
                </w:p>
              </w:tc>
              <w:tc>
                <w:tcPr>
                  <w:tcW w:w="1199" w:type="pct"/>
                  <w:noWrap w:val="0"/>
                  <w:vAlign w:val="center"/>
                </w:tcPr>
                <w:p w14:paraId="317D16B3">
                  <w:pPr>
                    <w:keepNext w:val="0"/>
                    <w:keepLines w:val="0"/>
                    <w:pageBreakBefore w:val="0"/>
                    <w:widowControl w:val="0"/>
                    <w:kinsoku/>
                    <w:wordWrap/>
                    <w:overflowPunct/>
                    <w:topLinePunct w:val="0"/>
                    <w:autoSpaceDE w:val="0"/>
                    <w:autoSpaceDN w:val="0"/>
                    <w:bidi w:val="0"/>
                    <w:adjustRightInd w:val="0"/>
                    <w:snapToGrid w:val="0"/>
                    <w:jc w:val="left"/>
                    <w:textAlignment w:val="auto"/>
                    <w:rPr>
                      <w:rFonts w:hint="eastAsia" w:eastAsia="宋体"/>
                      <w:color w:val="auto"/>
                      <w:kern w:val="0"/>
                      <w:szCs w:val="21"/>
                      <w:lang w:val="en-US" w:eastAsia="zh-CN"/>
                    </w:rPr>
                  </w:pPr>
                  <w:r>
                    <w:rPr>
                      <w:rFonts w:hint="eastAsia" w:eastAsia="宋体"/>
                      <w:color w:val="auto"/>
                      <w:kern w:val="0"/>
                      <w:szCs w:val="21"/>
                      <w:lang w:val="en-US" w:eastAsia="zh-CN"/>
                    </w:rPr>
                    <w:t>其他（仅分割、焊接、组装的除外；年用非溶剂型低VOCs含量涂料10吨以下的除外）</w:t>
                  </w:r>
                </w:p>
              </w:tc>
              <w:tc>
                <w:tcPr>
                  <w:tcW w:w="615" w:type="pct"/>
                  <w:noWrap w:val="0"/>
                  <w:vAlign w:val="center"/>
                </w:tcPr>
                <w:p w14:paraId="6F3F3FC9">
                  <w:pPr>
                    <w:pStyle w:val="35"/>
                    <w:keepNext w:val="0"/>
                    <w:keepLines w:val="0"/>
                    <w:pageBreakBefore w:val="0"/>
                    <w:widowControl w:val="0"/>
                    <w:kinsoku/>
                    <w:wordWrap/>
                    <w:overflowPunct/>
                    <w:topLinePunct w:val="0"/>
                    <w:bidi w:val="0"/>
                    <w:adjustRightInd w:val="0"/>
                    <w:snapToGrid w:val="0"/>
                    <w:spacing w:before="63" w:beforeLines="20" w:after="63" w:afterLines="20"/>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09" w:type="pct"/>
                  <w:noWrap w:val="0"/>
                  <w:vAlign w:val="center"/>
                </w:tcPr>
                <w:p w14:paraId="59D09F9A">
                  <w:pPr>
                    <w:keepNext w:val="0"/>
                    <w:keepLines w:val="0"/>
                    <w:pageBreakBefore w:val="0"/>
                    <w:widowControl w:val="0"/>
                    <w:kinsoku/>
                    <w:wordWrap/>
                    <w:overflowPunct/>
                    <w:topLinePunct w:val="0"/>
                    <w:bidi w:val="0"/>
                    <w:adjustRightInd w:val="0"/>
                    <w:snapToGrid w:val="0"/>
                    <w:spacing w:before="63" w:beforeLines="20" w:after="63" w:afterLines="20"/>
                    <w:textAlignment w:val="auto"/>
                    <w:rPr>
                      <w:rFonts w:hint="default" w:eastAsia="宋体"/>
                      <w:color w:val="auto"/>
                      <w:kern w:val="0"/>
                      <w:szCs w:val="21"/>
                      <w:lang w:val="en-US" w:eastAsia="zh-CN"/>
                    </w:rPr>
                  </w:pPr>
                  <w:r>
                    <w:rPr>
                      <w:rFonts w:hint="eastAsia"/>
                      <w:color w:val="auto"/>
                      <w:kern w:val="0"/>
                      <w:szCs w:val="21"/>
                      <w:lang w:val="en-US" w:eastAsia="zh-CN"/>
                    </w:rPr>
                    <w:t>本项目为针灸器械的生产，无</w:t>
                  </w:r>
                  <w:r>
                    <w:rPr>
                      <w:rFonts w:hint="eastAsia" w:eastAsia="宋体"/>
                      <w:color w:val="auto"/>
                      <w:kern w:val="0"/>
                      <w:szCs w:val="21"/>
                      <w:lang w:val="en-US" w:eastAsia="zh-CN"/>
                    </w:rPr>
                    <w:t>电镀工艺的；年用溶剂型涂料（含稀释剂）</w:t>
                  </w:r>
                  <w:r>
                    <w:rPr>
                      <w:rFonts w:hint="eastAsia"/>
                      <w:color w:val="auto"/>
                      <w:kern w:val="0"/>
                      <w:szCs w:val="21"/>
                      <w:lang w:val="en-US" w:eastAsia="zh-CN"/>
                    </w:rPr>
                    <w:t>低于</w:t>
                  </w:r>
                  <w:r>
                    <w:rPr>
                      <w:rFonts w:hint="eastAsia" w:eastAsia="宋体"/>
                      <w:color w:val="auto"/>
                      <w:kern w:val="0"/>
                      <w:szCs w:val="21"/>
                      <w:lang w:val="en-US" w:eastAsia="zh-CN"/>
                    </w:rPr>
                    <w:t>10吨</w:t>
                  </w:r>
                  <w:r>
                    <w:rPr>
                      <w:rFonts w:hint="eastAsia"/>
                      <w:color w:val="auto"/>
                      <w:kern w:val="0"/>
                      <w:szCs w:val="21"/>
                      <w:lang w:val="en-US" w:eastAsia="zh-CN"/>
                    </w:rPr>
                    <w:t>，属于其他，应编制报告表</w:t>
                  </w:r>
                </w:p>
              </w:tc>
            </w:tr>
          </w:tbl>
          <w:p w14:paraId="3B719F9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sz w:val="24"/>
                <w:highlight w:val="none"/>
              </w:rPr>
            </w:pPr>
            <w:r>
              <w:rPr>
                <w:rFonts w:hint="eastAsia"/>
                <w:color w:val="000000"/>
                <w:sz w:val="24"/>
                <w:highlight w:val="none"/>
              </w:rPr>
              <w:t>根据名录规定，本项目应编制环境影响报告表。故</w:t>
            </w:r>
            <w:r>
              <w:rPr>
                <w:rFonts w:hint="eastAsia"/>
                <w:bCs/>
                <w:color w:val="auto"/>
                <w:sz w:val="24"/>
                <w:lang w:val="en-US" w:eastAsia="zh-CN"/>
              </w:rPr>
              <w:t>吴江市佳辰针灸器械</w:t>
            </w:r>
            <w:r>
              <w:rPr>
                <w:rFonts w:hint="eastAsia"/>
                <w:bCs/>
                <w:color w:val="auto"/>
                <w:sz w:val="24"/>
                <w:lang w:eastAsia="zh-CN"/>
              </w:rPr>
              <w:t>有限公司</w:t>
            </w:r>
            <w:r>
              <w:rPr>
                <w:rFonts w:hint="eastAsia"/>
                <w:color w:val="000000"/>
                <w:sz w:val="24"/>
                <w:highlight w:val="none"/>
              </w:rPr>
              <w:t>特委托我公司（苏州绿鹏环保科技有限公司）承担本项目的编制工作。我公司接受委托后，经研究该项目的有关资料，在踏勘现场的社会、自然环境状况，调查、收集有关建设项目资料的基础上，根据项目所在区域的环境特征、结合工程污染特性等因素，编制了该项目环境影响报告表。通过环境影响评价，阐明建设项目对周围环境影响的程度和范围，提出环境污染控制措施，为建设项目的工程设计和环境管理提供科学依据。</w:t>
            </w:r>
          </w:p>
          <w:p w14:paraId="27BA0B8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color w:val="auto"/>
                <w:kern w:val="2"/>
                <w:sz w:val="21"/>
                <w:szCs w:val="21"/>
                <w:highlight w:val="none"/>
              </w:rPr>
            </w:pPr>
            <w:r>
              <w:rPr>
                <w:rFonts w:hint="eastAsia" w:ascii="Times New Roman" w:hAnsi="Times New Roman" w:eastAsia="宋体" w:cs="Times New Roman"/>
                <w:b/>
                <w:bCs/>
                <w:color w:val="auto"/>
                <w:kern w:val="2"/>
                <w:sz w:val="24"/>
                <w:szCs w:val="24"/>
                <w:lang w:val="en-US" w:eastAsia="zh-CN" w:bidi="ar-SA"/>
              </w:rPr>
              <w:t>2、</w:t>
            </w:r>
            <w:r>
              <w:rPr>
                <w:rFonts w:hint="eastAsia"/>
                <w:b/>
                <w:bCs/>
                <w:color w:val="auto"/>
                <w:sz w:val="24"/>
              </w:rPr>
              <w:t>主体工程及产品方案</w:t>
            </w:r>
          </w:p>
          <w:p w14:paraId="243BBFC0">
            <w:pPr>
              <w:pStyle w:val="5"/>
              <w:widowControl w:val="0"/>
              <w:spacing w:before="0" w:after="0" w:line="240" w:lineRule="auto"/>
              <w:ind w:right="0"/>
              <w:jc w:val="center"/>
              <w:rPr>
                <w:rFonts w:hint="eastAsia"/>
                <w:b/>
                <w:color w:val="auto"/>
                <w:kern w:val="2"/>
                <w:sz w:val="21"/>
                <w:szCs w:val="21"/>
                <w:highlight w:val="none"/>
              </w:rPr>
            </w:pPr>
            <w:r>
              <w:rPr>
                <w:rFonts w:hint="eastAsia"/>
                <w:b/>
                <w:color w:val="auto"/>
                <w:kern w:val="2"/>
                <w:sz w:val="21"/>
                <w:szCs w:val="21"/>
                <w:highlight w:val="none"/>
              </w:rPr>
              <w:t>表2-</w:t>
            </w:r>
            <w:r>
              <w:rPr>
                <w:rFonts w:hint="eastAsia"/>
                <w:b/>
                <w:color w:val="auto"/>
                <w:kern w:val="2"/>
                <w:sz w:val="21"/>
                <w:szCs w:val="21"/>
                <w:highlight w:val="none"/>
                <w:lang w:val="en-US" w:eastAsia="zh-CN"/>
              </w:rPr>
              <w:t>2</w:t>
            </w:r>
            <w:r>
              <w:rPr>
                <w:rFonts w:hint="eastAsia"/>
                <w:b/>
                <w:color w:val="auto"/>
                <w:kern w:val="2"/>
                <w:sz w:val="21"/>
                <w:szCs w:val="21"/>
                <w:highlight w:val="none"/>
              </w:rPr>
              <w:t xml:space="preserve"> 厂</w:t>
            </w:r>
            <w:r>
              <w:rPr>
                <w:rFonts w:hint="eastAsia"/>
                <w:b/>
                <w:color w:val="auto"/>
                <w:kern w:val="2"/>
                <w:sz w:val="21"/>
                <w:szCs w:val="21"/>
                <w:highlight w:val="none"/>
                <w:lang w:val="en-US" w:eastAsia="zh-CN"/>
              </w:rPr>
              <w:t>区构筑物</w:t>
            </w:r>
            <w:r>
              <w:rPr>
                <w:rFonts w:hint="eastAsia"/>
                <w:b/>
                <w:color w:val="auto"/>
                <w:kern w:val="2"/>
                <w:sz w:val="21"/>
                <w:szCs w:val="21"/>
                <w:highlight w:val="none"/>
              </w:rPr>
              <w:t>一览表</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96"/>
              <w:gridCol w:w="899"/>
              <w:gridCol w:w="985"/>
              <w:gridCol w:w="1411"/>
              <w:gridCol w:w="1228"/>
              <w:gridCol w:w="1534"/>
            </w:tblGrid>
            <w:tr w14:paraId="5DE52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9" w:type="dxa"/>
                  <w:noWrap w:val="0"/>
                  <w:vAlign w:val="center"/>
                </w:tcPr>
                <w:p w14:paraId="3126BD89">
                  <w:pPr>
                    <w:jc w:val="center"/>
                    <w:rPr>
                      <w:rFonts w:hint="default" w:ascii="Times New Roman" w:hAnsi="Times New Roman" w:cs="Times New Roman"/>
                      <w:b/>
                      <w:color w:val="auto"/>
                      <w:sz w:val="21"/>
                      <w:szCs w:val="21"/>
                      <w:highlight w:val="none"/>
                      <w:lang w:bidi="en-US"/>
                    </w:rPr>
                  </w:pPr>
                  <w:r>
                    <w:rPr>
                      <w:rFonts w:hint="default" w:ascii="Times New Roman" w:hAnsi="Times New Roman" w:cs="Times New Roman"/>
                      <w:b/>
                      <w:color w:val="auto"/>
                      <w:sz w:val="21"/>
                      <w:szCs w:val="21"/>
                      <w:highlight w:val="none"/>
                      <w:lang w:bidi="en-US"/>
                    </w:rPr>
                    <w:t>序号</w:t>
                  </w:r>
                </w:p>
              </w:tc>
              <w:tc>
                <w:tcPr>
                  <w:tcW w:w="1496" w:type="dxa"/>
                  <w:noWrap w:val="0"/>
                  <w:vAlign w:val="center"/>
                </w:tcPr>
                <w:p w14:paraId="0761B314">
                  <w:pPr>
                    <w:jc w:val="center"/>
                    <w:rPr>
                      <w:rFonts w:hint="eastAsia" w:ascii="Times New Roman" w:hAnsi="Times New Roman" w:eastAsia="宋体" w:cs="Times New Roman"/>
                      <w:b/>
                      <w:color w:val="auto"/>
                      <w:sz w:val="21"/>
                      <w:szCs w:val="21"/>
                      <w:highlight w:val="none"/>
                      <w:lang w:val="en-US" w:eastAsia="zh-CN" w:bidi="en-US"/>
                    </w:rPr>
                  </w:pPr>
                  <w:r>
                    <w:rPr>
                      <w:rFonts w:hint="default" w:ascii="Times New Roman" w:hAnsi="Times New Roman" w:cs="Times New Roman"/>
                      <w:b/>
                      <w:color w:val="auto"/>
                      <w:sz w:val="21"/>
                      <w:szCs w:val="21"/>
                      <w:highlight w:val="none"/>
                      <w:lang w:bidi="en-US"/>
                    </w:rPr>
                    <w:t>构筑物</w:t>
                  </w:r>
                  <w:r>
                    <w:rPr>
                      <w:rFonts w:hint="eastAsia" w:ascii="Times New Roman" w:hAnsi="Times New Roman" w:cs="Times New Roman"/>
                      <w:b/>
                      <w:color w:val="auto"/>
                      <w:sz w:val="21"/>
                      <w:szCs w:val="21"/>
                      <w:highlight w:val="none"/>
                      <w:lang w:val="en-US" w:eastAsia="zh-CN" w:bidi="en-US"/>
                    </w:rPr>
                    <w:t>幢号</w:t>
                  </w:r>
                </w:p>
              </w:tc>
              <w:tc>
                <w:tcPr>
                  <w:tcW w:w="899" w:type="dxa"/>
                  <w:noWrap w:val="0"/>
                  <w:vAlign w:val="center"/>
                </w:tcPr>
                <w:p w14:paraId="699E1FB7">
                  <w:pPr>
                    <w:jc w:val="center"/>
                    <w:rPr>
                      <w:rFonts w:hint="default" w:ascii="Times New Roman" w:hAnsi="Times New Roman" w:cs="Times New Roman"/>
                      <w:b/>
                      <w:color w:val="auto"/>
                      <w:sz w:val="21"/>
                      <w:szCs w:val="21"/>
                      <w:highlight w:val="none"/>
                      <w:lang w:bidi="en-US"/>
                    </w:rPr>
                  </w:pPr>
                  <w:r>
                    <w:rPr>
                      <w:rFonts w:hint="default" w:ascii="Times New Roman" w:hAnsi="Times New Roman" w:cs="Times New Roman"/>
                      <w:b/>
                      <w:color w:val="auto"/>
                      <w:sz w:val="21"/>
                      <w:szCs w:val="21"/>
                      <w:highlight w:val="none"/>
                      <w:lang w:bidi="en-US"/>
                    </w:rPr>
                    <w:t>层数</w:t>
                  </w:r>
                </w:p>
              </w:tc>
              <w:tc>
                <w:tcPr>
                  <w:tcW w:w="985" w:type="dxa"/>
                  <w:noWrap w:val="0"/>
                  <w:vAlign w:val="center"/>
                </w:tcPr>
                <w:p w14:paraId="3F3C6E98">
                  <w:pPr>
                    <w:jc w:val="center"/>
                    <w:rPr>
                      <w:rFonts w:hint="default" w:ascii="Times New Roman" w:hAnsi="Times New Roman" w:cs="Times New Roman"/>
                      <w:b/>
                      <w:color w:val="auto"/>
                      <w:sz w:val="21"/>
                      <w:szCs w:val="21"/>
                      <w:highlight w:val="none"/>
                      <w:lang w:bidi="en-US"/>
                    </w:rPr>
                  </w:pPr>
                  <w:r>
                    <w:rPr>
                      <w:rFonts w:hint="default" w:ascii="Times New Roman" w:hAnsi="Times New Roman" w:cs="Times New Roman"/>
                      <w:b/>
                      <w:color w:val="auto"/>
                      <w:sz w:val="21"/>
                      <w:szCs w:val="21"/>
                      <w:highlight w:val="none"/>
                      <w:lang w:bidi="en-US"/>
                    </w:rPr>
                    <w:t>高度m</w:t>
                  </w:r>
                </w:p>
              </w:tc>
              <w:tc>
                <w:tcPr>
                  <w:tcW w:w="1411" w:type="dxa"/>
                  <w:noWrap w:val="0"/>
                  <w:vAlign w:val="center"/>
                </w:tcPr>
                <w:p w14:paraId="79FA14C8">
                  <w:pPr>
                    <w:jc w:val="center"/>
                    <w:rPr>
                      <w:rFonts w:hint="default" w:ascii="Times New Roman" w:hAnsi="Times New Roman" w:cs="Times New Roman"/>
                      <w:b/>
                      <w:color w:val="auto"/>
                      <w:sz w:val="21"/>
                      <w:szCs w:val="21"/>
                      <w:highlight w:val="none"/>
                      <w:lang w:bidi="en-US"/>
                    </w:rPr>
                  </w:pPr>
                  <w:r>
                    <w:rPr>
                      <w:rFonts w:hint="default" w:ascii="Times New Roman" w:hAnsi="Times New Roman" w:cs="Times New Roman"/>
                      <w:b/>
                      <w:color w:val="auto"/>
                      <w:sz w:val="21"/>
                      <w:szCs w:val="21"/>
                      <w:highlight w:val="none"/>
                      <w:lang w:bidi="en-US"/>
                    </w:rPr>
                    <w:t>建筑面积m</w:t>
                  </w:r>
                  <w:r>
                    <w:rPr>
                      <w:rFonts w:hint="default" w:ascii="Times New Roman" w:hAnsi="Times New Roman" w:cs="Times New Roman"/>
                      <w:b/>
                      <w:color w:val="auto"/>
                      <w:sz w:val="21"/>
                      <w:szCs w:val="21"/>
                      <w:highlight w:val="none"/>
                      <w:vertAlign w:val="superscript"/>
                      <w:lang w:bidi="en-US"/>
                    </w:rPr>
                    <w:t>2</w:t>
                  </w:r>
                </w:p>
              </w:tc>
              <w:tc>
                <w:tcPr>
                  <w:tcW w:w="1228" w:type="dxa"/>
                  <w:noWrap w:val="0"/>
                  <w:vAlign w:val="center"/>
                </w:tcPr>
                <w:p w14:paraId="5FD60F05">
                  <w:pPr>
                    <w:jc w:val="center"/>
                    <w:rPr>
                      <w:rFonts w:hint="default" w:ascii="Times New Roman" w:hAnsi="Times New Roman" w:cs="Times New Roman"/>
                      <w:b/>
                      <w:color w:val="auto"/>
                      <w:sz w:val="21"/>
                      <w:szCs w:val="21"/>
                      <w:highlight w:val="none"/>
                      <w:lang w:bidi="en-US"/>
                    </w:rPr>
                  </w:pPr>
                  <w:r>
                    <w:rPr>
                      <w:rFonts w:hint="default" w:ascii="Times New Roman" w:hAnsi="Times New Roman" w:cs="Times New Roman"/>
                      <w:b/>
                      <w:color w:val="auto"/>
                      <w:sz w:val="21"/>
                      <w:szCs w:val="21"/>
                      <w:highlight w:val="none"/>
                      <w:lang w:bidi="en-US"/>
                    </w:rPr>
                    <w:t>耐火等级</w:t>
                  </w:r>
                </w:p>
              </w:tc>
              <w:tc>
                <w:tcPr>
                  <w:tcW w:w="1534" w:type="dxa"/>
                  <w:noWrap w:val="0"/>
                  <w:vAlign w:val="center"/>
                </w:tcPr>
                <w:p w14:paraId="6776ED87">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b/>
                      <w:color w:val="auto"/>
                      <w:sz w:val="21"/>
                      <w:szCs w:val="21"/>
                      <w:highlight w:val="none"/>
                      <w:lang w:bidi="en-US"/>
                    </w:rPr>
                    <w:t>火灾危险类别</w:t>
                  </w:r>
                </w:p>
              </w:tc>
            </w:tr>
            <w:tr w14:paraId="217D7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9" w:type="dxa"/>
                  <w:noWrap w:val="0"/>
                  <w:vAlign w:val="center"/>
                </w:tcPr>
                <w:p w14:paraId="7A0D9855">
                  <w:pPr>
                    <w:jc w:val="center"/>
                    <w:rPr>
                      <w:rFonts w:hint="default" w:ascii="Times New Roman" w:hAnsi="Times New Roman" w:cs="Times New Roman"/>
                      <w:color w:val="auto"/>
                      <w:kern w:val="2"/>
                      <w:sz w:val="21"/>
                      <w:szCs w:val="21"/>
                      <w:highlight w:val="none"/>
                      <w:lang w:val="en-US" w:eastAsia="zh-CN" w:bidi="en-US"/>
                    </w:rPr>
                  </w:pPr>
                  <w:r>
                    <w:rPr>
                      <w:rFonts w:hint="default" w:ascii="Times New Roman" w:hAnsi="Times New Roman" w:cs="Times New Roman"/>
                      <w:color w:val="auto"/>
                      <w:sz w:val="21"/>
                      <w:szCs w:val="21"/>
                      <w:highlight w:val="none"/>
                      <w:lang w:bidi="en-US"/>
                    </w:rPr>
                    <w:t>1</w:t>
                  </w:r>
                </w:p>
              </w:tc>
              <w:tc>
                <w:tcPr>
                  <w:tcW w:w="1496" w:type="dxa"/>
                  <w:noWrap w:val="0"/>
                  <w:vAlign w:val="center"/>
                </w:tcPr>
                <w:p w14:paraId="65991DA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1幢</w:t>
                  </w:r>
                </w:p>
              </w:tc>
              <w:tc>
                <w:tcPr>
                  <w:tcW w:w="899" w:type="dxa"/>
                  <w:noWrap w:val="0"/>
                  <w:vAlign w:val="center"/>
                </w:tcPr>
                <w:p w14:paraId="6E800DA2">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85" w:type="dxa"/>
                  <w:noWrap w:val="0"/>
                  <w:vAlign w:val="center"/>
                </w:tcPr>
                <w:p w14:paraId="105E96B6">
                  <w:pPr>
                    <w:jc w:val="center"/>
                    <w:rPr>
                      <w:rFonts w:hint="default" w:ascii="Times New Roman" w:hAnsi="Times New Roman"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10</w:t>
                  </w:r>
                </w:p>
              </w:tc>
              <w:tc>
                <w:tcPr>
                  <w:tcW w:w="1411" w:type="dxa"/>
                  <w:noWrap w:val="0"/>
                  <w:vAlign w:val="center"/>
                </w:tcPr>
                <w:p w14:paraId="47596806">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1195.56</w:t>
                  </w:r>
                </w:p>
              </w:tc>
              <w:tc>
                <w:tcPr>
                  <w:tcW w:w="1228" w:type="dxa"/>
                  <w:noWrap w:val="0"/>
                  <w:vAlign w:val="center"/>
                </w:tcPr>
                <w:p w14:paraId="0F1432EF">
                  <w:pPr>
                    <w:jc w:val="center"/>
                    <w:rPr>
                      <w:rFonts w:hint="default" w:ascii="Times New Roman" w:hAnsi="Times New Roman" w:cs="Times New Roman"/>
                      <w:color w:val="auto"/>
                      <w:kern w:val="2"/>
                      <w:sz w:val="21"/>
                      <w:szCs w:val="21"/>
                      <w:highlight w:val="none"/>
                      <w:lang w:val="en-US" w:eastAsia="zh-CN" w:bidi="en-US"/>
                    </w:rPr>
                  </w:pPr>
                  <w:r>
                    <w:rPr>
                      <w:rFonts w:hint="eastAsia" w:ascii="Times New Roman" w:hAnsi="Times New Roman" w:cs="Times New Roman"/>
                      <w:color w:val="auto"/>
                      <w:kern w:val="2"/>
                      <w:sz w:val="21"/>
                      <w:szCs w:val="21"/>
                      <w:highlight w:val="none"/>
                      <w:lang w:val="en-US" w:eastAsia="zh-CN" w:bidi="en-US"/>
                    </w:rPr>
                    <w:t>二级</w:t>
                  </w:r>
                </w:p>
              </w:tc>
              <w:tc>
                <w:tcPr>
                  <w:tcW w:w="1534" w:type="dxa"/>
                  <w:noWrap w:val="0"/>
                  <w:vAlign w:val="center"/>
                </w:tcPr>
                <w:p w14:paraId="379FAC5D">
                  <w:pPr>
                    <w:jc w:val="center"/>
                    <w:rPr>
                      <w:rFonts w:hint="default" w:ascii="Times New Roman" w:hAnsi="Times New Roman" w:cs="Times New Roman"/>
                      <w:color w:val="auto"/>
                      <w:kern w:val="2"/>
                      <w:sz w:val="21"/>
                      <w:szCs w:val="21"/>
                      <w:highlight w:val="none"/>
                      <w:lang w:val="en-US" w:eastAsia="zh-CN" w:bidi="en-US"/>
                    </w:rPr>
                  </w:pPr>
                  <w:r>
                    <w:rPr>
                      <w:rFonts w:hint="eastAsia" w:ascii="Times New Roman" w:hAnsi="Times New Roman" w:cs="Times New Roman"/>
                      <w:color w:val="auto"/>
                      <w:kern w:val="2"/>
                      <w:sz w:val="21"/>
                      <w:szCs w:val="21"/>
                      <w:highlight w:val="none"/>
                      <w:lang w:val="en-US" w:eastAsia="zh-CN" w:bidi="en-US"/>
                    </w:rPr>
                    <w:t>丙类</w:t>
                  </w:r>
                </w:p>
              </w:tc>
            </w:tr>
          </w:tbl>
          <w:p w14:paraId="3CBD8E1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kern w:val="0"/>
                <w:sz w:val="24"/>
                <w:highlight w:val="none"/>
              </w:rPr>
            </w:pPr>
            <w:r>
              <w:rPr>
                <w:rFonts w:hint="eastAsia"/>
                <w:color w:val="000000"/>
                <w:sz w:val="24"/>
                <w:highlight w:val="none"/>
              </w:rPr>
              <w:t>项目产品方案</w:t>
            </w:r>
            <w:r>
              <w:rPr>
                <w:rFonts w:hint="eastAsia"/>
                <w:color w:val="000000"/>
                <w:kern w:val="0"/>
                <w:sz w:val="24"/>
                <w:highlight w:val="none"/>
              </w:rPr>
              <w:t>见表2-</w:t>
            </w:r>
            <w:r>
              <w:rPr>
                <w:rFonts w:hint="eastAsia"/>
                <w:color w:val="000000"/>
                <w:kern w:val="0"/>
                <w:sz w:val="24"/>
                <w:highlight w:val="none"/>
                <w:lang w:val="en-US" w:eastAsia="zh-CN"/>
              </w:rPr>
              <w:t>3</w:t>
            </w:r>
            <w:r>
              <w:rPr>
                <w:rFonts w:hint="eastAsia"/>
                <w:color w:val="000000"/>
                <w:kern w:val="0"/>
                <w:sz w:val="24"/>
                <w:highlight w:val="none"/>
              </w:rPr>
              <w:t>。</w:t>
            </w:r>
          </w:p>
          <w:p w14:paraId="0919182B">
            <w:pPr>
              <w:adjustRightInd w:val="0"/>
              <w:snapToGrid w:val="0"/>
              <w:jc w:val="center"/>
              <w:rPr>
                <w:b/>
                <w:color w:val="auto"/>
                <w:szCs w:val="21"/>
              </w:rPr>
            </w:pPr>
            <w:r>
              <w:rPr>
                <w:b/>
                <w:color w:val="auto"/>
                <w:szCs w:val="21"/>
              </w:rPr>
              <w:t>表</w:t>
            </w:r>
            <w:r>
              <w:rPr>
                <w:rFonts w:hint="eastAsia"/>
                <w:b/>
                <w:color w:val="auto"/>
                <w:szCs w:val="21"/>
              </w:rPr>
              <w:t>2-</w:t>
            </w:r>
            <w:r>
              <w:rPr>
                <w:rFonts w:hint="eastAsia"/>
                <w:b/>
                <w:color w:val="auto"/>
                <w:szCs w:val="21"/>
                <w:lang w:val="en-US" w:eastAsia="zh-CN"/>
              </w:rPr>
              <w:t>3</w:t>
            </w:r>
            <w:r>
              <w:rPr>
                <w:rFonts w:hint="eastAsia"/>
                <w:b/>
                <w:color w:val="auto"/>
                <w:szCs w:val="21"/>
              </w:rPr>
              <w:t xml:space="preserve"> </w:t>
            </w:r>
            <w:r>
              <w:rPr>
                <w:b/>
                <w:color w:val="auto"/>
                <w:szCs w:val="21"/>
              </w:rPr>
              <w:t>项目产品方案</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912"/>
              <w:gridCol w:w="2711"/>
              <w:gridCol w:w="1961"/>
            </w:tblGrid>
            <w:tr w14:paraId="1C95E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14:paraId="704EDE4B">
                  <w:pPr>
                    <w:adjustRightInd w:val="0"/>
                    <w:snapToGrid w:val="0"/>
                    <w:spacing w:before="62" w:beforeLines="20" w:after="62" w:afterLines="20"/>
                    <w:jc w:val="center"/>
                    <w:rPr>
                      <w:rFonts w:ascii="Times New Roman" w:hAnsi="Times New Roman"/>
                      <w:b/>
                      <w:bCs/>
                      <w:color w:val="000000"/>
                      <w:sz w:val="21"/>
                      <w:szCs w:val="21"/>
                    </w:rPr>
                  </w:pPr>
                  <w:r>
                    <w:rPr>
                      <w:rFonts w:ascii="Times New Roman" w:hAnsi="宋体"/>
                      <w:b/>
                      <w:bCs/>
                      <w:color w:val="000000"/>
                      <w:sz w:val="21"/>
                      <w:szCs w:val="21"/>
                    </w:rPr>
                    <w:t>序号</w:t>
                  </w:r>
                </w:p>
              </w:tc>
              <w:tc>
                <w:tcPr>
                  <w:tcW w:w="1769" w:type="pct"/>
                  <w:tcBorders>
                    <w:tl2br w:val="nil"/>
                    <w:tr2bl w:val="nil"/>
                  </w:tcBorders>
                  <w:noWrap w:val="0"/>
                  <w:vAlign w:val="center"/>
                </w:tcPr>
                <w:p w14:paraId="078A602D">
                  <w:pPr>
                    <w:adjustRightInd w:val="0"/>
                    <w:snapToGrid w:val="0"/>
                    <w:spacing w:before="62" w:beforeLines="20" w:after="62" w:afterLines="20"/>
                    <w:jc w:val="center"/>
                    <w:rPr>
                      <w:rFonts w:ascii="Times New Roman" w:hAnsi="Times New Roman"/>
                      <w:b/>
                      <w:bCs/>
                      <w:color w:val="000000"/>
                      <w:sz w:val="21"/>
                      <w:szCs w:val="21"/>
                    </w:rPr>
                  </w:pPr>
                  <w:r>
                    <w:rPr>
                      <w:rFonts w:ascii="Times New Roman" w:hAnsi="宋体"/>
                      <w:b/>
                      <w:bCs/>
                      <w:color w:val="000000"/>
                      <w:sz w:val="21"/>
                      <w:szCs w:val="21"/>
                    </w:rPr>
                    <w:t>产品名称</w:t>
                  </w:r>
                </w:p>
              </w:tc>
              <w:tc>
                <w:tcPr>
                  <w:tcW w:w="1647" w:type="pct"/>
                  <w:tcBorders>
                    <w:tl2br w:val="nil"/>
                    <w:tr2bl w:val="nil"/>
                  </w:tcBorders>
                  <w:noWrap w:val="0"/>
                  <w:vAlign w:val="center"/>
                </w:tcPr>
                <w:p w14:paraId="4531F5DE">
                  <w:pPr>
                    <w:adjustRightInd w:val="0"/>
                    <w:snapToGrid w:val="0"/>
                    <w:spacing w:before="62" w:beforeLines="20" w:after="62" w:afterLines="20"/>
                    <w:jc w:val="center"/>
                    <w:rPr>
                      <w:rFonts w:ascii="Times New Roman" w:hAnsi="Times New Roman"/>
                      <w:b/>
                      <w:bCs/>
                      <w:color w:val="000000"/>
                      <w:sz w:val="21"/>
                      <w:szCs w:val="21"/>
                    </w:rPr>
                  </w:pPr>
                  <w:r>
                    <w:rPr>
                      <w:rFonts w:hint="eastAsia" w:ascii="Times New Roman" w:hAnsi="宋体"/>
                      <w:b/>
                      <w:bCs/>
                      <w:color w:val="000000"/>
                      <w:sz w:val="21"/>
                      <w:szCs w:val="21"/>
                      <w:lang w:val="en-US" w:eastAsia="zh-CN"/>
                    </w:rPr>
                    <w:t>年</w:t>
                  </w:r>
                  <w:r>
                    <w:rPr>
                      <w:rFonts w:ascii="Times New Roman" w:hAnsi="宋体"/>
                      <w:b/>
                      <w:bCs/>
                      <w:color w:val="000000"/>
                      <w:sz w:val="21"/>
                      <w:szCs w:val="21"/>
                    </w:rPr>
                    <w:t>设计能力</w:t>
                  </w:r>
                </w:p>
              </w:tc>
              <w:tc>
                <w:tcPr>
                  <w:tcW w:w="1191" w:type="pct"/>
                  <w:tcBorders>
                    <w:tl2br w:val="nil"/>
                    <w:tr2bl w:val="nil"/>
                  </w:tcBorders>
                  <w:noWrap w:val="0"/>
                  <w:vAlign w:val="center"/>
                </w:tcPr>
                <w:p w14:paraId="678A36F7">
                  <w:pPr>
                    <w:adjustRightInd w:val="0"/>
                    <w:snapToGrid w:val="0"/>
                    <w:spacing w:before="62" w:beforeLines="20" w:after="62" w:afterLines="20"/>
                    <w:jc w:val="center"/>
                    <w:rPr>
                      <w:rFonts w:ascii="Times New Roman" w:hAnsi="Times New Roman"/>
                      <w:b/>
                      <w:bCs/>
                      <w:color w:val="000000"/>
                      <w:sz w:val="21"/>
                      <w:szCs w:val="21"/>
                    </w:rPr>
                  </w:pPr>
                  <w:r>
                    <w:rPr>
                      <w:rFonts w:ascii="Times New Roman" w:hAnsi="宋体"/>
                      <w:b/>
                      <w:bCs/>
                      <w:color w:val="000000"/>
                      <w:sz w:val="21"/>
                      <w:szCs w:val="21"/>
                    </w:rPr>
                    <w:t>年运行时数</w:t>
                  </w:r>
                </w:p>
              </w:tc>
            </w:tr>
            <w:tr w14:paraId="2CF5B7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1" w:type="pct"/>
                  <w:tcBorders>
                    <w:tl2br w:val="nil"/>
                    <w:tr2bl w:val="nil"/>
                  </w:tcBorders>
                  <w:noWrap w:val="0"/>
                  <w:vAlign w:val="center"/>
                </w:tcPr>
                <w:p w14:paraId="6A3022F6">
                  <w:pPr>
                    <w:adjustRightInd w:val="0"/>
                    <w:snapToGrid w:val="0"/>
                    <w:spacing w:before="62" w:beforeLines="20" w:after="62" w:afterLines="20"/>
                    <w:jc w:val="center"/>
                    <w:rPr>
                      <w:rFonts w:ascii="Times New Roman" w:hAnsi="Times New Roman"/>
                      <w:color w:val="000000"/>
                      <w:sz w:val="21"/>
                      <w:szCs w:val="21"/>
                    </w:rPr>
                  </w:pPr>
                  <w:r>
                    <w:rPr>
                      <w:rFonts w:ascii="Times New Roman" w:hAnsi="Times New Roman"/>
                      <w:color w:val="000000"/>
                      <w:sz w:val="21"/>
                      <w:szCs w:val="21"/>
                    </w:rPr>
                    <w:t>1</w:t>
                  </w:r>
                </w:p>
              </w:tc>
              <w:tc>
                <w:tcPr>
                  <w:tcW w:w="1769" w:type="pct"/>
                  <w:tcBorders>
                    <w:tl2br w:val="nil"/>
                    <w:tr2bl w:val="nil"/>
                  </w:tcBorders>
                  <w:noWrap w:val="0"/>
                  <w:vAlign w:val="center"/>
                </w:tcPr>
                <w:p w14:paraId="650B3D42">
                  <w:pPr>
                    <w:adjustRightInd w:val="0"/>
                    <w:snapToGrid w:val="0"/>
                    <w:spacing w:before="62" w:beforeLines="20" w:after="62" w:afterLines="2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针灸器械</w:t>
                  </w:r>
                </w:p>
              </w:tc>
              <w:tc>
                <w:tcPr>
                  <w:tcW w:w="1647" w:type="pct"/>
                  <w:tcBorders>
                    <w:tl2br w:val="nil"/>
                    <w:tr2bl w:val="nil"/>
                  </w:tcBorders>
                  <w:noWrap w:val="0"/>
                  <w:vAlign w:val="center"/>
                </w:tcPr>
                <w:p w14:paraId="08369498">
                  <w:pPr>
                    <w:adjustRightInd w:val="0"/>
                    <w:snapToGrid w:val="0"/>
                    <w:spacing w:before="62" w:beforeLines="20" w:after="62" w:afterLines="2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8亿支</w:t>
                  </w:r>
                </w:p>
              </w:tc>
              <w:tc>
                <w:tcPr>
                  <w:tcW w:w="1191" w:type="pct"/>
                  <w:tcBorders>
                    <w:tl2br w:val="nil"/>
                    <w:tr2bl w:val="nil"/>
                  </w:tcBorders>
                  <w:noWrap w:val="0"/>
                  <w:vAlign w:val="center"/>
                </w:tcPr>
                <w:p w14:paraId="17405782">
                  <w:pPr>
                    <w:adjustRightInd w:val="0"/>
                    <w:snapToGrid w:val="0"/>
                    <w:spacing w:before="62" w:beforeLines="20" w:after="62" w:afterLines="20"/>
                    <w:jc w:val="center"/>
                    <w:rPr>
                      <w:rFonts w:hint="default" w:ascii="Times New Roman" w:hAnsi="Times New Roman" w:eastAsia="宋体"/>
                      <w:color w:val="000000"/>
                      <w:sz w:val="21"/>
                      <w:szCs w:val="21"/>
                      <w:lang w:val="en-US" w:eastAsia="zh-CN"/>
                    </w:rPr>
                  </w:pPr>
                  <w:r>
                    <w:rPr>
                      <w:rFonts w:hint="eastAsia"/>
                      <w:color w:val="000000"/>
                      <w:sz w:val="21"/>
                      <w:szCs w:val="21"/>
                      <w:lang w:val="en-US" w:eastAsia="zh-CN"/>
                    </w:rPr>
                    <w:t>2080h</w:t>
                  </w:r>
                </w:p>
              </w:tc>
            </w:tr>
          </w:tbl>
          <w:p w14:paraId="6198DD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rPr>
            </w:pPr>
            <w:r>
              <w:rPr>
                <w:rFonts w:hint="eastAsia"/>
                <w:b/>
                <w:bCs/>
                <w:color w:val="auto"/>
                <w:sz w:val="24"/>
                <w:lang w:val="en-US" w:eastAsia="zh-CN"/>
              </w:rPr>
              <w:t>3、</w:t>
            </w:r>
            <w:r>
              <w:rPr>
                <w:rFonts w:hint="eastAsia"/>
                <w:b/>
                <w:bCs/>
                <w:color w:val="auto"/>
                <w:sz w:val="24"/>
              </w:rPr>
              <w:t>公用及辅助工程</w:t>
            </w:r>
          </w:p>
          <w:p w14:paraId="4D4FC279">
            <w:pPr>
              <w:adjustRightInd w:val="0"/>
              <w:snapToGrid w:val="0"/>
              <w:jc w:val="center"/>
              <w:rPr>
                <w:b/>
                <w:color w:val="auto"/>
                <w:kern w:val="0"/>
                <w:szCs w:val="21"/>
                <w:highlight w:val="none"/>
              </w:rPr>
            </w:pPr>
            <w:r>
              <w:rPr>
                <w:b/>
                <w:color w:val="auto"/>
                <w:kern w:val="0"/>
                <w:szCs w:val="21"/>
                <w:highlight w:val="none"/>
              </w:rPr>
              <w:t>表</w:t>
            </w:r>
            <w:r>
              <w:rPr>
                <w:rFonts w:hint="eastAsia"/>
                <w:b/>
                <w:color w:val="auto"/>
                <w:kern w:val="0"/>
                <w:szCs w:val="21"/>
                <w:highlight w:val="none"/>
              </w:rPr>
              <w:t>2-</w:t>
            </w:r>
            <w:r>
              <w:rPr>
                <w:rFonts w:hint="eastAsia"/>
                <w:b/>
                <w:color w:val="auto"/>
                <w:kern w:val="0"/>
                <w:szCs w:val="21"/>
                <w:highlight w:val="none"/>
                <w:lang w:val="en-US" w:eastAsia="zh-CN"/>
              </w:rPr>
              <w:t>4</w:t>
            </w:r>
            <w:r>
              <w:rPr>
                <w:rFonts w:hint="eastAsia"/>
                <w:b/>
                <w:color w:val="auto"/>
                <w:kern w:val="0"/>
                <w:szCs w:val="21"/>
                <w:highlight w:val="none"/>
              </w:rPr>
              <w:t xml:space="preserve"> </w:t>
            </w:r>
            <w:r>
              <w:rPr>
                <w:b/>
                <w:color w:val="auto"/>
                <w:kern w:val="0"/>
                <w:szCs w:val="21"/>
                <w:highlight w:val="none"/>
              </w:rPr>
              <w:t>项目公用及辅助工程</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49"/>
              <w:gridCol w:w="1119"/>
              <w:gridCol w:w="3825"/>
              <w:gridCol w:w="1826"/>
            </w:tblGrid>
            <w:tr w14:paraId="49C27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noWrap w:val="0"/>
                  <w:vAlign w:val="center"/>
                </w:tcPr>
                <w:p w14:paraId="62415D3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工程类型</w:t>
                  </w:r>
                </w:p>
              </w:tc>
              <w:tc>
                <w:tcPr>
                  <w:tcW w:w="1135" w:type="pct"/>
                  <w:gridSpan w:val="2"/>
                  <w:noWrap w:val="0"/>
                  <w:vAlign w:val="center"/>
                </w:tcPr>
                <w:p w14:paraId="5299802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建设名称</w:t>
                  </w:r>
                </w:p>
              </w:tc>
              <w:tc>
                <w:tcPr>
                  <w:tcW w:w="2324" w:type="pct"/>
                  <w:noWrap w:val="0"/>
                  <w:vAlign w:val="center"/>
                </w:tcPr>
                <w:p w14:paraId="418B5BE2">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1"/>
                      <w:szCs w:val="21"/>
                    </w:rPr>
                  </w:pPr>
                  <w:r>
                    <w:rPr>
                      <w:rFonts w:hint="eastAsia"/>
                      <w:b/>
                      <w:bCs/>
                      <w:color w:val="auto"/>
                      <w:sz w:val="21"/>
                      <w:szCs w:val="21"/>
                    </w:rPr>
                    <w:t>设计能力</w:t>
                  </w:r>
                </w:p>
              </w:tc>
              <w:tc>
                <w:tcPr>
                  <w:tcW w:w="1109" w:type="pct"/>
                  <w:noWrap w:val="0"/>
                  <w:vAlign w:val="center"/>
                </w:tcPr>
                <w:p w14:paraId="5D39E02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b/>
                      <w:bCs/>
                      <w:color w:val="auto"/>
                      <w:sz w:val="21"/>
                      <w:szCs w:val="21"/>
                    </w:rPr>
                    <w:t>备注</w:t>
                  </w:r>
                </w:p>
              </w:tc>
            </w:tr>
            <w:tr w14:paraId="530D7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noWrap w:val="0"/>
                  <w:vAlign w:val="center"/>
                </w:tcPr>
                <w:p w14:paraId="02D1EAF3">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val="0"/>
                      <w:bCs w:val="0"/>
                      <w:color w:val="auto"/>
                      <w:sz w:val="21"/>
                      <w:szCs w:val="21"/>
                      <w:lang w:val="en-US" w:eastAsia="zh-CN"/>
                    </w:rPr>
                    <w:t>主体工程</w:t>
                  </w:r>
                </w:p>
              </w:tc>
              <w:tc>
                <w:tcPr>
                  <w:tcW w:w="1135" w:type="pct"/>
                  <w:gridSpan w:val="2"/>
                  <w:noWrap w:val="0"/>
                  <w:vAlign w:val="center"/>
                </w:tcPr>
                <w:p w14:paraId="7CED6274">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lang w:val="en-US" w:eastAsia="zh-CN"/>
                    </w:rPr>
                  </w:pPr>
                  <w:r>
                    <w:rPr>
                      <w:rFonts w:hint="eastAsia"/>
                      <w:b w:val="0"/>
                      <w:bCs w:val="0"/>
                      <w:color w:val="auto"/>
                      <w:sz w:val="21"/>
                      <w:szCs w:val="21"/>
                      <w:lang w:val="en-US" w:eastAsia="zh-CN"/>
                    </w:rPr>
                    <w:t>生产车间</w:t>
                  </w:r>
                </w:p>
              </w:tc>
              <w:tc>
                <w:tcPr>
                  <w:tcW w:w="2324" w:type="pct"/>
                  <w:noWrap w:val="0"/>
                  <w:vAlign w:val="center"/>
                </w:tcPr>
                <w:p w14:paraId="5021FB0A">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1"/>
                      <w:szCs w:val="21"/>
                    </w:rPr>
                  </w:pPr>
                  <w:r>
                    <w:rPr>
                      <w:rFonts w:hint="eastAsia" w:cs="Times New Roman"/>
                      <w:color w:val="auto"/>
                      <w:sz w:val="21"/>
                      <w:szCs w:val="21"/>
                      <w:highlight w:val="none"/>
                      <w:lang w:val="en-US" w:eastAsia="zh-CN"/>
                    </w:rPr>
                    <w:t>150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p>
              </w:tc>
              <w:tc>
                <w:tcPr>
                  <w:tcW w:w="1109" w:type="pct"/>
                  <w:noWrap w:val="0"/>
                  <w:vAlign w:val="center"/>
                </w:tcPr>
                <w:p w14:paraId="0CD8AE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 w:val="21"/>
                      <w:szCs w:val="21"/>
                      <w:lang w:val="en-US" w:eastAsia="zh-CN"/>
                    </w:rPr>
                  </w:pPr>
                  <w:r>
                    <w:rPr>
                      <w:rFonts w:hint="eastAsia"/>
                      <w:color w:val="auto"/>
                      <w:sz w:val="21"/>
                      <w:szCs w:val="21"/>
                      <w:highlight w:val="none"/>
                      <w:lang w:val="en-US" w:eastAsia="zh-CN"/>
                    </w:rPr>
                    <w:t>用于生产，</w:t>
                  </w:r>
                  <w:r>
                    <w:rPr>
                      <w:rFonts w:hint="eastAsia"/>
                      <w:color w:val="auto"/>
                      <w:sz w:val="21"/>
                      <w:szCs w:val="21"/>
                      <w:highlight w:val="none"/>
                    </w:rPr>
                    <w:t>位于车间</w:t>
                  </w:r>
                  <w:r>
                    <w:rPr>
                      <w:rFonts w:hint="eastAsia"/>
                      <w:color w:val="auto"/>
                      <w:sz w:val="21"/>
                      <w:szCs w:val="21"/>
                      <w:highlight w:val="none"/>
                      <w:lang w:val="en-US" w:eastAsia="zh-CN"/>
                    </w:rPr>
                    <w:t>东南</w:t>
                  </w:r>
                </w:p>
              </w:tc>
            </w:tr>
            <w:tr w14:paraId="5EF27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restart"/>
                  <w:noWrap w:val="0"/>
                  <w:vAlign w:val="center"/>
                </w:tcPr>
                <w:p w14:paraId="44429109">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贮运工程</w:t>
                  </w:r>
                </w:p>
              </w:tc>
              <w:tc>
                <w:tcPr>
                  <w:tcW w:w="1135" w:type="pct"/>
                  <w:gridSpan w:val="2"/>
                  <w:noWrap w:val="0"/>
                  <w:vAlign w:val="center"/>
                </w:tcPr>
                <w:p w14:paraId="2CDCBA62">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原料仓库</w:t>
                  </w:r>
                </w:p>
              </w:tc>
              <w:tc>
                <w:tcPr>
                  <w:tcW w:w="2324" w:type="pct"/>
                  <w:noWrap w:val="0"/>
                  <w:vAlign w:val="center"/>
                </w:tcPr>
                <w:p w14:paraId="7395B0B4">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highlight w:val="none"/>
                      <w:lang w:val="en-US" w:eastAsia="zh-CN"/>
                    </w:rPr>
                  </w:pPr>
                  <w:r>
                    <w:rPr>
                      <w:rFonts w:hint="eastAsia" w:cs="Times New Roman"/>
                      <w:color w:val="auto"/>
                      <w:sz w:val="21"/>
                      <w:szCs w:val="21"/>
                      <w:highlight w:val="none"/>
                      <w:lang w:val="en-US" w:eastAsia="zh-CN"/>
                    </w:rPr>
                    <w:t>450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p>
              </w:tc>
              <w:tc>
                <w:tcPr>
                  <w:tcW w:w="1109" w:type="pct"/>
                  <w:noWrap w:val="0"/>
                  <w:vAlign w:val="center"/>
                </w:tcPr>
                <w:p w14:paraId="46C8F10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rPr>
                  </w:pPr>
                  <w:r>
                    <w:rPr>
                      <w:rFonts w:hint="eastAsia"/>
                      <w:color w:val="auto"/>
                      <w:sz w:val="21"/>
                      <w:szCs w:val="21"/>
                      <w:highlight w:val="none"/>
                    </w:rPr>
                    <w:t>位于车间</w:t>
                  </w:r>
                  <w:r>
                    <w:rPr>
                      <w:rFonts w:hint="eastAsia"/>
                      <w:color w:val="auto"/>
                      <w:sz w:val="21"/>
                      <w:szCs w:val="21"/>
                      <w:highlight w:val="none"/>
                      <w:lang w:val="en-US" w:eastAsia="zh-CN"/>
                    </w:rPr>
                    <w:t>东南</w:t>
                  </w:r>
                  <w:r>
                    <w:rPr>
                      <w:rFonts w:hint="eastAsia"/>
                      <w:color w:val="auto"/>
                      <w:sz w:val="21"/>
                      <w:szCs w:val="21"/>
                      <w:highlight w:val="none"/>
                    </w:rPr>
                    <w:t>，储存原料</w:t>
                  </w:r>
                </w:p>
              </w:tc>
            </w:tr>
            <w:tr w14:paraId="049BF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1B972D8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1135" w:type="pct"/>
                  <w:gridSpan w:val="2"/>
                  <w:noWrap w:val="0"/>
                  <w:vAlign w:val="center"/>
                </w:tcPr>
                <w:p w14:paraId="77E886E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rPr>
                    <w:t>成品</w:t>
                  </w:r>
                  <w:r>
                    <w:rPr>
                      <w:rFonts w:hint="eastAsia"/>
                      <w:color w:val="auto"/>
                      <w:sz w:val="21"/>
                      <w:szCs w:val="21"/>
                      <w:lang w:val="en-US" w:eastAsia="zh-CN"/>
                    </w:rPr>
                    <w:t>仓库</w:t>
                  </w:r>
                </w:p>
              </w:tc>
              <w:tc>
                <w:tcPr>
                  <w:tcW w:w="2324" w:type="pct"/>
                  <w:noWrap w:val="0"/>
                  <w:vAlign w:val="center"/>
                </w:tcPr>
                <w:p w14:paraId="7FBA0B7D">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100</w:t>
                  </w:r>
                  <w:r>
                    <w:rPr>
                      <w:rFonts w:hint="eastAsia" w:ascii="Times New Roman" w:hAnsi="Times New Roman" w:cs="Times New Roman"/>
                      <w:color w:val="auto"/>
                      <w:sz w:val="21"/>
                      <w:szCs w:val="21"/>
                      <w:highlight w:val="none"/>
                      <w:lang w:val="en-US" w:eastAsia="zh-CN"/>
                    </w:rPr>
                    <w:t>m</w:t>
                  </w:r>
                  <w:r>
                    <w:rPr>
                      <w:rFonts w:hint="eastAsia" w:ascii="Times New Roman" w:hAnsi="Times New Roman" w:cs="Times New Roman"/>
                      <w:color w:val="auto"/>
                      <w:sz w:val="21"/>
                      <w:szCs w:val="21"/>
                      <w:highlight w:val="none"/>
                      <w:vertAlign w:val="superscript"/>
                      <w:lang w:val="en-US" w:eastAsia="zh-CN"/>
                    </w:rPr>
                    <w:t>2</w:t>
                  </w:r>
                </w:p>
              </w:tc>
              <w:tc>
                <w:tcPr>
                  <w:tcW w:w="1109" w:type="pct"/>
                  <w:noWrap w:val="0"/>
                  <w:vAlign w:val="center"/>
                </w:tcPr>
                <w:p w14:paraId="666E270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rPr>
                  </w:pPr>
                  <w:r>
                    <w:rPr>
                      <w:rFonts w:hint="eastAsia"/>
                      <w:color w:val="auto"/>
                      <w:sz w:val="21"/>
                      <w:szCs w:val="21"/>
                      <w:highlight w:val="none"/>
                      <w:lang w:val="en-US" w:eastAsia="zh-CN"/>
                    </w:rPr>
                    <w:t>位于车间东南，储存</w:t>
                  </w:r>
                  <w:r>
                    <w:rPr>
                      <w:rFonts w:hint="eastAsia"/>
                      <w:color w:val="auto"/>
                      <w:sz w:val="21"/>
                      <w:szCs w:val="21"/>
                      <w:highlight w:val="none"/>
                    </w:rPr>
                    <w:t>成品</w:t>
                  </w:r>
                </w:p>
              </w:tc>
            </w:tr>
            <w:tr w14:paraId="2D8F6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restart"/>
                  <w:noWrap w:val="0"/>
                  <w:vAlign w:val="center"/>
                </w:tcPr>
                <w:p w14:paraId="3093D543">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公用工程</w:t>
                  </w:r>
                </w:p>
              </w:tc>
              <w:tc>
                <w:tcPr>
                  <w:tcW w:w="1135" w:type="pct"/>
                  <w:gridSpan w:val="2"/>
                  <w:noWrap w:val="0"/>
                  <w:vAlign w:val="center"/>
                </w:tcPr>
                <w:p w14:paraId="2859428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给水系统</w:t>
                  </w:r>
                </w:p>
              </w:tc>
              <w:tc>
                <w:tcPr>
                  <w:tcW w:w="2324" w:type="pct"/>
                  <w:noWrap w:val="0"/>
                  <w:vAlign w:val="center"/>
                </w:tcPr>
                <w:p w14:paraId="2A70B37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yellow"/>
                    </w:rPr>
                  </w:pPr>
                  <w:r>
                    <w:rPr>
                      <w:rFonts w:hint="eastAsia"/>
                      <w:color w:val="auto"/>
                      <w:sz w:val="21"/>
                      <w:szCs w:val="21"/>
                      <w:highlight w:val="none"/>
                      <w:lang w:val="en-US" w:eastAsia="zh-CN"/>
                    </w:rPr>
                    <w:t>1692.6</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/a</w:t>
                  </w:r>
                </w:p>
              </w:tc>
              <w:tc>
                <w:tcPr>
                  <w:tcW w:w="1109" w:type="pct"/>
                  <w:noWrap w:val="0"/>
                  <w:vAlign w:val="center"/>
                </w:tcPr>
                <w:p w14:paraId="1C2DEFAF">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由市政供水管网提供</w:t>
                  </w:r>
                </w:p>
              </w:tc>
            </w:tr>
            <w:tr w14:paraId="406BE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6519FC2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1135" w:type="pct"/>
                  <w:gridSpan w:val="2"/>
                  <w:noWrap w:val="0"/>
                  <w:vAlign w:val="center"/>
                </w:tcPr>
                <w:p w14:paraId="36F15B9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排水系统</w:t>
                  </w:r>
                </w:p>
              </w:tc>
              <w:tc>
                <w:tcPr>
                  <w:tcW w:w="2324" w:type="pct"/>
                  <w:noWrap w:val="0"/>
                  <w:vAlign w:val="center"/>
                </w:tcPr>
                <w:p w14:paraId="0FC61DC1">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yellow"/>
                    </w:rPr>
                  </w:pPr>
                  <w:r>
                    <w:rPr>
                      <w:rFonts w:hint="eastAsia"/>
                      <w:color w:val="auto"/>
                      <w:sz w:val="21"/>
                      <w:szCs w:val="21"/>
                      <w:highlight w:val="none"/>
                      <w:lang w:val="en-US" w:eastAsia="zh-CN"/>
                    </w:rPr>
                    <w:t>1352</w:t>
                  </w:r>
                  <w:r>
                    <w:rPr>
                      <w:rFonts w:hint="eastAsia"/>
                      <w:color w:val="auto"/>
                      <w:sz w:val="21"/>
                      <w:szCs w:val="21"/>
                      <w:highlight w:val="none"/>
                    </w:rPr>
                    <w:t>m</w:t>
                  </w:r>
                  <w:r>
                    <w:rPr>
                      <w:rFonts w:hint="eastAsia"/>
                      <w:color w:val="auto"/>
                      <w:sz w:val="21"/>
                      <w:szCs w:val="21"/>
                      <w:highlight w:val="none"/>
                      <w:vertAlign w:val="superscript"/>
                    </w:rPr>
                    <w:t>3</w:t>
                  </w:r>
                  <w:r>
                    <w:rPr>
                      <w:rFonts w:hint="eastAsia"/>
                      <w:color w:val="auto"/>
                      <w:sz w:val="21"/>
                      <w:szCs w:val="21"/>
                      <w:highlight w:val="none"/>
                    </w:rPr>
                    <w:t>/a</w:t>
                  </w:r>
                </w:p>
              </w:tc>
              <w:tc>
                <w:tcPr>
                  <w:tcW w:w="1109" w:type="pct"/>
                  <w:noWrap w:val="0"/>
                  <w:vAlign w:val="center"/>
                </w:tcPr>
                <w:p w14:paraId="2E3EB26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highlight w:val="none"/>
                    </w:rPr>
                    <w:t>生活污水</w:t>
                  </w:r>
                  <w:r>
                    <w:rPr>
                      <w:rFonts w:hint="eastAsia"/>
                      <w:color w:val="auto"/>
                      <w:sz w:val="21"/>
                      <w:szCs w:val="21"/>
                      <w:highlight w:val="none"/>
                      <w:lang w:val="en-US" w:eastAsia="zh-CN"/>
                    </w:rPr>
                    <w:t>接管至</w:t>
                  </w:r>
                  <w:r>
                    <w:rPr>
                      <w:rFonts w:hint="default" w:ascii="Times New Roman" w:hAnsi="Times New Roman" w:eastAsia="宋体" w:cs="Times New Roman"/>
                      <w:color w:val="auto"/>
                      <w:sz w:val="21"/>
                      <w:szCs w:val="21"/>
                      <w:highlight w:val="none"/>
                      <w:lang w:val="ru-RU" w:eastAsia="zh-CN"/>
                    </w:rPr>
                    <w:t>苏州汾湖水务发展有限公司（黎里工业再生水厂）处理，尾水排放至杜公漾</w:t>
                  </w:r>
                </w:p>
              </w:tc>
            </w:tr>
            <w:tr w14:paraId="383B1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5CACF51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1135" w:type="pct"/>
                  <w:gridSpan w:val="2"/>
                  <w:noWrap w:val="0"/>
                  <w:vAlign w:val="center"/>
                </w:tcPr>
                <w:p w14:paraId="3C14DFA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rPr>
                    <w:t>供电</w:t>
                  </w:r>
                  <w:r>
                    <w:rPr>
                      <w:rFonts w:hint="eastAsia"/>
                      <w:color w:val="auto"/>
                      <w:sz w:val="21"/>
                      <w:szCs w:val="21"/>
                      <w:lang w:val="en-US" w:eastAsia="zh-CN"/>
                    </w:rPr>
                    <w:t>系统</w:t>
                  </w:r>
                </w:p>
              </w:tc>
              <w:tc>
                <w:tcPr>
                  <w:tcW w:w="2324" w:type="pct"/>
                  <w:noWrap w:val="0"/>
                  <w:vAlign w:val="center"/>
                </w:tcPr>
                <w:p w14:paraId="02D6C9F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yellow"/>
                    </w:rPr>
                  </w:pPr>
                  <w:r>
                    <w:rPr>
                      <w:rFonts w:hint="eastAsia"/>
                      <w:color w:val="auto"/>
                      <w:sz w:val="21"/>
                      <w:szCs w:val="21"/>
                      <w:highlight w:val="none"/>
                      <w:lang w:val="en-US" w:eastAsia="zh-CN"/>
                    </w:rPr>
                    <w:t>180万</w:t>
                  </w:r>
                  <w:r>
                    <w:rPr>
                      <w:rFonts w:hint="eastAsia"/>
                      <w:color w:val="auto"/>
                      <w:sz w:val="21"/>
                      <w:szCs w:val="21"/>
                      <w:highlight w:val="none"/>
                    </w:rPr>
                    <w:t>kW·h</w:t>
                  </w:r>
                </w:p>
              </w:tc>
              <w:tc>
                <w:tcPr>
                  <w:tcW w:w="1109" w:type="pct"/>
                  <w:noWrap w:val="0"/>
                  <w:vAlign w:val="center"/>
                </w:tcPr>
                <w:p w14:paraId="20730F7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区域电网；利用现有设施</w:t>
                  </w:r>
                </w:p>
              </w:tc>
            </w:tr>
            <w:tr w14:paraId="3A6A5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44EC768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1135" w:type="pct"/>
                  <w:gridSpan w:val="2"/>
                  <w:noWrap w:val="0"/>
                  <w:vAlign w:val="center"/>
                </w:tcPr>
                <w:p w14:paraId="220F76A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供热系统</w:t>
                  </w:r>
                </w:p>
              </w:tc>
              <w:tc>
                <w:tcPr>
                  <w:tcW w:w="2324" w:type="pct"/>
                  <w:noWrap w:val="0"/>
                  <w:vAlign w:val="center"/>
                </w:tcPr>
                <w:p w14:paraId="408D73F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w:t>
                  </w:r>
                </w:p>
              </w:tc>
              <w:tc>
                <w:tcPr>
                  <w:tcW w:w="1109" w:type="pct"/>
                  <w:noWrap w:val="0"/>
                  <w:vAlign w:val="center"/>
                </w:tcPr>
                <w:p w14:paraId="59993915">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w:t>
                  </w:r>
                </w:p>
              </w:tc>
            </w:tr>
            <w:tr w14:paraId="1EF1C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5708B81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1135" w:type="pct"/>
                  <w:gridSpan w:val="2"/>
                  <w:noWrap w:val="0"/>
                  <w:vAlign w:val="center"/>
                </w:tcPr>
                <w:p w14:paraId="751B23A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绿化</w:t>
                  </w:r>
                </w:p>
              </w:tc>
              <w:tc>
                <w:tcPr>
                  <w:tcW w:w="2324" w:type="pct"/>
                  <w:noWrap w:val="0"/>
                  <w:vAlign w:val="center"/>
                </w:tcPr>
                <w:p w14:paraId="6627B223">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w:t>
                  </w:r>
                </w:p>
              </w:tc>
              <w:tc>
                <w:tcPr>
                  <w:tcW w:w="1109" w:type="pct"/>
                  <w:noWrap w:val="0"/>
                  <w:vAlign w:val="center"/>
                </w:tcPr>
                <w:p w14:paraId="4387DA29">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依托现有绿化</w:t>
                  </w:r>
                </w:p>
              </w:tc>
            </w:tr>
            <w:tr w14:paraId="58D4A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431" w:type="pct"/>
                  <w:vMerge w:val="restart"/>
                  <w:noWrap w:val="0"/>
                  <w:vAlign w:val="center"/>
                </w:tcPr>
                <w:p w14:paraId="7015F1AC">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环保工程</w:t>
                  </w:r>
                </w:p>
              </w:tc>
              <w:tc>
                <w:tcPr>
                  <w:tcW w:w="1135" w:type="pct"/>
                  <w:gridSpan w:val="2"/>
                  <w:noWrap w:val="0"/>
                  <w:vAlign w:val="center"/>
                </w:tcPr>
                <w:p w14:paraId="129907F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highlight w:val="yellow"/>
                      <w:lang w:val="en-US" w:eastAsia="zh-CN"/>
                    </w:rPr>
                  </w:pPr>
                  <w:r>
                    <w:rPr>
                      <w:rFonts w:hint="eastAsia"/>
                      <w:color w:val="auto"/>
                      <w:sz w:val="21"/>
                      <w:szCs w:val="21"/>
                    </w:rPr>
                    <w:t>废气处理</w:t>
                  </w:r>
                </w:p>
              </w:tc>
              <w:tc>
                <w:tcPr>
                  <w:tcW w:w="2324" w:type="pct"/>
                  <w:noWrap w:val="0"/>
                  <w:vAlign w:val="center"/>
                </w:tcPr>
                <w:p w14:paraId="0A5832D7">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（1）针体磨抛所产生颗粒物由集气罩收集后经布袋除尘器处理后由15m高1#排气筒排放；</w:t>
                  </w:r>
                </w:p>
                <w:p w14:paraId="281D5BCB">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（2）挤塑、针柄制作、封装所产生非甲烷总烃由集气罩收集后通过“二级活性炭吸附”装置处理后经15m高2#排气筒排放。</w:t>
                  </w:r>
                </w:p>
              </w:tc>
              <w:tc>
                <w:tcPr>
                  <w:tcW w:w="1109" w:type="pct"/>
                  <w:noWrap w:val="0"/>
                  <w:vAlign w:val="center"/>
                </w:tcPr>
                <w:p w14:paraId="0D3201E9">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rPr>
                  </w:pPr>
                  <w:r>
                    <w:rPr>
                      <w:rFonts w:hint="eastAsia"/>
                      <w:color w:val="auto"/>
                      <w:sz w:val="21"/>
                      <w:szCs w:val="21"/>
                      <w:highlight w:val="none"/>
                    </w:rPr>
                    <w:t>/</w:t>
                  </w:r>
                </w:p>
              </w:tc>
            </w:tr>
            <w:tr w14:paraId="4FDEC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31" w:type="pct"/>
                  <w:vMerge w:val="continue"/>
                  <w:noWrap w:val="0"/>
                  <w:vAlign w:val="center"/>
                </w:tcPr>
                <w:p w14:paraId="02A2A4C7">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455" w:type="pct"/>
                  <w:vMerge w:val="restart"/>
                  <w:noWrap w:val="0"/>
                  <w:vAlign w:val="center"/>
                </w:tcPr>
                <w:p w14:paraId="70776C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highlight w:val="yellow"/>
                      <w:lang w:val="en-US" w:eastAsia="zh-CN"/>
                    </w:rPr>
                  </w:pPr>
                  <w:r>
                    <w:rPr>
                      <w:rFonts w:hint="eastAsia"/>
                      <w:color w:val="auto"/>
                      <w:sz w:val="21"/>
                      <w:szCs w:val="21"/>
                    </w:rPr>
                    <w:t>废水处理</w:t>
                  </w:r>
                </w:p>
              </w:tc>
              <w:tc>
                <w:tcPr>
                  <w:tcW w:w="679" w:type="pct"/>
                  <w:noWrap w:val="0"/>
                  <w:vAlign w:val="center"/>
                </w:tcPr>
                <w:p w14:paraId="28C8EF92">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生活污水</w:t>
                  </w:r>
                </w:p>
              </w:tc>
              <w:tc>
                <w:tcPr>
                  <w:tcW w:w="2324" w:type="pct"/>
                  <w:noWrap w:val="0"/>
                  <w:vAlign w:val="center"/>
                </w:tcPr>
                <w:p w14:paraId="21089BBD">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eastAsia="zh-CN"/>
                    </w:rPr>
                  </w:pPr>
                  <w:r>
                    <w:rPr>
                      <w:rFonts w:hint="eastAsia"/>
                      <w:color w:val="auto"/>
                      <w:sz w:val="21"/>
                      <w:szCs w:val="21"/>
                      <w:lang w:val="en-US" w:eastAsia="zh-CN"/>
                    </w:rPr>
                    <w:t>生活污水</w:t>
                  </w:r>
                </w:p>
              </w:tc>
              <w:tc>
                <w:tcPr>
                  <w:tcW w:w="1109" w:type="pct"/>
                  <w:noWrap w:val="0"/>
                  <w:vAlign w:val="center"/>
                </w:tcPr>
                <w:p w14:paraId="5DA58BB5">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highlight w:val="none"/>
                    </w:rPr>
                    <w:t>生活污水</w:t>
                  </w:r>
                  <w:r>
                    <w:rPr>
                      <w:rFonts w:hint="eastAsia"/>
                      <w:color w:val="auto"/>
                      <w:sz w:val="21"/>
                      <w:szCs w:val="21"/>
                      <w:highlight w:val="none"/>
                      <w:lang w:val="en-US" w:eastAsia="zh-CN"/>
                    </w:rPr>
                    <w:t>接管至</w:t>
                  </w:r>
                  <w:r>
                    <w:rPr>
                      <w:rFonts w:hint="eastAsia"/>
                      <w:color w:val="auto"/>
                      <w:sz w:val="21"/>
                      <w:szCs w:val="21"/>
                      <w:highlight w:val="none"/>
                    </w:rPr>
                    <w:t>苏州汾湖水务发展有限公司（黎里工业再生水厂）处理，尾水排放至杜公漾</w:t>
                  </w:r>
                </w:p>
              </w:tc>
            </w:tr>
            <w:tr w14:paraId="2B496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1B0058B0">
                  <w:pPr>
                    <w:keepNext w:val="0"/>
                    <w:keepLines w:val="0"/>
                    <w:pageBreakBefore w:val="0"/>
                    <w:widowControl w:val="0"/>
                    <w:kinsoku/>
                    <w:wordWrap/>
                    <w:overflowPunct/>
                    <w:topLinePunct w:val="0"/>
                    <w:autoSpaceDE/>
                    <w:autoSpaceDN/>
                    <w:bidi w:val="0"/>
                    <w:adjustRightInd/>
                    <w:snapToGrid/>
                    <w:jc w:val="center"/>
                    <w:textAlignment w:val="auto"/>
                  </w:pPr>
                </w:p>
              </w:tc>
              <w:tc>
                <w:tcPr>
                  <w:tcW w:w="455" w:type="pct"/>
                  <w:vMerge w:val="continue"/>
                  <w:noWrap w:val="0"/>
                  <w:vAlign w:val="center"/>
                </w:tcPr>
                <w:p w14:paraId="084BC4DE">
                  <w:pPr>
                    <w:keepNext w:val="0"/>
                    <w:keepLines w:val="0"/>
                    <w:pageBreakBefore w:val="0"/>
                    <w:widowControl w:val="0"/>
                    <w:kinsoku/>
                    <w:wordWrap/>
                    <w:overflowPunct/>
                    <w:topLinePunct w:val="0"/>
                    <w:autoSpaceDE/>
                    <w:autoSpaceDN/>
                    <w:bidi w:val="0"/>
                    <w:adjustRightInd/>
                    <w:snapToGrid/>
                    <w:jc w:val="center"/>
                    <w:textAlignment w:val="auto"/>
                  </w:pPr>
                </w:p>
              </w:tc>
              <w:tc>
                <w:tcPr>
                  <w:tcW w:w="679" w:type="pct"/>
                  <w:noWrap w:val="0"/>
                  <w:vAlign w:val="center"/>
                </w:tcPr>
                <w:p w14:paraId="06C322EB">
                  <w:pPr>
                    <w:keepNext w:val="0"/>
                    <w:keepLines w:val="0"/>
                    <w:pageBreakBefore w:val="0"/>
                    <w:widowControl w:val="0"/>
                    <w:kinsoku/>
                    <w:wordWrap/>
                    <w:overflowPunct/>
                    <w:topLinePunct w:val="0"/>
                    <w:autoSpaceDE/>
                    <w:autoSpaceDN/>
                    <w:bidi w:val="0"/>
                    <w:adjustRightInd/>
                    <w:snapToGrid/>
                    <w:jc w:val="center"/>
                    <w:textAlignment w:val="auto"/>
                  </w:pPr>
                  <w:r>
                    <w:rPr>
                      <w:rFonts w:hint="eastAsia"/>
                      <w:color w:val="auto"/>
                      <w:sz w:val="21"/>
                      <w:szCs w:val="21"/>
                      <w:lang w:val="en-US" w:eastAsia="zh-CN"/>
                    </w:rPr>
                    <w:t>清洗废水</w:t>
                  </w:r>
                </w:p>
              </w:tc>
              <w:tc>
                <w:tcPr>
                  <w:tcW w:w="2324" w:type="pct"/>
                  <w:noWrap w:val="0"/>
                  <w:vAlign w:val="center"/>
                </w:tcPr>
                <w:p w14:paraId="6A2E90F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highlight w:val="none"/>
                      <w:lang w:val="en-US" w:eastAsia="zh-CN"/>
                    </w:rPr>
                    <w:t>0.2t/d</w:t>
                  </w:r>
                </w:p>
              </w:tc>
              <w:tc>
                <w:tcPr>
                  <w:tcW w:w="1109" w:type="pct"/>
                  <w:noWrap w:val="0"/>
                  <w:vAlign w:val="center"/>
                </w:tcPr>
                <w:p w14:paraId="6B38FE3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sz w:val="21"/>
                      <w:szCs w:val="21"/>
                      <w:lang w:val="en-US" w:eastAsia="zh-CN"/>
                    </w:rPr>
                  </w:pPr>
                  <w:r>
                    <w:rPr>
                      <w:rFonts w:hint="eastAsia"/>
                      <w:color w:val="auto"/>
                      <w:sz w:val="21"/>
                      <w:szCs w:val="21"/>
                      <w:lang w:val="en-US" w:eastAsia="zh-CN"/>
                    </w:rPr>
                    <w:t>进入低温真空蒸发器处理后回用，不排放</w:t>
                  </w:r>
                </w:p>
              </w:tc>
            </w:tr>
            <w:tr w14:paraId="683E73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3D47782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1135" w:type="pct"/>
                  <w:gridSpan w:val="2"/>
                  <w:noWrap w:val="0"/>
                  <w:vAlign w:val="center"/>
                </w:tcPr>
                <w:p w14:paraId="2B1E053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噪声处理</w:t>
                  </w:r>
                </w:p>
              </w:tc>
              <w:tc>
                <w:tcPr>
                  <w:tcW w:w="2324" w:type="pct"/>
                  <w:noWrap w:val="0"/>
                  <w:vAlign w:val="center"/>
                </w:tcPr>
                <w:p w14:paraId="0DDB96C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厂房隔声、基座减振</w:t>
                  </w:r>
                </w:p>
              </w:tc>
              <w:tc>
                <w:tcPr>
                  <w:tcW w:w="1109" w:type="pct"/>
                  <w:noWrap w:val="0"/>
                  <w:vAlign w:val="center"/>
                </w:tcPr>
                <w:p w14:paraId="63ED756D">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w:t>
                  </w:r>
                </w:p>
              </w:tc>
            </w:tr>
            <w:tr w14:paraId="07757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5EE3C509">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455" w:type="pct"/>
                  <w:vMerge w:val="restart"/>
                  <w:noWrap w:val="0"/>
                  <w:vAlign w:val="center"/>
                </w:tcPr>
                <w:p w14:paraId="08D4BFC0">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固废</w:t>
                  </w:r>
                </w:p>
                <w:p w14:paraId="7956D1CE">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r>
                    <w:rPr>
                      <w:rFonts w:hint="eastAsia"/>
                      <w:color w:val="auto"/>
                      <w:sz w:val="21"/>
                      <w:szCs w:val="21"/>
                    </w:rPr>
                    <w:t>处理</w:t>
                  </w:r>
                </w:p>
              </w:tc>
              <w:tc>
                <w:tcPr>
                  <w:tcW w:w="679" w:type="pct"/>
                  <w:noWrap w:val="0"/>
                  <w:vAlign w:val="center"/>
                </w:tcPr>
                <w:p w14:paraId="43EBA6D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一般固废暂存处</w:t>
                  </w:r>
                </w:p>
              </w:tc>
              <w:tc>
                <w:tcPr>
                  <w:tcW w:w="2324" w:type="pct"/>
                  <w:noWrap w:val="0"/>
                  <w:vAlign w:val="center"/>
                </w:tcPr>
                <w:p w14:paraId="7DEA996A">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yellow"/>
                    </w:rPr>
                  </w:pPr>
                  <w:r>
                    <w:rPr>
                      <w:rFonts w:hint="eastAsia"/>
                      <w:color w:val="auto"/>
                      <w:sz w:val="21"/>
                      <w:szCs w:val="21"/>
                      <w:highlight w:val="none"/>
                      <w:lang w:val="en-US" w:eastAsia="zh-CN"/>
                    </w:rPr>
                    <w:t>15</w:t>
                  </w:r>
                  <w:r>
                    <w:rPr>
                      <w:rFonts w:hint="eastAsia"/>
                      <w:color w:val="auto"/>
                      <w:sz w:val="21"/>
                      <w:szCs w:val="21"/>
                      <w:highlight w:val="none"/>
                    </w:rPr>
                    <w:t>m</w:t>
                  </w:r>
                  <w:r>
                    <w:rPr>
                      <w:rFonts w:hint="eastAsia"/>
                      <w:color w:val="auto"/>
                      <w:sz w:val="21"/>
                      <w:szCs w:val="21"/>
                      <w:highlight w:val="none"/>
                      <w:vertAlign w:val="superscript"/>
                    </w:rPr>
                    <w:t>2</w:t>
                  </w:r>
                </w:p>
              </w:tc>
              <w:tc>
                <w:tcPr>
                  <w:tcW w:w="1109" w:type="pct"/>
                  <w:noWrap w:val="0"/>
                  <w:vAlign w:val="center"/>
                </w:tcPr>
                <w:p w14:paraId="4FC56B9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sz w:val="21"/>
                      <w:szCs w:val="21"/>
                      <w:lang w:val="en-US" w:eastAsia="zh-CN"/>
                    </w:rPr>
                  </w:pPr>
                  <w:r>
                    <w:rPr>
                      <w:rFonts w:hint="eastAsia"/>
                      <w:color w:val="auto"/>
                      <w:sz w:val="21"/>
                      <w:szCs w:val="21"/>
                      <w:lang w:val="en-US" w:eastAsia="zh-CN"/>
                    </w:rPr>
                    <w:t>/</w:t>
                  </w:r>
                </w:p>
              </w:tc>
            </w:tr>
            <w:tr w14:paraId="6CE43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1" w:type="pct"/>
                  <w:vMerge w:val="continue"/>
                  <w:noWrap w:val="0"/>
                  <w:vAlign w:val="center"/>
                </w:tcPr>
                <w:p w14:paraId="79CD64D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455" w:type="pct"/>
                  <w:vMerge w:val="continue"/>
                  <w:noWrap w:val="0"/>
                  <w:vAlign w:val="center"/>
                </w:tcPr>
                <w:p w14:paraId="39410F58">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rPr>
                  </w:pPr>
                </w:p>
              </w:tc>
              <w:tc>
                <w:tcPr>
                  <w:tcW w:w="679" w:type="pct"/>
                  <w:noWrap w:val="0"/>
                  <w:vAlign w:val="center"/>
                </w:tcPr>
                <w:p w14:paraId="2A5A1B65">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危废仓库</w:t>
                  </w:r>
                </w:p>
              </w:tc>
              <w:tc>
                <w:tcPr>
                  <w:tcW w:w="2324" w:type="pct"/>
                  <w:noWrap w:val="0"/>
                  <w:vAlign w:val="center"/>
                </w:tcPr>
                <w:p w14:paraId="79BCC5B2">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10</w:t>
                  </w:r>
                  <w:r>
                    <w:rPr>
                      <w:rFonts w:hint="eastAsia"/>
                      <w:color w:val="auto"/>
                      <w:sz w:val="21"/>
                      <w:szCs w:val="21"/>
                      <w:highlight w:val="none"/>
                    </w:rPr>
                    <w:t>m</w:t>
                  </w:r>
                  <w:r>
                    <w:rPr>
                      <w:rFonts w:hint="eastAsia"/>
                      <w:color w:val="auto"/>
                      <w:sz w:val="21"/>
                      <w:szCs w:val="21"/>
                      <w:highlight w:val="none"/>
                      <w:vertAlign w:val="superscript"/>
                    </w:rPr>
                    <w:t>2</w:t>
                  </w:r>
                </w:p>
              </w:tc>
              <w:tc>
                <w:tcPr>
                  <w:tcW w:w="1109" w:type="pct"/>
                  <w:noWrap w:val="0"/>
                  <w:vAlign w:val="center"/>
                </w:tcPr>
                <w:p w14:paraId="1D6FF21B">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w:t>
                  </w:r>
                </w:p>
              </w:tc>
            </w:tr>
            <w:tr w14:paraId="0AD0D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6" w:type="pct"/>
                  <w:gridSpan w:val="2"/>
                  <w:noWrap w:val="0"/>
                  <w:vAlign w:val="center"/>
                </w:tcPr>
                <w:p w14:paraId="5DB41A3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依托工程</w:t>
                  </w:r>
                </w:p>
              </w:tc>
              <w:tc>
                <w:tcPr>
                  <w:tcW w:w="4113" w:type="pct"/>
                  <w:gridSpan w:val="3"/>
                  <w:noWrap w:val="0"/>
                  <w:vAlign w:val="center"/>
                </w:tcPr>
                <w:p w14:paraId="60503031">
                  <w:pPr>
                    <w:keepNext w:val="0"/>
                    <w:keepLines w:val="0"/>
                    <w:pageBreakBefore w:val="0"/>
                    <w:kinsoku/>
                    <w:wordWrap/>
                    <w:overflowPunct/>
                    <w:topLinePunct w:val="0"/>
                    <w:autoSpaceDE/>
                    <w:autoSpaceDN/>
                    <w:bidi w:val="0"/>
                    <w:adjustRightInd w:val="0"/>
                    <w:snapToGrid w:val="0"/>
                    <w:spacing w:line="240" w:lineRule="auto"/>
                    <w:ind w:right="0" w:right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厂区内已实施雨污分流，依托现有管网、雨水排放口、污水排放口，不新设排污口；厂区内供电线路已完善，依托厂区现有供电线路；厂区内已进行绿化，不新增绿化面积、依托厂区现有。</w:t>
                  </w:r>
                </w:p>
              </w:tc>
            </w:tr>
          </w:tbl>
          <w:p w14:paraId="312F98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rPr>
            </w:pPr>
            <w:r>
              <w:rPr>
                <w:rFonts w:hint="eastAsia"/>
                <w:b/>
                <w:bCs/>
                <w:color w:val="auto"/>
                <w:sz w:val="24"/>
              </w:rPr>
              <w:t>4</w:t>
            </w:r>
            <w:r>
              <w:rPr>
                <w:rFonts w:hint="eastAsia"/>
                <w:b/>
                <w:bCs/>
                <w:color w:val="auto"/>
                <w:sz w:val="24"/>
                <w:lang w:eastAsia="zh-CN"/>
              </w:rPr>
              <w:t>、</w:t>
            </w:r>
            <w:r>
              <w:rPr>
                <w:rFonts w:hint="eastAsia"/>
                <w:b/>
                <w:bCs/>
                <w:color w:val="auto"/>
                <w:sz w:val="24"/>
              </w:rPr>
              <w:t>主要生产设备</w:t>
            </w:r>
          </w:p>
          <w:p w14:paraId="70DE0FB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kern w:val="0"/>
                <w:sz w:val="24"/>
                <w:highlight w:val="none"/>
              </w:rPr>
            </w:pPr>
            <w:r>
              <w:rPr>
                <w:rFonts w:hint="eastAsia"/>
                <w:color w:val="000000"/>
                <w:sz w:val="24"/>
                <w:highlight w:val="none"/>
              </w:rPr>
              <w:t>项目主要设备情况</w:t>
            </w:r>
            <w:r>
              <w:rPr>
                <w:rFonts w:hint="eastAsia"/>
                <w:color w:val="000000"/>
                <w:kern w:val="0"/>
                <w:sz w:val="24"/>
                <w:highlight w:val="none"/>
              </w:rPr>
              <w:t>见表2</w:t>
            </w:r>
            <w:r>
              <w:rPr>
                <w:color w:val="000000"/>
                <w:kern w:val="0"/>
                <w:sz w:val="24"/>
                <w:highlight w:val="none"/>
              </w:rPr>
              <w:t>-</w:t>
            </w:r>
            <w:r>
              <w:rPr>
                <w:rFonts w:hint="eastAsia"/>
                <w:color w:val="000000"/>
                <w:kern w:val="0"/>
                <w:sz w:val="24"/>
                <w:highlight w:val="none"/>
                <w:lang w:val="en-US" w:eastAsia="zh-CN"/>
              </w:rPr>
              <w:t>5</w:t>
            </w:r>
            <w:r>
              <w:rPr>
                <w:rFonts w:hint="eastAsia"/>
                <w:color w:val="000000"/>
                <w:kern w:val="0"/>
                <w:sz w:val="24"/>
                <w:highlight w:val="none"/>
              </w:rPr>
              <w:t>。</w:t>
            </w:r>
          </w:p>
          <w:p w14:paraId="05E4E037">
            <w:pPr>
              <w:adjustRightInd w:val="0"/>
              <w:snapToGrid w:val="0"/>
              <w:jc w:val="center"/>
              <w:rPr>
                <w:rFonts w:hint="eastAsia"/>
                <w:b/>
                <w:color w:val="auto"/>
                <w:kern w:val="0"/>
                <w:szCs w:val="21"/>
              </w:rPr>
            </w:pPr>
            <w:r>
              <w:rPr>
                <w:b/>
                <w:color w:val="auto"/>
                <w:kern w:val="0"/>
                <w:szCs w:val="21"/>
              </w:rPr>
              <w:t>表</w:t>
            </w:r>
            <w:r>
              <w:rPr>
                <w:rFonts w:hint="eastAsia"/>
                <w:b/>
                <w:color w:val="auto"/>
                <w:kern w:val="0"/>
                <w:szCs w:val="21"/>
              </w:rPr>
              <w:t>2-</w:t>
            </w:r>
            <w:r>
              <w:rPr>
                <w:rFonts w:hint="eastAsia"/>
                <w:b/>
                <w:color w:val="auto"/>
                <w:kern w:val="0"/>
                <w:szCs w:val="21"/>
                <w:lang w:val="en-US" w:eastAsia="zh-CN"/>
              </w:rPr>
              <w:t>5</w:t>
            </w:r>
            <w:r>
              <w:rPr>
                <w:rFonts w:hint="eastAsia"/>
                <w:b/>
                <w:color w:val="auto"/>
                <w:kern w:val="0"/>
                <w:szCs w:val="21"/>
              </w:rPr>
              <w:t xml:space="preserve">  项目设备情况</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81"/>
              <w:gridCol w:w="2517"/>
              <w:gridCol w:w="1510"/>
              <w:gridCol w:w="1161"/>
            </w:tblGrid>
            <w:tr w14:paraId="7BEC34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3" w:type="pct"/>
                  <w:tcBorders>
                    <w:tl2br w:val="nil"/>
                    <w:tr2bl w:val="nil"/>
                  </w:tcBorders>
                  <w:noWrap w:val="0"/>
                  <w:vAlign w:val="center"/>
                </w:tcPr>
                <w:p w14:paraId="7E94F878">
                  <w:pPr>
                    <w:adjustRightInd w:val="0"/>
                    <w:snapToGrid w:val="0"/>
                    <w:spacing w:before="62" w:beforeLines="20" w:after="62" w:afterLines="2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序号</w:t>
                  </w:r>
                </w:p>
              </w:tc>
              <w:tc>
                <w:tcPr>
                  <w:tcW w:w="1264" w:type="pct"/>
                  <w:tcBorders>
                    <w:tl2br w:val="nil"/>
                    <w:tr2bl w:val="nil"/>
                  </w:tcBorders>
                  <w:noWrap w:val="0"/>
                  <w:vAlign w:val="center"/>
                </w:tcPr>
                <w:p w14:paraId="2D78BE0F">
                  <w:pPr>
                    <w:adjustRightInd w:val="0"/>
                    <w:snapToGrid w:val="0"/>
                    <w:spacing w:before="62" w:beforeLines="20" w:after="62" w:afterLines="2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设备名称</w:t>
                  </w:r>
                </w:p>
              </w:tc>
              <w:tc>
                <w:tcPr>
                  <w:tcW w:w="1529" w:type="pct"/>
                  <w:tcBorders>
                    <w:tl2br w:val="nil"/>
                    <w:tr2bl w:val="nil"/>
                  </w:tcBorders>
                  <w:noWrap w:val="0"/>
                  <w:vAlign w:val="center"/>
                </w:tcPr>
                <w:p w14:paraId="4E623F3D">
                  <w:pPr>
                    <w:adjustRightInd w:val="0"/>
                    <w:snapToGrid w:val="0"/>
                    <w:spacing w:before="62" w:beforeLines="20" w:after="62" w:afterLines="2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规格型号</w:t>
                  </w:r>
                </w:p>
              </w:tc>
              <w:tc>
                <w:tcPr>
                  <w:tcW w:w="917" w:type="pct"/>
                  <w:tcBorders>
                    <w:tl2br w:val="nil"/>
                    <w:tr2bl w:val="nil"/>
                  </w:tcBorders>
                  <w:noWrap w:val="0"/>
                  <w:vAlign w:val="center"/>
                </w:tcPr>
                <w:p w14:paraId="5397BCE7">
                  <w:pPr>
                    <w:adjustRightInd w:val="0"/>
                    <w:snapToGrid w:val="0"/>
                    <w:spacing w:before="62" w:beforeLines="20" w:after="62" w:afterLines="2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数量</w:t>
                  </w:r>
                </w:p>
              </w:tc>
              <w:tc>
                <w:tcPr>
                  <w:tcW w:w="705" w:type="pct"/>
                  <w:tcBorders>
                    <w:tl2br w:val="nil"/>
                    <w:tr2bl w:val="nil"/>
                  </w:tcBorders>
                  <w:noWrap w:val="0"/>
                  <w:vAlign w:val="center"/>
                </w:tcPr>
                <w:p w14:paraId="4C94DC9E">
                  <w:pPr>
                    <w:adjustRightInd w:val="0"/>
                    <w:snapToGrid w:val="0"/>
                    <w:spacing w:before="62" w:beforeLines="20" w:after="62" w:afterLines="2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备注</w:t>
                  </w:r>
                </w:p>
              </w:tc>
            </w:tr>
            <w:tr w14:paraId="46EDC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1ADED99F">
                  <w:pPr>
                    <w:adjustRightInd w:val="0"/>
                    <w:snapToGrid w:val="0"/>
                    <w:spacing w:before="62" w:beforeLines="20" w:after="62" w:afterLines="2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264" w:type="pct"/>
                  <w:tcBorders>
                    <w:tl2br w:val="nil"/>
                    <w:tr2bl w:val="nil"/>
                  </w:tcBorders>
                  <w:noWrap w:val="0"/>
                  <w:vAlign w:val="center"/>
                </w:tcPr>
                <w:p w14:paraId="10225A18">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磨抛机</w:t>
                  </w:r>
                </w:p>
              </w:tc>
              <w:tc>
                <w:tcPr>
                  <w:tcW w:w="1529" w:type="pct"/>
                  <w:tcBorders>
                    <w:tl2br w:val="nil"/>
                    <w:tr2bl w:val="nil"/>
                  </w:tcBorders>
                  <w:noWrap w:val="0"/>
                  <w:vAlign w:val="center"/>
                </w:tcPr>
                <w:p w14:paraId="2479CC2A">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 xml:space="preserve">YMPZ-1-300 </w:t>
                  </w:r>
                </w:p>
              </w:tc>
              <w:tc>
                <w:tcPr>
                  <w:tcW w:w="917" w:type="pct"/>
                  <w:tcBorders>
                    <w:tl2br w:val="nil"/>
                    <w:tr2bl w:val="nil"/>
                  </w:tcBorders>
                  <w:noWrap w:val="0"/>
                  <w:vAlign w:val="center"/>
                </w:tcPr>
                <w:p w14:paraId="23F70721">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20</w:t>
                  </w:r>
                </w:p>
              </w:tc>
              <w:tc>
                <w:tcPr>
                  <w:tcW w:w="705" w:type="pct"/>
                  <w:tcBorders>
                    <w:tl2br w:val="nil"/>
                    <w:tr2bl w:val="nil"/>
                  </w:tcBorders>
                  <w:noWrap w:val="0"/>
                  <w:vAlign w:val="center"/>
                </w:tcPr>
                <w:p w14:paraId="6D7AEBBE">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56A8F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159F255E">
                  <w:pPr>
                    <w:adjustRightInd w:val="0"/>
                    <w:snapToGrid w:val="0"/>
                    <w:spacing w:before="62" w:beforeLines="20" w:after="62" w:afterLines="2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264" w:type="pct"/>
                  <w:tcBorders>
                    <w:tl2br w:val="nil"/>
                    <w:tr2bl w:val="nil"/>
                  </w:tcBorders>
                  <w:noWrap w:val="0"/>
                  <w:vAlign w:val="center"/>
                </w:tcPr>
                <w:p w14:paraId="48D22E9F">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平柄制柄机</w:t>
                  </w:r>
                </w:p>
              </w:tc>
              <w:tc>
                <w:tcPr>
                  <w:tcW w:w="1529" w:type="pct"/>
                  <w:tcBorders>
                    <w:tl2br w:val="nil"/>
                    <w:tr2bl w:val="nil"/>
                  </w:tcBorders>
                  <w:noWrap w:val="0"/>
                  <w:vAlign w:val="center"/>
                </w:tcPr>
                <w:p w14:paraId="41412F11">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w:t>
                  </w:r>
                </w:p>
              </w:tc>
              <w:tc>
                <w:tcPr>
                  <w:tcW w:w="917" w:type="pct"/>
                  <w:tcBorders>
                    <w:tl2br w:val="nil"/>
                    <w:tr2bl w:val="nil"/>
                  </w:tcBorders>
                  <w:noWrap w:val="0"/>
                  <w:vAlign w:val="center"/>
                </w:tcPr>
                <w:p w14:paraId="26126805">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100</w:t>
                  </w:r>
                </w:p>
              </w:tc>
              <w:tc>
                <w:tcPr>
                  <w:tcW w:w="705" w:type="pct"/>
                  <w:tcBorders>
                    <w:tl2br w:val="nil"/>
                    <w:tr2bl w:val="nil"/>
                  </w:tcBorders>
                  <w:noWrap w:val="0"/>
                  <w:vAlign w:val="center"/>
                </w:tcPr>
                <w:p w14:paraId="132DD50C">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14:paraId="6C615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4F57A031">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3</w:t>
                  </w:r>
                </w:p>
              </w:tc>
              <w:tc>
                <w:tcPr>
                  <w:tcW w:w="1264" w:type="pct"/>
                  <w:tcBorders>
                    <w:tl2br w:val="nil"/>
                    <w:tr2bl w:val="nil"/>
                  </w:tcBorders>
                  <w:noWrap w:val="0"/>
                  <w:vAlign w:val="center"/>
                </w:tcPr>
                <w:p w14:paraId="18F81E5A">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环柄、花柄制柄机</w:t>
                  </w:r>
                </w:p>
              </w:tc>
              <w:tc>
                <w:tcPr>
                  <w:tcW w:w="1529" w:type="pct"/>
                  <w:tcBorders>
                    <w:tl2br w:val="nil"/>
                    <w:tr2bl w:val="nil"/>
                  </w:tcBorders>
                  <w:noWrap w:val="0"/>
                  <w:vAlign w:val="center"/>
                </w:tcPr>
                <w:p w14:paraId="684494E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w:t>
                  </w:r>
                </w:p>
              </w:tc>
              <w:tc>
                <w:tcPr>
                  <w:tcW w:w="917" w:type="pct"/>
                  <w:tcBorders>
                    <w:tl2br w:val="nil"/>
                    <w:tr2bl w:val="nil"/>
                  </w:tcBorders>
                  <w:noWrap w:val="0"/>
                  <w:vAlign w:val="center"/>
                </w:tcPr>
                <w:p w14:paraId="728EF483">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100</w:t>
                  </w:r>
                </w:p>
              </w:tc>
              <w:tc>
                <w:tcPr>
                  <w:tcW w:w="705" w:type="pct"/>
                  <w:tcBorders>
                    <w:tl2br w:val="nil"/>
                    <w:tr2bl w:val="nil"/>
                  </w:tcBorders>
                  <w:noWrap w:val="0"/>
                  <w:vAlign w:val="center"/>
                </w:tcPr>
                <w:p w14:paraId="4DB7C029">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2D5CF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583" w:type="pct"/>
                  <w:tcBorders>
                    <w:tl2br w:val="nil"/>
                    <w:tr2bl w:val="nil"/>
                  </w:tcBorders>
                  <w:noWrap w:val="0"/>
                  <w:vAlign w:val="center"/>
                </w:tcPr>
                <w:p w14:paraId="5C1AF30E">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4</w:t>
                  </w:r>
                </w:p>
              </w:tc>
              <w:tc>
                <w:tcPr>
                  <w:tcW w:w="1264" w:type="pct"/>
                  <w:tcBorders>
                    <w:tl2br w:val="nil"/>
                    <w:tr2bl w:val="nil"/>
                  </w:tcBorders>
                  <w:noWrap w:val="0"/>
                  <w:vAlign w:val="center"/>
                </w:tcPr>
                <w:p w14:paraId="3441E8C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塑柄制柄机</w:t>
                  </w:r>
                </w:p>
              </w:tc>
              <w:tc>
                <w:tcPr>
                  <w:tcW w:w="1529" w:type="pct"/>
                  <w:tcBorders>
                    <w:tl2br w:val="nil"/>
                    <w:tr2bl w:val="nil"/>
                  </w:tcBorders>
                  <w:noWrap w:val="0"/>
                  <w:vAlign w:val="center"/>
                </w:tcPr>
                <w:p w14:paraId="11DFCF69">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w:t>
                  </w:r>
                </w:p>
              </w:tc>
              <w:tc>
                <w:tcPr>
                  <w:tcW w:w="917" w:type="pct"/>
                  <w:tcBorders>
                    <w:tl2br w:val="nil"/>
                    <w:tr2bl w:val="nil"/>
                  </w:tcBorders>
                  <w:noWrap w:val="0"/>
                  <w:vAlign w:val="center"/>
                </w:tcPr>
                <w:p w14:paraId="4CB158B9">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15</w:t>
                  </w:r>
                </w:p>
              </w:tc>
              <w:tc>
                <w:tcPr>
                  <w:tcW w:w="705" w:type="pct"/>
                  <w:tcBorders>
                    <w:tl2br w:val="nil"/>
                    <w:tr2bl w:val="nil"/>
                  </w:tcBorders>
                  <w:noWrap w:val="0"/>
                  <w:vAlign w:val="center"/>
                </w:tcPr>
                <w:p w14:paraId="2E5DC713">
                  <w:pPr>
                    <w:adjustRightInd w:val="0"/>
                    <w:snapToGrid w:val="0"/>
                    <w:spacing w:before="62" w:beforeLines="20" w:after="62" w:afterLines="20"/>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05597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583" w:type="pct"/>
                  <w:tcBorders>
                    <w:tl2br w:val="nil"/>
                    <w:tr2bl w:val="nil"/>
                  </w:tcBorders>
                  <w:noWrap w:val="0"/>
                  <w:vAlign w:val="center"/>
                </w:tcPr>
                <w:p w14:paraId="0535BC72">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5</w:t>
                  </w:r>
                </w:p>
              </w:tc>
              <w:tc>
                <w:tcPr>
                  <w:tcW w:w="1264" w:type="pct"/>
                  <w:tcBorders>
                    <w:tl2br w:val="nil"/>
                    <w:tr2bl w:val="nil"/>
                  </w:tcBorders>
                  <w:noWrap w:val="0"/>
                  <w:vAlign w:val="center"/>
                </w:tcPr>
                <w:p w14:paraId="50008095">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金属柄制柄机</w:t>
                  </w:r>
                </w:p>
              </w:tc>
              <w:tc>
                <w:tcPr>
                  <w:tcW w:w="1529" w:type="pct"/>
                  <w:tcBorders>
                    <w:tl2br w:val="nil"/>
                    <w:tr2bl w:val="nil"/>
                  </w:tcBorders>
                  <w:noWrap w:val="0"/>
                  <w:vAlign w:val="center"/>
                </w:tcPr>
                <w:p w14:paraId="355BD506">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 xml:space="preserve">TGJ-JD-5R </w:t>
                  </w:r>
                </w:p>
              </w:tc>
              <w:tc>
                <w:tcPr>
                  <w:tcW w:w="917" w:type="pct"/>
                  <w:tcBorders>
                    <w:tl2br w:val="nil"/>
                    <w:tr2bl w:val="nil"/>
                  </w:tcBorders>
                  <w:noWrap w:val="0"/>
                  <w:vAlign w:val="center"/>
                </w:tcPr>
                <w:p w14:paraId="2670DB18">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10</w:t>
                  </w:r>
                </w:p>
              </w:tc>
              <w:tc>
                <w:tcPr>
                  <w:tcW w:w="705" w:type="pct"/>
                  <w:tcBorders>
                    <w:tl2br w:val="nil"/>
                    <w:tr2bl w:val="nil"/>
                  </w:tcBorders>
                  <w:noWrap w:val="0"/>
                  <w:vAlign w:val="center"/>
                </w:tcPr>
                <w:p w14:paraId="32450BDB">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27291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4947845D">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6</w:t>
                  </w:r>
                </w:p>
              </w:tc>
              <w:tc>
                <w:tcPr>
                  <w:tcW w:w="1264" w:type="pct"/>
                  <w:tcBorders>
                    <w:tl2br w:val="nil"/>
                    <w:tr2bl w:val="nil"/>
                  </w:tcBorders>
                  <w:noWrap w:val="0"/>
                  <w:vAlign w:val="center"/>
                </w:tcPr>
                <w:p w14:paraId="06D71112">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平柄针、金属柄针洁净设备</w:t>
                  </w:r>
                </w:p>
              </w:tc>
              <w:tc>
                <w:tcPr>
                  <w:tcW w:w="1529" w:type="pct"/>
                  <w:tcBorders>
                    <w:tl2br w:val="nil"/>
                    <w:tr2bl w:val="nil"/>
                  </w:tcBorders>
                  <w:noWrap w:val="0"/>
                  <w:vAlign w:val="center"/>
                </w:tcPr>
                <w:p w14:paraId="23B3720A">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KT-S600DHT型</w:t>
                  </w:r>
                </w:p>
              </w:tc>
              <w:tc>
                <w:tcPr>
                  <w:tcW w:w="917" w:type="pct"/>
                  <w:tcBorders>
                    <w:tl2br w:val="nil"/>
                    <w:tr2bl w:val="nil"/>
                  </w:tcBorders>
                  <w:noWrap w:val="0"/>
                  <w:vAlign w:val="center"/>
                </w:tcPr>
                <w:p w14:paraId="4628F11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5</w:t>
                  </w:r>
                </w:p>
              </w:tc>
              <w:tc>
                <w:tcPr>
                  <w:tcW w:w="705" w:type="pct"/>
                  <w:tcBorders>
                    <w:tl2br w:val="nil"/>
                    <w:tr2bl w:val="nil"/>
                  </w:tcBorders>
                  <w:noWrap w:val="0"/>
                  <w:vAlign w:val="center"/>
                </w:tcPr>
                <w:p w14:paraId="3BE76E5A">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272C4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3B4879D3">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7</w:t>
                  </w:r>
                </w:p>
              </w:tc>
              <w:tc>
                <w:tcPr>
                  <w:tcW w:w="1264" w:type="pct"/>
                  <w:tcBorders>
                    <w:tl2br w:val="nil"/>
                    <w:tr2bl w:val="nil"/>
                  </w:tcBorders>
                  <w:noWrap w:val="0"/>
                  <w:vAlign w:val="center"/>
                </w:tcPr>
                <w:p w14:paraId="251E23DB">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插管机</w:t>
                  </w:r>
                </w:p>
              </w:tc>
              <w:tc>
                <w:tcPr>
                  <w:tcW w:w="1529" w:type="pct"/>
                  <w:tcBorders>
                    <w:tl2br w:val="nil"/>
                    <w:tr2bl w:val="nil"/>
                  </w:tcBorders>
                  <w:noWrap w:val="0"/>
                  <w:vAlign w:val="center"/>
                </w:tcPr>
                <w:p w14:paraId="3F08B59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IS-24000型</w:t>
                  </w:r>
                </w:p>
              </w:tc>
              <w:tc>
                <w:tcPr>
                  <w:tcW w:w="917" w:type="pct"/>
                  <w:tcBorders>
                    <w:tl2br w:val="nil"/>
                    <w:tr2bl w:val="nil"/>
                  </w:tcBorders>
                  <w:noWrap w:val="0"/>
                  <w:vAlign w:val="center"/>
                </w:tcPr>
                <w:p w14:paraId="454DE0E1">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30</w:t>
                  </w:r>
                </w:p>
              </w:tc>
              <w:tc>
                <w:tcPr>
                  <w:tcW w:w="705" w:type="pct"/>
                  <w:tcBorders>
                    <w:tl2br w:val="nil"/>
                    <w:tr2bl w:val="nil"/>
                  </w:tcBorders>
                  <w:noWrap w:val="0"/>
                  <w:vAlign w:val="center"/>
                </w:tcPr>
                <w:p w14:paraId="42D390A8">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76ABF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764E72F8">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8</w:t>
                  </w:r>
                </w:p>
              </w:tc>
              <w:tc>
                <w:tcPr>
                  <w:tcW w:w="1264" w:type="pct"/>
                  <w:tcBorders>
                    <w:tl2br w:val="nil"/>
                    <w:tr2bl w:val="nil"/>
                  </w:tcBorders>
                  <w:noWrap w:val="0"/>
                  <w:vAlign w:val="center"/>
                </w:tcPr>
                <w:p w14:paraId="0D62F367">
                  <w:pPr>
                    <w:keepNext w:val="0"/>
                    <w:keepLines w:val="0"/>
                    <w:widowControl/>
                    <w:suppressLineNumbers w:val="0"/>
                    <w:jc w:val="center"/>
                    <w:textAlignment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封装机</w:t>
                  </w:r>
                </w:p>
              </w:tc>
              <w:tc>
                <w:tcPr>
                  <w:tcW w:w="1529" w:type="pct"/>
                  <w:tcBorders>
                    <w:tl2br w:val="nil"/>
                    <w:tr2bl w:val="nil"/>
                  </w:tcBorders>
                  <w:noWrap w:val="0"/>
                  <w:vAlign w:val="center"/>
                </w:tcPr>
                <w:p w14:paraId="5DBC38F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SC-901(M)-I</w:t>
                  </w:r>
                </w:p>
              </w:tc>
              <w:tc>
                <w:tcPr>
                  <w:tcW w:w="917" w:type="pct"/>
                  <w:tcBorders>
                    <w:tl2br w:val="nil"/>
                    <w:tr2bl w:val="nil"/>
                  </w:tcBorders>
                  <w:noWrap w:val="0"/>
                  <w:vAlign w:val="center"/>
                </w:tcPr>
                <w:p w14:paraId="22627900">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40</w:t>
                  </w:r>
                </w:p>
              </w:tc>
              <w:tc>
                <w:tcPr>
                  <w:tcW w:w="705" w:type="pct"/>
                  <w:tcBorders>
                    <w:tl2br w:val="nil"/>
                    <w:tr2bl w:val="nil"/>
                  </w:tcBorders>
                  <w:noWrap w:val="0"/>
                  <w:vAlign w:val="center"/>
                </w:tcPr>
                <w:p w14:paraId="664E5761">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3970E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6FB00E1B">
                  <w:pPr>
                    <w:adjustRightInd w:val="0"/>
                    <w:snapToGrid w:val="0"/>
                    <w:spacing w:before="62" w:beforeLines="20" w:after="62" w:afterLines="20"/>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val="en-US" w:eastAsia="zh-CN"/>
                    </w:rPr>
                    <w:t>9</w:t>
                  </w:r>
                </w:p>
              </w:tc>
              <w:tc>
                <w:tcPr>
                  <w:tcW w:w="1264" w:type="pct"/>
                  <w:tcBorders>
                    <w:tl2br w:val="nil"/>
                    <w:tr2bl w:val="nil"/>
                  </w:tcBorders>
                  <w:noWrap w:val="0"/>
                  <w:vAlign w:val="center"/>
                </w:tcPr>
                <w:p w14:paraId="4CEEC93E">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灭菌柜</w:t>
                  </w:r>
                </w:p>
              </w:tc>
              <w:tc>
                <w:tcPr>
                  <w:tcW w:w="1529" w:type="pct"/>
                  <w:tcBorders>
                    <w:tl2br w:val="nil"/>
                    <w:tr2bl w:val="nil"/>
                  </w:tcBorders>
                  <w:noWrap w:val="0"/>
                  <w:vAlign w:val="center"/>
                </w:tcPr>
                <w:p w14:paraId="2D8CD06F">
                  <w:pPr>
                    <w:keepNext w:val="0"/>
                    <w:keepLines w:val="0"/>
                    <w:widowControl/>
                    <w:suppressLineNumbers w:val="0"/>
                    <w:jc w:val="center"/>
                    <w:textAlignment w:val="center"/>
                    <w:rPr>
                      <w:rFonts w:hint="default"/>
                      <w:lang w:val="en-US" w:eastAsia="zh-CN"/>
                    </w:rPr>
                  </w:pPr>
                  <w:r>
                    <w:rPr>
                      <w:rFonts w:hint="default"/>
                      <w:lang w:val="en-US" w:eastAsia="zh-CN"/>
                    </w:rPr>
                    <w:t>YXQ-WY21</w:t>
                  </w:r>
                </w:p>
              </w:tc>
              <w:tc>
                <w:tcPr>
                  <w:tcW w:w="917" w:type="pct"/>
                  <w:tcBorders>
                    <w:tl2br w:val="nil"/>
                    <w:tr2bl w:val="nil"/>
                  </w:tcBorders>
                  <w:noWrap w:val="0"/>
                  <w:vAlign w:val="center"/>
                </w:tcPr>
                <w:p w14:paraId="7CAC52F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1</w:t>
                  </w:r>
                </w:p>
              </w:tc>
              <w:tc>
                <w:tcPr>
                  <w:tcW w:w="705" w:type="pct"/>
                  <w:tcBorders>
                    <w:tl2br w:val="nil"/>
                    <w:tr2bl w:val="nil"/>
                  </w:tcBorders>
                  <w:noWrap w:val="0"/>
                  <w:vAlign w:val="center"/>
                </w:tcPr>
                <w:p w14:paraId="6D46FC8E">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r w14:paraId="17BC2F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83" w:type="pct"/>
                  <w:tcBorders>
                    <w:tl2br w:val="nil"/>
                    <w:tr2bl w:val="nil"/>
                  </w:tcBorders>
                  <w:noWrap w:val="0"/>
                  <w:vAlign w:val="center"/>
                </w:tcPr>
                <w:p w14:paraId="7B22B6E9">
                  <w:pPr>
                    <w:adjustRightInd w:val="0"/>
                    <w:snapToGrid w:val="0"/>
                    <w:spacing w:before="62" w:beforeLines="20" w:after="62" w:afterLines="2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10</w:t>
                  </w:r>
                </w:p>
              </w:tc>
              <w:tc>
                <w:tcPr>
                  <w:tcW w:w="1264" w:type="pct"/>
                  <w:tcBorders>
                    <w:tl2br w:val="nil"/>
                    <w:tr2bl w:val="nil"/>
                  </w:tcBorders>
                  <w:noWrap w:val="0"/>
                  <w:vAlign w:val="center"/>
                </w:tcPr>
                <w:p w14:paraId="5BA48B49">
                  <w:pPr>
                    <w:keepNext w:val="0"/>
                    <w:keepLines w:val="0"/>
                    <w:widowControl/>
                    <w:suppressLineNumbers w:val="0"/>
                    <w:jc w:val="center"/>
                    <w:textAlignment w:val="center"/>
                    <w:rPr>
                      <w:rFonts w:hint="eastAsia"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挤塑机</w:t>
                  </w:r>
                </w:p>
              </w:tc>
              <w:tc>
                <w:tcPr>
                  <w:tcW w:w="1529" w:type="pct"/>
                  <w:tcBorders>
                    <w:tl2br w:val="nil"/>
                    <w:tr2bl w:val="nil"/>
                  </w:tcBorders>
                  <w:noWrap w:val="0"/>
                  <w:vAlign w:val="center"/>
                </w:tcPr>
                <w:p w14:paraId="72E49FB5">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SCJC30</w:t>
                  </w:r>
                </w:p>
              </w:tc>
              <w:tc>
                <w:tcPr>
                  <w:tcW w:w="917" w:type="pct"/>
                  <w:tcBorders>
                    <w:tl2br w:val="nil"/>
                    <w:tr2bl w:val="nil"/>
                  </w:tcBorders>
                  <w:noWrap w:val="0"/>
                  <w:vAlign w:val="center"/>
                </w:tcPr>
                <w:p w14:paraId="2247F5E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cs="Times New Roman"/>
                      <w:color w:val="000000"/>
                      <w:kern w:val="2"/>
                      <w:sz w:val="21"/>
                      <w:szCs w:val="21"/>
                      <w:lang w:val="en-US" w:eastAsia="zh-CN" w:bidi="ar-SA"/>
                    </w:rPr>
                    <w:t>10</w:t>
                  </w:r>
                </w:p>
              </w:tc>
              <w:tc>
                <w:tcPr>
                  <w:tcW w:w="705" w:type="pct"/>
                  <w:tcBorders>
                    <w:tl2br w:val="nil"/>
                    <w:tr2bl w:val="nil"/>
                  </w:tcBorders>
                  <w:noWrap w:val="0"/>
                  <w:vAlign w:val="center"/>
                </w:tcPr>
                <w:p w14:paraId="4BA8F539">
                  <w:pPr>
                    <w:adjustRightInd w:val="0"/>
                    <w:snapToGrid w:val="0"/>
                    <w:spacing w:before="62" w:beforeLines="20" w:after="62" w:afterLines="20"/>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w:t>
                  </w:r>
                </w:p>
              </w:tc>
            </w:tr>
          </w:tbl>
          <w:p w14:paraId="184582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rPr>
            </w:pPr>
            <w:r>
              <w:rPr>
                <w:rFonts w:hint="eastAsia"/>
                <w:b/>
                <w:bCs/>
                <w:color w:val="auto"/>
                <w:sz w:val="24"/>
                <w:lang w:val="en-US" w:eastAsia="zh-CN"/>
              </w:rPr>
              <w:t>5、</w:t>
            </w:r>
            <w:r>
              <w:rPr>
                <w:rFonts w:hint="eastAsia"/>
                <w:b/>
                <w:bCs/>
                <w:color w:val="auto"/>
                <w:sz w:val="24"/>
              </w:rPr>
              <w:t>原辅材料情况</w:t>
            </w:r>
          </w:p>
          <w:p w14:paraId="0365F75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kern w:val="0"/>
                <w:sz w:val="24"/>
                <w:highlight w:val="none"/>
              </w:rPr>
            </w:pPr>
            <w:r>
              <w:rPr>
                <w:rFonts w:hint="eastAsia"/>
                <w:color w:val="000000"/>
                <w:sz w:val="24"/>
                <w:highlight w:val="none"/>
              </w:rPr>
              <w:t>项目主要原辅材料情况</w:t>
            </w:r>
            <w:r>
              <w:rPr>
                <w:rFonts w:hint="eastAsia"/>
                <w:color w:val="000000"/>
                <w:kern w:val="0"/>
                <w:sz w:val="24"/>
                <w:highlight w:val="none"/>
              </w:rPr>
              <w:t>见表2</w:t>
            </w:r>
            <w:r>
              <w:rPr>
                <w:color w:val="000000"/>
                <w:kern w:val="0"/>
                <w:sz w:val="24"/>
                <w:highlight w:val="none"/>
              </w:rPr>
              <w:t>-</w:t>
            </w:r>
            <w:r>
              <w:rPr>
                <w:rFonts w:hint="eastAsia"/>
                <w:color w:val="000000"/>
                <w:kern w:val="0"/>
                <w:sz w:val="24"/>
                <w:highlight w:val="none"/>
                <w:lang w:val="en-US" w:eastAsia="zh-CN"/>
              </w:rPr>
              <w:t>6</w:t>
            </w:r>
            <w:r>
              <w:rPr>
                <w:rFonts w:hint="eastAsia"/>
                <w:color w:val="000000"/>
                <w:kern w:val="0"/>
                <w:sz w:val="24"/>
                <w:highlight w:val="none"/>
              </w:rPr>
              <w:t>。</w:t>
            </w:r>
          </w:p>
          <w:p w14:paraId="6C21C2D9">
            <w:pPr>
              <w:adjustRightInd w:val="0"/>
              <w:snapToGrid w:val="0"/>
              <w:jc w:val="center"/>
              <w:rPr>
                <w:b/>
                <w:bCs/>
                <w:color w:val="auto"/>
                <w:szCs w:val="21"/>
                <w:highlight w:val="none"/>
              </w:rPr>
            </w:pPr>
          </w:p>
          <w:p w14:paraId="2D4FD7A4">
            <w:pPr>
              <w:adjustRightInd w:val="0"/>
              <w:snapToGrid w:val="0"/>
              <w:jc w:val="center"/>
              <w:rPr>
                <w:b/>
                <w:bCs/>
                <w:color w:val="auto"/>
                <w:szCs w:val="21"/>
                <w:highlight w:val="none"/>
              </w:rPr>
            </w:pPr>
          </w:p>
          <w:p w14:paraId="0249BD61">
            <w:pPr>
              <w:adjustRightInd w:val="0"/>
              <w:snapToGrid w:val="0"/>
              <w:jc w:val="center"/>
              <w:rPr>
                <w:b/>
                <w:bCs/>
                <w:color w:val="auto"/>
                <w:szCs w:val="21"/>
                <w:highlight w:val="none"/>
              </w:rPr>
            </w:pPr>
          </w:p>
          <w:p w14:paraId="58D5CBFA">
            <w:pPr>
              <w:adjustRightInd w:val="0"/>
              <w:snapToGrid w:val="0"/>
              <w:jc w:val="center"/>
              <w:rPr>
                <w:b/>
                <w:bCs/>
                <w:color w:val="auto"/>
                <w:szCs w:val="21"/>
                <w:highlight w:val="none"/>
              </w:rPr>
            </w:pPr>
          </w:p>
          <w:p w14:paraId="182F6DF5">
            <w:pPr>
              <w:adjustRightInd w:val="0"/>
              <w:snapToGrid w:val="0"/>
              <w:jc w:val="center"/>
              <w:rPr>
                <w:b/>
                <w:bCs/>
                <w:color w:val="auto"/>
                <w:szCs w:val="21"/>
                <w:highlight w:val="none"/>
              </w:rPr>
            </w:pPr>
            <w:r>
              <w:rPr>
                <w:b/>
                <w:bCs/>
                <w:color w:val="auto"/>
                <w:szCs w:val="21"/>
                <w:highlight w:val="none"/>
              </w:rPr>
              <w:t>表</w:t>
            </w:r>
            <w:r>
              <w:rPr>
                <w:rFonts w:hint="eastAsia"/>
                <w:b/>
                <w:bCs/>
                <w:color w:val="auto"/>
                <w:szCs w:val="21"/>
                <w:highlight w:val="none"/>
              </w:rPr>
              <w:t>2-</w:t>
            </w:r>
            <w:r>
              <w:rPr>
                <w:rFonts w:hint="eastAsia"/>
                <w:b/>
                <w:bCs/>
                <w:color w:val="auto"/>
                <w:szCs w:val="21"/>
                <w:highlight w:val="none"/>
                <w:lang w:val="en-US" w:eastAsia="zh-CN"/>
              </w:rPr>
              <w:t>6</w:t>
            </w:r>
            <w:r>
              <w:rPr>
                <w:b/>
                <w:bCs/>
                <w:color w:val="auto"/>
                <w:szCs w:val="21"/>
                <w:highlight w:val="none"/>
              </w:rPr>
              <w:t xml:space="preserve"> 项目主要原辅材料情况表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355"/>
              <w:gridCol w:w="1550"/>
              <w:gridCol w:w="1037"/>
              <w:gridCol w:w="975"/>
              <w:gridCol w:w="1125"/>
              <w:gridCol w:w="1552"/>
            </w:tblGrid>
            <w:tr w14:paraId="0D2DE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84" w:type="pct"/>
                  <w:tcBorders>
                    <w:tl2br w:val="nil"/>
                    <w:tr2bl w:val="nil"/>
                  </w:tcBorders>
                  <w:noWrap w:val="0"/>
                  <w:vAlign w:val="center"/>
                </w:tcPr>
                <w:p w14:paraId="4BEB30EB">
                  <w:pPr>
                    <w:adjustRightInd w:val="0"/>
                    <w:snapToGrid w:val="0"/>
                    <w:spacing w:before="62" w:beforeLines="20" w:after="62" w:afterLines="20"/>
                    <w:jc w:val="center"/>
                    <w:rPr>
                      <w:rFonts w:ascii="Times New Roman" w:hAnsi="Times New Roman"/>
                      <w:b/>
                      <w:bCs/>
                      <w:color w:val="000000"/>
                      <w:szCs w:val="21"/>
                    </w:rPr>
                  </w:pPr>
                  <w:r>
                    <w:rPr>
                      <w:rFonts w:ascii="Times New Roman" w:hAnsi="宋体"/>
                      <w:b/>
                      <w:bCs/>
                      <w:color w:val="000000"/>
                      <w:szCs w:val="21"/>
                    </w:rPr>
                    <w:t>序号</w:t>
                  </w:r>
                </w:p>
              </w:tc>
              <w:tc>
                <w:tcPr>
                  <w:tcW w:w="823" w:type="pct"/>
                  <w:tcBorders>
                    <w:tl2br w:val="nil"/>
                    <w:tr2bl w:val="nil"/>
                  </w:tcBorders>
                  <w:noWrap w:val="0"/>
                  <w:vAlign w:val="center"/>
                </w:tcPr>
                <w:p w14:paraId="7BEDC086">
                  <w:pPr>
                    <w:adjustRightInd w:val="0"/>
                    <w:snapToGrid w:val="0"/>
                    <w:spacing w:before="62" w:beforeLines="20" w:after="62" w:afterLines="20"/>
                    <w:jc w:val="center"/>
                    <w:rPr>
                      <w:rFonts w:ascii="Times New Roman" w:hAnsi="Times New Roman"/>
                      <w:b/>
                      <w:bCs/>
                      <w:color w:val="000000"/>
                      <w:szCs w:val="21"/>
                    </w:rPr>
                  </w:pPr>
                  <w:r>
                    <w:rPr>
                      <w:rFonts w:ascii="Times New Roman" w:hAnsi="宋体"/>
                      <w:b/>
                      <w:bCs/>
                      <w:color w:val="000000"/>
                      <w:szCs w:val="21"/>
                    </w:rPr>
                    <w:t>名称</w:t>
                  </w:r>
                </w:p>
              </w:tc>
              <w:tc>
                <w:tcPr>
                  <w:tcW w:w="942" w:type="pct"/>
                  <w:tcBorders>
                    <w:tl2br w:val="nil"/>
                    <w:tr2bl w:val="nil"/>
                  </w:tcBorders>
                  <w:noWrap w:val="0"/>
                  <w:vAlign w:val="center"/>
                </w:tcPr>
                <w:p w14:paraId="798B7228">
                  <w:pPr>
                    <w:adjustRightInd w:val="0"/>
                    <w:snapToGrid w:val="0"/>
                    <w:spacing w:before="62" w:beforeLines="20" w:after="62" w:afterLines="20"/>
                    <w:jc w:val="center"/>
                    <w:rPr>
                      <w:rFonts w:hint="default" w:ascii="Times New Roman" w:hAnsi="Times New Roman" w:eastAsia="宋体"/>
                      <w:b/>
                      <w:bCs/>
                      <w:color w:val="000000"/>
                      <w:szCs w:val="21"/>
                      <w:highlight w:val="none"/>
                      <w:lang w:val="en-US" w:eastAsia="zh-CN"/>
                    </w:rPr>
                  </w:pPr>
                  <w:r>
                    <w:rPr>
                      <w:rFonts w:hint="eastAsia" w:ascii="Times New Roman" w:hAnsi="宋体"/>
                      <w:b/>
                      <w:bCs/>
                      <w:color w:val="000000"/>
                      <w:szCs w:val="21"/>
                      <w:highlight w:val="none"/>
                      <w:lang w:val="en-US" w:eastAsia="zh-CN"/>
                    </w:rPr>
                    <w:t>组分规格</w:t>
                  </w:r>
                </w:p>
              </w:tc>
              <w:tc>
                <w:tcPr>
                  <w:tcW w:w="630" w:type="pct"/>
                  <w:tcBorders>
                    <w:tl2br w:val="nil"/>
                    <w:tr2bl w:val="nil"/>
                  </w:tcBorders>
                  <w:noWrap w:val="0"/>
                  <w:vAlign w:val="center"/>
                </w:tcPr>
                <w:p w14:paraId="00841EB4">
                  <w:pPr>
                    <w:adjustRightInd w:val="0"/>
                    <w:snapToGrid w:val="0"/>
                    <w:spacing w:before="62" w:beforeLines="20" w:after="62" w:afterLines="20"/>
                    <w:jc w:val="center"/>
                    <w:rPr>
                      <w:rFonts w:hint="eastAsia" w:ascii="Times New Roman" w:hAnsi="Times New Roman" w:eastAsia="宋体"/>
                      <w:b/>
                      <w:bCs/>
                      <w:color w:val="000000"/>
                      <w:szCs w:val="21"/>
                      <w:highlight w:val="none"/>
                      <w:lang w:val="en-US" w:eastAsia="zh-CN"/>
                    </w:rPr>
                  </w:pPr>
                  <w:r>
                    <w:rPr>
                      <w:rFonts w:ascii="Times New Roman" w:hAnsi="宋体"/>
                      <w:b/>
                      <w:bCs/>
                      <w:color w:val="000000"/>
                      <w:szCs w:val="21"/>
                      <w:highlight w:val="none"/>
                    </w:rPr>
                    <w:t>年用量</w:t>
                  </w:r>
                </w:p>
              </w:tc>
              <w:tc>
                <w:tcPr>
                  <w:tcW w:w="592" w:type="pct"/>
                  <w:tcBorders>
                    <w:tl2br w:val="nil"/>
                    <w:tr2bl w:val="nil"/>
                  </w:tcBorders>
                  <w:noWrap w:val="0"/>
                  <w:vAlign w:val="center"/>
                </w:tcPr>
                <w:p w14:paraId="5BAA568B">
                  <w:pPr>
                    <w:adjustRightInd w:val="0"/>
                    <w:snapToGrid w:val="0"/>
                    <w:spacing w:before="62" w:beforeLines="20" w:after="62" w:afterLines="20"/>
                    <w:jc w:val="center"/>
                    <w:rPr>
                      <w:rFonts w:ascii="Times New Roman" w:hAnsi="Times New Roman"/>
                      <w:b/>
                      <w:bCs/>
                      <w:color w:val="000000"/>
                      <w:szCs w:val="21"/>
                      <w:highlight w:val="none"/>
                    </w:rPr>
                  </w:pPr>
                  <w:r>
                    <w:rPr>
                      <w:rFonts w:ascii="Times New Roman" w:hAnsi="宋体"/>
                      <w:b/>
                      <w:bCs/>
                      <w:color w:val="000000"/>
                      <w:szCs w:val="21"/>
                      <w:highlight w:val="none"/>
                    </w:rPr>
                    <w:t>最大储存量</w:t>
                  </w:r>
                </w:p>
              </w:tc>
              <w:tc>
                <w:tcPr>
                  <w:tcW w:w="683" w:type="pct"/>
                  <w:tcBorders>
                    <w:tl2br w:val="nil"/>
                    <w:tr2bl w:val="nil"/>
                  </w:tcBorders>
                  <w:noWrap w:val="0"/>
                  <w:vAlign w:val="center"/>
                </w:tcPr>
                <w:p w14:paraId="3798EE26">
                  <w:pPr>
                    <w:adjustRightInd w:val="0"/>
                    <w:snapToGrid w:val="0"/>
                    <w:spacing w:before="62" w:beforeLines="20" w:after="62" w:afterLines="20"/>
                    <w:ind w:left="-105" w:leftChars="-50" w:right="-105" w:rightChars="-50"/>
                    <w:jc w:val="center"/>
                    <w:rPr>
                      <w:rFonts w:ascii="Times New Roman" w:hAnsi="Times New Roman"/>
                      <w:b/>
                      <w:bCs/>
                      <w:color w:val="000000"/>
                      <w:kern w:val="2"/>
                      <w:sz w:val="21"/>
                      <w:szCs w:val="21"/>
                      <w:highlight w:val="none"/>
                      <w:lang w:val="en-US" w:eastAsia="zh-CN" w:bidi="ar-SA"/>
                    </w:rPr>
                  </w:pPr>
                  <w:r>
                    <w:rPr>
                      <w:rFonts w:ascii="Times New Roman" w:hAnsi="宋体"/>
                      <w:b/>
                      <w:bCs/>
                      <w:color w:val="000000"/>
                      <w:szCs w:val="21"/>
                      <w:highlight w:val="none"/>
                    </w:rPr>
                    <w:t>包装</w:t>
                  </w:r>
                  <w:r>
                    <w:rPr>
                      <w:rFonts w:hint="eastAsia" w:ascii="Times New Roman" w:hAnsi="宋体"/>
                      <w:b/>
                      <w:bCs/>
                      <w:color w:val="000000"/>
                      <w:szCs w:val="21"/>
                      <w:highlight w:val="none"/>
                      <w:lang w:val="en-US" w:eastAsia="zh-CN"/>
                    </w:rPr>
                    <w:t>储存</w:t>
                  </w:r>
                  <w:r>
                    <w:rPr>
                      <w:rFonts w:ascii="Times New Roman" w:hAnsi="宋体"/>
                      <w:b/>
                      <w:bCs/>
                      <w:color w:val="000000"/>
                      <w:szCs w:val="21"/>
                      <w:highlight w:val="none"/>
                    </w:rPr>
                    <w:t>方式</w:t>
                  </w:r>
                </w:p>
              </w:tc>
              <w:tc>
                <w:tcPr>
                  <w:tcW w:w="943" w:type="pct"/>
                  <w:tcBorders>
                    <w:tl2br w:val="nil"/>
                    <w:tr2bl w:val="nil"/>
                  </w:tcBorders>
                  <w:noWrap w:val="0"/>
                  <w:vAlign w:val="center"/>
                </w:tcPr>
                <w:p w14:paraId="13F66862">
                  <w:pPr>
                    <w:adjustRightInd w:val="0"/>
                    <w:snapToGrid w:val="0"/>
                    <w:spacing w:before="62" w:beforeLines="20" w:after="62" w:afterLines="20"/>
                    <w:jc w:val="center"/>
                    <w:rPr>
                      <w:rFonts w:hint="default" w:ascii="Times New Roman" w:hAnsi="Times New Roman" w:eastAsia="宋体"/>
                      <w:b/>
                      <w:bCs/>
                      <w:color w:val="000000"/>
                      <w:szCs w:val="21"/>
                      <w:highlight w:val="none"/>
                      <w:lang w:val="en-US" w:eastAsia="zh-CN"/>
                    </w:rPr>
                  </w:pPr>
                  <w:r>
                    <w:rPr>
                      <w:rFonts w:hint="eastAsia" w:ascii="Times New Roman" w:hAnsi="宋体"/>
                      <w:b/>
                      <w:bCs/>
                      <w:color w:val="000000"/>
                      <w:szCs w:val="21"/>
                      <w:highlight w:val="none"/>
                      <w:lang w:val="en-US" w:eastAsia="zh-CN"/>
                    </w:rPr>
                    <w:t>来源及运输</w:t>
                  </w:r>
                </w:p>
              </w:tc>
            </w:tr>
            <w:tr w14:paraId="31F8D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449898FB">
                  <w:pPr>
                    <w:adjustRightInd w:val="0"/>
                    <w:snapToGrid w:val="0"/>
                    <w:spacing w:before="62" w:beforeLines="20" w:after="62" w:afterLines="20"/>
                    <w:jc w:val="center"/>
                    <w:rPr>
                      <w:rFonts w:ascii="Times New Roman" w:hAnsi="Times New Roman"/>
                      <w:color w:val="000000"/>
                      <w:szCs w:val="21"/>
                    </w:rPr>
                  </w:pPr>
                  <w:r>
                    <w:rPr>
                      <w:rFonts w:ascii="Times New Roman" w:hAnsi="Times New Roman"/>
                      <w:color w:val="000000"/>
                      <w:szCs w:val="21"/>
                    </w:rPr>
                    <w:t>1</w:t>
                  </w:r>
                </w:p>
              </w:tc>
              <w:tc>
                <w:tcPr>
                  <w:tcW w:w="823" w:type="pct"/>
                  <w:tcBorders>
                    <w:tl2br w:val="nil"/>
                    <w:tr2bl w:val="nil"/>
                  </w:tcBorders>
                  <w:noWrap w:val="0"/>
                  <w:vAlign w:val="center"/>
                </w:tcPr>
                <w:p w14:paraId="4A669472">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不锈钢丝</w:t>
                  </w:r>
                </w:p>
              </w:tc>
              <w:tc>
                <w:tcPr>
                  <w:tcW w:w="942" w:type="pct"/>
                  <w:tcBorders>
                    <w:tl2br w:val="nil"/>
                    <w:tr2bl w:val="nil"/>
                  </w:tcBorders>
                  <w:noWrap w:val="0"/>
                  <w:vAlign w:val="center"/>
                </w:tcPr>
                <w:p w14:paraId="473F8CE1">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不锈钢</w:t>
                  </w:r>
                </w:p>
              </w:tc>
              <w:tc>
                <w:tcPr>
                  <w:tcW w:w="630" w:type="pct"/>
                  <w:tcBorders>
                    <w:tl2br w:val="nil"/>
                    <w:tr2bl w:val="nil"/>
                  </w:tcBorders>
                  <w:noWrap w:val="0"/>
                  <w:vAlign w:val="center"/>
                </w:tcPr>
                <w:p w14:paraId="48111758">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5.2t</w:t>
                  </w:r>
                </w:p>
              </w:tc>
              <w:tc>
                <w:tcPr>
                  <w:tcW w:w="592" w:type="pct"/>
                  <w:tcBorders>
                    <w:tl2br w:val="nil"/>
                    <w:tr2bl w:val="nil"/>
                  </w:tcBorders>
                  <w:noWrap w:val="0"/>
                  <w:vAlign w:val="center"/>
                </w:tcPr>
                <w:p w14:paraId="2AF5CBB0">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1t</w:t>
                  </w:r>
                </w:p>
              </w:tc>
              <w:tc>
                <w:tcPr>
                  <w:tcW w:w="683" w:type="pct"/>
                  <w:tcBorders>
                    <w:tl2br w:val="nil"/>
                    <w:tr2bl w:val="nil"/>
                  </w:tcBorders>
                  <w:noWrap w:val="0"/>
                  <w:vAlign w:val="center"/>
                </w:tcPr>
                <w:p w14:paraId="00D6A8C6">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040B13AE">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2C4E7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4DFCA855">
                  <w:pPr>
                    <w:adjustRightInd w:val="0"/>
                    <w:snapToGrid w:val="0"/>
                    <w:spacing w:before="62" w:beforeLines="20" w:after="62" w:afterLines="20"/>
                    <w:jc w:val="center"/>
                    <w:rPr>
                      <w:rFonts w:ascii="Times New Roman" w:hAnsi="Times New Roman"/>
                      <w:color w:val="000000"/>
                      <w:szCs w:val="21"/>
                    </w:rPr>
                  </w:pPr>
                  <w:r>
                    <w:rPr>
                      <w:rFonts w:ascii="Times New Roman" w:hAnsi="Times New Roman"/>
                      <w:color w:val="000000"/>
                      <w:szCs w:val="21"/>
                    </w:rPr>
                    <w:t>2</w:t>
                  </w:r>
                </w:p>
              </w:tc>
              <w:tc>
                <w:tcPr>
                  <w:tcW w:w="823" w:type="pct"/>
                  <w:tcBorders>
                    <w:tl2br w:val="nil"/>
                    <w:tr2bl w:val="nil"/>
                  </w:tcBorders>
                  <w:noWrap w:val="0"/>
                  <w:vAlign w:val="center"/>
                </w:tcPr>
                <w:p w14:paraId="5F4A66ED">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不锈钢管</w:t>
                  </w:r>
                </w:p>
              </w:tc>
              <w:tc>
                <w:tcPr>
                  <w:tcW w:w="942" w:type="pct"/>
                  <w:tcBorders>
                    <w:tl2br w:val="nil"/>
                    <w:tr2bl w:val="nil"/>
                  </w:tcBorders>
                  <w:noWrap w:val="0"/>
                  <w:vAlign w:val="center"/>
                </w:tcPr>
                <w:p w14:paraId="580B33FD">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不锈钢</w:t>
                  </w:r>
                </w:p>
              </w:tc>
              <w:tc>
                <w:tcPr>
                  <w:tcW w:w="630" w:type="pct"/>
                  <w:tcBorders>
                    <w:tl2br w:val="nil"/>
                    <w:tr2bl w:val="nil"/>
                  </w:tcBorders>
                  <w:noWrap w:val="0"/>
                  <w:vAlign w:val="center"/>
                </w:tcPr>
                <w:p w14:paraId="4E6F2528">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0.5t</w:t>
                  </w:r>
                </w:p>
              </w:tc>
              <w:tc>
                <w:tcPr>
                  <w:tcW w:w="592" w:type="pct"/>
                  <w:tcBorders>
                    <w:tl2br w:val="nil"/>
                    <w:tr2bl w:val="nil"/>
                  </w:tcBorders>
                  <w:noWrap w:val="0"/>
                  <w:vAlign w:val="center"/>
                </w:tcPr>
                <w:p w14:paraId="7E9DCC66">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0.1t</w:t>
                  </w:r>
                </w:p>
              </w:tc>
              <w:tc>
                <w:tcPr>
                  <w:tcW w:w="683" w:type="pct"/>
                  <w:tcBorders>
                    <w:tl2br w:val="nil"/>
                    <w:tr2bl w:val="nil"/>
                  </w:tcBorders>
                  <w:noWrap w:val="0"/>
                  <w:vAlign w:val="center"/>
                </w:tcPr>
                <w:p w14:paraId="1379D241">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64D59A13">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6B158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21DC0542">
                  <w:pPr>
                    <w:adjustRightInd w:val="0"/>
                    <w:snapToGrid w:val="0"/>
                    <w:spacing w:before="62" w:beforeLines="20" w:after="62" w:afterLines="20"/>
                    <w:jc w:val="center"/>
                    <w:rPr>
                      <w:rFonts w:ascii="Times New Roman" w:hAnsi="Times New Roman"/>
                      <w:color w:val="000000"/>
                      <w:kern w:val="2"/>
                      <w:sz w:val="21"/>
                      <w:szCs w:val="21"/>
                      <w:lang w:val="en-US" w:eastAsia="zh-CN" w:bidi="ar-SA"/>
                    </w:rPr>
                  </w:pPr>
                  <w:r>
                    <w:rPr>
                      <w:rFonts w:ascii="Times New Roman" w:hAnsi="Times New Roman"/>
                      <w:color w:val="000000"/>
                      <w:szCs w:val="21"/>
                    </w:rPr>
                    <w:t>3</w:t>
                  </w:r>
                </w:p>
              </w:tc>
              <w:tc>
                <w:tcPr>
                  <w:tcW w:w="823" w:type="pct"/>
                  <w:tcBorders>
                    <w:tl2br w:val="nil"/>
                    <w:tr2bl w:val="nil"/>
                  </w:tcBorders>
                  <w:noWrap w:val="0"/>
                  <w:vAlign w:val="center"/>
                </w:tcPr>
                <w:p w14:paraId="4167C8C8">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无氧铜丝</w:t>
                  </w:r>
                </w:p>
              </w:tc>
              <w:tc>
                <w:tcPr>
                  <w:tcW w:w="942" w:type="pct"/>
                  <w:tcBorders>
                    <w:tl2br w:val="nil"/>
                    <w:tr2bl w:val="nil"/>
                  </w:tcBorders>
                  <w:noWrap w:val="0"/>
                  <w:vAlign w:val="center"/>
                </w:tcPr>
                <w:p w14:paraId="15940CB0">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铜</w:t>
                  </w:r>
                </w:p>
              </w:tc>
              <w:tc>
                <w:tcPr>
                  <w:tcW w:w="630" w:type="pct"/>
                  <w:tcBorders>
                    <w:tl2br w:val="nil"/>
                    <w:tr2bl w:val="nil"/>
                  </w:tcBorders>
                  <w:noWrap w:val="0"/>
                  <w:vAlign w:val="center"/>
                </w:tcPr>
                <w:p w14:paraId="6422F3EC">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33.2t</w:t>
                  </w:r>
                </w:p>
              </w:tc>
              <w:tc>
                <w:tcPr>
                  <w:tcW w:w="592" w:type="pct"/>
                  <w:tcBorders>
                    <w:tl2br w:val="nil"/>
                    <w:tr2bl w:val="nil"/>
                  </w:tcBorders>
                  <w:noWrap w:val="0"/>
                  <w:vAlign w:val="center"/>
                </w:tcPr>
                <w:p w14:paraId="728EE5EF">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8t</w:t>
                  </w:r>
                </w:p>
              </w:tc>
              <w:tc>
                <w:tcPr>
                  <w:tcW w:w="683" w:type="pct"/>
                  <w:tcBorders>
                    <w:tl2br w:val="nil"/>
                    <w:tr2bl w:val="nil"/>
                  </w:tcBorders>
                  <w:noWrap w:val="0"/>
                  <w:vAlign w:val="center"/>
                </w:tcPr>
                <w:p w14:paraId="106A718B">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4FD764EB">
                  <w:pPr>
                    <w:adjustRightInd w:val="0"/>
                    <w:snapToGrid w:val="0"/>
                    <w:spacing w:before="62" w:beforeLines="20" w:after="62" w:afterLines="20"/>
                    <w:jc w:val="center"/>
                    <w:rPr>
                      <w:rFonts w:ascii="Times New Roman" w:hAnsi="Times New Roman"/>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39288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84" w:type="pct"/>
                  <w:tcBorders>
                    <w:tl2br w:val="nil"/>
                    <w:tr2bl w:val="nil"/>
                  </w:tcBorders>
                  <w:noWrap w:val="0"/>
                  <w:vAlign w:val="center"/>
                </w:tcPr>
                <w:p w14:paraId="35B45BDF">
                  <w:pPr>
                    <w:adjustRightInd w:val="0"/>
                    <w:snapToGrid w:val="0"/>
                    <w:spacing w:before="62" w:beforeLines="20" w:after="62" w:afterLines="20"/>
                    <w:jc w:val="center"/>
                    <w:rPr>
                      <w:rFonts w:hint="eastAsia" w:ascii="Times New Roman" w:hAnsi="Times New Roman" w:eastAsia="宋体"/>
                      <w:color w:val="000000"/>
                      <w:kern w:val="2"/>
                      <w:sz w:val="21"/>
                      <w:szCs w:val="21"/>
                      <w:lang w:val="en-US" w:eastAsia="zh-CN" w:bidi="ar-SA"/>
                    </w:rPr>
                  </w:pPr>
                  <w:r>
                    <w:rPr>
                      <w:rFonts w:hint="eastAsia" w:ascii="Times New Roman" w:hAnsi="Times New Roman"/>
                      <w:color w:val="000000"/>
                      <w:szCs w:val="21"/>
                      <w:lang w:val="en-US" w:eastAsia="zh-CN"/>
                    </w:rPr>
                    <w:t>4</w:t>
                  </w:r>
                </w:p>
              </w:tc>
              <w:tc>
                <w:tcPr>
                  <w:tcW w:w="823" w:type="pct"/>
                  <w:tcBorders>
                    <w:tl2br w:val="nil"/>
                    <w:tr2bl w:val="nil"/>
                  </w:tcBorders>
                  <w:noWrap w:val="0"/>
                  <w:vAlign w:val="center"/>
                </w:tcPr>
                <w:p w14:paraId="7D4F2A1A">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无氧铜管</w:t>
                  </w:r>
                </w:p>
              </w:tc>
              <w:tc>
                <w:tcPr>
                  <w:tcW w:w="942" w:type="pct"/>
                  <w:tcBorders>
                    <w:tl2br w:val="nil"/>
                    <w:tr2bl w:val="nil"/>
                  </w:tcBorders>
                  <w:noWrap w:val="0"/>
                  <w:vAlign w:val="center"/>
                </w:tcPr>
                <w:p w14:paraId="796791DF">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铜</w:t>
                  </w:r>
                </w:p>
              </w:tc>
              <w:tc>
                <w:tcPr>
                  <w:tcW w:w="630" w:type="pct"/>
                  <w:tcBorders>
                    <w:tl2br w:val="nil"/>
                    <w:tr2bl w:val="nil"/>
                  </w:tcBorders>
                  <w:noWrap w:val="0"/>
                  <w:vAlign w:val="center"/>
                </w:tcPr>
                <w:p w14:paraId="7CF60B1A">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4.5t</w:t>
                  </w:r>
                </w:p>
              </w:tc>
              <w:tc>
                <w:tcPr>
                  <w:tcW w:w="592" w:type="pct"/>
                  <w:tcBorders>
                    <w:tl2br w:val="nil"/>
                    <w:tr2bl w:val="nil"/>
                  </w:tcBorders>
                  <w:noWrap w:val="0"/>
                  <w:vAlign w:val="center"/>
                </w:tcPr>
                <w:p w14:paraId="4CF585EF">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1t</w:t>
                  </w:r>
                </w:p>
              </w:tc>
              <w:tc>
                <w:tcPr>
                  <w:tcW w:w="683" w:type="pct"/>
                  <w:tcBorders>
                    <w:tl2br w:val="nil"/>
                    <w:tr2bl w:val="nil"/>
                  </w:tcBorders>
                  <w:noWrap w:val="0"/>
                  <w:vAlign w:val="center"/>
                </w:tcPr>
                <w:p w14:paraId="0036C77B">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6DE3F75A">
                  <w:pPr>
                    <w:adjustRightInd w:val="0"/>
                    <w:snapToGrid w:val="0"/>
                    <w:spacing w:before="62" w:beforeLines="20" w:after="62" w:afterLines="20"/>
                    <w:jc w:val="center"/>
                    <w:rPr>
                      <w:rFonts w:ascii="Times New Roman" w:hAnsi="Times New Roman"/>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217AB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573B966C">
                  <w:pPr>
                    <w:adjustRightInd w:val="0"/>
                    <w:snapToGrid w:val="0"/>
                    <w:spacing w:before="62" w:beforeLines="20" w:after="62" w:afterLines="20"/>
                    <w:jc w:val="center"/>
                    <w:rPr>
                      <w:rFonts w:hint="eastAsia" w:ascii="Times New Roman" w:hAnsi="Times New Roman" w:eastAsia="宋体"/>
                      <w:color w:val="000000"/>
                      <w:kern w:val="2"/>
                      <w:sz w:val="21"/>
                      <w:szCs w:val="21"/>
                      <w:lang w:val="en-US" w:eastAsia="zh-CN" w:bidi="ar-SA"/>
                    </w:rPr>
                  </w:pPr>
                  <w:r>
                    <w:rPr>
                      <w:rFonts w:hint="eastAsia" w:ascii="Times New Roman" w:hAnsi="Times New Roman" w:eastAsia="宋体"/>
                      <w:color w:val="000000"/>
                      <w:szCs w:val="21"/>
                      <w:lang w:val="en-US" w:eastAsia="zh-CN"/>
                    </w:rPr>
                    <w:t>5</w:t>
                  </w:r>
                </w:p>
              </w:tc>
              <w:tc>
                <w:tcPr>
                  <w:tcW w:w="823" w:type="pct"/>
                  <w:tcBorders>
                    <w:tl2br w:val="nil"/>
                    <w:tr2bl w:val="nil"/>
                  </w:tcBorders>
                  <w:noWrap w:val="0"/>
                  <w:vAlign w:val="center"/>
                </w:tcPr>
                <w:p w14:paraId="3AC73CE6">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塑管</w:t>
                  </w:r>
                </w:p>
              </w:tc>
              <w:tc>
                <w:tcPr>
                  <w:tcW w:w="942" w:type="pct"/>
                  <w:tcBorders>
                    <w:tl2br w:val="nil"/>
                    <w:tr2bl w:val="nil"/>
                  </w:tcBorders>
                  <w:noWrap w:val="0"/>
                  <w:vAlign w:val="center"/>
                </w:tcPr>
                <w:p w14:paraId="09CA577D">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PP、PE</w:t>
                  </w:r>
                </w:p>
              </w:tc>
              <w:tc>
                <w:tcPr>
                  <w:tcW w:w="630" w:type="pct"/>
                  <w:tcBorders>
                    <w:tl2br w:val="nil"/>
                    <w:tr2bl w:val="nil"/>
                  </w:tcBorders>
                  <w:noWrap w:val="0"/>
                  <w:vAlign w:val="center"/>
                </w:tcPr>
                <w:p w14:paraId="6F0ADAFC">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20t</w:t>
                  </w:r>
                </w:p>
              </w:tc>
              <w:tc>
                <w:tcPr>
                  <w:tcW w:w="592" w:type="pct"/>
                  <w:tcBorders>
                    <w:tl2br w:val="nil"/>
                    <w:tr2bl w:val="nil"/>
                  </w:tcBorders>
                  <w:noWrap w:val="0"/>
                  <w:vAlign w:val="center"/>
                </w:tcPr>
                <w:p w14:paraId="42645484">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5t</w:t>
                  </w:r>
                </w:p>
              </w:tc>
              <w:tc>
                <w:tcPr>
                  <w:tcW w:w="683" w:type="pct"/>
                  <w:tcBorders>
                    <w:tl2br w:val="nil"/>
                    <w:tr2bl w:val="nil"/>
                  </w:tcBorders>
                  <w:noWrap w:val="0"/>
                  <w:vAlign w:val="center"/>
                </w:tcPr>
                <w:p w14:paraId="513CFCCE">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2E0D3644">
                  <w:pPr>
                    <w:adjustRightInd w:val="0"/>
                    <w:snapToGrid w:val="0"/>
                    <w:spacing w:before="62" w:beforeLines="20" w:after="62" w:afterLines="20"/>
                    <w:jc w:val="center"/>
                    <w:rPr>
                      <w:rFonts w:ascii="Times New Roman" w:hAnsi="Times New Roman"/>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030D7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085D46EC">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ascii="Times New Roman" w:hAnsi="Times New Roman"/>
                      <w:color w:val="000000"/>
                      <w:szCs w:val="21"/>
                      <w:lang w:val="en-US" w:eastAsia="zh-CN"/>
                    </w:rPr>
                    <w:t>6</w:t>
                  </w:r>
                </w:p>
              </w:tc>
              <w:tc>
                <w:tcPr>
                  <w:tcW w:w="823" w:type="pct"/>
                  <w:tcBorders>
                    <w:tl2br w:val="nil"/>
                    <w:tr2bl w:val="nil"/>
                  </w:tcBorders>
                  <w:noWrap w:val="0"/>
                  <w:vAlign w:val="center"/>
                </w:tcPr>
                <w:p w14:paraId="6BFB0AC9">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铝管</w:t>
                  </w:r>
                </w:p>
              </w:tc>
              <w:tc>
                <w:tcPr>
                  <w:tcW w:w="942" w:type="pct"/>
                  <w:tcBorders>
                    <w:tl2br w:val="nil"/>
                    <w:tr2bl w:val="nil"/>
                  </w:tcBorders>
                  <w:noWrap w:val="0"/>
                  <w:vAlign w:val="center"/>
                </w:tcPr>
                <w:p w14:paraId="1F1D6157">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铝</w:t>
                  </w:r>
                </w:p>
              </w:tc>
              <w:tc>
                <w:tcPr>
                  <w:tcW w:w="630" w:type="pct"/>
                  <w:tcBorders>
                    <w:tl2br w:val="nil"/>
                    <w:tr2bl w:val="nil"/>
                  </w:tcBorders>
                  <w:noWrap w:val="0"/>
                  <w:vAlign w:val="center"/>
                </w:tcPr>
                <w:p w14:paraId="546ED965">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0.3t</w:t>
                  </w:r>
                </w:p>
              </w:tc>
              <w:tc>
                <w:tcPr>
                  <w:tcW w:w="592" w:type="pct"/>
                  <w:tcBorders>
                    <w:tl2br w:val="nil"/>
                    <w:tr2bl w:val="nil"/>
                  </w:tcBorders>
                  <w:noWrap w:val="0"/>
                  <w:vAlign w:val="center"/>
                </w:tcPr>
                <w:p w14:paraId="4BA859C1">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0.1t</w:t>
                  </w:r>
                </w:p>
              </w:tc>
              <w:tc>
                <w:tcPr>
                  <w:tcW w:w="683" w:type="pct"/>
                  <w:tcBorders>
                    <w:tl2br w:val="nil"/>
                    <w:tr2bl w:val="nil"/>
                  </w:tcBorders>
                  <w:noWrap w:val="0"/>
                  <w:vAlign w:val="center"/>
                </w:tcPr>
                <w:p w14:paraId="247735DB">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3D500E92">
                  <w:pPr>
                    <w:adjustRightInd w:val="0"/>
                    <w:snapToGrid w:val="0"/>
                    <w:spacing w:before="62" w:beforeLines="20" w:after="62" w:afterLines="20"/>
                    <w:jc w:val="center"/>
                    <w:rPr>
                      <w:rFonts w:ascii="Times New Roman" w:hAnsi="Times New Roman"/>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487BF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13A6BB76">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ascii="Times New Roman" w:hAnsi="Times New Roman"/>
                      <w:color w:val="000000"/>
                      <w:szCs w:val="21"/>
                      <w:highlight w:val="none"/>
                      <w:lang w:val="en-US" w:eastAsia="zh-CN"/>
                    </w:rPr>
                    <w:t>7</w:t>
                  </w:r>
                </w:p>
              </w:tc>
              <w:tc>
                <w:tcPr>
                  <w:tcW w:w="823" w:type="pct"/>
                  <w:tcBorders>
                    <w:tl2br w:val="nil"/>
                    <w:tr2bl w:val="nil"/>
                  </w:tcBorders>
                  <w:noWrap w:val="0"/>
                  <w:vAlign w:val="center"/>
                </w:tcPr>
                <w:p w14:paraId="1EC44509">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医用透析纸</w:t>
                  </w:r>
                </w:p>
              </w:tc>
              <w:tc>
                <w:tcPr>
                  <w:tcW w:w="942" w:type="pct"/>
                  <w:tcBorders>
                    <w:tl2br w:val="nil"/>
                    <w:tr2bl w:val="nil"/>
                  </w:tcBorders>
                  <w:noWrap w:val="0"/>
                  <w:vAlign w:val="center"/>
                </w:tcPr>
                <w:p w14:paraId="045A8ACD">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纸</w:t>
                  </w:r>
                </w:p>
              </w:tc>
              <w:tc>
                <w:tcPr>
                  <w:tcW w:w="630" w:type="pct"/>
                  <w:tcBorders>
                    <w:tl2br w:val="nil"/>
                    <w:tr2bl w:val="nil"/>
                  </w:tcBorders>
                  <w:noWrap w:val="0"/>
                  <w:vAlign w:val="center"/>
                </w:tcPr>
                <w:p w14:paraId="6C2D9E84">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13.3t</w:t>
                  </w:r>
                </w:p>
              </w:tc>
              <w:tc>
                <w:tcPr>
                  <w:tcW w:w="592" w:type="pct"/>
                  <w:tcBorders>
                    <w:tl2br w:val="nil"/>
                    <w:tr2bl w:val="nil"/>
                  </w:tcBorders>
                  <w:noWrap w:val="0"/>
                  <w:vAlign w:val="center"/>
                </w:tcPr>
                <w:p w14:paraId="7573C098">
                  <w:pPr>
                    <w:adjustRightInd w:val="0"/>
                    <w:snapToGrid w:val="0"/>
                    <w:spacing w:before="62" w:beforeLines="20" w:after="62" w:afterLines="20"/>
                    <w:jc w:val="center"/>
                    <w:rPr>
                      <w:rFonts w:hint="default" w:ascii="Times New Roman" w:hAnsi="Times New Roman"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4t</w:t>
                  </w:r>
                </w:p>
              </w:tc>
              <w:tc>
                <w:tcPr>
                  <w:tcW w:w="683" w:type="pct"/>
                  <w:tcBorders>
                    <w:tl2br w:val="nil"/>
                    <w:tr2bl w:val="nil"/>
                  </w:tcBorders>
                  <w:noWrap w:val="0"/>
                  <w:vAlign w:val="center"/>
                </w:tcPr>
                <w:p w14:paraId="2E2AB463">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袋装</w:t>
                  </w:r>
                </w:p>
              </w:tc>
              <w:tc>
                <w:tcPr>
                  <w:tcW w:w="943" w:type="pct"/>
                  <w:tcBorders>
                    <w:tl2br w:val="nil"/>
                    <w:tr2bl w:val="nil"/>
                  </w:tcBorders>
                  <w:noWrap w:val="0"/>
                  <w:vAlign w:val="center"/>
                </w:tcPr>
                <w:p w14:paraId="07667A17">
                  <w:pPr>
                    <w:adjustRightInd w:val="0"/>
                    <w:snapToGrid w:val="0"/>
                    <w:spacing w:before="62" w:beforeLines="20" w:after="62" w:afterLines="20"/>
                    <w:jc w:val="center"/>
                    <w:rPr>
                      <w:rFonts w:ascii="Times New Roman" w:hAnsi="Times New Roman"/>
                      <w:color w:val="000000"/>
                      <w:kern w:val="2"/>
                      <w:sz w:val="21"/>
                      <w:szCs w:val="21"/>
                      <w:highlight w:val="none"/>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785C2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6AC1A89B">
                  <w:pPr>
                    <w:adjustRightInd w:val="0"/>
                    <w:snapToGrid w:val="0"/>
                    <w:spacing w:before="62" w:beforeLines="20" w:after="62" w:afterLines="20"/>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8</w:t>
                  </w:r>
                </w:p>
              </w:tc>
              <w:tc>
                <w:tcPr>
                  <w:tcW w:w="823" w:type="pct"/>
                  <w:tcBorders>
                    <w:tl2br w:val="nil"/>
                    <w:tr2bl w:val="nil"/>
                  </w:tcBorders>
                  <w:noWrap w:val="0"/>
                  <w:vAlign w:val="center"/>
                </w:tcPr>
                <w:p w14:paraId="5B79E4B1">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PE</w:t>
                  </w:r>
                </w:p>
              </w:tc>
              <w:tc>
                <w:tcPr>
                  <w:tcW w:w="942" w:type="pct"/>
                  <w:tcBorders>
                    <w:tl2br w:val="nil"/>
                    <w:tr2bl w:val="nil"/>
                  </w:tcBorders>
                  <w:noWrap w:val="0"/>
                  <w:vAlign w:val="center"/>
                </w:tcPr>
                <w:p w14:paraId="26D19537">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聚乙烯</w:t>
                  </w:r>
                </w:p>
              </w:tc>
              <w:tc>
                <w:tcPr>
                  <w:tcW w:w="630" w:type="pct"/>
                  <w:tcBorders>
                    <w:tl2br w:val="nil"/>
                    <w:tr2bl w:val="nil"/>
                  </w:tcBorders>
                  <w:noWrap w:val="0"/>
                  <w:vAlign w:val="center"/>
                </w:tcPr>
                <w:p w14:paraId="64BAEBAC">
                  <w:pPr>
                    <w:adjustRightInd w:val="0"/>
                    <w:snapToGrid w:val="0"/>
                    <w:spacing w:before="62" w:beforeLines="20" w:after="62" w:afterLines="20"/>
                    <w:jc w:val="center"/>
                    <w:rPr>
                      <w:rFonts w:hint="default" w:ascii="Times New Roman" w:hAnsi="Times New Roman"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0.5t</w:t>
                  </w:r>
                </w:p>
              </w:tc>
              <w:tc>
                <w:tcPr>
                  <w:tcW w:w="592" w:type="pct"/>
                  <w:tcBorders>
                    <w:tl2br w:val="nil"/>
                    <w:tr2bl w:val="nil"/>
                  </w:tcBorders>
                  <w:noWrap w:val="0"/>
                  <w:vAlign w:val="center"/>
                </w:tcPr>
                <w:p w14:paraId="05779FC4">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0.1t</w:t>
                  </w:r>
                </w:p>
              </w:tc>
              <w:tc>
                <w:tcPr>
                  <w:tcW w:w="683" w:type="pct"/>
                  <w:tcBorders>
                    <w:tl2br w:val="nil"/>
                    <w:tr2bl w:val="nil"/>
                  </w:tcBorders>
                  <w:noWrap w:val="0"/>
                  <w:vAlign w:val="center"/>
                </w:tcPr>
                <w:p w14:paraId="72FC007A">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袋装</w:t>
                  </w:r>
                </w:p>
              </w:tc>
              <w:tc>
                <w:tcPr>
                  <w:tcW w:w="943" w:type="pct"/>
                  <w:tcBorders>
                    <w:tl2br w:val="nil"/>
                    <w:tr2bl w:val="nil"/>
                  </w:tcBorders>
                  <w:noWrap w:val="0"/>
                  <w:vAlign w:val="center"/>
                </w:tcPr>
                <w:p w14:paraId="2B3F77D1">
                  <w:pPr>
                    <w:adjustRightInd w:val="0"/>
                    <w:snapToGrid w:val="0"/>
                    <w:spacing w:before="62" w:beforeLines="20" w:after="62" w:afterLines="20"/>
                    <w:jc w:val="center"/>
                    <w:rPr>
                      <w:rFonts w:ascii="Times New Roman" w:hAnsi="Times New Roman"/>
                      <w:color w:val="000000"/>
                      <w:kern w:val="2"/>
                      <w:sz w:val="21"/>
                      <w:szCs w:val="21"/>
                      <w:highlight w:val="none"/>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6B1A7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291B1573">
                  <w:pPr>
                    <w:adjustRightInd w:val="0"/>
                    <w:snapToGrid w:val="0"/>
                    <w:spacing w:before="62" w:beforeLines="20" w:after="62" w:afterLines="20"/>
                    <w:jc w:val="center"/>
                    <w:rPr>
                      <w:rFonts w:hint="default"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9</w:t>
                  </w:r>
                </w:p>
              </w:tc>
              <w:tc>
                <w:tcPr>
                  <w:tcW w:w="823" w:type="pct"/>
                  <w:tcBorders>
                    <w:tl2br w:val="nil"/>
                    <w:tr2bl w:val="nil"/>
                  </w:tcBorders>
                  <w:noWrap w:val="0"/>
                  <w:vAlign w:val="center"/>
                </w:tcPr>
                <w:p w14:paraId="527079A0">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PP</w:t>
                  </w:r>
                </w:p>
              </w:tc>
              <w:tc>
                <w:tcPr>
                  <w:tcW w:w="942" w:type="pct"/>
                  <w:tcBorders>
                    <w:tl2br w:val="nil"/>
                    <w:tr2bl w:val="nil"/>
                  </w:tcBorders>
                  <w:noWrap w:val="0"/>
                  <w:vAlign w:val="center"/>
                </w:tcPr>
                <w:p w14:paraId="4FAEB596">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聚丙烯</w:t>
                  </w:r>
                </w:p>
              </w:tc>
              <w:tc>
                <w:tcPr>
                  <w:tcW w:w="630" w:type="pct"/>
                  <w:tcBorders>
                    <w:tl2br w:val="nil"/>
                    <w:tr2bl w:val="nil"/>
                  </w:tcBorders>
                  <w:noWrap w:val="0"/>
                  <w:vAlign w:val="center"/>
                </w:tcPr>
                <w:p w14:paraId="026DA479">
                  <w:pPr>
                    <w:adjustRightInd w:val="0"/>
                    <w:snapToGrid w:val="0"/>
                    <w:spacing w:before="62" w:beforeLines="20" w:after="62" w:afterLines="20"/>
                    <w:jc w:val="center"/>
                    <w:rPr>
                      <w:rFonts w:hint="default" w:ascii="Times New Roman" w:hAnsi="Times New Roman"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1t</w:t>
                  </w:r>
                </w:p>
              </w:tc>
              <w:tc>
                <w:tcPr>
                  <w:tcW w:w="592" w:type="pct"/>
                  <w:tcBorders>
                    <w:tl2br w:val="nil"/>
                    <w:tr2bl w:val="nil"/>
                  </w:tcBorders>
                  <w:noWrap w:val="0"/>
                  <w:vAlign w:val="center"/>
                </w:tcPr>
                <w:p w14:paraId="602C981D">
                  <w:pPr>
                    <w:adjustRightInd w:val="0"/>
                    <w:snapToGrid w:val="0"/>
                    <w:spacing w:before="62" w:beforeLines="20" w:after="62" w:afterLines="20"/>
                    <w:jc w:val="center"/>
                    <w:rPr>
                      <w:rFonts w:hint="default" w:ascii="Times New Roman" w:hAnsi="Times New Roman"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0.2t</w:t>
                  </w:r>
                </w:p>
              </w:tc>
              <w:tc>
                <w:tcPr>
                  <w:tcW w:w="683" w:type="pct"/>
                  <w:tcBorders>
                    <w:tl2br w:val="nil"/>
                    <w:tr2bl w:val="nil"/>
                  </w:tcBorders>
                  <w:noWrap w:val="0"/>
                  <w:vAlign w:val="center"/>
                </w:tcPr>
                <w:p w14:paraId="2F19168A">
                  <w:pPr>
                    <w:adjustRightInd w:val="0"/>
                    <w:snapToGrid w:val="0"/>
                    <w:spacing w:before="62" w:beforeLines="20" w:after="62" w:afterLines="20"/>
                    <w:jc w:val="center"/>
                    <w:rPr>
                      <w:rFonts w:hint="default" w:ascii="Times New Roman" w:hAnsi="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袋装</w:t>
                  </w:r>
                </w:p>
              </w:tc>
              <w:tc>
                <w:tcPr>
                  <w:tcW w:w="943" w:type="pct"/>
                  <w:tcBorders>
                    <w:tl2br w:val="nil"/>
                    <w:tr2bl w:val="nil"/>
                  </w:tcBorders>
                  <w:noWrap w:val="0"/>
                  <w:vAlign w:val="center"/>
                </w:tcPr>
                <w:p w14:paraId="43CE804E">
                  <w:pPr>
                    <w:adjustRightInd w:val="0"/>
                    <w:snapToGrid w:val="0"/>
                    <w:spacing w:before="62" w:beforeLines="20" w:after="62" w:afterLines="20"/>
                    <w:jc w:val="center"/>
                    <w:rPr>
                      <w:rFonts w:ascii="Times New Roman" w:hAnsi="Times New Roman"/>
                      <w:color w:val="000000"/>
                      <w:kern w:val="2"/>
                      <w:sz w:val="21"/>
                      <w:szCs w:val="21"/>
                      <w:highlight w:val="none"/>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24CE5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60B8E05F">
                  <w:pPr>
                    <w:adjustRightInd w:val="0"/>
                    <w:snapToGrid w:val="0"/>
                    <w:spacing w:before="62" w:beforeLines="20" w:after="62" w:afterLines="20"/>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10</w:t>
                  </w:r>
                </w:p>
              </w:tc>
              <w:tc>
                <w:tcPr>
                  <w:tcW w:w="823" w:type="pct"/>
                  <w:tcBorders>
                    <w:tl2br w:val="nil"/>
                    <w:tr2bl w:val="nil"/>
                  </w:tcBorders>
                  <w:noWrap w:val="0"/>
                  <w:vAlign w:val="center"/>
                </w:tcPr>
                <w:p w14:paraId="07142235">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纸盒</w:t>
                  </w:r>
                </w:p>
              </w:tc>
              <w:tc>
                <w:tcPr>
                  <w:tcW w:w="942" w:type="pct"/>
                  <w:tcBorders>
                    <w:tl2br w:val="nil"/>
                    <w:tr2bl w:val="nil"/>
                  </w:tcBorders>
                  <w:noWrap w:val="0"/>
                  <w:vAlign w:val="center"/>
                </w:tcPr>
                <w:p w14:paraId="33D5E2A4">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纸</w:t>
                  </w:r>
                </w:p>
              </w:tc>
              <w:tc>
                <w:tcPr>
                  <w:tcW w:w="630" w:type="pct"/>
                  <w:tcBorders>
                    <w:tl2br w:val="nil"/>
                    <w:tr2bl w:val="nil"/>
                  </w:tcBorders>
                  <w:noWrap w:val="0"/>
                  <w:vAlign w:val="center"/>
                </w:tcPr>
                <w:p w14:paraId="3EE3ECB3">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0.12t</w:t>
                  </w:r>
                </w:p>
              </w:tc>
              <w:tc>
                <w:tcPr>
                  <w:tcW w:w="592" w:type="pct"/>
                  <w:tcBorders>
                    <w:tl2br w:val="nil"/>
                    <w:tr2bl w:val="nil"/>
                  </w:tcBorders>
                  <w:noWrap w:val="0"/>
                  <w:vAlign w:val="center"/>
                </w:tcPr>
                <w:p w14:paraId="0BE3B536">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0.12t</w:t>
                  </w:r>
                </w:p>
              </w:tc>
              <w:tc>
                <w:tcPr>
                  <w:tcW w:w="683" w:type="pct"/>
                  <w:tcBorders>
                    <w:tl2br w:val="nil"/>
                    <w:tr2bl w:val="nil"/>
                  </w:tcBorders>
                  <w:noWrap w:val="0"/>
                  <w:vAlign w:val="center"/>
                </w:tcPr>
                <w:p w14:paraId="143101B2">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袋装</w:t>
                  </w:r>
                </w:p>
              </w:tc>
              <w:tc>
                <w:tcPr>
                  <w:tcW w:w="943" w:type="pct"/>
                  <w:tcBorders>
                    <w:tl2br w:val="nil"/>
                    <w:tr2bl w:val="nil"/>
                  </w:tcBorders>
                  <w:noWrap w:val="0"/>
                  <w:vAlign w:val="center"/>
                </w:tcPr>
                <w:p w14:paraId="6849D562">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73AEC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384" w:type="pct"/>
                  <w:tcBorders>
                    <w:tl2br w:val="nil"/>
                    <w:tr2bl w:val="nil"/>
                  </w:tcBorders>
                  <w:noWrap w:val="0"/>
                  <w:vAlign w:val="center"/>
                </w:tcPr>
                <w:p w14:paraId="679B44C7">
                  <w:pPr>
                    <w:adjustRightInd w:val="0"/>
                    <w:snapToGrid w:val="0"/>
                    <w:spacing w:before="62" w:beforeLines="20" w:after="62" w:afterLines="20"/>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11</w:t>
                  </w:r>
                </w:p>
              </w:tc>
              <w:tc>
                <w:tcPr>
                  <w:tcW w:w="823" w:type="pct"/>
                  <w:tcBorders>
                    <w:tl2br w:val="nil"/>
                    <w:tr2bl w:val="nil"/>
                  </w:tcBorders>
                  <w:noWrap w:val="0"/>
                  <w:vAlign w:val="center"/>
                </w:tcPr>
                <w:p w14:paraId="2380FDDA">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纸箱</w:t>
                  </w:r>
                </w:p>
              </w:tc>
              <w:tc>
                <w:tcPr>
                  <w:tcW w:w="942" w:type="pct"/>
                  <w:tcBorders>
                    <w:tl2br w:val="nil"/>
                    <w:tr2bl w:val="nil"/>
                  </w:tcBorders>
                  <w:noWrap w:val="0"/>
                  <w:vAlign w:val="center"/>
                </w:tcPr>
                <w:p w14:paraId="70007A59">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纸</w:t>
                  </w:r>
                </w:p>
              </w:tc>
              <w:tc>
                <w:tcPr>
                  <w:tcW w:w="630" w:type="pct"/>
                  <w:tcBorders>
                    <w:tl2br w:val="nil"/>
                    <w:tr2bl w:val="nil"/>
                  </w:tcBorders>
                  <w:noWrap w:val="0"/>
                  <w:vAlign w:val="center"/>
                </w:tcPr>
                <w:p w14:paraId="2EDE721B">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15t</w:t>
                  </w:r>
                </w:p>
              </w:tc>
              <w:tc>
                <w:tcPr>
                  <w:tcW w:w="592" w:type="pct"/>
                  <w:tcBorders>
                    <w:tl2br w:val="nil"/>
                    <w:tr2bl w:val="nil"/>
                  </w:tcBorders>
                  <w:noWrap w:val="0"/>
                  <w:vAlign w:val="center"/>
                </w:tcPr>
                <w:p w14:paraId="3A892F0E">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kern w:val="2"/>
                      <w:sz w:val="21"/>
                      <w:szCs w:val="21"/>
                      <w:lang w:val="en-US" w:eastAsia="zh-CN" w:bidi="ar-SA"/>
                    </w:rPr>
                    <w:t>3t</w:t>
                  </w:r>
                </w:p>
              </w:tc>
              <w:tc>
                <w:tcPr>
                  <w:tcW w:w="683" w:type="pct"/>
                  <w:tcBorders>
                    <w:tl2br w:val="nil"/>
                    <w:tr2bl w:val="nil"/>
                  </w:tcBorders>
                  <w:noWrap w:val="0"/>
                  <w:vAlign w:val="center"/>
                </w:tcPr>
                <w:p w14:paraId="5C69CFA9">
                  <w:pPr>
                    <w:adjustRightInd w:val="0"/>
                    <w:snapToGrid w:val="0"/>
                    <w:spacing w:before="62" w:beforeLines="20" w:after="62" w:afterLines="20"/>
                    <w:jc w:val="center"/>
                    <w:rPr>
                      <w:rFonts w:hint="default" w:ascii="Times New Roman" w:hAnsi="Times New Roman"/>
                      <w:color w:val="000000"/>
                      <w:kern w:val="2"/>
                      <w:sz w:val="21"/>
                      <w:szCs w:val="21"/>
                      <w:lang w:val="en-US" w:eastAsia="zh-CN" w:bidi="ar-SA"/>
                    </w:rPr>
                  </w:pPr>
                  <w:r>
                    <w:rPr>
                      <w:rFonts w:hint="eastAsia"/>
                      <w:color w:val="000000"/>
                      <w:kern w:val="2"/>
                      <w:sz w:val="21"/>
                      <w:szCs w:val="21"/>
                      <w:lang w:val="en-US" w:eastAsia="zh-CN" w:bidi="ar-SA"/>
                    </w:rPr>
                    <w:t>捆装</w:t>
                  </w:r>
                </w:p>
              </w:tc>
              <w:tc>
                <w:tcPr>
                  <w:tcW w:w="943" w:type="pct"/>
                  <w:tcBorders>
                    <w:tl2br w:val="nil"/>
                    <w:tr2bl w:val="nil"/>
                  </w:tcBorders>
                  <w:noWrap w:val="0"/>
                  <w:vAlign w:val="center"/>
                </w:tcPr>
                <w:p w14:paraId="4500D079">
                  <w:pPr>
                    <w:adjustRightInd w:val="0"/>
                    <w:snapToGrid w:val="0"/>
                    <w:spacing w:before="62" w:beforeLines="20" w:after="62" w:afterLines="20"/>
                    <w:jc w:val="center"/>
                    <w:rPr>
                      <w:rFonts w:hint="default" w:ascii="Times New Roman" w:hAnsi="Times New Roman" w:eastAsia="宋体"/>
                      <w:color w:val="000000"/>
                      <w:kern w:val="2"/>
                      <w:sz w:val="21"/>
                      <w:szCs w:val="21"/>
                      <w:lang w:val="en-US" w:eastAsia="zh-CN" w:bidi="ar-SA"/>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7EB49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84" w:type="pct"/>
                  <w:tcBorders>
                    <w:tl2br w:val="nil"/>
                    <w:tr2bl w:val="nil"/>
                  </w:tcBorders>
                  <w:noWrap w:val="0"/>
                  <w:vAlign w:val="center"/>
                </w:tcPr>
                <w:p w14:paraId="590709CA">
                  <w:pPr>
                    <w:adjustRightInd w:val="0"/>
                    <w:snapToGrid w:val="0"/>
                    <w:spacing w:before="62" w:beforeLines="20" w:after="62" w:afterLines="20"/>
                    <w:jc w:val="center"/>
                    <w:rPr>
                      <w:rFonts w:hint="default" w:ascii="Times New Roman" w:hAnsi="Times New Roman"/>
                      <w:color w:val="000000"/>
                      <w:szCs w:val="21"/>
                      <w:lang w:val="en-US" w:eastAsia="zh-CN"/>
                    </w:rPr>
                  </w:pPr>
                  <w:r>
                    <w:rPr>
                      <w:rFonts w:hint="eastAsia"/>
                      <w:color w:val="000000"/>
                      <w:szCs w:val="21"/>
                      <w:lang w:val="en-US" w:eastAsia="zh-CN"/>
                    </w:rPr>
                    <w:t>12</w:t>
                  </w:r>
                </w:p>
              </w:tc>
              <w:tc>
                <w:tcPr>
                  <w:tcW w:w="823" w:type="pct"/>
                  <w:tcBorders>
                    <w:tl2br w:val="nil"/>
                    <w:tr2bl w:val="nil"/>
                  </w:tcBorders>
                  <w:noWrap w:val="0"/>
                  <w:vAlign w:val="center"/>
                </w:tcPr>
                <w:p w14:paraId="0FF39A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kern w:val="2"/>
                      <w:sz w:val="21"/>
                      <w:szCs w:val="21"/>
                      <w:lang w:val="en-US" w:eastAsia="zh-CN" w:bidi="ar-SA"/>
                    </w:rPr>
                  </w:pPr>
                  <w:r>
                    <w:rPr>
                      <w:rFonts w:hint="eastAsia"/>
                      <w:color w:val="000000"/>
                      <w:kern w:val="2"/>
                      <w:sz w:val="21"/>
                      <w:szCs w:val="21"/>
                      <w:lang w:val="en-US" w:eastAsia="zh-CN" w:bidi="ar-SA"/>
                    </w:rPr>
                    <w:t>医用高压蒸汽灭菌袋</w:t>
                  </w:r>
                </w:p>
              </w:tc>
              <w:tc>
                <w:tcPr>
                  <w:tcW w:w="942" w:type="pct"/>
                  <w:tcBorders>
                    <w:tl2br w:val="nil"/>
                    <w:tr2bl w:val="nil"/>
                  </w:tcBorders>
                  <w:noWrap w:val="0"/>
                  <w:vAlign w:val="center"/>
                </w:tcPr>
                <w:p w14:paraId="62E9CB2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kern w:val="2"/>
                      <w:sz w:val="21"/>
                      <w:szCs w:val="21"/>
                      <w:lang w:val="en-US" w:eastAsia="zh-CN" w:bidi="ar-SA"/>
                    </w:rPr>
                  </w:pPr>
                  <w:r>
                    <w:rPr>
                      <w:rFonts w:hint="default"/>
                      <w:color w:val="000000"/>
                      <w:kern w:val="2"/>
                      <w:sz w:val="21"/>
                      <w:szCs w:val="21"/>
                      <w:lang w:val="en-US" w:eastAsia="zh-CN" w:bidi="ar-SA"/>
                    </w:rPr>
                    <w:t>聚丙烯</w:t>
                  </w:r>
                  <w:r>
                    <w:rPr>
                      <w:rFonts w:hint="eastAsia"/>
                      <w:color w:val="000000"/>
                      <w:kern w:val="2"/>
                      <w:sz w:val="21"/>
                      <w:szCs w:val="21"/>
                      <w:lang w:val="en-US" w:eastAsia="zh-CN" w:bidi="ar-SA"/>
                    </w:rPr>
                    <w:t>、</w:t>
                  </w:r>
                  <w:r>
                    <w:rPr>
                      <w:rFonts w:hint="default"/>
                      <w:color w:val="000000"/>
                      <w:kern w:val="2"/>
                      <w:sz w:val="21"/>
                      <w:szCs w:val="21"/>
                      <w:lang w:val="en-US" w:eastAsia="zh-CN" w:bidi="ar-SA"/>
                    </w:rPr>
                    <w:t>医用纸</w:t>
                  </w:r>
                </w:p>
              </w:tc>
              <w:tc>
                <w:tcPr>
                  <w:tcW w:w="630" w:type="pct"/>
                  <w:tcBorders>
                    <w:tl2br w:val="nil"/>
                    <w:tr2bl w:val="nil"/>
                  </w:tcBorders>
                  <w:noWrap w:val="0"/>
                  <w:vAlign w:val="center"/>
                </w:tcPr>
                <w:p w14:paraId="44606773">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0.02t</w:t>
                  </w:r>
                </w:p>
              </w:tc>
              <w:tc>
                <w:tcPr>
                  <w:tcW w:w="592" w:type="pct"/>
                  <w:tcBorders>
                    <w:tl2br w:val="nil"/>
                    <w:tr2bl w:val="nil"/>
                  </w:tcBorders>
                  <w:noWrap w:val="0"/>
                  <w:vAlign w:val="center"/>
                </w:tcPr>
                <w:p w14:paraId="689D9E10">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0.01t</w:t>
                  </w:r>
                </w:p>
              </w:tc>
              <w:tc>
                <w:tcPr>
                  <w:tcW w:w="683" w:type="pct"/>
                  <w:tcBorders>
                    <w:tl2br w:val="nil"/>
                    <w:tr2bl w:val="nil"/>
                  </w:tcBorders>
                  <w:noWrap w:val="0"/>
                  <w:vAlign w:val="center"/>
                </w:tcPr>
                <w:p w14:paraId="2D3BC2FC">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袋装</w:t>
                  </w:r>
                </w:p>
              </w:tc>
              <w:tc>
                <w:tcPr>
                  <w:tcW w:w="943" w:type="pct"/>
                  <w:tcBorders>
                    <w:tl2br w:val="nil"/>
                    <w:tr2bl w:val="nil"/>
                  </w:tcBorders>
                  <w:noWrap w:val="0"/>
                  <w:vAlign w:val="center"/>
                </w:tcPr>
                <w:p w14:paraId="7C566E46">
                  <w:pPr>
                    <w:adjustRightInd w:val="0"/>
                    <w:snapToGrid w:val="0"/>
                    <w:spacing w:before="62" w:beforeLines="20" w:after="62" w:afterLines="20"/>
                    <w:jc w:val="center"/>
                    <w:rPr>
                      <w:rFonts w:hint="default" w:ascii="Times New Roman" w:hAnsi="Times New Roman"/>
                      <w:color w:val="000000"/>
                      <w:szCs w:val="21"/>
                      <w:lang w:val="en-US" w:eastAsia="zh-CN"/>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5E9843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493715D8">
                  <w:pPr>
                    <w:adjustRightInd w:val="0"/>
                    <w:snapToGrid w:val="0"/>
                    <w:spacing w:before="62" w:beforeLines="20" w:after="62" w:afterLines="20"/>
                    <w:jc w:val="center"/>
                    <w:rPr>
                      <w:rFonts w:hint="default"/>
                      <w:color w:val="000000"/>
                      <w:szCs w:val="21"/>
                      <w:lang w:val="en-US" w:eastAsia="zh-CN"/>
                    </w:rPr>
                  </w:pPr>
                  <w:r>
                    <w:rPr>
                      <w:rFonts w:hint="eastAsia"/>
                      <w:color w:val="000000"/>
                      <w:szCs w:val="21"/>
                      <w:lang w:val="en-US" w:eastAsia="zh-CN"/>
                    </w:rPr>
                    <w:t>13</w:t>
                  </w:r>
                </w:p>
              </w:tc>
              <w:tc>
                <w:tcPr>
                  <w:tcW w:w="823" w:type="pct"/>
                  <w:tcBorders>
                    <w:tl2br w:val="nil"/>
                    <w:tr2bl w:val="nil"/>
                  </w:tcBorders>
                  <w:noWrap w:val="0"/>
                  <w:vAlign w:val="center"/>
                </w:tcPr>
                <w:p w14:paraId="148649FC">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洗洁精</w:t>
                  </w:r>
                </w:p>
              </w:tc>
              <w:tc>
                <w:tcPr>
                  <w:tcW w:w="942" w:type="pct"/>
                  <w:tcBorders>
                    <w:tl2br w:val="nil"/>
                    <w:tr2bl w:val="nil"/>
                  </w:tcBorders>
                  <w:noWrap w:val="0"/>
                  <w:vAlign w:val="center"/>
                </w:tcPr>
                <w:p w14:paraId="1AA75316">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LAS、AES</w:t>
                  </w:r>
                </w:p>
              </w:tc>
              <w:tc>
                <w:tcPr>
                  <w:tcW w:w="630" w:type="pct"/>
                  <w:tcBorders>
                    <w:tl2br w:val="nil"/>
                    <w:tr2bl w:val="nil"/>
                  </w:tcBorders>
                  <w:noWrap w:val="0"/>
                  <w:vAlign w:val="center"/>
                </w:tcPr>
                <w:p w14:paraId="3B81488A">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0.1t</w:t>
                  </w:r>
                </w:p>
              </w:tc>
              <w:tc>
                <w:tcPr>
                  <w:tcW w:w="592" w:type="pct"/>
                  <w:tcBorders>
                    <w:tl2br w:val="nil"/>
                    <w:tr2bl w:val="nil"/>
                  </w:tcBorders>
                  <w:noWrap w:val="0"/>
                  <w:vAlign w:val="center"/>
                </w:tcPr>
                <w:p w14:paraId="57251ED7">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0.02t</w:t>
                  </w:r>
                </w:p>
              </w:tc>
              <w:tc>
                <w:tcPr>
                  <w:tcW w:w="683" w:type="pct"/>
                  <w:tcBorders>
                    <w:tl2br w:val="nil"/>
                    <w:tr2bl w:val="nil"/>
                  </w:tcBorders>
                  <w:noWrap w:val="0"/>
                  <w:vAlign w:val="center"/>
                </w:tcPr>
                <w:p w14:paraId="2E061EA5">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5kg/瓶</w:t>
                  </w:r>
                </w:p>
              </w:tc>
              <w:tc>
                <w:tcPr>
                  <w:tcW w:w="943" w:type="pct"/>
                  <w:tcBorders>
                    <w:tl2br w:val="nil"/>
                    <w:tr2bl w:val="nil"/>
                  </w:tcBorders>
                  <w:noWrap w:val="0"/>
                  <w:vAlign w:val="center"/>
                </w:tcPr>
                <w:p w14:paraId="3964FD77">
                  <w:pPr>
                    <w:adjustRightInd w:val="0"/>
                    <w:snapToGrid w:val="0"/>
                    <w:spacing w:before="62" w:beforeLines="20" w:after="62" w:afterLines="20"/>
                    <w:jc w:val="center"/>
                    <w:rPr>
                      <w:rFonts w:hint="default"/>
                      <w:color w:val="000000"/>
                      <w:szCs w:val="21"/>
                      <w:lang w:val="en-US" w:eastAsia="zh-CN"/>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r w14:paraId="745B0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noWrap w:val="0"/>
                  <w:vAlign w:val="center"/>
                </w:tcPr>
                <w:p w14:paraId="72D335FF">
                  <w:pPr>
                    <w:adjustRightInd w:val="0"/>
                    <w:snapToGrid w:val="0"/>
                    <w:spacing w:before="62" w:beforeLines="20" w:after="62" w:afterLines="20"/>
                    <w:jc w:val="center"/>
                    <w:rPr>
                      <w:rFonts w:hint="default"/>
                      <w:color w:val="000000"/>
                      <w:szCs w:val="21"/>
                      <w:lang w:val="en-US" w:eastAsia="zh-CN"/>
                    </w:rPr>
                  </w:pPr>
                  <w:r>
                    <w:rPr>
                      <w:rFonts w:hint="eastAsia"/>
                      <w:color w:val="000000"/>
                      <w:szCs w:val="21"/>
                      <w:lang w:val="en-US" w:eastAsia="zh-CN"/>
                    </w:rPr>
                    <w:t>14</w:t>
                  </w:r>
                </w:p>
              </w:tc>
              <w:tc>
                <w:tcPr>
                  <w:tcW w:w="823" w:type="pct"/>
                  <w:tcBorders>
                    <w:tl2br w:val="nil"/>
                    <w:tr2bl w:val="nil"/>
                  </w:tcBorders>
                  <w:noWrap w:val="0"/>
                  <w:vAlign w:val="center"/>
                </w:tcPr>
                <w:p w14:paraId="2E47AC45">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润滑油</w:t>
                  </w:r>
                </w:p>
              </w:tc>
              <w:tc>
                <w:tcPr>
                  <w:tcW w:w="942" w:type="pct"/>
                  <w:tcBorders>
                    <w:tl2br w:val="nil"/>
                    <w:tr2bl w:val="nil"/>
                  </w:tcBorders>
                  <w:noWrap w:val="0"/>
                  <w:vAlign w:val="center"/>
                </w:tcPr>
                <w:p w14:paraId="72647780">
                  <w:pPr>
                    <w:adjustRightInd w:val="0"/>
                    <w:snapToGrid w:val="0"/>
                    <w:spacing w:before="62" w:beforeLines="20" w:after="62" w:afterLines="20"/>
                    <w:jc w:val="center"/>
                    <w:rPr>
                      <w:rFonts w:hint="eastAsia"/>
                      <w:color w:val="000000"/>
                      <w:kern w:val="2"/>
                      <w:sz w:val="21"/>
                      <w:szCs w:val="21"/>
                      <w:lang w:val="en-US" w:eastAsia="zh-CN" w:bidi="ar-SA"/>
                    </w:rPr>
                  </w:pPr>
                  <w:r>
                    <w:rPr>
                      <w:rFonts w:hint="eastAsia"/>
                      <w:snapToGrid w:val="0"/>
                      <w:color w:val="auto"/>
                      <w:sz w:val="21"/>
                      <w:szCs w:val="21"/>
                      <w:shd w:val="clear" w:color="auto" w:fill="FFFFFF"/>
                      <w:lang w:val="en-US" w:eastAsia="zh-CN"/>
                    </w:rPr>
                    <w:t>基础矿物油</w:t>
                  </w:r>
                </w:p>
              </w:tc>
              <w:tc>
                <w:tcPr>
                  <w:tcW w:w="630" w:type="pct"/>
                  <w:tcBorders>
                    <w:tl2br w:val="nil"/>
                    <w:tr2bl w:val="nil"/>
                  </w:tcBorders>
                  <w:noWrap w:val="0"/>
                  <w:vAlign w:val="center"/>
                </w:tcPr>
                <w:p w14:paraId="41CC0D21">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0.01t</w:t>
                  </w:r>
                </w:p>
              </w:tc>
              <w:tc>
                <w:tcPr>
                  <w:tcW w:w="592" w:type="pct"/>
                  <w:tcBorders>
                    <w:tl2br w:val="nil"/>
                    <w:tr2bl w:val="nil"/>
                  </w:tcBorders>
                  <w:noWrap w:val="0"/>
                  <w:vAlign w:val="center"/>
                </w:tcPr>
                <w:p w14:paraId="3B079B2A">
                  <w:pPr>
                    <w:adjustRightInd w:val="0"/>
                    <w:snapToGrid w:val="0"/>
                    <w:spacing w:before="62" w:beforeLines="20" w:after="62" w:afterLines="20"/>
                    <w:jc w:val="center"/>
                    <w:rPr>
                      <w:rFonts w:hint="default"/>
                      <w:color w:val="000000"/>
                      <w:kern w:val="2"/>
                      <w:sz w:val="21"/>
                      <w:szCs w:val="21"/>
                      <w:lang w:val="en-US" w:eastAsia="zh-CN" w:bidi="ar-SA"/>
                    </w:rPr>
                  </w:pPr>
                  <w:r>
                    <w:rPr>
                      <w:rFonts w:hint="eastAsia"/>
                      <w:color w:val="000000"/>
                      <w:kern w:val="2"/>
                      <w:sz w:val="21"/>
                      <w:szCs w:val="21"/>
                      <w:lang w:val="en-US" w:eastAsia="zh-CN" w:bidi="ar-SA"/>
                    </w:rPr>
                    <w:t>0.01t</w:t>
                  </w:r>
                </w:p>
              </w:tc>
              <w:tc>
                <w:tcPr>
                  <w:tcW w:w="683" w:type="pct"/>
                  <w:tcBorders>
                    <w:tl2br w:val="nil"/>
                    <w:tr2bl w:val="nil"/>
                  </w:tcBorders>
                  <w:noWrap w:val="0"/>
                  <w:vAlign w:val="center"/>
                </w:tcPr>
                <w:p w14:paraId="1737EAD6">
                  <w:pPr>
                    <w:adjustRightInd w:val="0"/>
                    <w:snapToGrid w:val="0"/>
                    <w:spacing w:before="62" w:beforeLines="20" w:after="62" w:afterLines="20"/>
                    <w:jc w:val="center"/>
                    <w:rPr>
                      <w:rFonts w:hint="default"/>
                      <w:color w:val="000000"/>
                      <w:kern w:val="2"/>
                      <w:sz w:val="21"/>
                      <w:szCs w:val="21"/>
                      <w:lang w:val="en-US" w:eastAsia="zh-CN" w:bidi="ar-SA"/>
                    </w:rPr>
                  </w:pPr>
                  <w:r>
                    <w:rPr>
                      <w:rFonts w:hint="eastAsia" w:ascii="Times New Roman" w:hAnsi="Times New Roman"/>
                      <w:color w:val="000000"/>
                      <w:kern w:val="2"/>
                      <w:sz w:val="21"/>
                      <w:szCs w:val="21"/>
                      <w:highlight w:val="none"/>
                      <w:lang w:val="en-US" w:eastAsia="zh-CN" w:bidi="ar-SA"/>
                    </w:rPr>
                    <w:t>10kg/桶</w:t>
                  </w:r>
                </w:p>
              </w:tc>
              <w:tc>
                <w:tcPr>
                  <w:tcW w:w="943" w:type="pct"/>
                  <w:tcBorders>
                    <w:tl2br w:val="nil"/>
                    <w:tr2bl w:val="nil"/>
                  </w:tcBorders>
                  <w:noWrap w:val="0"/>
                  <w:vAlign w:val="center"/>
                </w:tcPr>
                <w:p w14:paraId="242F200F">
                  <w:pPr>
                    <w:adjustRightInd w:val="0"/>
                    <w:snapToGrid w:val="0"/>
                    <w:spacing w:before="62" w:beforeLines="20" w:after="62" w:afterLines="20"/>
                    <w:jc w:val="center"/>
                    <w:rPr>
                      <w:rFonts w:hint="default"/>
                      <w:color w:val="000000"/>
                      <w:szCs w:val="21"/>
                      <w:lang w:val="en-US" w:eastAsia="zh-CN"/>
                    </w:rPr>
                  </w:pPr>
                  <w:r>
                    <w:rPr>
                      <w:rFonts w:hint="eastAsia"/>
                      <w:color w:val="000000"/>
                      <w:szCs w:val="21"/>
                      <w:lang w:val="en-US" w:eastAsia="zh-CN"/>
                    </w:rPr>
                    <w:t>国内，</w:t>
                  </w:r>
                  <w:r>
                    <w:rPr>
                      <w:rFonts w:hint="eastAsia" w:ascii="Times New Roman" w:hAnsi="Times New Roman"/>
                      <w:color w:val="000000"/>
                      <w:szCs w:val="21"/>
                      <w:lang w:val="en-US" w:eastAsia="zh-CN"/>
                    </w:rPr>
                    <w:t>货</w:t>
                  </w:r>
                  <w:r>
                    <w:rPr>
                      <w:rFonts w:hint="eastAsia"/>
                      <w:color w:val="000000"/>
                      <w:szCs w:val="21"/>
                      <w:lang w:val="en-US" w:eastAsia="zh-CN"/>
                    </w:rPr>
                    <w:t>运</w:t>
                  </w:r>
                </w:p>
              </w:tc>
            </w:tr>
          </w:tbl>
          <w:p w14:paraId="312B92D1">
            <w:pPr>
              <w:widowControl/>
              <w:spacing w:line="360" w:lineRule="auto"/>
              <w:ind w:firstLine="480" w:firstLineChars="200"/>
              <w:jc w:val="left"/>
              <w:rPr>
                <w:b/>
                <w:bCs/>
                <w:color w:val="auto"/>
                <w:szCs w:val="21"/>
              </w:rPr>
            </w:pPr>
            <w:r>
              <w:rPr>
                <w:rFonts w:hint="eastAsia"/>
                <w:color w:val="auto"/>
                <w:sz w:val="24"/>
              </w:rPr>
              <w:t>项目主要原辅材料理化性质见下表：</w:t>
            </w:r>
          </w:p>
          <w:p w14:paraId="4E1CF061">
            <w:pPr>
              <w:keepNext w:val="0"/>
              <w:keepLines w:val="0"/>
              <w:pageBreakBefore w:val="0"/>
              <w:widowControl w:val="0"/>
              <w:kinsoku/>
              <w:wordWrap/>
              <w:overflowPunct/>
              <w:topLinePunct w:val="0"/>
              <w:autoSpaceDE/>
              <w:autoSpaceDN/>
              <w:bidi w:val="0"/>
              <w:adjustRightInd/>
              <w:snapToGrid/>
              <w:jc w:val="center"/>
              <w:textAlignment w:val="auto"/>
              <w:rPr>
                <w:b/>
                <w:bCs/>
                <w:color w:val="auto"/>
                <w:szCs w:val="21"/>
                <w:highlight w:val="none"/>
              </w:rPr>
            </w:pPr>
            <w:r>
              <w:rPr>
                <w:b/>
                <w:bCs/>
                <w:color w:val="auto"/>
                <w:szCs w:val="21"/>
                <w:highlight w:val="none"/>
              </w:rPr>
              <w:t>表</w:t>
            </w:r>
            <w:r>
              <w:rPr>
                <w:rFonts w:hint="eastAsia"/>
                <w:b/>
                <w:bCs/>
                <w:color w:val="auto"/>
                <w:szCs w:val="21"/>
                <w:highlight w:val="none"/>
              </w:rPr>
              <w:t>2</w:t>
            </w:r>
            <w:r>
              <w:rPr>
                <w:rFonts w:hint="eastAsia"/>
                <w:b/>
                <w:bCs/>
                <w:color w:val="auto"/>
                <w:szCs w:val="21"/>
                <w:highlight w:val="none"/>
                <w:lang w:val="en-US" w:eastAsia="zh-CN"/>
              </w:rPr>
              <w:t>-7</w:t>
            </w:r>
            <w:r>
              <w:rPr>
                <w:rFonts w:hint="eastAsia"/>
                <w:b/>
                <w:bCs/>
                <w:color w:val="auto"/>
                <w:szCs w:val="21"/>
                <w:highlight w:val="none"/>
              </w:rPr>
              <w:t xml:space="preserve"> 项目主要原辅材料理化性质</w:t>
            </w:r>
          </w:p>
          <w:tbl>
            <w:tblPr>
              <w:tblStyle w:val="20"/>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754"/>
              <w:gridCol w:w="4038"/>
              <w:gridCol w:w="1287"/>
              <w:gridCol w:w="1201"/>
            </w:tblGrid>
            <w:tr w14:paraId="7E7B1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64" w:hRule="atLeast"/>
                <w:tblHeader/>
                <w:jc w:val="center"/>
              </w:trPr>
              <w:tc>
                <w:tcPr>
                  <w:tcW w:w="1754" w:type="dxa"/>
                  <w:shd w:val="clear" w:color="auto" w:fill="FFFFFF"/>
                  <w:noWrap w:val="0"/>
                  <w:vAlign w:val="center"/>
                </w:tcPr>
                <w:p w14:paraId="5B3B921A">
                  <w:pPr>
                    <w:pStyle w:val="24"/>
                    <w:keepNext w:val="0"/>
                    <w:keepLines w:val="0"/>
                    <w:pageBreakBefore w:val="0"/>
                    <w:kinsoku/>
                    <w:wordWrap/>
                    <w:overflowPunct/>
                    <w:topLinePunct w:val="0"/>
                    <w:bidi w:val="0"/>
                    <w:spacing w:after="0" w:line="240" w:lineRule="auto"/>
                    <w:ind w:left="0" w:leftChars="0" w:right="0"/>
                    <w:jc w:val="center"/>
                    <w:rPr>
                      <w:rFonts w:ascii="Times New Roman" w:hAnsi="Times New Roman" w:eastAsia="宋体"/>
                      <w:b/>
                      <w:bCs/>
                      <w:snapToGrid w:val="0"/>
                      <w:color w:val="auto"/>
                      <w:kern w:val="0"/>
                      <w:sz w:val="21"/>
                      <w:szCs w:val="21"/>
                    </w:rPr>
                  </w:pPr>
                  <w:r>
                    <w:rPr>
                      <w:rFonts w:ascii="Times New Roman" w:hAnsi="Times New Roman" w:eastAsia="宋体"/>
                      <w:b/>
                      <w:bCs/>
                      <w:color w:val="auto"/>
                      <w:sz w:val="21"/>
                      <w:szCs w:val="21"/>
                    </w:rPr>
                    <w:t>原辅料名称</w:t>
                  </w:r>
                </w:p>
              </w:tc>
              <w:tc>
                <w:tcPr>
                  <w:tcW w:w="4038" w:type="dxa"/>
                  <w:shd w:val="clear" w:color="auto" w:fill="FFFFFF"/>
                  <w:noWrap w:val="0"/>
                  <w:vAlign w:val="center"/>
                </w:tcPr>
                <w:p w14:paraId="1CAB0315">
                  <w:pPr>
                    <w:pStyle w:val="24"/>
                    <w:keepNext w:val="0"/>
                    <w:keepLines w:val="0"/>
                    <w:pageBreakBefore w:val="0"/>
                    <w:kinsoku/>
                    <w:wordWrap/>
                    <w:overflowPunct/>
                    <w:topLinePunct w:val="0"/>
                    <w:bidi w:val="0"/>
                    <w:spacing w:after="0" w:line="240" w:lineRule="auto"/>
                    <w:ind w:left="0" w:leftChars="0" w:right="0"/>
                    <w:jc w:val="center"/>
                    <w:rPr>
                      <w:rFonts w:ascii="Times New Roman" w:hAnsi="Times New Roman" w:eastAsia="宋体"/>
                      <w:b/>
                      <w:bCs/>
                      <w:snapToGrid w:val="0"/>
                      <w:color w:val="auto"/>
                      <w:kern w:val="0"/>
                      <w:sz w:val="21"/>
                      <w:szCs w:val="21"/>
                    </w:rPr>
                  </w:pPr>
                  <w:r>
                    <w:rPr>
                      <w:rFonts w:ascii="Times New Roman" w:hAnsi="Times New Roman" w:eastAsia="宋体"/>
                      <w:b/>
                      <w:bCs/>
                      <w:color w:val="auto"/>
                      <w:sz w:val="21"/>
                      <w:szCs w:val="21"/>
                    </w:rPr>
                    <w:t>理化特性</w:t>
                  </w:r>
                </w:p>
              </w:tc>
              <w:tc>
                <w:tcPr>
                  <w:tcW w:w="1287" w:type="dxa"/>
                  <w:shd w:val="clear" w:color="auto" w:fill="FFFFFF"/>
                  <w:noWrap w:val="0"/>
                  <w:vAlign w:val="center"/>
                </w:tcPr>
                <w:p w14:paraId="474EA593">
                  <w:pPr>
                    <w:pStyle w:val="24"/>
                    <w:keepNext w:val="0"/>
                    <w:keepLines w:val="0"/>
                    <w:pageBreakBefore w:val="0"/>
                    <w:kinsoku/>
                    <w:wordWrap/>
                    <w:overflowPunct/>
                    <w:topLinePunct w:val="0"/>
                    <w:bidi w:val="0"/>
                    <w:spacing w:after="0" w:line="240" w:lineRule="auto"/>
                    <w:ind w:left="0" w:leftChars="0" w:right="0"/>
                    <w:jc w:val="center"/>
                    <w:rPr>
                      <w:rStyle w:val="25"/>
                      <w:rFonts w:ascii="Times New Roman" w:hAnsi="Times New Roman" w:cs="Times New Roman"/>
                      <w:b/>
                      <w:bCs/>
                      <w:snapToGrid w:val="0"/>
                      <w:color w:val="auto"/>
                      <w:kern w:val="0"/>
                      <w:sz w:val="21"/>
                      <w:szCs w:val="21"/>
                    </w:rPr>
                  </w:pPr>
                  <w:r>
                    <w:rPr>
                      <w:rFonts w:ascii="Times New Roman" w:hAnsi="Times New Roman" w:eastAsia="宋体"/>
                      <w:b/>
                      <w:bCs/>
                      <w:color w:val="auto"/>
                      <w:sz w:val="21"/>
                      <w:szCs w:val="21"/>
                    </w:rPr>
                    <w:t>易燃爆炸性</w:t>
                  </w:r>
                </w:p>
              </w:tc>
              <w:tc>
                <w:tcPr>
                  <w:tcW w:w="1201" w:type="dxa"/>
                  <w:shd w:val="clear" w:color="auto" w:fill="FFFFFF"/>
                  <w:noWrap w:val="0"/>
                  <w:vAlign w:val="center"/>
                </w:tcPr>
                <w:p w14:paraId="078C3C2F">
                  <w:pPr>
                    <w:pStyle w:val="24"/>
                    <w:keepNext w:val="0"/>
                    <w:keepLines w:val="0"/>
                    <w:pageBreakBefore w:val="0"/>
                    <w:kinsoku/>
                    <w:wordWrap/>
                    <w:overflowPunct/>
                    <w:topLinePunct w:val="0"/>
                    <w:bidi w:val="0"/>
                    <w:spacing w:after="0" w:line="240" w:lineRule="auto"/>
                    <w:ind w:left="0" w:leftChars="0" w:right="0"/>
                    <w:jc w:val="center"/>
                    <w:rPr>
                      <w:rStyle w:val="25"/>
                      <w:rFonts w:ascii="Times New Roman" w:hAnsi="Times New Roman" w:cs="Times New Roman"/>
                      <w:b/>
                      <w:bCs/>
                      <w:snapToGrid w:val="0"/>
                      <w:color w:val="auto"/>
                      <w:kern w:val="0"/>
                      <w:sz w:val="21"/>
                      <w:szCs w:val="21"/>
                    </w:rPr>
                  </w:pPr>
                  <w:r>
                    <w:rPr>
                      <w:rFonts w:ascii="Times New Roman" w:hAnsi="Times New Roman" w:eastAsia="宋体"/>
                      <w:b/>
                      <w:bCs/>
                      <w:color w:val="auto"/>
                      <w:sz w:val="21"/>
                      <w:szCs w:val="21"/>
                    </w:rPr>
                    <w:t>毒理毒性</w:t>
                  </w:r>
                </w:p>
              </w:tc>
            </w:tr>
            <w:tr w14:paraId="49F18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754" w:type="dxa"/>
                  <w:shd w:val="clear" w:color="auto" w:fill="FFFFFF"/>
                  <w:noWrap w:val="0"/>
                  <w:vAlign w:val="center"/>
                </w:tcPr>
                <w:p w14:paraId="39DC4E67">
                  <w:pPr>
                    <w:keepNext w:val="0"/>
                    <w:keepLines w:val="0"/>
                    <w:pageBreakBefore w:val="0"/>
                    <w:kinsoku/>
                    <w:wordWrap/>
                    <w:overflowPunct/>
                    <w:topLinePunct w:val="0"/>
                    <w:bidi w:val="0"/>
                    <w:spacing w:line="240" w:lineRule="auto"/>
                    <w:ind w:right="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PP</w:t>
                  </w:r>
                </w:p>
              </w:tc>
              <w:tc>
                <w:tcPr>
                  <w:tcW w:w="4038" w:type="dxa"/>
                  <w:shd w:val="clear" w:color="auto" w:fill="FFFFFF"/>
                  <w:noWrap w:val="0"/>
                  <w:vAlign w:val="center"/>
                </w:tcPr>
                <w:p w14:paraId="7F984609">
                  <w:pPr>
                    <w:keepNext w:val="0"/>
                    <w:keepLines w:val="0"/>
                    <w:pageBreakBefore w:val="0"/>
                    <w:kinsoku/>
                    <w:wordWrap/>
                    <w:overflowPunct/>
                    <w:topLinePunct w:val="0"/>
                    <w:bidi w:val="0"/>
                    <w:spacing w:line="240" w:lineRule="auto"/>
                    <w:ind w:right="0"/>
                    <w:jc w:val="both"/>
                    <w:rPr>
                      <w:rFonts w:hint="default"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性状</w:t>
                  </w:r>
                  <w:r>
                    <w:rPr>
                      <w:rFonts w:hint="eastAsia" w:ascii="Times New Roman" w:hAnsi="宋体" w:eastAsia="宋体" w:cs="Times New Roman"/>
                      <w:color w:val="auto"/>
                      <w:kern w:val="0"/>
                      <w:sz w:val="21"/>
                      <w:szCs w:val="21"/>
                    </w:rPr>
                    <w:t>：</w:t>
                  </w:r>
                  <w:r>
                    <w:rPr>
                      <w:rFonts w:hint="eastAsia" w:hAnsi="宋体" w:cs="Times New Roman"/>
                      <w:color w:val="auto"/>
                      <w:kern w:val="0"/>
                      <w:sz w:val="21"/>
                      <w:szCs w:val="21"/>
                      <w:lang w:val="en-US" w:eastAsia="zh-CN"/>
                    </w:rPr>
                    <w:t>固体</w:t>
                  </w:r>
                </w:p>
                <w:p w14:paraId="042AA403">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rPr>
                    <w:t>颜色：</w:t>
                  </w:r>
                  <w:r>
                    <w:rPr>
                      <w:rFonts w:hint="eastAsia" w:hAnsi="宋体" w:cs="Times New Roman"/>
                      <w:color w:val="auto"/>
                      <w:kern w:val="0"/>
                      <w:sz w:val="21"/>
                      <w:szCs w:val="21"/>
                      <w:lang w:val="en-US" w:eastAsia="zh-CN"/>
                    </w:rPr>
                    <w:t>乳白色</w:t>
                  </w:r>
                </w:p>
                <w:p w14:paraId="0F281373">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rPr>
                    <w:t>气味：</w:t>
                  </w:r>
                  <w:r>
                    <w:rPr>
                      <w:rFonts w:hint="eastAsia" w:hAnsi="宋体" w:cs="Times New Roman"/>
                      <w:color w:val="auto"/>
                      <w:kern w:val="0"/>
                      <w:sz w:val="21"/>
                      <w:szCs w:val="21"/>
                      <w:lang w:val="en-US" w:eastAsia="zh-CN"/>
                    </w:rPr>
                    <w:t>无味</w:t>
                  </w:r>
                </w:p>
                <w:p w14:paraId="281757CE">
                  <w:pPr>
                    <w:keepNext w:val="0"/>
                    <w:keepLines w:val="0"/>
                    <w:pageBreakBefore w:val="0"/>
                    <w:kinsoku/>
                    <w:wordWrap/>
                    <w:overflowPunct/>
                    <w:topLinePunct w:val="0"/>
                    <w:bidi w:val="0"/>
                    <w:spacing w:line="240" w:lineRule="auto"/>
                    <w:ind w:right="0"/>
                    <w:jc w:val="both"/>
                    <w:rPr>
                      <w:rFonts w:hint="eastAsia" w:ascii="Times New Roman" w:hAnsi="Times New Roman" w:eastAsia="宋体" w:cs="Times New Roman"/>
                      <w:i w:val="0"/>
                      <w:iCs w:val="0"/>
                      <w:caps w:val="0"/>
                      <w:color w:val="333333"/>
                      <w:spacing w:val="0"/>
                      <w:sz w:val="21"/>
                      <w:szCs w:val="21"/>
                      <w:shd w:val="clear"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fill="FFFFFF"/>
                    </w:rPr>
                    <w:t>密度</w:t>
                  </w:r>
                  <w:r>
                    <w:rPr>
                      <w:rFonts w:hint="default" w:ascii="Times New Roman" w:hAnsi="Times New Roman" w:eastAsia="宋体" w:cs="Times New Roman"/>
                      <w:i w:val="0"/>
                      <w:iCs w:val="0"/>
                      <w:caps w:val="0"/>
                      <w:color w:val="333333"/>
                      <w:spacing w:val="0"/>
                      <w:sz w:val="21"/>
                      <w:szCs w:val="21"/>
                      <w:shd w:val="clear" w:fill="FFFFFF"/>
                      <w:lang w:eastAsia="zh-CN"/>
                    </w:rPr>
                    <w:t>：</w:t>
                  </w:r>
                  <w:r>
                    <w:rPr>
                      <w:rFonts w:hint="default" w:ascii="Times New Roman" w:hAnsi="Times New Roman" w:eastAsia="宋体" w:cs="Times New Roman"/>
                      <w:i w:val="0"/>
                      <w:iCs w:val="0"/>
                      <w:caps w:val="0"/>
                      <w:color w:val="333333"/>
                      <w:spacing w:val="0"/>
                      <w:sz w:val="21"/>
                      <w:szCs w:val="21"/>
                      <w:shd w:val="clear" w:fill="FFFFFF"/>
                    </w:rPr>
                    <w:t>0.89～0.92 g/cm</w:t>
                  </w:r>
                  <w:r>
                    <w:rPr>
                      <w:rFonts w:hint="eastAsia" w:ascii="Times New Roman" w:hAnsi="Times New Roman" w:eastAsia="宋体" w:cs="Times New Roman"/>
                      <w:i w:val="0"/>
                      <w:iCs w:val="0"/>
                      <w:caps w:val="0"/>
                      <w:color w:val="333333"/>
                      <w:spacing w:val="0"/>
                      <w:sz w:val="21"/>
                      <w:szCs w:val="21"/>
                      <w:shd w:val="clear" w:fill="FFFFFF"/>
                      <w:vertAlign w:val="superscript"/>
                      <w:lang w:val="en-US" w:eastAsia="zh-CN"/>
                    </w:rPr>
                    <w:t>3</w:t>
                  </w:r>
                </w:p>
                <w:p w14:paraId="69032572">
                  <w:pPr>
                    <w:keepNext w:val="0"/>
                    <w:keepLines w:val="0"/>
                    <w:pageBreakBefore w:val="0"/>
                    <w:kinsoku/>
                    <w:wordWrap/>
                    <w:overflowPunct/>
                    <w:topLinePunct w:val="0"/>
                    <w:bidi w:val="0"/>
                    <w:spacing w:line="240" w:lineRule="auto"/>
                    <w:ind w:right="0"/>
                    <w:jc w:val="both"/>
                    <w:rPr>
                      <w:rFonts w:hint="eastAsia" w:hAnsi="宋体" w:cs="Times New Roman"/>
                      <w:color w:val="auto"/>
                      <w:kern w:val="0"/>
                      <w:sz w:val="21"/>
                      <w:szCs w:val="21"/>
                      <w:lang w:val="en-US" w:eastAsia="zh-CN"/>
                    </w:rPr>
                  </w:pPr>
                  <w:r>
                    <w:rPr>
                      <w:rFonts w:hint="eastAsia" w:ascii="Times New Roman" w:hAnsi="宋体" w:eastAsia="宋体" w:cs="Times New Roman"/>
                      <w:color w:val="auto"/>
                      <w:kern w:val="0"/>
                      <w:sz w:val="21"/>
                      <w:szCs w:val="21"/>
                    </w:rPr>
                    <w:t>水中溶解度：</w:t>
                  </w:r>
                  <w:r>
                    <w:rPr>
                      <w:rFonts w:hint="eastAsia" w:hAnsi="宋体" w:cs="Times New Roman"/>
                      <w:color w:val="auto"/>
                      <w:kern w:val="0"/>
                      <w:sz w:val="21"/>
                      <w:szCs w:val="21"/>
                      <w:lang w:val="en-US" w:eastAsia="zh-CN"/>
                    </w:rPr>
                    <w:t>不溶于水</w:t>
                  </w:r>
                </w:p>
                <w:p w14:paraId="6484B864">
                  <w:pPr>
                    <w:keepNext w:val="0"/>
                    <w:keepLines w:val="0"/>
                    <w:pageBreakBefore w:val="0"/>
                    <w:kinsoku/>
                    <w:wordWrap/>
                    <w:overflowPunct/>
                    <w:topLinePunct w:val="0"/>
                    <w:bidi w:val="0"/>
                    <w:spacing w:line="240" w:lineRule="auto"/>
                    <w:ind w:right="0"/>
                    <w:jc w:val="both"/>
                    <w:rPr>
                      <w:rFonts w:hint="eastAsia" w:hAnsi="宋体" w:cs="Times New Roman"/>
                      <w:color w:val="auto"/>
                      <w:kern w:val="0"/>
                      <w:sz w:val="21"/>
                      <w:szCs w:val="21"/>
                      <w:lang w:val="en-US" w:eastAsia="zh-CN"/>
                    </w:rPr>
                  </w:pPr>
                  <w:r>
                    <w:rPr>
                      <w:rFonts w:hint="eastAsia" w:hAnsi="宋体" w:cs="Times New Roman"/>
                      <w:color w:val="auto"/>
                      <w:kern w:val="0"/>
                      <w:sz w:val="21"/>
                      <w:szCs w:val="21"/>
                      <w:lang w:val="en-US" w:eastAsia="zh-CN"/>
                    </w:rPr>
                    <w:t>熔点：</w:t>
                  </w:r>
                  <w:r>
                    <w:rPr>
                      <w:rFonts w:hint="default" w:ascii="Times New Roman" w:hAnsi="Times New Roman" w:cs="Times New Roman"/>
                      <w:color w:val="auto"/>
                      <w:kern w:val="0"/>
                      <w:sz w:val="21"/>
                      <w:szCs w:val="21"/>
                      <w:lang w:val="en-US" w:eastAsia="zh-CN"/>
                    </w:rPr>
                    <w:t>164~176 ℃</w:t>
                  </w:r>
                </w:p>
              </w:tc>
              <w:tc>
                <w:tcPr>
                  <w:tcW w:w="1287" w:type="dxa"/>
                  <w:shd w:val="clear" w:color="auto" w:fill="FFFFFF"/>
                  <w:noWrap w:val="0"/>
                  <w:vAlign w:val="center"/>
                </w:tcPr>
                <w:p w14:paraId="550EA53C">
                  <w:pPr>
                    <w:keepNext w:val="0"/>
                    <w:keepLines w:val="0"/>
                    <w:pageBreakBefore w:val="0"/>
                    <w:kinsoku/>
                    <w:wordWrap/>
                    <w:overflowPunct/>
                    <w:topLinePunct w:val="0"/>
                    <w:bidi w:val="0"/>
                    <w:adjustRightInd w:val="0"/>
                    <w:snapToGrid w:val="0"/>
                    <w:spacing w:line="240" w:lineRule="auto"/>
                    <w:ind w:right="0"/>
                    <w:jc w:val="center"/>
                    <w:rPr>
                      <w:rFonts w:hint="default"/>
                      <w:snapToGrid w:val="0"/>
                      <w:color w:val="auto"/>
                      <w:szCs w:val="21"/>
                      <w:lang w:val="en-US" w:eastAsia="zh-CN"/>
                    </w:rPr>
                  </w:pPr>
                  <w:r>
                    <w:rPr>
                      <w:rFonts w:hint="eastAsia"/>
                      <w:snapToGrid w:val="0"/>
                      <w:color w:val="auto"/>
                      <w:szCs w:val="21"/>
                      <w:lang w:val="en-US" w:eastAsia="zh-CN"/>
                    </w:rPr>
                    <w:t>易燃</w:t>
                  </w:r>
                </w:p>
              </w:tc>
              <w:tc>
                <w:tcPr>
                  <w:tcW w:w="1201" w:type="dxa"/>
                  <w:shd w:val="clear" w:color="auto" w:fill="FFFFFF"/>
                  <w:noWrap w:val="0"/>
                  <w:vAlign w:val="center"/>
                </w:tcPr>
                <w:p w14:paraId="1D5FED52">
                  <w:pPr>
                    <w:keepNext w:val="0"/>
                    <w:keepLines w:val="0"/>
                    <w:pageBreakBefore w:val="0"/>
                    <w:kinsoku/>
                    <w:wordWrap/>
                    <w:overflowPunct/>
                    <w:topLinePunct w:val="0"/>
                    <w:bidi w:val="0"/>
                    <w:adjustRightInd w:val="0"/>
                    <w:snapToGrid w:val="0"/>
                    <w:spacing w:line="240" w:lineRule="auto"/>
                    <w:ind w:right="0"/>
                    <w:jc w:val="center"/>
                    <w:rPr>
                      <w:rFonts w:hint="default"/>
                      <w:snapToGrid w:val="0"/>
                      <w:color w:val="auto"/>
                      <w:kern w:val="0"/>
                      <w:szCs w:val="21"/>
                      <w:lang w:val="en-US" w:eastAsia="zh-CN"/>
                    </w:rPr>
                  </w:pPr>
                  <w:r>
                    <w:rPr>
                      <w:rFonts w:hint="eastAsia"/>
                      <w:snapToGrid w:val="0"/>
                      <w:color w:val="auto"/>
                      <w:kern w:val="0"/>
                      <w:szCs w:val="21"/>
                      <w:lang w:val="en-US" w:eastAsia="zh-CN"/>
                    </w:rPr>
                    <w:t>无毒</w:t>
                  </w:r>
                </w:p>
              </w:tc>
            </w:tr>
            <w:tr w14:paraId="6D717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754" w:type="dxa"/>
                  <w:shd w:val="clear" w:color="auto" w:fill="FFFFFF"/>
                  <w:noWrap w:val="0"/>
                  <w:vAlign w:val="center"/>
                </w:tcPr>
                <w:p w14:paraId="22E0381B">
                  <w:pPr>
                    <w:keepNext w:val="0"/>
                    <w:keepLines w:val="0"/>
                    <w:pageBreakBefore w:val="0"/>
                    <w:kinsoku/>
                    <w:wordWrap/>
                    <w:overflowPunct/>
                    <w:topLinePunct w:val="0"/>
                    <w:bidi w:val="0"/>
                    <w:spacing w:line="240" w:lineRule="auto"/>
                    <w:ind w:right="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PE</w:t>
                  </w:r>
                </w:p>
              </w:tc>
              <w:tc>
                <w:tcPr>
                  <w:tcW w:w="4038" w:type="dxa"/>
                  <w:shd w:val="clear" w:color="auto" w:fill="FFFFFF"/>
                  <w:noWrap w:val="0"/>
                  <w:vAlign w:val="center"/>
                </w:tcPr>
                <w:p w14:paraId="0684939B">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性状</w:t>
                  </w:r>
                  <w:r>
                    <w:rPr>
                      <w:rFonts w:hint="eastAsia" w:ascii="Times New Roman" w:hAnsi="宋体" w:eastAsia="宋体" w:cs="Times New Roman"/>
                      <w:color w:val="auto"/>
                      <w:kern w:val="0"/>
                      <w:sz w:val="21"/>
                      <w:szCs w:val="21"/>
                    </w:rPr>
                    <w:t>：</w:t>
                  </w:r>
                  <w:r>
                    <w:rPr>
                      <w:rFonts w:hint="eastAsia" w:hAnsi="宋体" w:cs="Times New Roman"/>
                      <w:color w:val="auto"/>
                      <w:kern w:val="0"/>
                      <w:sz w:val="21"/>
                      <w:szCs w:val="21"/>
                      <w:lang w:val="en-US" w:eastAsia="zh-CN"/>
                    </w:rPr>
                    <w:t>固体</w:t>
                  </w:r>
                </w:p>
                <w:p w14:paraId="5AC338A0">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rPr>
                    <w:t>颜色：</w:t>
                  </w:r>
                  <w:r>
                    <w:rPr>
                      <w:rFonts w:hint="eastAsia" w:hAnsi="宋体" w:cs="Times New Roman"/>
                      <w:color w:val="auto"/>
                      <w:kern w:val="0"/>
                      <w:sz w:val="21"/>
                      <w:szCs w:val="21"/>
                      <w:lang w:val="en-US" w:eastAsia="zh-CN"/>
                    </w:rPr>
                    <w:t>乳白色</w:t>
                  </w:r>
                </w:p>
                <w:p w14:paraId="73E5E4C0">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rPr>
                    <w:t>气味：</w:t>
                  </w:r>
                  <w:r>
                    <w:rPr>
                      <w:rFonts w:hint="eastAsia" w:hAnsi="宋体" w:cs="Times New Roman"/>
                      <w:color w:val="auto"/>
                      <w:kern w:val="0"/>
                      <w:sz w:val="21"/>
                      <w:szCs w:val="21"/>
                      <w:lang w:val="en-US" w:eastAsia="zh-CN"/>
                    </w:rPr>
                    <w:t>无味</w:t>
                  </w:r>
                </w:p>
                <w:p w14:paraId="7BF3B72B">
                  <w:pPr>
                    <w:keepNext w:val="0"/>
                    <w:keepLines w:val="0"/>
                    <w:pageBreakBefore w:val="0"/>
                    <w:kinsoku/>
                    <w:wordWrap/>
                    <w:overflowPunct/>
                    <w:topLinePunct w:val="0"/>
                    <w:bidi w:val="0"/>
                    <w:spacing w:line="240" w:lineRule="auto"/>
                    <w:ind w:right="0"/>
                    <w:jc w:val="both"/>
                    <w:rPr>
                      <w:rFonts w:hint="default" w:ascii="Times New Roman" w:hAnsi="宋体" w:eastAsia="宋体" w:cs="Times New Roman"/>
                      <w:color w:val="auto"/>
                      <w:kern w:val="0"/>
                      <w:sz w:val="21"/>
                      <w:szCs w:val="21"/>
                      <w:lang w:val="en-US" w:eastAsia="zh-CN"/>
                    </w:rPr>
                  </w:pPr>
                  <w:r>
                    <w:rPr>
                      <w:rFonts w:hint="eastAsia" w:hAnsi="宋体" w:cs="Times New Roman"/>
                      <w:color w:val="auto"/>
                      <w:kern w:val="0"/>
                      <w:sz w:val="21"/>
                      <w:szCs w:val="21"/>
                      <w:lang w:val="en-US" w:eastAsia="zh-CN"/>
                    </w:rPr>
                    <w:t>密度</w:t>
                  </w:r>
                  <w:r>
                    <w:rPr>
                      <w:rFonts w:hint="eastAsia" w:ascii="Times New Roman" w:hAnsi="宋体" w:eastAsia="宋体" w:cs="Times New Roman"/>
                      <w:color w:val="auto"/>
                      <w:kern w:val="0"/>
                      <w:sz w:val="21"/>
                      <w:szCs w:val="21"/>
                      <w:lang w:eastAsia="zh-CN"/>
                    </w:rPr>
                    <w:t>：0.91</w:t>
                  </w:r>
                  <w:r>
                    <w:rPr>
                      <w:rFonts w:hint="eastAsia" w:hAnsi="宋体" w:cs="Times New Roman"/>
                      <w:color w:val="auto"/>
                      <w:kern w:val="0"/>
                      <w:sz w:val="21"/>
                      <w:szCs w:val="21"/>
                      <w:lang w:val="en-US" w:eastAsia="zh-CN"/>
                    </w:rPr>
                    <w:t>~</w:t>
                  </w:r>
                  <w:r>
                    <w:rPr>
                      <w:rFonts w:hint="eastAsia" w:ascii="Times New Roman" w:hAnsi="宋体" w:eastAsia="宋体" w:cs="Times New Roman"/>
                      <w:color w:val="auto"/>
                      <w:kern w:val="0"/>
                      <w:sz w:val="21"/>
                      <w:szCs w:val="21"/>
                      <w:lang w:eastAsia="zh-CN"/>
                    </w:rPr>
                    <w:t>0.96 g/cm</w:t>
                  </w:r>
                  <w:r>
                    <w:rPr>
                      <w:rFonts w:hint="eastAsia" w:hAnsi="宋体" w:cs="Times New Roman"/>
                      <w:color w:val="auto"/>
                      <w:kern w:val="0"/>
                      <w:sz w:val="21"/>
                      <w:szCs w:val="21"/>
                      <w:vertAlign w:val="superscript"/>
                      <w:lang w:val="en-US" w:eastAsia="zh-CN"/>
                    </w:rPr>
                    <w:t>3</w:t>
                  </w:r>
                </w:p>
                <w:p w14:paraId="63C93D3A">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rPr>
                    <w:t>水中溶解度：</w:t>
                  </w:r>
                  <w:r>
                    <w:rPr>
                      <w:rFonts w:hint="eastAsia" w:hAnsi="宋体" w:cs="Times New Roman"/>
                      <w:color w:val="auto"/>
                      <w:kern w:val="0"/>
                      <w:sz w:val="21"/>
                      <w:szCs w:val="21"/>
                      <w:lang w:val="en-US" w:eastAsia="zh-CN"/>
                    </w:rPr>
                    <w:t>不溶于水</w:t>
                  </w:r>
                </w:p>
                <w:p w14:paraId="6DD867EF">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hAnsi="宋体" w:cs="Times New Roman"/>
                      <w:color w:val="auto"/>
                      <w:kern w:val="0"/>
                      <w:sz w:val="21"/>
                      <w:szCs w:val="21"/>
                      <w:lang w:val="en-US" w:eastAsia="zh-CN"/>
                    </w:rPr>
                    <w:t>熔点：85 ~ 136</w:t>
                  </w:r>
                  <w:r>
                    <w:rPr>
                      <w:rFonts w:hint="default" w:ascii="Times New Roman" w:hAnsi="Times New Roman" w:cs="Times New Roman"/>
                      <w:color w:val="auto"/>
                      <w:kern w:val="0"/>
                      <w:sz w:val="21"/>
                      <w:szCs w:val="21"/>
                      <w:lang w:val="en-US" w:eastAsia="zh-CN"/>
                    </w:rPr>
                    <w:t xml:space="preserve"> ℃</w:t>
                  </w:r>
                </w:p>
              </w:tc>
              <w:tc>
                <w:tcPr>
                  <w:tcW w:w="1287" w:type="dxa"/>
                  <w:shd w:val="clear" w:color="auto" w:fill="FFFFFF"/>
                  <w:noWrap w:val="0"/>
                  <w:vAlign w:val="center"/>
                </w:tcPr>
                <w:p w14:paraId="017AC340">
                  <w:pPr>
                    <w:keepNext w:val="0"/>
                    <w:keepLines w:val="0"/>
                    <w:pageBreakBefore w:val="0"/>
                    <w:kinsoku/>
                    <w:wordWrap/>
                    <w:overflowPunct/>
                    <w:topLinePunct w:val="0"/>
                    <w:bidi w:val="0"/>
                    <w:adjustRightInd w:val="0"/>
                    <w:snapToGrid w:val="0"/>
                    <w:spacing w:line="240" w:lineRule="auto"/>
                    <w:ind w:right="0"/>
                    <w:jc w:val="center"/>
                    <w:rPr>
                      <w:rFonts w:hint="default" w:eastAsia="宋体"/>
                      <w:snapToGrid w:val="0"/>
                      <w:color w:val="auto"/>
                      <w:szCs w:val="21"/>
                      <w:lang w:val="en-US" w:eastAsia="zh-CN"/>
                    </w:rPr>
                  </w:pPr>
                  <w:r>
                    <w:rPr>
                      <w:rFonts w:hint="eastAsia"/>
                      <w:snapToGrid w:val="0"/>
                      <w:color w:val="auto"/>
                      <w:szCs w:val="21"/>
                      <w:lang w:val="en-US" w:eastAsia="zh-CN"/>
                    </w:rPr>
                    <w:t>易燃</w:t>
                  </w:r>
                </w:p>
              </w:tc>
              <w:tc>
                <w:tcPr>
                  <w:tcW w:w="1201" w:type="dxa"/>
                  <w:shd w:val="clear" w:color="auto" w:fill="FFFFFF"/>
                  <w:noWrap w:val="0"/>
                  <w:vAlign w:val="center"/>
                </w:tcPr>
                <w:p w14:paraId="379EB116">
                  <w:pPr>
                    <w:keepNext w:val="0"/>
                    <w:keepLines w:val="0"/>
                    <w:pageBreakBefore w:val="0"/>
                    <w:kinsoku/>
                    <w:wordWrap/>
                    <w:overflowPunct/>
                    <w:topLinePunct w:val="0"/>
                    <w:bidi w:val="0"/>
                    <w:adjustRightInd w:val="0"/>
                    <w:snapToGrid w:val="0"/>
                    <w:spacing w:line="240" w:lineRule="auto"/>
                    <w:ind w:right="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无毒</w:t>
                  </w:r>
                </w:p>
              </w:tc>
            </w:tr>
            <w:tr w14:paraId="026FF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754" w:type="dxa"/>
                  <w:shd w:val="clear" w:color="auto" w:fill="FFFFFF"/>
                  <w:noWrap w:val="0"/>
                  <w:vAlign w:val="center"/>
                </w:tcPr>
                <w:p w14:paraId="1A208402">
                  <w:pPr>
                    <w:keepNext w:val="0"/>
                    <w:keepLines w:val="0"/>
                    <w:pageBreakBefore w:val="0"/>
                    <w:kinsoku/>
                    <w:wordWrap/>
                    <w:overflowPunct/>
                    <w:topLinePunct w:val="0"/>
                    <w:bidi w:val="0"/>
                    <w:spacing w:line="240" w:lineRule="auto"/>
                    <w:ind w:right="0"/>
                    <w:jc w:val="center"/>
                    <w:rPr>
                      <w:rFonts w:hint="default"/>
                      <w:snapToGrid w:val="0"/>
                      <w:color w:val="auto"/>
                      <w:kern w:val="0"/>
                      <w:szCs w:val="21"/>
                      <w:lang w:val="en-US" w:eastAsia="zh-CN"/>
                    </w:rPr>
                  </w:pPr>
                  <w:r>
                    <w:rPr>
                      <w:rFonts w:hint="eastAsia"/>
                      <w:snapToGrid w:val="0"/>
                      <w:color w:val="auto"/>
                      <w:kern w:val="0"/>
                      <w:szCs w:val="21"/>
                      <w:lang w:val="en-US" w:eastAsia="zh-CN"/>
                    </w:rPr>
                    <w:t>洗洁精</w:t>
                  </w:r>
                </w:p>
              </w:tc>
              <w:tc>
                <w:tcPr>
                  <w:tcW w:w="4038" w:type="dxa"/>
                  <w:shd w:val="clear" w:color="auto" w:fill="FFFFFF"/>
                  <w:noWrap w:val="0"/>
                  <w:vAlign w:val="center"/>
                </w:tcPr>
                <w:p w14:paraId="7BFE4C7B">
                  <w:pPr>
                    <w:keepNext w:val="0"/>
                    <w:keepLines w:val="0"/>
                    <w:pageBreakBefore w:val="0"/>
                    <w:kinsoku/>
                    <w:wordWrap/>
                    <w:overflowPunct/>
                    <w:topLinePunct w:val="0"/>
                    <w:bidi w:val="0"/>
                    <w:spacing w:line="240" w:lineRule="auto"/>
                    <w:ind w:right="0"/>
                    <w:jc w:val="both"/>
                    <w:rPr>
                      <w:rFonts w:hint="default"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lang w:val="en-US" w:eastAsia="zh-CN"/>
                    </w:rPr>
                    <w:t>性状</w:t>
                  </w:r>
                  <w:r>
                    <w:rPr>
                      <w:rFonts w:hint="eastAsia" w:ascii="Times New Roman" w:hAnsi="宋体" w:eastAsia="宋体" w:cs="Times New Roman"/>
                      <w:color w:val="auto"/>
                      <w:kern w:val="0"/>
                      <w:sz w:val="21"/>
                      <w:szCs w:val="21"/>
                    </w:rPr>
                    <w:t>：</w:t>
                  </w:r>
                  <w:r>
                    <w:rPr>
                      <w:rFonts w:hint="eastAsia" w:hAnsi="宋体" w:cs="Times New Roman"/>
                      <w:color w:val="auto"/>
                      <w:kern w:val="0"/>
                      <w:sz w:val="21"/>
                      <w:szCs w:val="21"/>
                      <w:lang w:val="en-US" w:eastAsia="zh-CN"/>
                    </w:rPr>
                    <w:t>液体</w:t>
                  </w:r>
                </w:p>
                <w:p w14:paraId="3F6FFDA7">
                  <w:pPr>
                    <w:keepNext w:val="0"/>
                    <w:keepLines w:val="0"/>
                    <w:pageBreakBefore w:val="0"/>
                    <w:kinsoku/>
                    <w:wordWrap/>
                    <w:overflowPunct/>
                    <w:topLinePunct w:val="0"/>
                    <w:bidi w:val="0"/>
                    <w:spacing w:line="240" w:lineRule="auto"/>
                    <w:ind w:right="0"/>
                    <w:jc w:val="both"/>
                    <w:rPr>
                      <w:rFonts w:hint="eastAsia" w:ascii="Times New Roman" w:hAnsi="宋体" w:eastAsia="宋体" w:cs="Times New Roman"/>
                      <w:color w:val="auto"/>
                      <w:kern w:val="0"/>
                      <w:sz w:val="21"/>
                      <w:szCs w:val="21"/>
                      <w:lang w:val="en-US" w:eastAsia="zh-CN"/>
                    </w:rPr>
                  </w:pPr>
                  <w:r>
                    <w:rPr>
                      <w:rFonts w:hint="eastAsia" w:ascii="Times New Roman" w:hAnsi="宋体" w:eastAsia="宋体" w:cs="Times New Roman"/>
                      <w:color w:val="auto"/>
                      <w:kern w:val="0"/>
                      <w:sz w:val="21"/>
                      <w:szCs w:val="21"/>
                    </w:rPr>
                    <w:t>颜色：</w:t>
                  </w:r>
                  <w:r>
                    <w:rPr>
                      <w:rFonts w:hint="eastAsia" w:hAnsi="宋体" w:cs="Times New Roman"/>
                      <w:color w:val="auto"/>
                      <w:kern w:val="0"/>
                      <w:sz w:val="21"/>
                      <w:szCs w:val="21"/>
                      <w:lang w:val="en-US" w:eastAsia="zh-CN"/>
                    </w:rPr>
                    <w:t>无色透明</w:t>
                  </w:r>
                </w:p>
                <w:p w14:paraId="4F6F9299">
                  <w:pPr>
                    <w:keepNext w:val="0"/>
                    <w:keepLines w:val="0"/>
                    <w:pageBreakBefore w:val="0"/>
                    <w:kinsoku/>
                    <w:wordWrap/>
                    <w:overflowPunct/>
                    <w:topLinePunct w:val="0"/>
                    <w:bidi w:val="0"/>
                    <w:spacing w:line="240" w:lineRule="auto"/>
                    <w:ind w:right="0"/>
                    <w:jc w:val="both"/>
                    <w:rPr>
                      <w:rFonts w:hint="eastAsia" w:ascii="Times New Roman" w:hAnsi="Times New Roman" w:eastAsia="宋体" w:cs="Times New Roman"/>
                      <w:i w:val="0"/>
                      <w:iCs w:val="0"/>
                      <w:caps w:val="0"/>
                      <w:color w:val="333333"/>
                      <w:spacing w:val="0"/>
                      <w:sz w:val="21"/>
                      <w:szCs w:val="21"/>
                      <w:shd w:val="clear" w:fill="FFFFFF"/>
                      <w:vertAlign w:val="baseline"/>
                      <w:lang w:val="en-US" w:eastAsia="zh-CN"/>
                    </w:rPr>
                  </w:pPr>
                  <w:r>
                    <w:rPr>
                      <w:rFonts w:hint="default" w:ascii="Times New Roman" w:hAnsi="Times New Roman" w:eastAsia="宋体" w:cs="Times New Roman"/>
                      <w:i w:val="0"/>
                      <w:iCs w:val="0"/>
                      <w:caps w:val="0"/>
                      <w:color w:val="333333"/>
                      <w:spacing w:val="0"/>
                      <w:sz w:val="21"/>
                      <w:szCs w:val="21"/>
                      <w:shd w:val="clear" w:fill="FFFFFF"/>
                    </w:rPr>
                    <w:t>密度</w:t>
                  </w:r>
                  <w:r>
                    <w:rPr>
                      <w:rFonts w:hint="default" w:ascii="Times New Roman" w:hAnsi="Times New Roman" w:eastAsia="宋体" w:cs="Times New Roman"/>
                      <w:i w:val="0"/>
                      <w:iCs w:val="0"/>
                      <w:caps w:val="0"/>
                      <w:color w:val="333333"/>
                      <w:spacing w:val="0"/>
                      <w:sz w:val="21"/>
                      <w:szCs w:val="21"/>
                      <w:shd w:val="clear" w:fill="FFFFFF"/>
                      <w:lang w:eastAsia="zh-CN"/>
                    </w:rPr>
                    <w:t>：</w:t>
                  </w:r>
                  <w:r>
                    <w:rPr>
                      <w:rFonts w:hint="default" w:ascii="Times New Roman" w:hAnsi="Times New Roman" w:eastAsia="宋体" w:cs="Times New Roman"/>
                      <w:i w:val="0"/>
                      <w:iCs w:val="0"/>
                      <w:caps w:val="0"/>
                      <w:color w:val="333333"/>
                      <w:spacing w:val="0"/>
                      <w:sz w:val="21"/>
                      <w:szCs w:val="21"/>
                      <w:shd w:val="clear" w:fill="FFFFFF"/>
                    </w:rPr>
                    <w:t>0.</w:t>
                  </w:r>
                  <w:r>
                    <w:rPr>
                      <w:rFonts w:hint="eastAsia" w:cs="Times New Roman"/>
                      <w:i w:val="0"/>
                      <w:iCs w:val="0"/>
                      <w:caps w:val="0"/>
                      <w:color w:val="333333"/>
                      <w:spacing w:val="0"/>
                      <w:sz w:val="21"/>
                      <w:szCs w:val="21"/>
                      <w:shd w:val="clear" w:fill="FFFFFF"/>
                      <w:lang w:val="en-US" w:eastAsia="zh-CN"/>
                    </w:rPr>
                    <w:t>85</w:t>
                  </w:r>
                  <w:r>
                    <w:rPr>
                      <w:rFonts w:hint="default" w:ascii="Times New Roman" w:hAnsi="Times New Roman" w:eastAsia="宋体" w:cs="Times New Roman"/>
                      <w:i w:val="0"/>
                      <w:iCs w:val="0"/>
                      <w:caps w:val="0"/>
                      <w:color w:val="333333"/>
                      <w:spacing w:val="0"/>
                      <w:sz w:val="21"/>
                      <w:szCs w:val="21"/>
                      <w:shd w:val="clear" w:fill="FFFFFF"/>
                    </w:rPr>
                    <w:t>～0.9</w:t>
                  </w:r>
                  <w:r>
                    <w:rPr>
                      <w:rFonts w:hint="eastAsia" w:cs="Times New Roman"/>
                      <w:i w:val="0"/>
                      <w:iCs w:val="0"/>
                      <w:caps w:val="0"/>
                      <w:color w:val="333333"/>
                      <w:spacing w:val="0"/>
                      <w:sz w:val="21"/>
                      <w:szCs w:val="21"/>
                      <w:shd w:val="clear" w:fill="FFFFFF"/>
                      <w:lang w:val="en-US" w:eastAsia="zh-CN"/>
                    </w:rPr>
                    <w:t>5</w:t>
                  </w:r>
                  <w:r>
                    <w:rPr>
                      <w:rFonts w:hint="default" w:ascii="Times New Roman" w:hAnsi="Times New Roman" w:eastAsia="宋体" w:cs="Times New Roman"/>
                      <w:i w:val="0"/>
                      <w:iCs w:val="0"/>
                      <w:caps w:val="0"/>
                      <w:color w:val="333333"/>
                      <w:spacing w:val="0"/>
                      <w:sz w:val="21"/>
                      <w:szCs w:val="21"/>
                      <w:shd w:val="clear" w:fill="FFFFFF"/>
                    </w:rPr>
                    <w:t xml:space="preserve"> g/cm</w:t>
                  </w:r>
                  <w:r>
                    <w:rPr>
                      <w:rFonts w:hint="eastAsia" w:ascii="Times New Roman" w:hAnsi="Times New Roman" w:eastAsia="宋体" w:cs="Times New Roman"/>
                      <w:i w:val="0"/>
                      <w:iCs w:val="0"/>
                      <w:caps w:val="0"/>
                      <w:color w:val="333333"/>
                      <w:spacing w:val="0"/>
                      <w:sz w:val="21"/>
                      <w:szCs w:val="21"/>
                      <w:shd w:val="clear" w:fill="FFFFFF"/>
                      <w:vertAlign w:val="superscript"/>
                      <w:lang w:val="en-US" w:eastAsia="zh-CN"/>
                    </w:rPr>
                    <w:t>3</w:t>
                  </w:r>
                </w:p>
                <w:p w14:paraId="5E99DF3F">
                  <w:pPr>
                    <w:keepNext w:val="0"/>
                    <w:keepLines w:val="0"/>
                    <w:pageBreakBefore w:val="0"/>
                    <w:kinsoku/>
                    <w:wordWrap/>
                    <w:overflowPunct/>
                    <w:topLinePunct w:val="0"/>
                    <w:bidi w:val="0"/>
                    <w:spacing w:line="240" w:lineRule="auto"/>
                    <w:ind w:right="0"/>
                    <w:jc w:val="both"/>
                    <w:rPr>
                      <w:rFonts w:hint="default" w:hAnsi="宋体" w:cs="Times New Roman"/>
                      <w:color w:val="auto"/>
                      <w:kern w:val="0"/>
                      <w:sz w:val="21"/>
                      <w:szCs w:val="21"/>
                      <w:lang w:val="en-US" w:eastAsia="zh-CN"/>
                    </w:rPr>
                  </w:pPr>
                  <w:r>
                    <w:rPr>
                      <w:rFonts w:hint="eastAsia" w:ascii="Times New Roman" w:hAnsi="宋体" w:eastAsia="宋体" w:cs="Times New Roman"/>
                      <w:color w:val="auto"/>
                      <w:kern w:val="0"/>
                      <w:sz w:val="21"/>
                      <w:szCs w:val="21"/>
                    </w:rPr>
                    <w:t>溶解度：</w:t>
                  </w:r>
                  <w:r>
                    <w:rPr>
                      <w:rFonts w:hint="eastAsia" w:hAnsi="宋体" w:cs="Times New Roman"/>
                      <w:color w:val="auto"/>
                      <w:kern w:val="0"/>
                      <w:sz w:val="21"/>
                      <w:szCs w:val="21"/>
                      <w:lang w:val="en-US" w:eastAsia="zh-CN"/>
                    </w:rPr>
                    <w:t>不能与水、醇、醚等混溶，能与不饱和烃及芳烃等混溶</w:t>
                  </w:r>
                </w:p>
                <w:p w14:paraId="193BAA25">
                  <w:pPr>
                    <w:keepNext w:val="0"/>
                    <w:keepLines w:val="0"/>
                    <w:pageBreakBefore w:val="0"/>
                    <w:kinsoku/>
                    <w:wordWrap/>
                    <w:overflowPunct/>
                    <w:topLinePunct w:val="0"/>
                    <w:bidi w:val="0"/>
                    <w:spacing w:line="240" w:lineRule="auto"/>
                    <w:ind w:right="0"/>
                    <w:jc w:val="both"/>
                    <w:rPr>
                      <w:rFonts w:hint="default" w:ascii="Times New Roman" w:hAnsi="Times New Roman" w:cs="Times New Roman"/>
                      <w:color w:val="auto"/>
                      <w:kern w:val="0"/>
                      <w:sz w:val="21"/>
                      <w:szCs w:val="21"/>
                      <w:lang w:val="en-US" w:eastAsia="zh-CN"/>
                    </w:rPr>
                  </w:pPr>
                  <w:r>
                    <w:rPr>
                      <w:rFonts w:hint="eastAsia" w:hAnsi="宋体" w:cs="Times New Roman"/>
                      <w:color w:val="auto"/>
                      <w:kern w:val="0"/>
                      <w:sz w:val="21"/>
                      <w:szCs w:val="21"/>
                      <w:lang w:val="en-US" w:eastAsia="zh-CN"/>
                    </w:rPr>
                    <w:t>熔点：</w:t>
                  </w:r>
                  <w:r>
                    <w:rPr>
                      <w:rFonts w:hint="default" w:ascii="Times New Roman" w:hAnsi="Times New Roman" w:eastAsia="微软雅黑" w:cs="Times New Roman"/>
                      <w:color w:val="auto"/>
                      <w:kern w:val="0"/>
                      <w:sz w:val="21"/>
                      <w:szCs w:val="21"/>
                      <w:lang w:val="en-US" w:eastAsia="zh-CN"/>
                    </w:rPr>
                    <w:t>&lt;</w:t>
                  </w:r>
                  <w:r>
                    <w:rPr>
                      <w:rFonts w:hint="default" w:ascii="Times New Roman" w:hAnsi="Times New Roman" w:cs="Times New Roman"/>
                      <w:color w:val="auto"/>
                      <w:kern w:val="0"/>
                      <w:sz w:val="21"/>
                      <w:szCs w:val="21"/>
                      <w:lang w:val="en-US" w:eastAsia="zh-CN"/>
                    </w:rPr>
                    <w:t>55 ℃</w:t>
                  </w:r>
                </w:p>
                <w:p w14:paraId="31EDB58A">
                  <w:pPr>
                    <w:keepNext w:val="0"/>
                    <w:keepLines w:val="0"/>
                    <w:pageBreakBefore w:val="0"/>
                    <w:kinsoku/>
                    <w:wordWrap/>
                    <w:overflowPunct/>
                    <w:topLinePunct w:val="0"/>
                    <w:bidi w:val="0"/>
                    <w:spacing w:line="240" w:lineRule="auto"/>
                    <w:ind w:right="0"/>
                    <w:jc w:val="both"/>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沸点：126</w:t>
                  </w:r>
                  <w:r>
                    <w:rPr>
                      <w:rFonts w:hint="default" w:ascii="Times New Roman" w:hAnsi="Times New Roman" w:cs="Times New Roman"/>
                      <w:color w:val="auto"/>
                      <w:kern w:val="0"/>
                      <w:sz w:val="21"/>
                      <w:szCs w:val="21"/>
                      <w:lang w:val="en-US" w:eastAsia="zh-CN"/>
                    </w:rPr>
                    <w:t>℃</w:t>
                  </w:r>
                </w:p>
              </w:tc>
              <w:tc>
                <w:tcPr>
                  <w:tcW w:w="1287" w:type="dxa"/>
                  <w:shd w:val="clear" w:color="auto" w:fill="FFFFFF"/>
                  <w:noWrap w:val="0"/>
                  <w:vAlign w:val="center"/>
                </w:tcPr>
                <w:p w14:paraId="1EE9E879">
                  <w:pPr>
                    <w:keepNext w:val="0"/>
                    <w:keepLines w:val="0"/>
                    <w:pageBreakBefore w:val="0"/>
                    <w:kinsoku/>
                    <w:wordWrap/>
                    <w:overflowPunct/>
                    <w:topLinePunct w:val="0"/>
                    <w:bidi w:val="0"/>
                    <w:adjustRightInd w:val="0"/>
                    <w:snapToGrid w:val="0"/>
                    <w:spacing w:line="240" w:lineRule="auto"/>
                    <w:ind w:right="0"/>
                    <w:jc w:val="center"/>
                    <w:rPr>
                      <w:rFonts w:hint="default"/>
                      <w:snapToGrid w:val="0"/>
                      <w:color w:val="auto"/>
                      <w:szCs w:val="21"/>
                      <w:lang w:val="en-US" w:eastAsia="zh-CN"/>
                    </w:rPr>
                  </w:pPr>
                  <w:r>
                    <w:rPr>
                      <w:rFonts w:hint="eastAsia"/>
                      <w:snapToGrid w:val="0"/>
                      <w:color w:val="auto"/>
                      <w:szCs w:val="21"/>
                      <w:lang w:val="en-US" w:eastAsia="zh-CN"/>
                    </w:rPr>
                    <w:t>可燃</w:t>
                  </w:r>
                </w:p>
              </w:tc>
              <w:tc>
                <w:tcPr>
                  <w:tcW w:w="1201" w:type="dxa"/>
                  <w:shd w:val="clear" w:color="auto" w:fill="FFFFFF"/>
                  <w:noWrap w:val="0"/>
                  <w:vAlign w:val="center"/>
                </w:tcPr>
                <w:p w14:paraId="3FF34A33">
                  <w:pPr>
                    <w:keepNext w:val="0"/>
                    <w:keepLines w:val="0"/>
                    <w:pageBreakBefore w:val="0"/>
                    <w:kinsoku/>
                    <w:wordWrap/>
                    <w:overflowPunct/>
                    <w:topLinePunct w:val="0"/>
                    <w:bidi w:val="0"/>
                    <w:adjustRightInd w:val="0"/>
                    <w:snapToGrid w:val="0"/>
                    <w:spacing w:line="240" w:lineRule="auto"/>
                    <w:ind w:right="0"/>
                    <w:jc w:val="center"/>
                    <w:rPr>
                      <w:rFonts w:hint="default"/>
                      <w:snapToGrid w:val="0"/>
                      <w:color w:val="auto"/>
                      <w:kern w:val="0"/>
                      <w:szCs w:val="21"/>
                      <w:lang w:val="en-US" w:eastAsia="zh-CN"/>
                    </w:rPr>
                  </w:pPr>
                  <w:r>
                    <w:rPr>
                      <w:rFonts w:hint="eastAsia"/>
                      <w:snapToGrid w:val="0"/>
                      <w:color w:val="auto"/>
                      <w:kern w:val="0"/>
                      <w:szCs w:val="21"/>
                      <w:lang w:val="en-US" w:eastAsia="zh-CN"/>
                    </w:rPr>
                    <w:t>吸入高浓度蒸汽可能会引起急性中毒</w:t>
                  </w:r>
                </w:p>
              </w:tc>
            </w:tr>
            <w:tr w14:paraId="2518F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1754" w:type="dxa"/>
                  <w:shd w:val="clear" w:color="auto" w:fill="FFFFFF"/>
                  <w:noWrap w:val="0"/>
                  <w:vAlign w:val="center"/>
                </w:tcPr>
                <w:p w14:paraId="3A041210">
                  <w:pPr>
                    <w:keepNext w:val="0"/>
                    <w:keepLines w:val="0"/>
                    <w:pageBreakBefore w:val="0"/>
                    <w:kinsoku/>
                    <w:wordWrap/>
                    <w:overflowPunct/>
                    <w:topLinePunct w:val="0"/>
                    <w:bidi w:val="0"/>
                    <w:spacing w:line="240" w:lineRule="auto"/>
                    <w:ind w:right="0"/>
                    <w:jc w:val="center"/>
                    <w:rPr>
                      <w:rFonts w:hint="eastAsia"/>
                      <w:snapToGrid w:val="0"/>
                      <w:color w:val="auto"/>
                      <w:kern w:val="0"/>
                      <w:szCs w:val="21"/>
                      <w:lang w:val="en-US" w:eastAsia="zh-CN"/>
                    </w:rPr>
                  </w:pPr>
                  <w:r>
                    <w:rPr>
                      <w:rFonts w:hint="eastAsia" w:cs="Times New Roman"/>
                      <w:snapToGrid w:val="0"/>
                      <w:color w:val="auto"/>
                      <w:kern w:val="0"/>
                      <w:sz w:val="21"/>
                      <w:szCs w:val="21"/>
                      <w:lang w:val="en-US" w:eastAsia="zh-CN"/>
                    </w:rPr>
                    <w:t>润滑油</w:t>
                  </w:r>
                </w:p>
              </w:tc>
              <w:tc>
                <w:tcPr>
                  <w:tcW w:w="4038" w:type="dxa"/>
                  <w:shd w:val="clear" w:color="auto" w:fill="FFFFFF"/>
                  <w:noWrap w:val="0"/>
                  <w:vAlign w:val="center"/>
                </w:tcPr>
                <w:p w14:paraId="42C715EC">
                  <w:pPr>
                    <w:keepNext w:val="0"/>
                    <w:keepLines w:val="0"/>
                    <w:pageBreakBefore w:val="0"/>
                    <w:kinsoku/>
                    <w:wordWrap/>
                    <w:overflowPunct/>
                    <w:topLinePunct w:val="0"/>
                    <w:bidi w:val="0"/>
                    <w:spacing w:line="240" w:lineRule="auto"/>
                    <w:ind w:right="0"/>
                    <w:jc w:val="both"/>
                    <w:rPr>
                      <w:rFonts w:hint="eastAsia"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外观与性状：油状液体，淡黄色至褐色，略带气味，闪点：216℃</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相对密度(水=1)：0.8595g/cm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w:t>
                  </w:r>
                </w:p>
              </w:tc>
              <w:tc>
                <w:tcPr>
                  <w:tcW w:w="1287" w:type="dxa"/>
                  <w:shd w:val="clear" w:color="auto" w:fill="FFFFFF"/>
                  <w:noWrap w:val="0"/>
                  <w:vAlign w:val="center"/>
                </w:tcPr>
                <w:p w14:paraId="3EFF11CF">
                  <w:pPr>
                    <w:keepNext w:val="0"/>
                    <w:keepLines w:val="0"/>
                    <w:pageBreakBefore w:val="0"/>
                    <w:kinsoku/>
                    <w:wordWrap/>
                    <w:overflowPunct/>
                    <w:topLinePunct w:val="0"/>
                    <w:bidi w:val="0"/>
                    <w:adjustRightInd w:val="0"/>
                    <w:snapToGrid w:val="0"/>
                    <w:spacing w:line="240" w:lineRule="auto"/>
                    <w:ind w:right="0"/>
                    <w:jc w:val="center"/>
                    <w:rPr>
                      <w:rFonts w:hint="default"/>
                      <w:snapToGrid w:val="0"/>
                      <w:color w:val="auto"/>
                      <w:szCs w:val="21"/>
                      <w:lang w:val="en-US" w:eastAsia="zh-CN"/>
                    </w:rPr>
                  </w:pPr>
                  <w:r>
                    <w:rPr>
                      <w:rFonts w:hint="eastAsia"/>
                      <w:snapToGrid w:val="0"/>
                      <w:color w:val="auto"/>
                      <w:szCs w:val="21"/>
                      <w:lang w:val="en-US" w:eastAsia="zh-CN"/>
                    </w:rPr>
                    <w:t>可燃</w:t>
                  </w:r>
                </w:p>
              </w:tc>
              <w:tc>
                <w:tcPr>
                  <w:tcW w:w="1201" w:type="dxa"/>
                  <w:shd w:val="clear" w:color="auto" w:fill="FFFFFF"/>
                  <w:noWrap w:val="0"/>
                  <w:vAlign w:val="center"/>
                </w:tcPr>
                <w:p w14:paraId="15720CDD">
                  <w:pPr>
                    <w:keepNext w:val="0"/>
                    <w:keepLines w:val="0"/>
                    <w:pageBreakBefore w:val="0"/>
                    <w:kinsoku/>
                    <w:wordWrap/>
                    <w:overflowPunct/>
                    <w:topLinePunct w:val="0"/>
                    <w:bidi w:val="0"/>
                    <w:adjustRightInd w:val="0"/>
                    <w:snapToGrid w:val="0"/>
                    <w:spacing w:line="240" w:lineRule="auto"/>
                    <w:ind w:right="0"/>
                    <w:jc w:val="center"/>
                    <w:rPr>
                      <w:rFonts w:hint="default"/>
                      <w:snapToGrid w:val="0"/>
                      <w:color w:val="auto"/>
                      <w:kern w:val="0"/>
                      <w:szCs w:val="21"/>
                      <w:lang w:val="en-US" w:eastAsia="zh-CN"/>
                    </w:rPr>
                  </w:pPr>
                  <w:r>
                    <w:rPr>
                      <w:rFonts w:hint="eastAsia"/>
                      <w:snapToGrid w:val="0"/>
                      <w:color w:val="auto"/>
                      <w:kern w:val="0"/>
                      <w:szCs w:val="21"/>
                      <w:lang w:val="en-US" w:eastAsia="zh-CN"/>
                    </w:rPr>
                    <w:t>有毒</w:t>
                  </w:r>
                </w:p>
              </w:tc>
            </w:tr>
          </w:tbl>
          <w:p w14:paraId="1A006E58">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b/>
                <w:color w:val="000000"/>
                <w:sz w:val="24"/>
                <w:highlight w:val="none"/>
              </w:rPr>
            </w:pPr>
            <w:r>
              <w:rPr>
                <w:rFonts w:hint="eastAsia"/>
                <w:b/>
                <w:color w:val="000000"/>
                <w:sz w:val="24"/>
                <w:highlight w:val="none"/>
                <w:lang w:val="en-US" w:eastAsia="zh-CN"/>
              </w:rPr>
              <w:t>6</w:t>
            </w:r>
            <w:r>
              <w:rPr>
                <w:rFonts w:hint="eastAsia"/>
                <w:b/>
                <w:color w:val="000000"/>
                <w:sz w:val="24"/>
                <w:highlight w:val="none"/>
              </w:rPr>
              <w:t>、劳动定员及工作制度</w:t>
            </w:r>
          </w:p>
          <w:p w14:paraId="706C3A7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sz w:val="24"/>
                <w:highlight w:val="none"/>
              </w:rPr>
            </w:pPr>
            <w:r>
              <w:rPr>
                <w:rFonts w:hint="eastAsia"/>
                <w:color w:val="000000"/>
                <w:sz w:val="24"/>
                <w:highlight w:val="none"/>
              </w:rPr>
              <w:t>职工人数：本项目新增员工</w:t>
            </w:r>
            <w:r>
              <w:rPr>
                <w:rFonts w:hint="eastAsia"/>
                <w:color w:val="000000"/>
                <w:sz w:val="24"/>
                <w:highlight w:val="none"/>
                <w:lang w:val="en-US" w:eastAsia="zh-CN"/>
              </w:rPr>
              <w:t>65</w:t>
            </w:r>
            <w:r>
              <w:rPr>
                <w:rFonts w:hint="eastAsia"/>
                <w:color w:val="000000"/>
                <w:sz w:val="24"/>
                <w:highlight w:val="none"/>
              </w:rPr>
              <w:t>人；</w:t>
            </w:r>
          </w:p>
          <w:p w14:paraId="39442C5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sz w:val="24"/>
                <w:highlight w:val="none"/>
              </w:rPr>
            </w:pPr>
            <w:r>
              <w:rPr>
                <w:rFonts w:hint="eastAsia"/>
                <w:color w:val="000000"/>
                <w:sz w:val="24"/>
                <w:highlight w:val="none"/>
              </w:rPr>
              <w:t>工作制度：年工作</w:t>
            </w:r>
            <w:r>
              <w:rPr>
                <w:rFonts w:hint="eastAsia"/>
                <w:color w:val="000000"/>
                <w:sz w:val="24"/>
                <w:highlight w:val="none"/>
                <w:lang w:val="en-US" w:eastAsia="zh-CN"/>
              </w:rPr>
              <w:t>260</w:t>
            </w:r>
            <w:r>
              <w:rPr>
                <w:rFonts w:hint="eastAsia"/>
                <w:color w:val="000000"/>
                <w:sz w:val="24"/>
                <w:highlight w:val="none"/>
              </w:rPr>
              <w:t>天，实行</w:t>
            </w:r>
            <w:r>
              <w:rPr>
                <w:rFonts w:hint="eastAsia"/>
                <w:color w:val="000000"/>
                <w:sz w:val="24"/>
                <w:highlight w:val="none"/>
                <w:lang w:val="en-US" w:eastAsia="zh-CN"/>
              </w:rPr>
              <w:t>8</w:t>
            </w:r>
            <w:r>
              <w:rPr>
                <w:rFonts w:hint="eastAsia"/>
                <w:color w:val="000000"/>
                <w:sz w:val="24"/>
                <w:highlight w:val="none"/>
              </w:rPr>
              <w:t>小时</w:t>
            </w:r>
            <w:r>
              <w:rPr>
                <w:rFonts w:hint="eastAsia"/>
                <w:color w:val="000000"/>
                <w:sz w:val="24"/>
                <w:highlight w:val="none"/>
                <w:lang w:val="en-US" w:eastAsia="zh-CN"/>
              </w:rPr>
              <w:t>1</w:t>
            </w:r>
            <w:r>
              <w:rPr>
                <w:rFonts w:hint="eastAsia"/>
                <w:color w:val="000000"/>
                <w:sz w:val="24"/>
                <w:highlight w:val="none"/>
              </w:rPr>
              <w:t>班制，年工作</w:t>
            </w:r>
            <w:r>
              <w:rPr>
                <w:rFonts w:hint="eastAsia"/>
                <w:color w:val="000000"/>
                <w:sz w:val="24"/>
                <w:highlight w:val="none"/>
                <w:lang w:val="en-US" w:eastAsia="zh-CN"/>
              </w:rPr>
              <w:t>2080</w:t>
            </w:r>
            <w:r>
              <w:rPr>
                <w:rFonts w:hint="eastAsia"/>
                <w:color w:val="000000"/>
                <w:sz w:val="24"/>
                <w:highlight w:val="none"/>
              </w:rPr>
              <w:t>小时；</w:t>
            </w:r>
          </w:p>
          <w:p w14:paraId="7AFF962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sz w:val="24"/>
                <w:highlight w:val="none"/>
              </w:rPr>
            </w:pPr>
            <w:r>
              <w:rPr>
                <w:rFonts w:hint="eastAsia"/>
                <w:color w:val="000000"/>
                <w:sz w:val="24"/>
                <w:highlight w:val="none"/>
              </w:rPr>
              <w:t>生活设施：本项目不设宿舍和食堂。</w:t>
            </w:r>
          </w:p>
          <w:p w14:paraId="1092413B">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b/>
                <w:color w:val="000000"/>
                <w:spacing w:val="10"/>
                <w:sz w:val="24"/>
                <w:highlight w:val="none"/>
              </w:rPr>
            </w:pPr>
            <w:r>
              <w:rPr>
                <w:rFonts w:hint="eastAsia"/>
                <w:b/>
                <w:color w:val="000000"/>
                <w:spacing w:val="10"/>
                <w:sz w:val="24"/>
                <w:highlight w:val="none"/>
                <w:lang w:val="en-US" w:eastAsia="zh-CN"/>
              </w:rPr>
              <w:t>7</w:t>
            </w:r>
            <w:r>
              <w:rPr>
                <w:rFonts w:hint="eastAsia"/>
                <w:b/>
                <w:color w:val="000000"/>
                <w:spacing w:val="10"/>
                <w:sz w:val="24"/>
                <w:highlight w:val="none"/>
              </w:rPr>
              <w:t>、周围环境简况及厂区平面布置情况</w:t>
            </w:r>
          </w:p>
          <w:p w14:paraId="4BB1E11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color w:val="000000"/>
                <w:sz w:val="24"/>
                <w:highlight w:val="none"/>
              </w:rPr>
            </w:pPr>
            <w:r>
              <w:rPr>
                <w:rFonts w:hint="eastAsia"/>
                <w:color w:val="000000"/>
                <w:sz w:val="24"/>
                <w:highlight w:val="none"/>
                <w:lang w:val="en-US" w:eastAsia="zh-CN"/>
              </w:rPr>
              <w:t>地理位置：</w:t>
            </w:r>
            <w:r>
              <w:rPr>
                <w:rFonts w:hint="eastAsia"/>
                <w:color w:val="000000"/>
                <w:sz w:val="24"/>
                <w:highlight w:val="none"/>
              </w:rPr>
              <w:t>本项目位于</w:t>
            </w:r>
            <w:r>
              <w:rPr>
                <w:rFonts w:hint="eastAsia"/>
                <w:color w:val="000000"/>
                <w:sz w:val="24"/>
                <w:highlight w:val="none"/>
                <w:lang w:val="en-US" w:eastAsia="zh-CN"/>
              </w:rPr>
              <w:t>江苏省苏州市吴江区黎里镇黎民南路37号</w:t>
            </w:r>
            <w:r>
              <w:rPr>
                <w:rFonts w:hint="eastAsia"/>
                <w:color w:val="000000"/>
                <w:sz w:val="24"/>
                <w:highlight w:val="none"/>
              </w:rPr>
              <w:t>，</w:t>
            </w:r>
            <w:r>
              <w:rPr>
                <w:rFonts w:hint="eastAsia"/>
                <w:color w:val="000000"/>
                <w:sz w:val="24"/>
                <w:highlight w:val="none"/>
                <w:lang w:val="en-US" w:eastAsia="zh-CN"/>
              </w:rPr>
              <w:t>利用自有</w:t>
            </w:r>
            <w:r>
              <w:rPr>
                <w:rFonts w:hint="eastAsia"/>
                <w:color w:val="000000"/>
                <w:sz w:val="24"/>
                <w:highlight w:val="none"/>
              </w:rPr>
              <w:t>厂房进行生产</w:t>
            </w:r>
            <w:r>
              <w:rPr>
                <w:rFonts w:hint="eastAsia"/>
                <w:color w:val="000000"/>
                <w:sz w:val="24"/>
                <w:highlight w:val="none"/>
                <w:lang w:eastAsia="zh-CN"/>
              </w:rPr>
              <w:t>。</w:t>
            </w:r>
            <w:r>
              <w:rPr>
                <w:rFonts w:hint="eastAsia"/>
                <w:color w:val="000000"/>
                <w:sz w:val="24"/>
                <w:highlight w:val="none"/>
              </w:rPr>
              <w:t>地理位置见附图1。</w:t>
            </w:r>
          </w:p>
          <w:p w14:paraId="2DCBF59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color w:val="000000"/>
                <w:sz w:val="24"/>
                <w:highlight w:val="none"/>
              </w:rPr>
            </w:pPr>
            <w:r>
              <w:rPr>
                <w:rFonts w:hint="eastAsia"/>
                <w:color w:val="000000"/>
                <w:sz w:val="24"/>
                <w:highlight w:val="none"/>
                <w:lang w:val="en-US" w:eastAsia="zh-CN"/>
              </w:rPr>
              <w:t>周围环境概况：厂区</w:t>
            </w:r>
            <w:r>
              <w:rPr>
                <w:rFonts w:hint="eastAsia"/>
                <w:color w:val="000000"/>
                <w:sz w:val="24"/>
                <w:highlight w:val="none"/>
              </w:rPr>
              <w:t>东侧为</w:t>
            </w:r>
            <w:r>
              <w:rPr>
                <w:rFonts w:hint="eastAsia"/>
                <w:color w:val="000000"/>
                <w:sz w:val="24"/>
                <w:highlight w:val="none"/>
                <w:lang w:val="en-US" w:eastAsia="zh-CN"/>
              </w:rPr>
              <w:t>厂房</w:t>
            </w:r>
            <w:r>
              <w:rPr>
                <w:rFonts w:hint="eastAsia"/>
                <w:color w:val="000000"/>
                <w:sz w:val="24"/>
                <w:highlight w:val="none"/>
              </w:rPr>
              <w:t>，南侧为</w:t>
            </w:r>
            <w:r>
              <w:rPr>
                <w:rFonts w:hint="eastAsia"/>
                <w:color w:val="000000"/>
                <w:sz w:val="24"/>
                <w:highlight w:val="none"/>
                <w:lang w:val="en-US" w:eastAsia="zh-CN"/>
              </w:rPr>
              <w:t>厂房</w:t>
            </w:r>
            <w:r>
              <w:rPr>
                <w:rFonts w:hint="eastAsia"/>
                <w:color w:val="000000"/>
                <w:sz w:val="24"/>
                <w:highlight w:val="none"/>
              </w:rPr>
              <w:t>，西侧为</w:t>
            </w:r>
            <w:r>
              <w:rPr>
                <w:rFonts w:hint="eastAsia"/>
                <w:color w:val="000000"/>
                <w:sz w:val="24"/>
                <w:highlight w:val="none"/>
                <w:lang w:val="en-US" w:eastAsia="zh-CN"/>
              </w:rPr>
              <w:t>厂房</w:t>
            </w:r>
            <w:r>
              <w:rPr>
                <w:rFonts w:hint="eastAsia"/>
                <w:color w:val="000000"/>
                <w:sz w:val="24"/>
                <w:highlight w:val="none"/>
              </w:rPr>
              <w:t>，北侧为</w:t>
            </w:r>
            <w:r>
              <w:rPr>
                <w:rFonts w:hint="eastAsia"/>
                <w:color w:val="000000"/>
                <w:sz w:val="24"/>
                <w:highlight w:val="none"/>
                <w:lang w:val="en-US" w:eastAsia="zh-CN"/>
              </w:rPr>
              <w:t>厂房</w:t>
            </w:r>
            <w:r>
              <w:rPr>
                <w:rFonts w:hint="eastAsia"/>
                <w:color w:val="000000"/>
                <w:sz w:val="24"/>
                <w:highlight w:val="none"/>
                <w:lang w:eastAsia="zh-CN"/>
              </w:rPr>
              <w:t>。</w:t>
            </w:r>
            <w:r>
              <w:rPr>
                <w:rFonts w:hint="eastAsia"/>
                <w:color w:val="000000"/>
                <w:sz w:val="24"/>
                <w:highlight w:val="none"/>
              </w:rPr>
              <w:t>周围环境图见附图</w:t>
            </w:r>
            <w:r>
              <w:rPr>
                <w:rFonts w:hint="eastAsia"/>
                <w:color w:val="000000"/>
                <w:sz w:val="24"/>
                <w:highlight w:val="none"/>
                <w:lang w:val="en-US" w:eastAsia="zh-CN"/>
              </w:rPr>
              <w:t>5</w:t>
            </w:r>
            <w:r>
              <w:rPr>
                <w:rFonts w:hint="eastAsia"/>
                <w:color w:val="000000"/>
                <w:sz w:val="24"/>
                <w:highlight w:val="none"/>
              </w:rPr>
              <w:t>。</w:t>
            </w:r>
          </w:p>
          <w:p w14:paraId="7C19DEC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color w:val="000000"/>
                <w:sz w:val="24"/>
                <w:highlight w:val="none"/>
              </w:rPr>
            </w:pPr>
            <w:r>
              <w:rPr>
                <w:rFonts w:hint="eastAsia"/>
                <w:color w:val="000000"/>
                <w:sz w:val="24"/>
                <w:highlight w:val="none"/>
                <w:lang w:val="en-US" w:eastAsia="zh-CN"/>
              </w:rPr>
              <w:t>厂区及厂房布局：</w:t>
            </w:r>
            <w:r>
              <w:rPr>
                <w:rFonts w:hint="eastAsia"/>
                <w:color w:val="000000"/>
                <w:sz w:val="24"/>
                <w:highlight w:val="none"/>
              </w:rPr>
              <w:t>本项目</w:t>
            </w:r>
            <w:r>
              <w:rPr>
                <w:rFonts w:hint="eastAsia"/>
                <w:color w:val="000000"/>
                <w:sz w:val="24"/>
                <w:highlight w:val="none"/>
                <w:lang w:val="en-US" w:eastAsia="zh-CN"/>
              </w:rPr>
              <w:t>利用</w:t>
            </w:r>
            <w:r>
              <w:rPr>
                <w:rFonts w:hint="eastAsia"/>
                <w:color w:val="000000"/>
                <w:sz w:val="24"/>
                <w:highlight w:val="none"/>
              </w:rPr>
              <w:t>位于</w:t>
            </w:r>
            <w:r>
              <w:rPr>
                <w:rFonts w:hint="eastAsia"/>
                <w:color w:val="000000"/>
                <w:sz w:val="24"/>
                <w:highlight w:val="none"/>
                <w:lang w:val="en-US" w:eastAsia="zh-CN"/>
              </w:rPr>
              <w:t>江苏省苏州市吴江区黎里镇黎民南路37号自有</w:t>
            </w:r>
            <w:r>
              <w:rPr>
                <w:rFonts w:hint="eastAsia"/>
                <w:color w:val="000000"/>
                <w:sz w:val="24"/>
                <w:highlight w:val="none"/>
              </w:rPr>
              <w:t>厂房进行生产，</w:t>
            </w:r>
            <w:r>
              <w:rPr>
                <w:rFonts w:hint="eastAsia"/>
                <w:color w:val="000000"/>
                <w:sz w:val="24"/>
                <w:highlight w:val="none"/>
                <w:lang w:val="en-US" w:eastAsia="zh-CN"/>
              </w:rPr>
              <w:t>生产车间主要包括生产区域、原料仓库、成品仓库、</w:t>
            </w:r>
            <w:r>
              <w:rPr>
                <w:rFonts w:hint="eastAsia"/>
                <w:color w:val="000000"/>
                <w:sz w:val="24"/>
                <w:highlight w:val="none"/>
              </w:rPr>
              <w:t>一般固废暂存区等。具体平面布置见附图</w:t>
            </w:r>
            <w:r>
              <w:rPr>
                <w:rFonts w:hint="eastAsia"/>
                <w:color w:val="000000"/>
                <w:sz w:val="24"/>
                <w:highlight w:val="none"/>
                <w:lang w:val="en-US" w:eastAsia="zh-CN"/>
              </w:rPr>
              <w:t>6</w:t>
            </w:r>
            <w:r>
              <w:rPr>
                <w:rFonts w:hint="eastAsia"/>
                <w:color w:val="000000"/>
                <w:sz w:val="24"/>
                <w:highlight w:val="none"/>
              </w:rPr>
              <w:t>。</w:t>
            </w:r>
          </w:p>
          <w:p w14:paraId="19EFE4E3">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b/>
                <w:color w:val="000000"/>
                <w:spacing w:val="10"/>
                <w:sz w:val="24"/>
                <w:highlight w:val="none"/>
                <w:lang w:val="en-US" w:eastAsia="zh-CN"/>
              </w:rPr>
            </w:pPr>
            <w:r>
              <w:rPr>
                <w:rFonts w:hint="eastAsia"/>
                <w:b/>
                <w:color w:val="000000"/>
                <w:spacing w:val="10"/>
                <w:sz w:val="24"/>
                <w:highlight w:val="none"/>
                <w:lang w:val="en-US" w:eastAsia="zh-CN"/>
              </w:rPr>
              <w:t>8、本项目水平衡图</w:t>
            </w:r>
          </w:p>
          <w:p w14:paraId="008E8203">
            <w:pPr>
              <w:pStyle w:val="5"/>
              <w:numPr>
                <w:ilvl w:val="0"/>
                <w:numId w:val="0"/>
              </w:numPr>
              <w:ind w:right="113" w:rightChars="0"/>
              <w:rPr>
                <w:rFonts w:hint="eastAsia"/>
                <w:b/>
                <w:bCs/>
                <w:color w:val="auto"/>
                <w:sz w:val="24"/>
                <w:highlight w:val="yellow"/>
              </w:rPr>
            </w:pPr>
            <w:r>
              <w:drawing>
                <wp:inline distT="0" distB="0" distL="114300" distR="114300">
                  <wp:extent cx="5223510" cy="1617980"/>
                  <wp:effectExtent l="0" t="0" r="15240" b="127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5"/>
                          <a:stretch>
                            <a:fillRect/>
                          </a:stretch>
                        </pic:blipFill>
                        <pic:spPr>
                          <a:xfrm>
                            <a:off x="0" y="0"/>
                            <a:ext cx="5223510" cy="1617980"/>
                          </a:xfrm>
                          <a:prstGeom prst="rect">
                            <a:avLst/>
                          </a:prstGeom>
                          <a:noFill/>
                          <a:ln>
                            <a:noFill/>
                          </a:ln>
                        </pic:spPr>
                      </pic:pic>
                    </a:graphicData>
                  </a:graphic>
                </wp:inline>
              </w:drawing>
            </w:r>
          </w:p>
          <w:p w14:paraId="6E5D79A8">
            <w:pPr>
              <w:adjustRightInd w:val="0"/>
              <w:snapToGrid w:val="0"/>
              <w:spacing w:line="240" w:lineRule="auto"/>
              <w:jc w:val="center"/>
              <w:rPr>
                <w:rFonts w:hint="eastAsia"/>
                <w:b/>
                <w:color w:val="auto"/>
                <w:szCs w:val="21"/>
                <w:highlight w:val="none"/>
              </w:rPr>
            </w:pPr>
            <w:r>
              <w:rPr>
                <w:rFonts w:hint="eastAsia"/>
                <w:b/>
                <w:color w:val="auto"/>
                <w:szCs w:val="21"/>
                <w:highlight w:val="none"/>
              </w:rPr>
              <w:t>图</w:t>
            </w:r>
            <w:r>
              <w:rPr>
                <w:b/>
                <w:color w:val="auto"/>
                <w:szCs w:val="21"/>
                <w:highlight w:val="none"/>
              </w:rPr>
              <w:t xml:space="preserve">2-1 </w:t>
            </w:r>
            <w:r>
              <w:rPr>
                <w:rFonts w:hint="eastAsia"/>
                <w:b/>
                <w:color w:val="auto"/>
                <w:szCs w:val="21"/>
                <w:highlight w:val="none"/>
              </w:rPr>
              <w:t>本项目水平衡图（t/a）</w:t>
            </w:r>
          </w:p>
        </w:tc>
      </w:tr>
      <w:tr w14:paraId="307CC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478" w:type="dxa"/>
            <w:noWrap w:val="0"/>
            <w:vAlign w:val="center"/>
          </w:tcPr>
          <w:p w14:paraId="340B2C44">
            <w:pPr>
              <w:pStyle w:val="19"/>
              <w:adjustRightInd w:val="0"/>
              <w:snapToGrid w:val="0"/>
              <w:spacing w:before="0" w:beforeAutospacing="0" w:after="0" w:afterAutospacing="0"/>
              <w:jc w:val="center"/>
              <w:rPr>
                <w:rFonts w:cs="宋体"/>
                <w:b/>
                <w:color w:val="auto"/>
                <w:sz w:val="21"/>
                <w:szCs w:val="21"/>
              </w:rPr>
            </w:pPr>
            <w:r>
              <w:rPr>
                <w:rFonts w:hint="eastAsia" w:cs="宋体"/>
                <w:b/>
                <w:color w:val="auto"/>
                <w:sz w:val="21"/>
                <w:szCs w:val="21"/>
              </w:rPr>
              <w:t>工艺流程和产排污环节</w:t>
            </w:r>
          </w:p>
        </w:tc>
        <w:tc>
          <w:tcPr>
            <w:tcW w:w="8448" w:type="dxa"/>
            <w:noWrap w:val="0"/>
            <w:vAlign w:val="top"/>
          </w:tcPr>
          <w:p w14:paraId="28C02D94">
            <w:pPr>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b/>
                <w:color w:val="000000"/>
                <w:sz w:val="24"/>
              </w:rPr>
            </w:pPr>
            <w:r>
              <w:rPr>
                <w:rFonts w:hint="eastAsia"/>
                <w:b/>
                <w:color w:val="000000"/>
                <w:sz w:val="24"/>
              </w:rPr>
              <w:t>工艺流程简述（图示）：</w:t>
            </w:r>
          </w:p>
          <w:p w14:paraId="29557AE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sz w:val="24"/>
                <w:highlight w:val="none"/>
                <w:lang w:val="en-US" w:eastAsia="zh-CN"/>
              </w:rPr>
            </w:pPr>
            <w:r>
              <w:rPr>
                <w:rFonts w:hint="eastAsia" w:cs="Times New Roman"/>
                <w:color w:val="000000"/>
                <w:sz w:val="24"/>
                <w:highlight w:val="none"/>
                <w:lang w:val="en-US" w:eastAsia="zh-CN"/>
              </w:rPr>
              <w:t>针灸器械</w:t>
            </w:r>
            <w:r>
              <w:rPr>
                <w:rFonts w:hint="eastAsia" w:ascii="Times New Roman" w:hAnsi="Times New Roman" w:eastAsia="宋体" w:cs="Times New Roman"/>
                <w:color w:val="000000"/>
                <w:sz w:val="24"/>
                <w:highlight w:val="none"/>
                <w:lang w:val="en-US" w:eastAsia="zh-CN"/>
              </w:rPr>
              <w:t>生产工艺流程如下：</w:t>
            </w:r>
          </w:p>
          <w:p w14:paraId="48CEE0D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sz w:val="24"/>
                <w:highlight w:val="none"/>
                <w:lang w:val="en-US" w:eastAsia="zh-CN"/>
              </w:rPr>
            </w:pPr>
          </w:p>
          <w:p w14:paraId="37B0C8E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sz w:val="24"/>
                <w:highlight w:val="none"/>
                <w:lang w:val="en-US" w:eastAsia="zh-CN"/>
              </w:rPr>
            </w:pPr>
          </w:p>
          <w:p w14:paraId="0DD0623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sz w:val="24"/>
                <w:highlight w:val="none"/>
                <w:lang w:val="en-US" w:eastAsia="zh-CN"/>
              </w:rPr>
            </w:pPr>
          </w:p>
          <w:p w14:paraId="157DD2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ascii="Times New Roman" w:hAnsi="Times New Roman" w:eastAsia="宋体" w:cs="Times New Roman"/>
                <w:color w:val="000000"/>
                <w:sz w:val="24"/>
                <w:highlight w:val="none"/>
                <w:lang w:val="en-US" w:eastAsia="zh-CN"/>
              </w:rPr>
            </w:pPr>
          </w:p>
          <w:p w14:paraId="443DFDEB">
            <w:pPr>
              <w:pStyle w:val="3"/>
              <w:adjustRightInd w:val="0"/>
              <w:snapToGrid w:val="0"/>
              <w:spacing w:line="360" w:lineRule="auto"/>
              <w:ind w:left="0" w:leftChars="0" w:firstLine="0" w:firstLineChars="0"/>
              <w:jc w:val="center"/>
              <w:rPr>
                <w:rFonts w:hint="eastAsia" w:eastAsia="宋体"/>
                <w:color w:val="auto"/>
                <w:sz w:val="24"/>
                <w:lang w:eastAsia="zh-CN"/>
              </w:rPr>
            </w:pPr>
            <w:r>
              <w:rPr>
                <w:rFonts w:hint="eastAsia" w:eastAsia="宋体"/>
                <w:color w:val="auto"/>
                <w:sz w:val="24"/>
                <w:lang w:eastAsia="zh-CN"/>
              </w:rPr>
              <w:object>
                <v:shape id="_x0000_i1025" o:spt="75" type="#_x0000_t75" style="height:452.25pt;width:360pt;" o:ole="t" filled="f" o:preferrelative="t" stroked="f" coordsize="21600,21600">
                  <v:path/>
                  <v:fill on="f" focussize="0,0"/>
                  <v:stroke on="f"/>
                  <v:imagedata r:id="rId7" o:title=""/>
                  <o:lock v:ext="edit" aspectratio="f"/>
                  <w10:wrap type="none"/>
                  <w10:anchorlock/>
                </v:shape>
                <o:OLEObject Type="Embed" ProgID="Visio.Drawing.15" ShapeID="_x0000_i1025" DrawAspect="Content" ObjectID="_1468075725" r:id="rId6">
                  <o:LockedField>false</o:LockedField>
                </o:OLEObject>
              </w:object>
            </w:r>
          </w:p>
          <w:p w14:paraId="03DE5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图2-</w:t>
            </w:r>
            <w:r>
              <w:rPr>
                <w:rFonts w:hint="eastAsia" w:cs="Times New Roman"/>
                <w:b/>
                <w:color w:val="auto"/>
                <w:kern w:val="0"/>
                <w:szCs w:val="21"/>
                <w:lang w:val="en-US" w:eastAsia="zh-CN"/>
              </w:rPr>
              <w:t>2</w:t>
            </w:r>
            <w:r>
              <w:rPr>
                <w:rFonts w:hint="eastAsia" w:ascii="Times New Roman" w:hAnsi="Times New Roman" w:eastAsia="宋体" w:cs="Times New Roman"/>
                <w:b/>
                <w:color w:val="auto"/>
                <w:kern w:val="0"/>
                <w:szCs w:val="21"/>
                <w:lang w:val="en-US" w:eastAsia="zh-CN"/>
              </w:rPr>
              <w:t xml:space="preserve"> </w:t>
            </w:r>
            <w:r>
              <w:rPr>
                <w:rFonts w:hint="eastAsia" w:cs="Times New Roman"/>
                <w:b/>
                <w:color w:val="auto"/>
                <w:kern w:val="0"/>
                <w:szCs w:val="21"/>
                <w:lang w:val="en-US" w:eastAsia="zh-CN"/>
              </w:rPr>
              <w:t>生产工艺</w:t>
            </w:r>
            <w:r>
              <w:rPr>
                <w:rFonts w:hint="eastAsia" w:ascii="Times New Roman" w:hAnsi="Times New Roman" w:eastAsia="宋体" w:cs="Times New Roman"/>
                <w:b/>
                <w:color w:val="auto"/>
                <w:kern w:val="0"/>
                <w:szCs w:val="21"/>
                <w:lang w:val="en-US" w:eastAsia="zh-CN"/>
              </w:rPr>
              <w:t>流程图</w:t>
            </w:r>
          </w:p>
          <w:p w14:paraId="6E6CCB47">
            <w:pPr>
              <w:pStyle w:val="3"/>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b/>
                <w:bCs/>
                <w:color w:val="auto"/>
                <w:sz w:val="24"/>
                <w:lang w:val="en-US" w:eastAsia="zh-CN"/>
              </w:rPr>
            </w:pPr>
            <w:r>
              <w:rPr>
                <w:rFonts w:hint="eastAsia"/>
                <w:b/>
                <w:bCs/>
                <w:color w:val="auto"/>
                <w:sz w:val="24"/>
                <w:lang w:val="en-US" w:eastAsia="zh-CN"/>
              </w:rPr>
              <w:t>工艺说明：</w:t>
            </w:r>
          </w:p>
          <w:p w14:paraId="638B3E2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eastAsia"/>
                <w:b w:val="0"/>
                <w:bCs w:val="0"/>
                <w:color w:val="auto"/>
                <w:sz w:val="24"/>
                <w:szCs w:val="24"/>
                <w:lang w:val="en-US" w:eastAsia="zh-CN"/>
              </w:rPr>
            </w:pPr>
            <w:r>
              <w:rPr>
                <w:rFonts w:hint="eastAsia" w:cs="Times New Roman"/>
                <w:color w:val="000000"/>
                <w:sz w:val="24"/>
                <w:highlight w:val="none"/>
                <w:lang w:val="en-US" w:eastAsia="zh-CN"/>
              </w:rPr>
              <w:t>挤塑：将PP、PE放入挤塑机，挤塑机通过熔融、定型等工序将塑料粒子制作成进针管。此过程会产生非甲烷总烃G1、噪声N。</w:t>
            </w:r>
          </w:p>
          <w:p w14:paraId="1E30217B">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针体磨抛：不锈钢丝、无氧铜丝放入磨抛机中，通过磨抛过程制作针体部分。此过程会产生粉尘G2、噪声N。</w:t>
            </w:r>
          </w:p>
          <w:p w14:paraId="56426FA3">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针柄制作：将不锈钢管、无氧铜管、铝管放入平柄制柄机、环柄、花柄制柄机、金属柄制柄机中通过卷压、轧花、切断过程制作金属柄部分。此过程会产生金属碎屑S1、噪声N。将塑管放入塑柄制柄机中通过加热卷压、冷却、切断过程制作塑柄部分。此过程会产生非甲烷总烃G3、噪声N。</w:t>
            </w:r>
          </w:p>
          <w:p w14:paraId="28618035">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组装：将针体、针柄通过人工组装成针灸针。</w:t>
            </w:r>
          </w:p>
          <w:p w14:paraId="41FBDFCD">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val="0"/>
                <w:bCs w:val="0"/>
                <w:color w:val="auto"/>
                <w:sz w:val="24"/>
                <w:szCs w:val="24"/>
                <w:lang w:val="en-US" w:eastAsia="zh-CN"/>
              </w:rPr>
            </w:pPr>
            <w:r>
              <w:rPr>
                <w:rFonts w:hint="eastAsia"/>
                <w:b w:val="0"/>
                <w:bCs w:val="0"/>
                <w:color w:val="auto"/>
                <w:sz w:val="24"/>
                <w:szCs w:val="24"/>
                <w:lang w:val="en-US" w:eastAsia="zh-CN"/>
              </w:rPr>
              <w:t>清洗：将针灸针放入装有洗洁精的平柄针、金属柄针洁净设备，通过超声波在2个洗洁精池、4个清水池内对其进行清洗，后由烘干机对其进行烘干。此过程产生的清洗废水通过低温高压蒸发器进行回收循环使用。</w:t>
            </w:r>
          </w:p>
          <w:p w14:paraId="5652E895">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正直检验：将洗净干燥的针灸针通过人工进行外观检查以及针尖检查，检查过程中会出现 S2不合格品。</w:t>
            </w:r>
          </w:p>
          <w:p w14:paraId="0DC3C4D1">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插管：将进针管和针灸针放入插管机中，将进针管套入针灸针的针尖部分。</w:t>
            </w:r>
          </w:p>
          <w:p w14:paraId="6149029F">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封装：将制作好的针灸针用医用透析纸包好放入医用高压蒸汽灭菌袋中，通过封装机进行热封。此过程会产生非甲烷总烃G4。</w:t>
            </w:r>
          </w:p>
          <w:p w14:paraId="3B8AE955">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灭菌：将成品在压力为102.9 kPa、温度为121℃下进行30分钟高压蒸汽灭菌处理。</w:t>
            </w:r>
          </w:p>
          <w:p w14:paraId="16E7A74E">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b w:val="0"/>
                <w:bCs w:val="0"/>
                <w:color w:val="auto"/>
                <w:sz w:val="24"/>
                <w:szCs w:val="24"/>
                <w:lang w:val="en-US" w:eastAsia="zh-CN"/>
              </w:rPr>
              <w:t>包装：将产品放入纸盒、纸箱进行包装。</w:t>
            </w:r>
          </w:p>
          <w:p w14:paraId="5D91731A">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val="0"/>
                <w:color w:val="auto"/>
                <w:sz w:val="24"/>
                <w:szCs w:val="24"/>
                <w:lang w:val="en-US" w:eastAsia="zh-CN"/>
              </w:rPr>
            </w:pPr>
            <w:r>
              <w:rPr>
                <w:rFonts w:hint="eastAsia"/>
                <w:color w:val="auto"/>
                <w:sz w:val="24"/>
                <w:lang w:val="en-US" w:eastAsia="zh-CN"/>
              </w:rPr>
              <w:t>设备维护时会产生废润滑油及废油桶。</w:t>
            </w:r>
          </w:p>
          <w:p w14:paraId="2B2007BC">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rPr>
            </w:pPr>
            <w:r>
              <w:rPr>
                <w:rFonts w:hint="eastAsia"/>
                <w:color w:val="auto"/>
                <w:sz w:val="24"/>
              </w:rPr>
              <w:t>本项目营运期产污环节见下表：</w:t>
            </w:r>
          </w:p>
          <w:p w14:paraId="4DA9B1A7">
            <w:pPr>
              <w:pStyle w:val="26"/>
              <w:rPr>
                <w:color w:val="auto"/>
                <w:sz w:val="21"/>
                <w:szCs w:val="21"/>
                <w:highlight w:val="none"/>
              </w:rPr>
            </w:pPr>
            <w:r>
              <w:rPr>
                <w:color w:val="auto"/>
                <w:sz w:val="21"/>
                <w:szCs w:val="21"/>
                <w:highlight w:val="none"/>
              </w:rPr>
              <w:t>表</w:t>
            </w:r>
            <w:r>
              <w:rPr>
                <w:rFonts w:hint="eastAsia"/>
                <w:color w:val="auto"/>
                <w:sz w:val="21"/>
                <w:szCs w:val="21"/>
                <w:highlight w:val="none"/>
              </w:rPr>
              <w:t xml:space="preserve">2-8 </w:t>
            </w:r>
            <w:r>
              <w:rPr>
                <w:color w:val="auto"/>
                <w:sz w:val="21"/>
                <w:szCs w:val="21"/>
                <w:highlight w:val="none"/>
              </w:rPr>
              <w:t xml:space="preserve"> 污染物产生环节汇总表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46"/>
              <w:gridCol w:w="989"/>
              <w:gridCol w:w="1555"/>
              <w:gridCol w:w="2576"/>
              <w:gridCol w:w="2362"/>
            </w:tblGrid>
            <w:tr w14:paraId="5DA61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tblHeader/>
                <w:jc w:val="center"/>
              </w:trPr>
              <w:tc>
                <w:tcPr>
                  <w:tcW w:w="746" w:type="dxa"/>
                  <w:noWrap w:val="0"/>
                  <w:tcMar>
                    <w:left w:w="0" w:type="dxa"/>
                    <w:right w:w="0" w:type="dxa"/>
                  </w:tcMar>
                  <w:vAlign w:val="center"/>
                </w:tcPr>
                <w:p w14:paraId="2C890BD9">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 w:val="21"/>
                      <w:szCs w:val="21"/>
                      <w:highlight w:val="none"/>
                    </w:rPr>
                  </w:pPr>
                  <w:r>
                    <w:rPr>
                      <w:b/>
                      <w:color w:val="auto"/>
                      <w:sz w:val="21"/>
                      <w:szCs w:val="21"/>
                      <w:highlight w:val="none"/>
                    </w:rPr>
                    <w:t>类别</w:t>
                  </w:r>
                </w:p>
              </w:tc>
              <w:tc>
                <w:tcPr>
                  <w:tcW w:w="989" w:type="dxa"/>
                  <w:noWrap w:val="0"/>
                  <w:tcMar>
                    <w:left w:w="0" w:type="dxa"/>
                    <w:right w:w="0" w:type="dxa"/>
                  </w:tcMar>
                  <w:vAlign w:val="center"/>
                </w:tcPr>
                <w:p w14:paraId="70E52D4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b/>
                      <w:color w:val="auto"/>
                      <w:sz w:val="21"/>
                      <w:szCs w:val="21"/>
                      <w:highlight w:val="none"/>
                      <w:lang w:val="en-US" w:eastAsia="zh-CN"/>
                    </w:rPr>
                  </w:pPr>
                  <w:r>
                    <w:rPr>
                      <w:rFonts w:hint="eastAsia"/>
                      <w:b/>
                      <w:color w:val="auto"/>
                      <w:sz w:val="21"/>
                      <w:szCs w:val="21"/>
                      <w:highlight w:val="none"/>
                      <w:lang w:val="en-US" w:eastAsia="zh-CN"/>
                    </w:rPr>
                    <w:t>代码</w:t>
                  </w:r>
                </w:p>
              </w:tc>
              <w:tc>
                <w:tcPr>
                  <w:tcW w:w="1555" w:type="dxa"/>
                  <w:noWrap w:val="0"/>
                  <w:tcMar>
                    <w:left w:w="0" w:type="dxa"/>
                    <w:right w:w="0" w:type="dxa"/>
                  </w:tcMar>
                  <w:vAlign w:val="center"/>
                </w:tcPr>
                <w:p w14:paraId="4274F05F">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 w:val="21"/>
                      <w:szCs w:val="21"/>
                      <w:highlight w:val="none"/>
                    </w:rPr>
                  </w:pPr>
                  <w:r>
                    <w:rPr>
                      <w:b/>
                      <w:color w:val="auto"/>
                      <w:sz w:val="21"/>
                      <w:szCs w:val="21"/>
                      <w:highlight w:val="none"/>
                    </w:rPr>
                    <w:t>产生工序</w:t>
                  </w:r>
                </w:p>
              </w:tc>
              <w:tc>
                <w:tcPr>
                  <w:tcW w:w="2576" w:type="dxa"/>
                  <w:noWrap w:val="0"/>
                  <w:tcMar>
                    <w:left w:w="0" w:type="dxa"/>
                    <w:right w:w="0" w:type="dxa"/>
                  </w:tcMar>
                  <w:vAlign w:val="center"/>
                </w:tcPr>
                <w:p w14:paraId="6178035C">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 w:val="21"/>
                      <w:szCs w:val="21"/>
                      <w:highlight w:val="none"/>
                    </w:rPr>
                  </w:pPr>
                  <w:r>
                    <w:rPr>
                      <w:b/>
                      <w:color w:val="auto"/>
                      <w:sz w:val="21"/>
                      <w:szCs w:val="21"/>
                      <w:highlight w:val="none"/>
                    </w:rPr>
                    <w:t>污染物名称</w:t>
                  </w:r>
                </w:p>
              </w:tc>
              <w:tc>
                <w:tcPr>
                  <w:tcW w:w="2362" w:type="dxa"/>
                  <w:noWrap w:val="0"/>
                  <w:vAlign w:val="center"/>
                </w:tcPr>
                <w:p w14:paraId="6FD260AD">
                  <w:pPr>
                    <w:keepNext w:val="0"/>
                    <w:keepLines w:val="0"/>
                    <w:pageBreakBefore w:val="0"/>
                    <w:kinsoku/>
                    <w:wordWrap/>
                    <w:overflowPunct/>
                    <w:topLinePunct w:val="0"/>
                    <w:autoSpaceDE/>
                    <w:autoSpaceDN/>
                    <w:bidi w:val="0"/>
                    <w:adjustRightInd w:val="0"/>
                    <w:snapToGrid w:val="0"/>
                    <w:spacing w:line="240" w:lineRule="auto"/>
                    <w:jc w:val="center"/>
                    <w:textAlignment w:val="auto"/>
                    <w:rPr>
                      <w:b/>
                      <w:color w:val="auto"/>
                      <w:sz w:val="21"/>
                      <w:szCs w:val="21"/>
                      <w:highlight w:val="none"/>
                    </w:rPr>
                  </w:pPr>
                  <w:r>
                    <w:rPr>
                      <w:rFonts w:hint="eastAsia"/>
                      <w:b/>
                      <w:color w:val="auto"/>
                      <w:sz w:val="21"/>
                      <w:szCs w:val="21"/>
                      <w:highlight w:val="none"/>
                    </w:rPr>
                    <w:t>治理措施</w:t>
                  </w:r>
                </w:p>
              </w:tc>
            </w:tr>
            <w:tr w14:paraId="5135C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restart"/>
                  <w:noWrap w:val="0"/>
                  <w:tcMar>
                    <w:left w:w="0" w:type="dxa"/>
                    <w:right w:w="0" w:type="dxa"/>
                  </w:tcMar>
                  <w:vAlign w:val="center"/>
                </w:tcPr>
                <w:p w14:paraId="2EC94508">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废气</w:t>
                  </w:r>
                </w:p>
              </w:tc>
              <w:tc>
                <w:tcPr>
                  <w:tcW w:w="989" w:type="dxa"/>
                  <w:noWrap w:val="0"/>
                  <w:tcMar>
                    <w:left w:w="0" w:type="dxa"/>
                    <w:right w:w="0" w:type="dxa"/>
                  </w:tcMar>
                  <w:vAlign w:val="center"/>
                </w:tcPr>
                <w:p w14:paraId="299FDC0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G1</w:t>
                  </w:r>
                </w:p>
              </w:tc>
              <w:tc>
                <w:tcPr>
                  <w:tcW w:w="1555" w:type="dxa"/>
                  <w:noWrap w:val="0"/>
                  <w:tcMar>
                    <w:left w:w="0" w:type="dxa"/>
                    <w:right w:w="0" w:type="dxa"/>
                  </w:tcMar>
                  <w:vAlign w:val="center"/>
                </w:tcPr>
                <w:p w14:paraId="43649B1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挤塑</w:t>
                  </w:r>
                </w:p>
              </w:tc>
              <w:tc>
                <w:tcPr>
                  <w:tcW w:w="2576" w:type="dxa"/>
                  <w:noWrap w:val="0"/>
                  <w:tcMar>
                    <w:left w:w="0" w:type="dxa"/>
                    <w:right w:w="0" w:type="dxa"/>
                  </w:tcMar>
                  <w:vAlign w:val="center"/>
                </w:tcPr>
                <w:p w14:paraId="47AF85A0">
                  <w:pPr>
                    <w:pStyle w:val="27"/>
                    <w:keepNext w:val="0"/>
                    <w:keepLines w:val="0"/>
                    <w:pageBreakBefore w:val="0"/>
                    <w:kinsoku/>
                    <w:wordWrap/>
                    <w:overflowPunct/>
                    <w:topLinePunct w:val="0"/>
                    <w:autoSpaceDE/>
                    <w:autoSpaceDN/>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非甲烷总烃</w:t>
                  </w:r>
                </w:p>
              </w:tc>
              <w:tc>
                <w:tcPr>
                  <w:tcW w:w="2362" w:type="dxa"/>
                  <w:noWrap w:val="0"/>
                  <w:vAlign w:val="center"/>
                </w:tcPr>
                <w:p w14:paraId="395A4C0E">
                  <w:pPr>
                    <w:pStyle w:val="27"/>
                    <w:keepNext w:val="0"/>
                    <w:keepLines w:val="0"/>
                    <w:pageBreakBefore w:val="0"/>
                    <w:kinsoku/>
                    <w:wordWrap/>
                    <w:overflowPunct/>
                    <w:topLinePunct w:val="0"/>
                    <w:autoSpaceDE/>
                    <w:autoSpaceDN/>
                    <w:bidi w:val="0"/>
                    <w:spacing w:line="240" w:lineRule="auto"/>
                    <w:jc w:val="center"/>
                    <w:textAlignment w:val="auto"/>
                    <w:rPr>
                      <w:rFonts w:hint="default"/>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经“</w:t>
                  </w:r>
                  <w:r>
                    <w:rPr>
                      <w:rFonts w:hint="eastAsia" w:ascii="Times New Roman" w:hAnsi="Times New Roman" w:cs="Times New Roman"/>
                      <w:color w:val="auto"/>
                      <w:sz w:val="21"/>
                      <w:szCs w:val="21"/>
                      <w:highlight w:val="none"/>
                    </w:rPr>
                    <w:t>二级活性炭吸附装置</w:t>
                  </w:r>
                  <w:r>
                    <w:rPr>
                      <w:rFonts w:hint="eastAsia" w:ascii="Times New Roman" w:hAnsi="Times New Roman" w:cs="Times New Roman"/>
                      <w:color w:val="auto"/>
                      <w:sz w:val="21"/>
                      <w:szCs w:val="21"/>
                      <w:highlight w:val="none"/>
                      <w:lang w:val="en-US" w:eastAsia="zh-CN"/>
                    </w:rPr>
                    <w:t>”处理后通过15m高的2#排气筒排放</w:t>
                  </w:r>
                </w:p>
              </w:tc>
            </w:tr>
            <w:tr w14:paraId="4F1FB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119D3BF3">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989" w:type="dxa"/>
                  <w:noWrap w:val="0"/>
                  <w:tcMar>
                    <w:left w:w="0" w:type="dxa"/>
                    <w:right w:w="0" w:type="dxa"/>
                  </w:tcMar>
                  <w:vAlign w:val="center"/>
                </w:tcPr>
                <w:p w14:paraId="22E2CD4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G2</w:t>
                  </w:r>
                </w:p>
              </w:tc>
              <w:tc>
                <w:tcPr>
                  <w:tcW w:w="1555" w:type="dxa"/>
                  <w:noWrap w:val="0"/>
                  <w:tcMar>
                    <w:left w:w="0" w:type="dxa"/>
                    <w:right w:w="0" w:type="dxa"/>
                  </w:tcMar>
                  <w:vAlign w:val="center"/>
                </w:tcPr>
                <w:p w14:paraId="5670986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针体磨抛</w:t>
                  </w:r>
                </w:p>
              </w:tc>
              <w:tc>
                <w:tcPr>
                  <w:tcW w:w="2576" w:type="dxa"/>
                  <w:noWrap w:val="0"/>
                  <w:tcMar>
                    <w:left w:w="0" w:type="dxa"/>
                    <w:right w:w="0" w:type="dxa"/>
                  </w:tcMar>
                  <w:vAlign w:val="center"/>
                </w:tcPr>
                <w:p w14:paraId="1F79BEE4">
                  <w:pPr>
                    <w:pStyle w:val="27"/>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颗粒物</w:t>
                  </w:r>
                </w:p>
              </w:tc>
              <w:tc>
                <w:tcPr>
                  <w:tcW w:w="2362" w:type="dxa"/>
                  <w:shd w:val="clear" w:color="auto" w:fill="auto"/>
                  <w:noWrap w:val="0"/>
                  <w:vAlign w:val="center"/>
                </w:tcPr>
                <w:p w14:paraId="09C22C93">
                  <w:pPr>
                    <w:pStyle w:val="27"/>
                    <w:keepNext w:val="0"/>
                    <w:keepLines w:val="0"/>
                    <w:pageBreakBefore w:val="0"/>
                    <w:kinsoku/>
                    <w:wordWrap/>
                    <w:overflowPunct/>
                    <w:topLinePunct w:val="0"/>
                    <w:autoSpaceDE/>
                    <w:autoSpaceDN/>
                    <w:bidi w:val="0"/>
                    <w:spacing w:line="240" w:lineRule="auto"/>
                    <w:jc w:val="center"/>
                    <w:textAlignment w:val="auto"/>
                    <w:rPr>
                      <w:rFonts w:hint="eastAsia" w:ascii="Calibri" w:hAnsi="Calibri" w:eastAsia="宋体" w:cs="Calibri"/>
                      <w:color w:val="auto"/>
                      <w:kern w:val="0"/>
                      <w:sz w:val="21"/>
                      <w:szCs w:val="21"/>
                      <w:highlight w:val="none"/>
                      <w:lang w:val="en-US" w:eastAsia="zh-CN" w:bidi="ar-SA"/>
                    </w:rPr>
                  </w:pPr>
                  <w:r>
                    <w:rPr>
                      <w:rFonts w:hint="eastAsia"/>
                      <w:color w:val="auto"/>
                      <w:sz w:val="21"/>
                      <w:szCs w:val="21"/>
                      <w:highlight w:val="none"/>
                      <w:lang w:val="en-US" w:eastAsia="zh-CN"/>
                    </w:rPr>
                    <w:t>经“布袋除尘器”处理后</w:t>
                  </w:r>
                  <w:r>
                    <w:rPr>
                      <w:rFonts w:hint="eastAsia" w:ascii="Times New Roman" w:hAnsi="Times New Roman" w:cs="Times New Roman"/>
                      <w:color w:val="auto"/>
                      <w:sz w:val="21"/>
                      <w:szCs w:val="21"/>
                      <w:highlight w:val="none"/>
                      <w:lang w:val="en-US" w:eastAsia="zh-CN"/>
                    </w:rPr>
                    <w:t>通过15m高的1#排气筒排放</w:t>
                  </w:r>
                </w:p>
              </w:tc>
            </w:tr>
            <w:tr w14:paraId="01805F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4C37368F">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989" w:type="dxa"/>
                  <w:noWrap w:val="0"/>
                  <w:tcMar>
                    <w:left w:w="0" w:type="dxa"/>
                    <w:right w:w="0" w:type="dxa"/>
                  </w:tcMar>
                  <w:vAlign w:val="center"/>
                </w:tcPr>
                <w:p w14:paraId="1EE1BF9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G3</w:t>
                  </w:r>
                </w:p>
              </w:tc>
              <w:tc>
                <w:tcPr>
                  <w:tcW w:w="1555" w:type="dxa"/>
                  <w:noWrap w:val="0"/>
                  <w:tcMar>
                    <w:left w:w="0" w:type="dxa"/>
                    <w:right w:w="0" w:type="dxa"/>
                  </w:tcMar>
                  <w:vAlign w:val="center"/>
                </w:tcPr>
                <w:p w14:paraId="07F8F62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针柄制作</w:t>
                  </w:r>
                </w:p>
              </w:tc>
              <w:tc>
                <w:tcPr>
                  <w:tcW w:w="2576" w:type="dxa"/>
                  <w:noWrap w:val="0"/>
                  <w:tcMar>
                    <w:left w:w="0" w:type="dxa"/>
                    <w:right w:w="0" w:type="dxa"/>
                  </w:tcMar>
                  <w:vAlign w:val="center"/>
                </w:tcPr>
                <w:p w14:paraId="0CFAECA6">
                  <w:pPr>
                    <w:pStyle w:val="27"/>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非甲烷总烃</w:t>
                  </w:r>
                </w:p>
              </w:tc>
              <w:tc>
                <w:tcPr>
                  <w:tcW w:w="2362" w:type="dxa"/>
                  <w:noWrap w:val="0"/>
                  <w:vAlign w:val="center"/>
                </w:tcPr>
                <w:p w14:paraId="66A6507A">
                  <w:pPr>
                    <w:pStyle w:val="27"/>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经“</w:t>
                  </w:r>
                  <w:r>
                    <w:rPr>
                      <w:rFonts w:hint="eastAsia" w:ascii="Times New Roman" w:hAnsi="Times New Roman" w:cs="Times New Roman"/>
                      <w:color w:val="auto"/>
                      <w:sz w:val="21"/>
                      <w:szCs w:val="21"/>
                      <w:highlight w:val="none"/>
                    </w:rPr>
                    <w:t>二级活性炭吸附装置</w:t>
                  </w:r>
                  <w:r>
                    <w:rPr>
                      <w:rFonts w:hint="eastAsia" w:ascii="Times New Roman" w:hAnsi="Times New Roman" w:cs="Times New Roman"/>
                      <w:color w:val="auto"/>
                      <w:sz w:val="21"/>
                      <w:szCs w:val="21"/>
                      <w:highlight w:val="none"/>
                      <w:lang w:val="en-US" w:eastAsia="zh-CN"/>
                    </w:rPr>
                    <w:t>”处理后通过15m高的2#排气筒排放</w:t>
                  </w:r>
                </w:p>
              </w:tc>
            </w:tr>
            <w:tr w14:paraId="6E1B8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0461C76E">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989" w:type="dxa"/>
                  <w:noWrap w:val="0"/>
                  <w:tcMar>
                    <w:left w:w="0" w:type="dxa"/>
                    <w:right w:w="0" w:type="dxa"/>
                  </w:tcMar>
                  <w:vAlign w:val="center"/>
                </w:tcPr>
                <w:p w14:paraId="599F88D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kern w:val="2"/>
                      <w:sz w:val="21"/>
                      <w:szCs w:val="21"/>
                      <w:highlight w:val="none"/>
                      <w:lang w:val="en-US" w:eastAsia="zh-CN" w:bidi="ar-SA"/>
                    </w:rPr>
                    <w:t>G4</w:t>
                  </w:r>
                </w:p>
              </w:tc>
              <w:tc>
                <w:tcPr>
                  <w:tcW w:w="1555" w:type="dxa"/>
                  <w:noWrap w:val="0"/>
                  <w:tcMar>
                    <w:left w:w="0" w:type="dxa"/>
                    <w:right w:w="0" w:type="dxa"/>
                  </w:tcMar>
                  <w:vAlign w:val="center"/>
                </w:tcPr>
                <w:p w14:paraId="538E5B7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封装</w:t>
                  </w:r>
                </w:p>
              </w:tc>
              <w:tc>
                <w:tcPr>
                  <w:tcW w:w="2576" w:type="dxa"/>
                  <w:noWrap w:val="0"/>
                  <w:tcMar>
                    <w:left w:w="0" w:type="dxa"/>
                    <w:right w:w="0" w:type="dxa"/>
                  </w:tcMar>
                  <w:vAlign w:val="center"/>
                </w:tcPr>
                <w:p w14:paraId="73EE41DA">
                  <w:pPr>
                    <w:pStyle w:val="27"/>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非甲烷总烃</w:t>
                  </w:r>
                </w:p>
              </w:tc>
              <w:tc>
                <w:tcPr>
                  <w:tcW w:w="2362" w:type="dxa"/>
                  <w:noWrap w:val="0"/>
                  <w:vAlign w:val="center"/>
                </w:tcPr>
                <w:p w14:paraId="2785F6C5">
                  <w:pPr>
                    <w:pStyle w:val="27"/>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经“</w:t>
                  </w:r>
                  <w:r>
                    <w:rPr>
                      <w:rFonts w:hint="eastAsia" w:ascii="Times New Roman" w:hAnsi="Times New Roman" w:cs="Times New Roman"/>
                      <w:color w:val="auto"/>
                      <w:sz w:val="21"/>
                      <w:szCs w:val="21"/>
                      <w:highlight w:val="none"/>
                    </w:rPr>
                    <w:t>二级活性炭吸附装置</w:t>
                  </w:r>
                  <w:r>
                    <w:rPr>
                      <w:rFonts w:hint="eastAsia" w:ascii="Times New Roman" w:hAnsi="Times New Roman" w:cs="Times New Roman"/>
                      <w:color w:val="auto"/>
                      <w:sz w:val="21"/>
                      <w:szCs w:val="21"/>
                      <w:highlight w:val="none"/>
                      <w:lang w:val="en-US" w:eastAsia="zh-CN"/>
                    </w:rPr>
                    <w:t>”处理后通过15m高的2#排气筒排放</w:t>
                  </w:r>
                </w:p>
              </w:tc>
            </w:tr>
            <w:tr w14:paraId="17083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restart"/>
                  <w:noWrap w:val="0"/>
                  <w:tcMar>
                    <w:left w:w="0" w:type="dxa"/>
                    <w:right w:w="0" w:type="dxa"/>
                  </w:tcMar>
                  <w:vAlign w:val="center"/>
                </w:tcPr>
                <w:p w14:paraId="3FF8472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废水</w:t>
                  </w:r>
                </w:p>
              </w:tc>
              <w:tc>
                <w:tcPr>
                  <w:tcW w:w="989" w:type="dxa"/>
                  <w:vMerge w:val="restart"/>
                  <w:noWrap w:val="0"/>
                  <w:tcMar>
                    <w:left w:w="0" w:type="dxa"/>
                    <w:right w:w="0" w:type="dxa"/>
                  </w:tcMar>
                  <w:vAlign w:val="center"/>
                </w:tcPr>
                <w:p w14:paraId="6757DE8F">
                  <w:pPr>
                    <w:keepNext w:val="0"/>
                    <w:keepLines w:val="0"/>
                    <w:pageBreakBefore w:val="0"/>
                    <w:kinsoku/>
                    <w:wordWrap/>
                    <w:overflowPunct/>
                    <w:topLinePunct w:val="0"/>
                    <w:autoSpaceDE/>
                    <w:autoSpaceDN/>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5A532C35">
                  <w:pPr>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none"/>
                    </w:rPr>
                  </w:pPr>
                  <w:r>
                    <w:rPr>
                      <w:rFonts w:hint="eastAsia"/>
                      <w:color w:val="auto"/>
                      <w:sz w:val="21"/>
                      <w:szCs w:val="21"/>
                      <w:highlight w:val="none"/>
                    </w:rPr>
                    <w:t>生活污水</w:t>
                  </w:r>
                </w:p>
              </w:tc>
              <w:tc>
                <w:tcPr>
                  <w:tcW w:w="2576" w:type="dxa"/>
                  <w:noWrap w:val="0"/>
                  <w:tcMar>
                    <w:left w:w="0" w:type="dxa"/>
                    <w:right w:w="0" w:type="dxa"/>
                  </w:tcMar>
                  <w:vAlign w:val="center"/>
                </w:tcPr>
                <w:p w14:paraId="6D700197">
                  <w:pPr>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none"/>
                    </w:rPr>
                  </w:pPr>
                  <w:r>
                    <w:rPr>
                      <w:rFonts w:hint="eastAsia"/>
                      <w:color w:val="auto"/>
                      <w:sz w:val="21"/>
                      <w:szCs w:val="21"/>
                      <w:highlight w:val="none"/>
                    </w:rPr>
                    <w:t>COD、SS、NH</w:t>
                  </w:r>
                  <w:r>
                    <w:rPr>
                      <w:rFonts w:hint="eastAsia"/>
                      <w:color w:val="auto"/>
                      <w:sz w:val="21"/>
                      <w:szCs w:val="21"/>
                      <w:highlight w:val="none"/>
                      <w:vertAlign w:val="subscript"/>
                    </w:rPr>
                    <w:t>3</w:t>
                  </w:r>
                  <w:r>
                    <w:rPr>
                      <w:rFonts w:hint="eastAsia"/>
                      <w:color w:val="auto"/>
                      <w:sz w:val="21"/>
                      <w:szCs w:val="21"/>
                      <w:highlight w:val="none"/>
                    </w:rPr>
                    <w:t>-N、TN、TP</w:t>
                  </w:r>
                </w:p>
              </w:tc>
              <w:tc>
                <w:tcPr>
                  <w:tcW w:w="2362" w:type="dxa"/>
                  <w:noWrap w:val="0"/>
                  <w:vAlign w:val="center"/>
                </w:tcPr>
                <w:p w14:paraId="69B8CFF9">
                  <w:pPr>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yellow"/>
                    </w:rPr>
                  </w:pPr>
                  <w:r>
                    <w:rPr>
                      <w:rFonts w:hint="eastAsia"/>
                      <w:color w:val="auto"/>
                      <w:sz w:val="21"/>
                      <w:szCs w:val="21"/>
                      <w:highlight w:val="none"/>
                      <w:lang w:val="en-US" w:eastAsia="zh-CN"/>
                    </w:rPr>
                    <w:t>接管至</w:t>
                  </w:r>
                  <w:r>
                    <w:rPr>
                      <w:rFonts w:hint="default" w:ascii="Times New Roman" w:hAnsi="Times New Roman" w:eastAsia="宋体" w:cs="Times New Roman"/>
                      <w:color w:val="auto"/>
                      <w:sz w:val="21"/>
                      <w:szCs w:val="21"/>
                      <w:highlight w:val="none"/>
                      <w:lang w:val="ru-RU" w:eastAsia="zh-CN"/>
                    </w:rPr>
                    <w:t>苏州汾湖水务发展有限公司（黎里工业再生水厂）</w:t>
                  </w:r>
                </w:p>
              </w:tc>
            </w:tr>
            <w:tr w14:paraId="76BAF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7789267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p>
              </w:tc>
              <w:tc>
                <w:tcPr>
                  <w:tcW w:w="989" w:type="dxa"/>
                  <w:vMerge w:val="continue"/>
                  <w:noWrap w:val="0"/>
                  <w:tcMar>
                    <w:left w:w="0" w:type="dxa"/>
                    <w:right w:w="0" w:type="dxa"/>
                  </w:tcMar>
                  <w:vAlign w:val="center"/>
                </w:tcPr>
                <w:p w14:paraId="443B60A5">
                  <w:pPr>
                    <w:keepNext w:val="0"/>
                    <w:keepLines w:val="0"/>
                    <w:pageBreakBefore w:val="0"/>
                    <w:kinsoku/>
                    <w:wordWrap/>
                    <w:overflowPunct/>
                    <w:topLinePunct w:val="0"/>
                    <w:autoSpaceDE/>
                    <w:autoSpaceDN/>
                    <w:bidi w:val="0"/>
                    <w:spacing w:line="240" w:lineRule="auto"/>
                    <w:jc w:val="center"/>
                    <w:textAlignment w:val="auto"/>
                    <w:rPr>
                      <w:rFonts w:hint="eastAsia"/>
                      <w:color w:val="auto"/>
                      <w:sz w:val="21"/>
                      <w:szCs w:val="21"/>
                      <w:highlight w:val="none"/>
                      <w:lang w:val="en-US" w:eastAsia="zh-CN"/>
                    </w:rPr>
                  </w:pPr>
                </w:p>
              </w:tc>
              <w:tc>
                <w:tcPr>
                  <w:tcW w:w="1555" w:type="dxa"/>
                  <w:noWrap w:val="0"/>
                  <w:tcMar>
                    <w:left w:w="0" w:type="dxa"/>
                    <w:right w:w="0" w:type="dxa"/>
                  </w:tcMar>
                  <w:vAlign w:val="center"/>
                </w:tcPr>
                <w:p w14:paraId="1E8B1D00">
                  <w:pPr>
                    <w:keepNext w:val="0"/>
                    <w:keepLines w:val="0"/>
                    <w:pageBreakBefore w:val="0"/>
                    <w:kinsoku/>
                    <w:wordWrap/>
                    <w:overflowPunct/>
                    <w:topLinePunct w:val="0"/>
                    <w:autoSpaceDE/>
                    <w:autoSpaceDN/>
                    <w:bidi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清洗废水</w:t>
                  </w:r>
                </w:p>
              </w:tc>
              <w:tc>
                <w:tcPr>
                  <w:tcW w:w="2576" w:type="dxa"/>
                  <w:noWrap w:val="0"/>
                  <w:tcMar>
                    <w:left w:w="0" w:type="dxa"/>
                    <w:right w:w="0" w:type="dxa"/>
                  </w:tcMar>
                  <w:vAlign w:val="center"/>
                </w:tcPr>
                <w:p w14:paraId="6955C50D">
                  <w:pPr>
                    <w:keepNext w:val="0"/>
                    <w:keepLines w:val="0"/>
                    <w:pageBreakBefore w:val="0"/>
                    <w:kinsoku/>
                    <w:wordWrap/>
                    <w:overflowPunct/>
                    <w:topLinePunct w:val="0"/>
                    <w:autoSpaceDE/>
                    <w:autoSpaceDN/>
                    <w:bidi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COD、SS、pH、LAS</w:t>
                  </w:r>
                </w:p>
              </w:tc>
              <w:tc>
                <w:tcPr>
                  <w:tcW w:w="2362" w:type="dxa"/>
                  <w:noWrap w:val="0"/>
                  <w:vAlign w:val="center"/>
                </w:tcPr>
                <w:p w14:paraId="1EAD2BB1">
                  <w:pPr>
                    <w:keepNext w:val="0"/>
                    <w:keepLines w:val="0"/>
                    <w:pageBreakBefore w:val="0"/>
                    <w:kinsoku/>
                    <w:wordWrap/>
                    <w:overflowPunct/>
                    <w:topLinePunct w:val="0"/>
                    <w:autoSpaceDE/>
                    <w:autoSpaceDN/>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回用，不外排</w:t>
                  </w:r>
                </w:p>
              </w:tc>
            </w:tr>
            <w:tr w14:paraId="3AC41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noWrap w:val="0"/>
                  <w:tcMar>
                    <w:left w:w="0" w:type="dxa"/>
                    <w:right w:w="0" w:type="dxa"/>
                  </w:tcMar>
                  <w:vAlign w:val="center"/>
                </w:tcPr>
                <w:p w14:paraId="05646C5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噪声</w:t>
                  </w:r>
                </w:p>
              </w:tc>
              <w:tc>
                <w:tcPr>
                  <w:tcW w:w="989" w:type="dxa"/>
                  <w:noWrap w:val="0"/>
                  <w:tcMar>
                    <w:left w:w="0" w:type="dxa"/>
                    <w:right w:w="0" w:type="dxa"/>
                  </w:tcMar>
                  <w:vAlign w:val="center"/>
                </w:tcPr>
                <w:p w14:paraId="3FD70230">
                  <w:pPr>
                    <w:keepNext w:val="0"/>
                    <w:keepLines w:val="0"/>
                    <w:pageBreakBefore w:val="0"/>
                    <w:kinsoku/>
                    <w:wordWrap/>
                    <w:overflowPunct/>
                    <w:topLinePunct w:val="0"/>
                    <w:autoSpaceDE/>
                    <w:autoSpaceDN/>
                    <w:bidi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N</w:t>
                  </w:r>
                </w:p>
              </w:tc>
              <w:tc>
                <w:tcPr>
                  <w:tcW w:w="1555" w:type="dxa"/>
                  <w:noWrap w:val="0"/>
                  <w:tcMar>
                    <w:left w:w="0" w:type="dxa"/>
                    <w:right w:w="0" w:type="dxa"/>
                  </w:tcMar>
                  <w:vAlign w:val="center"/>
                </w:tcPr>
                <w:p w14:paraId="20788C4A">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生产、公辅设备等</w:t>
                  </w:r>
                </w:p>
              </w:tc>
              <w:tc>
                <w:tcPr>
                  <w:tcW w:w="2576" w:type="dxa"/>
                  <w:noWrap w:val="0"/>
                  <w:tcMar>
                    <w:left w:w="0" w:type="dxa"/>
                    <w:right w:w="0" w:type="dxa"/>
                  </w:tcMar>
                  <w:vAlign w:val="center"/>
                </w:tcPr>
                <w:p w14:paraId="30EDC649">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Leq</w:t>
                  </w:r>
                </w:p>
              </w:tc>
              <w:tc>
                <w:tcPr>
                  <w:tcW w:w="2362" w:type="dxa"/>
                  <w:noWrap w:val="0"/>
                  <w:vAlign w:val="center"/>
                </w:tcPr>
                <w:p w14:paraId="3A3E66BE">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隔声、减振、消声、合理布局等</w:t>
                  </w:r>
                </w:p>
              </w:tc>
            </w:tr>
            <w:tr w14:paraId="4B718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restart"/>
                  <w:noWrap w:val="0"/>
                  <w:tcMar>
                    <w:left w:w="0" w:type="dxa"/>
                    <w:right w:w="0" w:type="dxa"/>
                  </w:tcMar>
                  <w:vAlign w:val="center"/>
                </w:tcPr>
                <w:p w14:paraId="032BE7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yellow"/>
                      <w:lang w:val="en-US" w:eastAsia="zh-CN"/>
                    </w:rPr>
                  </w:pPr>
                  <w:r>
                    <w:rPr>
                      <w:rFonts w:hint="eastAsia"/>
                      <w:color w:val="auto"/>
                      <w:sz w:val="21"/>
                      <w:szCs w:val="21"/>
                      <w:highlight w:val="none"/>
                      <w:lang w:val="en-US" w:eastAsia="zh-CN"/>
                    </w:rPr>
                    <w:t>固废</w:t>
                  </w:r>
                </w:p>
              </w:tc>
              <w:tc>
                <w:tcPr>
                  <w:tcW w:w="989" w:type="dxa"/>
                  <w:noWrap w:val="0"/>
                  <w:tcMar>
                    <w:left w:w="0" w:type="dxa"/>
                    <w:right w:w="0" w:type="dxa"/>
                  </w:tcMar>
                  <w:vAlign w:val="center"/>
                </w:tcPr>
                <w:p w14:paraId="1BC5FA1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S1</w:t>
                  </w:r>
                </w:p>
              </w:tc>
              <w:tc>
                <w:tcPr>
                  <w:tcW w:w="1555" w:type="dxa"/>
                  <w:noWrap w:val="0"/>
                  <w:tcMar>
                    <w:left w:w="0" w:type="dxa"/>
                    <w:right w:w="0" w:type="dxa"/>
                  </w:tcMar>
                  <w:vAlign w:val="center"/>
                </w:tcPr>
                <w:p w14:paraId="7999B8E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针柄制作</w:t>
                  </w:r>
                </w:p>
              </w:tc>
              <w:tc>
                <w:tcPr>
                  <w:tcW w:w="2576" w:type="dxa"/>
                  <w:shd w:val="clear" w:color="auto" w:fill="auto"/>
                  <w:noWrap w:val="0"/>
                  <w:tcMar>
                    <w:left w:w="0" w:type="dxa"/>
                    <w:right w:w="0" w:type="dxa"/>
                  </w:tcMar>
                  <w:vAlign w:val="center"/>
                </w:tcPr>
                <w:p w14:paraId="5D1FB47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金属碎屑</w:t>
                  </w:r>
                </w:p>
              </w:tc>
              <w:tc>
                <w:tcPr>
                  <w:tcW w:w="2362" w:type="dxa"/>
                  <w:noWrap w:val="0"/>
                  <w:vAlign w:val="center"/>
                </w:tcPr>
                <w:p w14:paraId="6B665DD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lang w:val="en-US" w:eastAsia="zh-CN"/>
                    </w:rPr>
                    <w:t>收集外售</w:t>
                  </w:r>
                </w:p>
              </w:tc>
            </w:tr>
            <w:tr w14:paraId="3551F3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7952189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62D8324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S2</w:t>
                  </w:r>
                </w:p>
              </w:tc>
              <w:tc>
                <w:tcPr>
                  <w:tcW w:w="1555" w:type="dxa"/>
                  <w:noWrap w:val="0"/>
                  <w:tcMar>
                    <w:left w:w="0" w:type="dxa"/>
                    <w:right w:w="0" w:type="dxa"/>
                  </w:tcMar>
                  <w:vAlign w:val="center"/>
                </w:tcPr>
                <w:p w14:paraId="2A9ABC0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正直检验</w:t>
                  </w:r>
                </w:p>
              </w:tc>
              <w:tc>
                <w:tcPr>
                  <w:tcW w:w="2576" w:type="dxa"/>
                  <w:shd w:val="clear" w:color="auto" w:fill="auto"/>
                  <w:noWrap w:val="0"/>
                  <w:tcMar>
                    <w:left w:w="0" w:type="dxa"/>
                    <w:right w:w="0" w:type="dxa"/>
                  </w:tcMar>
                  <w:vAlign w:val="center"/>
                </w:tcPr>
                <w:p w14:paraId="720DE5E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不合格品</w:t>
                  </w:r>
                </w:p>
              </w:tc>
              <w:tc>
                <w:tcPr>
                  <w:tcW w:w="2362" w:type="dxa"/>
                  <w:noWrap w:val="0"/>
                  <w:vAlign w:val="center"/>
                </w:tcPr>
                <w:p w14:paraId="0799B0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lang w:val="en-US" w:eastAsia="zh-CN"/>
                    </w:rPr>
                    <w:t>收集外售</w:t>
                  </w:r>
                </w:p>
              </w:tc>
            </w:tr>
            <w:tr w14:paraId="1BE77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22C008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67C54B2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5752C77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废气处理设施</w:t>
                  </w:r>
                </w:p>
              </w:tc>
              <w:tc>
                <w:tcPr>
                  <w:tcW w:w="2576" w:type="dxa"/>
                  <w:noWrap w:val="0"/>
                  <w:tcMar>
                    <w:left w:w="0" w:type="dxa"/>
                    <w:right w:w="0" w:type="dxa"/>
                  </w:tcMar>
                  <w:vAlign w:val="center"/>
                </w:tcPr>
                <w:p w14:paraId="2D86D1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废布袋</w:t>
                  </w:r>
                </w:p>
              </w:tc>
              <w:tc>
                <w:tcPr>
                  <w:tcW w:w="2362" w:type="dxa"/>
                  <w:noWrap w:val="0"/>
                  <w:vAlign w:val="center"/>
                </w:tcPr>
                <w:p w14:paraId="177FFB8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收集外售</w:t>
                  </w:r>
                </w:p>
              </w:tc>
            </w:tr>
            <w:tr w14:paraId="6E12D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38C4B0F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56C429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3DF6173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default" w:ascii="Times New Roman" w:hAnsi="Times New Roman" w:eastAsia="宋体" w:cs="Times New Roman"/>
                      <w:snapToGrid w:val="0"/>
                      <w:color w:val="000000"/>
                      <w:spacing w:val="-6"/>
                      <w:kern w:val="2"/>
                      <w:sz w:val="21"/>
                      <w:szCs w:val="21"/>
                      <w:highlight w:val="none"/>
                      <w:lang w:val="en-US" w:eastAsia="zh-CN" w:bidi="ar-SA"/>
                    </w:rPr>
                    <w:t>日常维保</w:t>
                  </w:r>
                </w:p>
              </w:tc>
              <w:tc>
                <w:tcPr>
                  <w:tcW w:w="2576" w:type="dxa"/>
                  <w:noWrap w:val="0"/>
                  <w:tcMar>
                    <w:left w:w="0" w:type="dxa"/>
                    <w:right w:w="0" w:type="dxa"/>
                  </w:tcMar>
                  <w:vAlign w:val="center"/>
                </w:tcPr>
                <w:p w14:paraId="65FA1F7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废润滑油</w:t>
                  </w:r>
                </w:p>
              </w:tc>
              <w:tc>
                <w:tcPr>
                  <w:tcW w:w="2362" w:type="dxa"/>
                  <w:noWrap w:val="0"/>
                  <w:vAlign w:val="center"/>
                </w:tcPr>
                <w:p w14:paraId="3BC2E4F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委托有资质单位处置</w:t>
                  </w:r>
                </w:p>
              </w:tc>
            </w:tr>
            <w:tr w14:paraId="59953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7051A0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5EE16FA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0A8067B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default" w:ascii="Times New Roman" w:hAnsi="Times New Roman" w:eastAsia="宋体" w:cs="Times New Roman"/>
                      <w:snapToGrid w:val="0"/>
                      <w:color w:val="000000"/>
                      <w:spacing w:val="-6"/>
                      <w:kern w:val="2"/>
                      <w:sz w:val="21"/>
                      <w:szCs w:val="21"/>
                      <w:highlight w:val="none"/>
                      <w:lang w:val="en-US" w:eastAsia="zh-CN" w:bidi="ar-SA"/>
                    </w:rPr>
                    <w:t>日常维保</w:t>
                  </w:r>
                </w:p>
              </w:tc>
              <w:tc>
                <w:tcPr>
                  <w:tcW w:w="2576" w:type="dxa"/>
                  <w:noWrap w:val="0"/>
                  <w:tcMar>
                    <w:left w:w="0" w:type="dxa"/>
                    <w:right w:w="0" w:type="dxa"/>
                  </w:tcMar>
                  <w:vAlign w:val="center"/>
                </w:tcPr>
                <w:p w14:paraId="5FAED72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废油桶</w:t>
                  </w:r>
                </w:p>
              </w:tc>
              <w:tc>
                <w:tcPr>
                  <w:tcW w:w="2362" w:type="dxa"/>
                  <w:noWrap w:val="0"/>
                  <w:vAlign w:val="center"/>
                </w:tcPr>
                <w:p w14:paraId="15FC5F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rPr>
                    <w:t>委托有资质单位处置</w:t>
                  </w:r>
                </w:p>
              </w:tc>
            </w:tr>
            <w:tr w14:paraId="7D059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27F0631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0780BE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4789CD3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auto"/>
                      <w:kern w:val="2"/>
                      <w:sz w:val="21"/>
                      <w:szCs w:val="21"/>
                      <w:highlight w:val="none"/>
                      <w:lang w:val="en-US" w:eastAsia="zh-CN" w:bidi="ar-SA"/>
                    </w:rPr>
                  </w:pPr>
                  <w:r>
                    <w:rPr>
                      <w:rFonts w:hint="eastAsia"/>
                      <w:color w:val="auto"/>
                      <w:sz w:val="21"/>
                      <w:szCs w:val="21"/>
                      <w:highlight w:val="none"/>
                      <w:lang w:eastAsia="zh-CN"/>
                    </w:rPr>
                    <w:t>废气处理设施</w:t>
                  </w:r>
                </w:p>
              </w:tc>
              <w:tc>
                <w:tcPr>
                  <w:tcW w:w="2576" w:type="dxa"/>
                  <w:noWrap w:val="0"/>
                  <w:tcMar>
                    <w:left w:w="0" w:type="dxa"/>
                    <w:right w:w="0" w:type="dxa"/>
                  </w:tcMar>
                  <w:vAlign w:val="center"/>
                </w:tcPr>
                <w:p w14:paraId="7665526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highlight w:val="none"/>
                      <w:lang w:val="en-US" w:eastAsia="zh-CN" w:bidi="ar-SA"/>
                    </w:rPr>
                  </w:pPr>
                  <w:r>
                    <w:rPr>
                      <w:rFonts w:hint="eastAsia"/>
                      <w:color w:val="auto"/>
                      <w:sz w:val="21"/>
                      <w:szCs w:val="21"/>
                      <w:highlight w:val="none"/>
                    </w:rPr>
                    <w:t>废活性炭</w:t>
                  </w:r>
                </w:p>
              </w:tc>
              <w:tc>
                <w:tcPr>
                  <w:tcW w:w="2362" w:type="dxa"/>
                  <w:noWrap w:val="0"/>
                  <w:vAlign w:val="center"/>
                </w:tcPr>
                <w:p w14:paraId="01C936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highlight w:val="none"/>
                      <w:lang w:val="en-US" w:eastAsia="zh-CN" w:bidi="ar-SA"/>
                    </w:rPr>
                  </w:pPr>
                  <w:r>
                    <w:rPr>
                      <w:rFonts w:hint="eastAsia"/>
                      <w:color w:val="auto"/>
                      <w:sz w:val="21"/>
                      <w:szCs w:val="21"/>
                      <w:highlight w:val="none"/>
                    </w:rPr>
                    <w:t>委托有资质单位处置</w:t>
                  </w:r>
                </w:p>
              </w:tc>
            </w:tr>
            <w:tr w14:paraId="69B951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4570FF8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00A49D3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34B2E01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废水处理设施</w:t>
                  </w:r>
                </w:p>
              </w:tc>
              <w:tc>
                <w:tcPr>
                  <w:tcW w:w="2576" w:type="dxa"/>
                  <w:noWrap w:val="0"/>
                  <w:tcMar>
                    <w:left w:w="0" w:type="dxa"/>
                    <w:right w:w="0" w:type="dxa"/>
                  </w:tcMar>
                  <w:vAlign w:val="center"/>
                </w:tcPr>
                <w:p w14:paraId="64D2E7D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000000"/>
                      <w:kern w:val="2"/>
                      <w:sz w:val="21"/>
                      <w:szCs w:val="21"/>
                      <w:highlight w:val="none"/>
                      <w:lang w:val="en-US" w:eastAsia="zh-CN" w:bidi="ar-SA"/>
                    </w:rPr>
                    <w:t>蒸发残液</w:t>
                  </w:r>
                </w:p>
              </w:tc>
              <w:tc>
                <w:tcPr>
                  <w:tcW w:w="2362" w:type="dxa"/>
                  <w:noWrap w:val="0"/>
                  <w:vAlign w:val="center"/>
                </w:tcPr>
                <w:p w14:paraId="2FC73A3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委托有资质单位处置</w:t>
                  </w:r>
                </w:p>
              </w:tc>
            </w:tr>
            <w:tr w14:paraId="1A490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746" w:type="dxa"/>
                  <w:vMerge w:val="continue"/>
                  <w:noWrap w:val="0"/>
                  <w:tcMar>
                    <w:left w:w="0" w:type="dxa"/>
                    <w:right w:w="0" w:type="dxa"/>
                  </w:tcMar>
                  <w:vAlign w:val="center"/>
                </w:tcPr>
                <w:p w14:paraId="3F4CA56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yellow"/>
                    </w:rPr>
                  </w:pPr>
                </w:p>
              </w:tc>
              <w:tc>
                <w:tcPr>
                  <w:tcW w:w="989" w:type="dxa"/>
                  <w:noWrap w:val="0"/>
                  <w:tcMar>
                    <w:left w:w="0" w:type="dxa"/>
                    <w:right w:w="0" w:type="dxa"/>
                  </w:tcMar>
                  <w:vAlign w:val="center"/>
                </w:tcPr>
                <w:p w14:paraId="08A43B1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w:t>
                  </w:r>
                </w:p>
              </w:tc>
              <w:tc>
                <w:tcPr>
                  <w:tcW w:w="1555" w:type="dxa"/>
                  <w:noWrap w:val="0"/>
                  <w:tcMar>
                    <w:left w:w="0" w:type="dxa"/>
                    <w:right w:w="0" w:type="dxa"/>
                  </w:tcMar>
                  <w:vAlign w:val="center"/>
                </w:tcPr>
                <w:p w14:paraId="75F8051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auto"/>
                      <w:kern w:val="2"/>
                      <w:sz w:val="21"/>
                      <w:szCs w:val="21"/>
                      <w:highlight w:val="none"/>
                      <w:lang w:val="en-US" w:eastAsia="zh-CN" w:bidi="ar-SA"/>
                    </w:rPr>
                  </w:pPr>
                  <w:r>
                    <w:rPr>
                      <w:rFonts w:hint="eastAsia"/>
                      <w:color w:val="auto"/>
                      <w:sz w:val="21"/>
                      <w:szCs w:val="21"/>
                      <w:highlight w:val="none"/>
                      <w:lang w:val="en-US" w:eastAsia="zh-CN"/>
                    </w:rPr>
                    <w:t>员工生活</w:t>
                  </w:r>
                </w:p>
              </w:tc>
              <w:tc>
                <w:tcPr>
                  <w:tcW w:w="2576" w:type="dxa"/>
                  <w:noWrap w:val="0"/>
                  <w:tcMar>
                    <w:left w:w="0" w:type="dxa"/>
                    <w:right w:w="0" w:type="dxa"/>
                  </w:tcMar>
                  <w:vAlign w:val="center"/>
                </w:tcPr>
                <w:p w14:paraId="6C07669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highlight w:val="none"/>
                      <w:lang w:val="en-US" w:eastAsia="zh-CN" w:bidi="ar-SA"/>
                    </w:rPr>
                  </w:pPr>
                  <w:r>
                    <w:rPr>
                      <w:rFonts w:hint="eastAsia"/>
                      <w:color w:val="auto"/>
                      <w:sz w:val="21"/>
                      <w:szCs w:val="21"/>
                      <w:highlight w:val="none"/>
                      <w:lang w:val="en-US" w:eastAsia="zh-CN"/>
                    </w:rPr>
                    <w:t>生活垃圾</w:t>
                  </w:r>
                </w:p>
              </w:tc>
              <w:tc>
                <w:tcPr>
                  <w:tcW w:w="2362" w:type="dxa"/>
                  <w:noWrap w:val="0"/>
                  <w:vAlign w:val="center"/>
                </w:tcPr>
                <w:p w14:paraId="6F8D36E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auto"/>
                      <w:kern w:val="2"/>
                      <w:sz w:val="21"/>
                      <w:szCs w:val="21"/>
                      <w:highlight w:val="none"/>
                      <w:lang w:val="en-US" w:eastAsia="zh-CN" w:bidi="ar-SA"/>
                    </w:rPr>
                  </w:pPr>
                  <w:r>
                    <w:rPr>
                      <w:rFonts w:hint="eastAsia"/>
                      <w:color w:val="auto"/>
                      <w:sz w:val="21"/>
                      <w:szCs w:val="21"/>
                      <w:highlight w:val="none"/>
                    </w:rPr>
                    <w:t>环卫部门统一清运</w:t>
                  </w:r>
                </w:p>
              </w:tc>
            </w:tr>
          </w:tbl>
          <w:p w14:paraId="2084EB03">
            <w:pPr>
              <w:adjustRightInd w:val="0"/>
              <w:snapToGrid w:val="0"/>
              <w:rPr>
                <w:rFonts w:hint="eastAsia" w:ascii="宋体" w:hAnsi="宋体"/>
                <w:bCs/>
                <w:color w:val="auto"/>
                <w:szCs w:val="21"/>
              </w:rPr>
            </w:pPr>
          </w:p>
        </w:tc>
      </w:tr>
      <w:tr w14:paraId="63570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8" w:type="dxa"/>
            <w:noWrap w:val="0"/>
            <w:vAlign w:val="center"/>
          </w:tcPr>
          <w:p w14:paraId="7424652B">
            <w:pPr>
              <w:pStyle w:val="19"/>
              <w:adjustRightInd w:val="0"/>
              <w:snapToGrid w:val="0"/>
              <w:spacing w:before="0" w:beforeAutospacing="0" w:after="0" w:afterAutospacing="0"/>
              <w:jc w:val="center"/>
              <w:rPr>
                <w:rFonts w:cs="宋体"/>
                <w:b/>
                <w:color w:val="auto"/>
                <w:sz w:val="21"/>
                <w:szCs w:val="21"/>
              </w:rPr>
            </w:pPr>
            <w:r>
              <w:rPr>
                <w:rFonts w:hint="eastAsia" w:cs="宋体"/>
                <w:b/>
                <w:bCs/>
                <w:color w:val="auto"/>
                <w:kern w:val="2"/>
                <w:sz w:val="21"/>
                <w:szCs w:val="21"/>
              </w:rPr>
              <w:t>与项目有关的原有环境污染</w:t>
            </w:r>
          </w:p>
        </w:tc>
        <w:tc>
          <w:tcPr>
            <w:tcW w:w="8448" w:type="dxa"/>
            <w:noWrap w:val="0"/>
            <w:vAlign w:val="top"/>
          </w:tcPr>
          <w:p w14:paraId="15E0AB8D">
            <w:pPr>
              <w:keepNext w:val="0"/>
              <w:keepLines w:val="0"/>
              <w:pageBreakBefore w:val="0"/>
              <w:widowControl w:val="0"/>
              <w:kinsoku/>
              <w:wordWrap/>
              <w:overflowPunct/>
              <w:topLinePunct w:val="0"/>
              <w:autoSpaceDE/>
              <w:autoSpaceDN/>
              <w:bidi w:val="0"/>
              <w:adjustRightInd/>
              <w:snapToGrid/>
              <w:spacing w:line="360" w:lineRule="auto"/>
              <w:ind w:right="0" w:firstLine="720" w:firstLineChars="300"/>
              <w:jc w:val="both"/>
              <w:textAlignment w:val="auto"/>
              <w:rPr>
                <w:rFonts w:hint="eastAsia" w:eastAsia="宋体"/>
                <w:color w:val="000000"/>
                <w:sz w:val="24"/>
                <w:highlight w:val="none"/>
                <w:lang w:eastAsia="zh-CN"/>
              </w:rPr>
            </w:pPr>
            <w:r>
              <w:rPr>
                <w:rFonts w:hint="eastAsia"/>
                <w:bCs/>
                <w:color w:val="auto"/>
                <w:sz w:val="24"/>
                <w:lang w:val="en-US" w:eastAsia="zh-CN"/>
              </w:rPr>
              <w:t>吴江市佳辰针灸器械</w:t>
            </w:r>
            <w:r>
              <w:rPr>
                <w:rFonts w:hint="eastAsia"/>
                <w:bCs/>
                <w:color w:val="auto"/>
                <w:sz w:val="24"/>
                <w:lang w:eastAsia="zh-CN"/>
              </w:rPr>
              <w:t>有限公司</w:t>
            </w:r>
            <w:r>
              <w:rPr>
                <w:rFonts w:hint="eastAsia"/>
                <w:bCs/>
                <w:color w:val="auto"/>
                <w:sz w:val="24"/>
              </w:rPr>
              <w:t>成立于</w:t>
            </w:r>
            <w:r>
              <w:rPr>
                <w:rFonts w:hint="eastAsia"/>
                <w:bCs/>
                <w:color w:val="auto"/>
                <w:sz w:val="24"/>
                <w:lang w:val="en-US" w:eastAsia="zh-CN"/>
              </w:rPr>
              <w:t>1999年10</w:t>
            </w:r>
            <w:r>
              <w:rPr>
                <w:rFonts w:hint="eastAsia"/>
                <w:bCs/>
                <w:color w:val="auto"/>
                <w:sz w:val="24"/>
              </w:rPr>
              <w:t>月</w:t>
            </w:r>
            <w:r>
              <w:rPr>
                <w:rFonts w:hint="eastAsia"/>
                <w:bCs/>
                <w:color w:val="auto"/>
                <w:sz w:val="24"/>
                <w:lang w:val="en-US" w:eastAsia="zh-CN"/>
              </w:rPr>
              <w:t>28</w:t>
            </w:r>
            <w:r>
              <w:rPr>
                <w:rFonts w:hint="eastAsia"/>
                <w:bCs/>
                <w:color w:val="auto"/>
                <w:sz w:val="24"/>
              </w:rPr>
              <w:t>日，2021年4月份之前</w:t>
            </w:r>
            <w:r>
              <w:rPr>
                <w:rFonts w:hint="eastAsia"/>
                <w:bCs/>
                <w:color w:val="auto"/>
                <w:sz w:val="24"/>
                <w:lang w:val="en-US" w:eastAsia="zh-CN"/>
              </w:rPr>
              <w:t>主要为</w:t>
            </w:r>
            <w:r>
              <w:rPr>
                <w:rFonts w:hint="eastAsia"/>
                <w:bCs/>
                <w:color w:val="auto"/>
                <w:sz w:val="24"/>
              </w:rPr>
              <w:t>第二类医疗器械销售，2021年5月</w:t>
            </w:r>
            <w:r>
              <w:rPr>
                <w:rFonts w:hint="eastAsia"/>
                <w:bCs/>
                <w:color w:val="auto"/>
                <w:sz w:val="24"/>
                <w:lang w:val="en-US" w:eastAsia="zh-CN"/>
              </w:rPr>
              <w:t>开始为</w:t>
            </w:r>
            <w:r>
              <w:rPr>
                <w:rFonts w:hint="eastAsia"/>
                <w:bCs/>
                <w:color w:val="auto"/>
                <w:sz w:val="24"/>
              </w:rPr>
              <w:t>金属针的制造，属于</w:t>
            </w:r>
            <w:r>
              <w:rPr>
                <w:rFonts w:hint="eastAsia"/>
                <w:bCs/>
                <w:color w:val="auto"/>
                <w:sz w:val="24"/>
                <w:lang w:val="en-US" w:eastAsia="zh-CN"/>
              </w:rPr>
              <w:t>环评</w:t>
            </w:r>
            <w:r>
              <w:rPr>
                <w:rFonts w:hint="eastAsia"/>
                <w:bCs/>
                <w:color w:val="auto"/>
                <w:sz w:val="24"/>
              </w:rPr>
              <w:t>豁免范围</w:t>
            </w:r>
            <w:r>
              <w:rPr>
                <w:rFonts w:hint="eastAsia"/>
                <w:bCs/>
                <w:color w:val="auto"/>
                <w:sz w:val="24"/>
                <w:lang w:eastAsia="zh-CN"/>
              </w:rPr>
              <w:t>。</w:t>
            </w:r>
          </w:p>
          <w:p w14:paraId="12E5158D">
            <w:pPr>
              <w:keepNext w:val="0"/>
              <w:keepLines w:val="0"/>
              <w:pageBreakBefore w:val="0"/>
              <w:widowControl w:val="0"/>
              <w:kinsoku/>
              <w:wordWrap/>
              <w:overflowPunct/>
              <w:topLinePunct w:val="0"/>
              <w:autoSpaceDE/>
              <w:autoSpaceDN/>
              <w:bidi w:val="0"/>
              <w:adjustRightInd/>
              <w:snapToGrid/>
              <w:spacing w:line="360" w:lineRule="auto"/>
              <w:ind w:right="0" w:firstLine="720" w:firstLineChars="300"/>
              <w:jc w:val="both"/>
              <w:textAlignment w:val="auto"/>
              <w:rPr>
                <w:rFonts w:hint="eastAsia" w:eastAsia="宋体"/>
                <w:color w:val="000000"/>
                <w:sz w:val="24"/>
                <w:highlight w:val="none"/>
                <w:lang w:eastAsia="zh-CN"/>
              </w:rPr>
            </w:pPr>
            <w:r>
              <w:rPr>
                <w:rFonts w:hint="eastAsia"/>
                <w:color w:val="000000"/>
                <w:sz w:val="24"/>
                <w:highlight w:val="none"/>
              </w:rPr>
              <w:t>本项目为新建项目，</w:t>
            </w:r>
            <w:r>
              <w:rPr>
                <w:rFonts w:hint="eastAsia"/>
                <w:color w:val="000000"/>
                <w:sz w:val="24"/>
                <w:highlight w:val="none"/>
                <w:lang w:val="en-US" w:eastAsia="zh-CN"/>
              </w:rPr>
              <w:t>利用吴江市佳辰针灸器械有限公司</w:t>
            </w:r>
            <w:r>
              <w:rPr>
                <w:rFonts w:hint="eastAsia"/>
                <w:color w:val="000000"/>
                <w:sz w:val="24"/>
                <w:highlight w:val="none"/>
              </w:rPr>
              <w:t>位于</w:t>
            </w:r>
            <w:r>
              <w:rPr>
                <w:rFonts w:hint="eastAsia"/>
                <w:color w:val="000000"/>
                <w:sz w:val="24"/>
                <w:highlight w:val="none"/>
                <w:lang w:eastAsia="zh-CN"/>
              </w:rPr>
              <w:t>吴</w:t>
            </w:r>
            <w:r>
              <w:rPr>
                <w:rFonts w:hint="eastAsia"/>
                <w:color w:val="000000"/>
                <w:sz w:val="24"/>
                <w:highlight w:val="none"/>
                <w:lang w:val="en-US" w:eastAsia="zh-CN"/>
              </w:rPr>
              <w:t>江苏省苏州市吴江区黎里镇黎民南路37号</w:t>
            </w:r>
            <w:r>
              <w:rPr>
                <w:rFonts w:hint="eastAsia"/>
                <w:color w:val="000000"/>
                <w:sz w:val="24"/>
                <w:highlight w:val="none"/>
              </w:rPr>
              <w:t>的</w:t>
            </w:r>
            <w:r>
              <w:rPr>
                <w:rFonts w:hint="eastAsia" w:hAnsi="宋体"/>
                <w:color w:val="000000"/>
                <w:sz w:val="24"/>
                <w:highlight w:val="none"/>
                <w:lang w:val="en-US" w:eastAsia="zh-CN"/>
              </w:rPr>
              <w:t>自有</w:t>
            </w:r>
            <w:r>
              <w:rPr>
                <w:rFonts w:hint="eastAsia" w:hAnsi="宋体"/>
                <w:color w:val="000000"/>
                <w:sz w:val="24"/>
                <w:highlight w:val="none"/>
              </w:rPr>
              <w:t>厂房进行生产</w:t>
            </w:r>
            <w:r>
              <w:rPr>
                <w:rFonts w:hint="eastAsia"/>
                <w:color w:val="000000"/>
                <w:sz w:val="24"/>
                <w:highlight w:val="none"/>
              </w:rPr>
              <w:t>。厂区内总建筑面积为</w:t>
            </w:r>
            <w:r>
              <w:rPr>
                <w:rFonts w:hint="eastAsia"/>
                <w:color w:val="000000"/>
                <w:sz w:val="24"/>
                <w:highlight w:val="none"/>
                <w:lang w:val="en-US" w:eastAsia="zh-CN"/>
              </w:rPr>
              <w:t>1195.56</w:t>
            </w:r>
            <w:r>
              <w:rPr>
                <w:rFonts w:hint="eastAsia"/>
                <w:color w:val="000000"/>
                <w:sz w:val="24"/>
                <w:highlight w:val="none"/>
              </w:rPr>
              <w:t>m</w:t>
            </w:r>
            <w:r>
              <w:rPr>
                <w:rFonts w:hint="eastAsia"/>
                <w:color w:val="000000"/>
                <w:sz w:val="24"/>
                <w:highlight w:val="none"/>
                <w:vertAlign w:val="superscript"/>
              </w:rPr>
              <w:t>2</w:t>
            </w:r>
            <w:r>
              <w:rPr>
                <w:rFonts w:hint="eastAsia"/>
                <w:color w:val="000000"/>
                <w:sz w:val="24"/>
                <w:highlight w:val="none"/>
              </w:rPr>
              <w:t>。该土地用地现状</w:t>
            </w:r>
            <w:r>
              <w:rPr>
                <w:rFonts w:hint="eastAsia"/>
                <w:color w:val="000000"/>
                <w:sz w:val="24"/>
                <w:highlight w:val="none"/>
                <w:lang w:val="en-US" w:eastAsia="zh-CN"/>
              </w:rPr>
              <w:t>和近期用途</w:t>
            </w:r>
            <w:r>
              <w:rPr>
                <w:rFonts w:hint="eastAsia"/>
                <w:color w:val="000000"/>
                <w:sz w:val="24"/>
                <w:highlight w:val="none"/>
              </w:rPr>
              <w:t>属于工业用地</w:t>
            </w:r>
            <w:r>
              <w:rPr>
                <w:rFonts w:hint="eastAsia"/>
                <w:color w:val="000000"/>
                <w:sz w:val="24"/>
                <w:highlight w:val="none"/>
                <w:lang w:eastAsia="zh-CN"/>
              </w:rPr>
              <w:t>，</w:t>
            </w:r>
            <w:r>
              <w:rPr>
                <w:rFonts w:hint="eastAsia"/>
                <w:color w:val="000000"/>
                <w:sz w:val="24"/>
                <w:highlight w:val="none"/>
                <w:lang w:val="en-US" w:eastAsia="zh-CN"/>
              </w:rPr>
              <w:t>远期用途为商业用地</w:t>
            </w:r>
            <w:r>
              <w:rPr>
                <w:rFonts w:hint="eastAsia"/>
                <w:color w:val="000000"/>
                <w:sz w:val="24"/>
                <w:highlight w:val="none"/>
              </w:rPr>
              <w:t>，经现场勘察，无与本项目有关的原有污染情况及主要环境问题</w:t>
            </w:r>
            <w:r>
              <w:rPr>
                <w:rFonts w:hint="eastAsia"/>
                <w:color w:val="000000"/>
                <w:sz w:val="24"/>
                <w:highlight w:val="none"/>
                <w:lang w:eastAsia="zh-CN"/>
              </w:rPr>
              <w:t>。</w:t>
            </w:r>
          </w:p>
          <w:p w14:paraId="7CC5E346">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69CCDE6B">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61C0CE2C">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7A2C0A3B">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0AAD2FD2">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298EA65B">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0EA71650">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0A95668C">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535A26C7">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7134C84A">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0F4AC213">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65FC7D2D">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13835A81">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219D735C">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3CDA276E">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17A40AE7">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3B9467C4">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01EAE627">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7A2E2D79">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p w14:paraId="1CBC6683">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eastAsia" w:eastAsia="宋体"/>
                <w:color w:val="auto"/>
                <w:lang w:val="en-US" w:eastAsia="zh-CN"/>
              </w:rPr>
            </w:pPr>
          </w:p>
        </w:tc>
      </w:tr>
    </w:tbl>
    <w:p w14:paraId="2AF98CCF">
      <w:pPr>
        <w:ind w:firstLine="420" w:firstLineChars="0"/>
        <w:sectPr>
          <w:pgSz w:w="11906" w:h="16838"/>
          <w:pgMar w:top="1440" w:right="1800" w:bottom="1440" w:left="1800" w:header="851" w:footer="992" w:gutter="0"/>
          <w:pgNumType w:fmt="decimal"/>
          <w:cols w:space="425" w:num="1"/>
          <w:docGrid w:type="lines" w:linePitch="312" w:charSpace="0"/>
        </w:sectPr>
      </w:pPr>
    </w:p>
    <w:p w14:paraId="73402064">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三、区域环境质量现状、环境保护目标及评价标准</w:t>
      </w:r>
    </w:p>
    <w:tbl>
      <w:tblPr>
        <w:tblStyle w:val="20"/>
        <w:tblW w:w="900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7"/>
        <w:gridCol w:w="8486"/>
      </w:tblGrid>
      <w:tr w14:paraId="61333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noWrap w:val="0"/>
            <w:vAlign w:val="center"/>
          </w:tcPr>
          <w:p w14:paraId="2B0D9339">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区域</w:t>
            </w:r>
          </w:p>
          <w:p w14:paraId="3FCDEDC4">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14:paraId="7B3406B0">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质量</w:t>
            </w:r>
          </w:p>
          <w:p w14:paraId="71C4400D">
            <w:pPr>
              <w:adjustRightInd w:val="0"/>
              <w:snapToGrid w:val="0"/>
              <w:jc w:val="center"/>
              <w:rPr>
                <w:rFonts w:ascii="宋体" w:hAnsi="宋体" w:cs="宋体"/>
                <w:b/>
                <w:color w:val="auto"/>
                <w:kern w:val="0"/>
                <w:szCs w:val="21"/>
              </w:rPr>
            </w:pPr>
            <w:r>
              <w:rPr>
                <w:rFonts w:hint="eastAsia" w:ascii="宋体" w:hAnsi="宋体" w:cs="宋体"/>
                <w:b/>
                <w:color w:val="auto"/>
                <w:kern w:val="0"/>
                <w:szCs w:val="21"/>
              </w:rPr>
              <w:t>现状</w:t>
            </w:r>
          </w:p>
        </w:tc>
        <w:tc>
          <w:tcPr>
            <w:tcW w:w="8486" w:type="dxa"/>
            <w:noWrap w:val="0"/>
            <w:vAlign w:val="center"/>
          </w:tcPr>
          <w:p w14:paraId="73522E7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color w:val="auto"/>
                <w:sz w:val="24"/>
                <w:lang w:val="en-US" w:eastAsia="zh-CN"/>
              </w:rPr>
            </w:pPr>
            <w:r>
              <w:rPr>
                <w:rFonts w:hint="eastAsia"/>
                <w:b/>
                <w:bCs/>
                <w:color w:val="auto"/>
                <w:sz w:val="24"/>
                <w:lang w:val="en-US" w:eastAsia="zh-CN"/>
              </w:rPr>
              <w:t>一、区域环境质量现状</w:t>
            </w:r>
          </w:p>
          <w:p w14:paraId="5FAFC5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eastAsia="宋体"/>
                <w:b/>
                <w:bCs/>
                <w:color w:val="auto"/>
                <w:sz w:val="24"/>
                <w:lang w:val="en-US" w:eastAsia="zh-CN"/>
              </w:rPr>
            </w:pPr>
            <w:r>
              <w:rPr>
                <w:rFonts w:hint="eastAsia"/>
                <w:b/>
                <w:bCs/>
                <w:color w:val="auto"/>
                <w:sz w:val="24"/>
                <w:lang w:val="en-US" w:eastAsia="zh-CN"/>
              </w:rPr>
              <w:t>1、大气环境质量现状</w:t>
            </w:r>
          </w:p>
          <w:p w14:paraId="11F873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根据《</w:t>
            </w:r>
            <w:r>
              <w:rPr>
                <w:rFonts w:hint="eastAsia"/>
                <w:color w:val="auto"/>
                <w:sz w:val="24"/>
              </w:rPr>
              <w:t>202</w:t>
            </w:r>
            <w:r>
              <w:rPr>
                <w:rFonts w:hint="eastAsia"/>
                <w:color w:val="auto"/>
                <w:sz w:val="24"/>
                <w:lang w:val="en-US" w:eastAsia="zh-CN"/>
              </w:rPr>
              <w:t>4</w:t>
            </w:r>
            <w:r>
              <w:rPr>
                <w:rFonts w:hint="eastAsia"/>
                <w:color w:val="auto"/>
                <w:sz w:val="24"/>
              </w:rPr>
              <w:t>年度苏州市生态环境状况公报</w:t>
            </w:r>
            <w:r>
              <w:rPr>
                <w:color w:val="auto"/>
                <w:sz w:val="24"/>
              </w:rPr>
              <w:t>》，</w:t>
            </w:r>
            <w:r>
              <w:rPr>
                <w:rFonts w:hint="eastAsia"/>
                <w:color w:val="auto"/>
                <w:sz w:val="24"/>
              </w:rPr>
              <w:t>202</w:t>
            </w:r>
            <w:r>
              <w:rPr>
                <w:rFonts w:hint="eastAsia"/>
                <w:color w:val="auto"/>
                <w:sz w:val="24"/>
                <w:lang w:val="en-US" w:eastAsia="zh-CN"/>
              </w:rPr>
              <w:t>4</w:t>
            </w:r>
            <w:r>
              <w:rPr>
                <w:rFonts w:hint="eastAsia"/>
                <w:color w:val="auto"/>
                <w:sz w:val="24"/>
              </w:rPr>
              <w:t>年，苏州市区环境空气中细颗粒物（PM</w:t>
            </w:r>
            <w:r>
              <w:rPr>
                <w:rFonts w:hint="eastAsia"/>
                <w:color w:val="auto"/>
                <w:sz w:val="24"/>
                <w:vertAlign w:val="subscript"/>
              </w:rPr>
              <w:t>2.5</w:t>
            </w:r>
            <w:r>
              <w:rPr>
                <w:rFonts w:hint="eastAsia"/>
                <w:color w:val="auto"/>
                <w:sz w:val="24"/>
              </w:rPr>
              <w:t>）年均浓度为</w:t>
            </w:r>
            <w:r>
              <w:rPr>
                <w:rFonts w:hint="eastAsia"/>
                <w:color w:val="auto"/>
                <w:sz w:val="24"/>
                <w:lang w:val="en-US" w:eastAsia="zh-CN"/>
              </w:rPr>
              <w:t>29</w:t>
            </w:r>
            <w:r>
              <w:rPr>
                <w:rFonts w:hint="eastAsia"/>
                <w:color w:val="auto"/>
                <w:sz w:val="24"/>
              </w:rPr>
              <w:t>微克/立方米，同比</w:t>
            </w:r>
            <w:r>
              <w:rPr>
                <w:rFonts w:hint="eastAsia"/>
                <w:color w:val="auto"/>
                <w:sz w:val="24"/>
                <w:lang w:eastAsia="zh-CN"/>
              </w:rPr>
              <w:t>下降</w:t>
            </w:r>
            <w:r>
              <w:rPr>
                <w:rFonts w:hint="eastAsia"/>
                <w:color w:val="auto"/>
                <w:sz w:val="24"/>
                <w:lang w:val="en-US" w:eastAsia="zh-CN"/>
              </w:rPr>
              <w:t>3.3</w:t>
            </w:r>
            <w:r>
              <w:rPr>
                <w:rFonts w:hint="eastAsia"/>
                <w:color w:val="auto"/>
                <w:sz w:val="24"/>
              </w:rPr>
              <w:t>%；可吸入颗粒物（PM</w:t>
            </w:r>
            <w:r>
              <w:rPr>
                <w:rFonts w:hint="eastAsia"/>
                <w:color w:val="auto"/>
                <w:sz w:val="24"/>
                <w:vertAlign w:val="subscript"/>
              </w:rPr>
              <w:t>10</w:t>
            </w:r>
            <w:r>
              <w:rPr>
                <w:rFonts w:hint="eastAsia"/>
                <w:color w:val="auto"/>
                <w:sz w:val="24"/>
              </w:rPr>
              <w:t>）年均浓度为</w:t>
            </w:r>
            <w:r>
              <w:rPr>
                <w:rFonts w:hint="eastAsia"/>
                <w:color w:val="auto"/>
                <w:sz w:val="24"/>
                <w:lang w:val="en-US" w:eastAsia="zh-CN"/>
              </w:rPr>
              <w:t>47</w:t>
            </w:r>
            <w:r>
              <w:rPr>
                <w:rFonts w:hint="eastAsia"/>
                <w:color w:val="auto"/>
                <w:sz w:val="24"/>
              </w:rPr>
              <w:t>微克/立方米，同比</w:t>
            </w:r>
            <w:r>
              <w:rPr>
                <w:rFonts w:hint="eastAsia"/>
                <w:color w:val="auto"/>
                <w:sz w:val="24"/>
                <w:lang w:eastAsia="zh-CN"/>
              </w:rPr>
              <w:t>下降</w:t>
            </w:r>
            <w:r>
              <w:rPr>
                <w:rFonts w:hint="eastAsia"/>
                <w:color w:val="auto"/>
                <w:sz w:val="24"/>
                <w:lang w:val="en-US" w:eastAsia="zh-CN"/>
              </w:rPr>
              <w:t>9.6</w:t>
            </w:r>
            <w:r>
              <w:rPr>
                <w:rFonts w:hint="eastAsia"/>
                <w:color w:val="auto"/>
                <w:sz w:val="24"/>
              </w:rPr>
              <w:t>%；二氧化硫（SO</w:t>
            </w:r>
            <w:r>
              <w:rPr>
                <w:rFonts w:hint="eastAsia"/>
                <w:color w:val="auto"/>
                <w:sz w:val="24"/>
                <w:vertAlign w:val="subscript"/>
              </w:rPr>
              <w:t>2</w:t>
            </w:r>
            <w:r>
              <w:rPr>
                <w:rFonts w:hint="eastAsia"/>
                <w:color w:val="auto"/>
                <w:sz w:val="24"/>
              </w:rPr>
              <w:t>）年均浓度为8微克/立方米，</w:t>
            </w:r>
            <w:r>
              <w:rPr>
                <w:rFonts w:hint="eastAsia"/>
                <w:color w:val="auto"/>
                <w:sz w:val="24"/>
                <w:lang w:eastAsia="zh-CN"/>
              </w:rPr>
              <w:t>同比持平</w:t>
            </w:r>
            <w:r>
              <w:rPr>
                <w:rFonts w:hint="eastAsia"/>
                <w:color w:val="auto"/>
                <w:sz w:val="24"/>
              </w:rPr>
              <w:t>；二氧化氮（NO</w:t>
            </w:r>
            <w:r>
              <w:rPr>
                <w:rFonts w:hint="eastAsia"/>
                <w:color w:val="auto"/>
                <w:sz w:val="24"/>
                <w:vertAlign w:val="subscript"/>
              </w:rPr>
              <w:t>2</w:t>
            </w:r>
            <w:r>
              <w:rPr>
                <w:rFonts w:hint="eastAsia"/>
                <w:color w:val="auto"/>
                <w:sz w:val="24"/>
              </w:rPr>
              <w:t>）年均浓度为2</w:t>
            </w:r>
            <w:r>
              <w:rPr>
                <w:rFonts w:hint="eastAsia"/>
                <w:color w:val="auto"/>
                <w:sz w:val="24"/>
                <w:lang w:val="en-US" w:eastAsia="zh-CN"/>
              </w:rPr>
              <w:t>6</w:t>
            </w:r>
            <w:r>
              <w:rPr>
                <w:rFonts w:hint="eastAsia"/>
                <w:color w:val="auto"/>
                <w:sz w:val="24"/>
              </w:rPr>
              <w:t>微克/立方米，同比</w:t>
            </w:r>
            <w:r>
              <w:rPr>
                <w:rFonts w:hint="eastAsia"/>
                <w:color w:val="auto"/>
                <w:sz w:val="24"/>
                <w:lang w:eastAsia="zh-CN"/>
              </w:rPr>
              <w:t>下降</w:t>
            </w:r>
            <w:r>
              <w:rPr>
                <w:rFonts w:hint="eastAsia"/>
                <w:color w:val="auto"/>
                <w:sz w:val="24"/>
                <w:lang w:val="en-US" w:eastAsia="zh-CN"/>
              </w:rPr>
              <w:t>7.1</w:t>
            </w:r>
            <w:r>
              <w:rPr>
                <w:rFonts w:hint="eastAsia"/>
                <w:color w:val="auto"/>
                <w:sz w:val="24"/>
              </w:rPr>
              <w:t>%；一氧化碳（CO）浓度为1</w:t>
            </w:r>
            <w:r>
              <w:rPr>
                <w:rFonts w:hint="eastAsia"/>
                <w:color w:val="auto"/>
                <w:sz w:val="24"/>
                <w:lang w:val="en-US" w:eastAsia="zh-CN"/>
              </w:rPr>
              <w:t>.0</w:t>
            </w:r>
            <w:r>
              <w:rPr>
                <w:rFonts w:hint="eastAsia"/>
                <w:color w:val="auto"/>
                <w:sz w:val="24"/>
              </w:rPr>
              <w:t>毫克/立方米，同比持平；臭氧（O</w:t>
            </w:r>
            <w:r>
              <w:rPr>
                <w:rFonts w:hint="eastAsia"/>
                <w:color w:val="auto"/>
                <w:sz w:val="24"/>
                <w:vertAlign w:val="subscript"/>
              </w:rPr>
              <w:t>3</w:t>
            </w:r>
            <w:r>
              <w:rPr>
                <w:rFonts w:hint="eastAsia"/>
                <w:color w:val="auto"/>
                <w:sz w:val="24"/>
              </w:rPr>
              <w:t>）浓度为1</w:t>
            </w:r>
            <w:r>
              <w:rPr>
                <w:rFonts w:hint="eastAsia"/>
                <w:color w:val="auto"/>
                <w:sz w:val="24"/>
                <w:lang w:val="en-US" w:eastAsia="zh-CN"/>
              </w:rPr>
              <w:t>63</w:t>
            </w:r>
            <w:r>
              <w:rPr>
                <w:rFonts w:hint="eastAsia"/>
                <w:color w:val="auto"/>
                <w:sz w:val="24"/>
              </w:rPr>
              <w:t>微克/立方米，同比</w:t>
            </w:r>
            <w:r>
              <w:rPr>
                <w:rFonts w:hint="eastAsia"/>
                <w:color w:val="auto"/>
                <w:sz w:val="24"/>
                <w:lang w:eastAsia="zh-CN"/>
              </w:rPr>
              <w:t>下降</w:t>
            </w:r>
            <w:r>
              <w:rPr>
                <w:rFonts w:hint="eastAsia"/>
                <w:color w:val="auto"/>
                <w:sz w:val="24"/>
                <w:lang w:val="en-US" w:eastAsia="zh-CN"/>
              </w:rPr>
              <w:t>6.4%</w:t>
            </w:r>
            <w:r>
              <w:rPr>
                <w:rFonts w:hint="eastAsia"/>
                <w:color w:val="auto"/>
                <w:sz w:val="24"/>
              </w:rPr>
              <w:t>。</w:t>
            </w:r>
          </w:p>
          <w:p w14:paraId="6476050A">
            <w:pPr>
              <w:keepNext w:val="0"/>
              <w:keepLines w:val="0"/>
              <w:pageBreakBefore w:val="0"/>
              <w:widowControl w:val="0"/>
              <w:kinsoku/>
              <w:wordWrap/>
              <w:overflowPunct/>
              <w:topLinePunct w:val="0"/>
              <w:autoSpaceDE/>
              <w:autoSpaceDN/>
              <w:bidi w:val="0"/>
              <w:adjustRightInd/>
              <w:snapToGrid/>
              <w:jc w:val="center"/>
              <w:textAlignment w:val="auto"/>
              <w:rPr>
                <w:b/>
                <w:color w:val="auto"/>
                <w:szCs w:val="21"/>
              </w:rPr>
            </w:pPr>
            <w:r>
              <w:rPr>
                <w:b/>
                <w:color w:val="auto"/>
                <w:szCs w:val="21"/>
              </w:rPr>
              <w:t xml:space="preserve">表3-1 </w:t>
            </w:r>
            <w:r>
              <w:rPr>
                <w:rFonts w:hint="eastAsia"/>
                <w:b/>
                <w:color w:val="auto"/>
                <w:szCs w:val="21"/>
              </w:rPr>
              <w:t>202</w:t>
            </w:r>
            <w:r>
              <w:rPr>
                <w:rFonts w:hint="eastAsia"/>
                <w:b/>
                <w:color w:val="auto"/>
                <w:szCs w:val="21"/>
                <w:lang w:val="en-US" w:eastAsia="zh-CN"/>
              </w:rPr>
              <w:t>4</w:t>
            </w:r>
            <w:r>
              <w:rPr>
                <w:rFonts w:hint="eastAsia"/>
                <w:b/>
                <w:color w:val="auto"/>
                <w:szCs w:val="21"/>
              </w:rPr>
              <w:t>年</w:t>
            </w:r>
            <w:r>
              <w:rPr>
                <w:b/>
                <w:color w:val="auto"/>
                <w:szCs w:val="21"/>
              </w:rPr>
              <w:t>区域空气质量现状评价表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3224"/>
              <w:gridCol w:w="1162"/>
              <w:gridCol w:w="1162"/>
              <w:gridCol w:w="986"/>
              <w:gridCol w:w="854"/>
            </w:tblGrid>
            <w:tr w14:paraId="6043B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7A580AA7">
                  <w:pPr>
                    <w:adjustRightInd w:val="0"/>
                    <w:snapToGrid w:val="0"/>
                    <w:jc w:val="center"/>
                    <w:rPr>
                      <w:b/>
                      <w:bCs/>
                      <w:color w:val="auto"/>
                    </w:rPr>
                  </w:pPr>
                  <w:r>
                    <w:rPr>
                      <w:b/>
                      <w:bCs/>
                      <w:color w:val="auto"/>
                    </w:rPr>
                    <w:t>污染物</w:t>
                  </w:r>
                </w:p>
              </w:tc>
              <w:tc>
                <w:tcPr>
                  <w:tcW w:w="1948" w:type="pct"/>
                  <w:noWrap/>
                  <w:vAlign w:val="center"/>
                </w:tcPr>
                <w:p w14:paraId="34103C70">
                  <w:pPr>
                    <w:adjustRightInd w:val="0"/>
                    <w:snapToGrid w:val="0"/>
                    <w:jc w:val="center"/>
                    <w:rPr>
                      <w:b/>
                      <w:bCs/>
                      <w:color w:val="auto"/>
                    </w:rPr>
                  </w:pPr>
                  <w:r>
                    <w:rPr>
                      <w:b/>
                      <w:bCs/>
                      <w:color w:val="auto"/>
                    </w:rPr>
                    <w:t>评价指标</w:t>
                  </w:r>
                </w:p>
              </w:tc>
              <w:tc>
                <w:tcPr>
                  <w:tcW w:w="702" w:type="pct"/>
                  <w:noWrap/>
                  <w:vAlign w:val="center"/>
                </w:tcPr>
                <w:p w14:paraId="79583C3A">
                  <w:pPr>
                    <w:adjustRightInd w:val="0"/>
                    <w:snapToGrid w:val="0"/>
                    <w:jc w:val="center"/>
                    <w:rPr>
                      <w:b/>
                      <w:bCs/>
                      <w:color w:val="auto"/>
                    </w:rPr>
                  </w:pPr>
                  <w:r>
                    <w:rPr>
                      <w:b/>
                      <w:bCs/>
                      <w:color w:val="auto"/>
                    </w:rPr>
                    <w:t>标准值</w:t>
                  </w:r>
                </w:p>
                <w:p w14:paraId="7B79F66A">
                  <w:pPr>
                    <w:adjustRightInd w:val="0"/>
                    <w:snapToGrid w:val="0"/>
                    <w:jc w:val="center"/>
                    <w:rPr>
                      <w:b/>
                      <w:bCs/>
                      <w:color w:val="auto"/>
                    </w:rPr>
                  </w:pPr>
                  <w:r>
                    <w:rPr>
                      <w:b/>
                      <w:bCs/>
                      <w:color w:val="auto"/>
                    </w:rPr>
                    <w:t>（μg/m</w:t>
                  </w:r>
                  <w:r>
                    <w:rPr>
                      <w:b/>
                      <w:bCs/>
                      <w:color w:val="auto"/>
                      <w:vertAlign w:val="superscript"/>
                    </w:rPr>
                    <w:t>3</w:t>
                  </w:r>
                  <w:r>
                    <w:rPr>
                      <w:b/>
                      <w:bCs/>
                      <w:color w:val="auto"/>
                    </w:rPr>
                    <w:t>）</w:t>
                  </w:r>
                </w:p>
              </w:tc>
              <w:tc>
                <w:tcPr>
                  <w:tcW w:w="702" w:type="pct"/>
                  <w:noWrap/>
                  <w:vAlign w:val="center"/>
                </w:tcPr>
                <w:p w14:paraId="3006FFD5">
                  <w:pPr>
                    <w:adjustRightInd w:val="0"/>
                    <w:snapToGrid w:val="0"/>
                    <w:jc w:val="center"/>
                    <w:rPr>
                      <w:b/>
                      <w:bCs/>
                      <w:color w:val="auto"/>
                    </w:rPr>
                  </w:pPr>
                  <w:r>
                    <w:rPr>
                      <w:b/>
                      <w:bCs/>
                      <w:color w:val="auto"/>
                    </w:rPr>
                    <w:t>现状浓度</w:t>
                  </w:r>
                </w:p>
                <w:p w14:paraId="0920DDBB">
                  <w:pPr>
                    <w:adjustRightInd w:val="0"/>
                    <w:snapToGrid w:val="0"/>
                    <w:jc w:val="center"/>
                    <w:rPr>
                      <w:b/>
                      <w:bCs/>
                      <w:color w:val="auto"/>
                    </w:rPr>
                  </w:pPr>
                  <w:r>
                    <w:rPr>
                      <w:b/>
                      <w:bCs/>
                      <w:color w:val="auto"/>
                    </w:rPr>
                    <w:t>（μg/m</w:t>
                  </w:r>
                  <w:r>
                    <w:rPr>
                      <w:b/>
                      <w:bCs/>
                      <w:color w:val="auto"/>
                      <w:vertAlign w:val="superscript"/>
                    </w:rPr>
                    <w:t>3</w:t>
                  </w:r>
                  <w:r>
                    <w:rPr>
                      <w:b/>
                      <w:bCs/>
                      <w:color w:val="auto"/>
                    </w:rPr>
                    <w:t>）</w:t>
                  </w:r>
                </w:p>
              </w:tc>
              <w:tc>
                <w:tcPr>
                  <w:tcW w:w="596" w:type="pct"/>
                  <w:noWrap/>
                  <w:vAlign w:val="center"/>
                </w:tcPr>
                <w:p w14:paraId="4F409325">
                  <w:pPr>
                    <w:adjustRightInd w:val="0"/>
                    <w:snapToGrid w:val="0"/>
                    <w:jc w:val="center"/>
                    <w:rPr>
                      <w:b/>
                      <w:bCs/>
                      <w:color w:val="auto"/>
                    </w:rPr>
                  </w:pPr>
                  <w:r>
                    <w:rPr>
                      <w:b/>
                      <w:bCs/>
                      <w:color w:val="auto"/>
                    </w:rPr>
                    <w:t>占标率</w:t>
                  </w:r>
                </w:p>
              </w:tc>
              <w:tc>
                <w:tcPr>
                  <w:tcW w:w="516" w:type="pct"/>
                  <w:noWrap/>
                  <w:vAlign w:val="center"/>
                </w:tcPr>
                <w:p w14:paraId="5D4CE590">
                  <w:pPr>
                    <w:adjustRightInd w:val="0"/>
                    <w:snapToGrid w:val="0"/>
                    <w:jc w:val="center"/>
                    <w:rPr>
                      <w:b/>
                      <w:bCs/>
                      <w:color w:val="auto"/>
                    </w:rPr>
                  </w:pPr>
                  <w:r>
                    <w:rPr>
                      <w:b/>
                      <w:bCs/>
                      <w:color w:val="auto"/>
                    </w:rPr>
                    <w:t>达标</w:t>
                  </w:r>
                </w:p>
                <w:p w14:paraId="58D60A5E">
                  <w:pPr>
                    <w:adjustRightInd w:val="0"/>
                    <w:snapToGrid w:val="0"/>
                    <w:jc w:val="center"/>
                    <w:rPr>
                      <w:b/>
                      <w:bCs/>
                      <w:color w:val="auto"/>
                    </w:rPr>
                  </w:pPr>
                  <w:r>
                    <w:rPr>
                      <w:b/>
                      <w:bCs/>
                      <w:color w:val="auto"/>
                    </w:rPr>
                    <w:t>情况</w:t>
                  </w:r>
                </w:p>
              </w:tc>
            </w:tr>
            <w:tr w14:paraId="2C357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5975EF8D">
                  <w:pPr>
                    <w:adjustRightInd w:val="0"/>
                    <w:snapToGrid w:val="0"/>
                    <w:jc w:val="center"/>
                    <w:rPr>
                      <w:color w:val="auto"/>
                    </w:rPr>
                  </w:pPr>
                  <w:r>
                    <w:rPr>
                      <w:color w:val="auto"/>
                    </w:rPr>
                    <w:t>PM</w:t>
                  </w:r>
                  <w:r>
                    <w:rPr>
                      <w:color w:val="auto"/>
                      <w:vertAlign w:val="subscript"/>
                    </w:rPr>
                    <w:t>2.5</w:t>
                  </w:r>
                </w:p>
              </w:tc>
              <w:tc>
                <w:tcPr>
                  <w:tcW w:w="1948" w:type="pct"/>
                  <w:vMerge w:val="restart"/>
                  <w:noWrap/>
                  <w:vAlign w:val="center"/>
                </w:tcPr>
                <w:p w14:paraId="51A87008">
                  <w:pPr>
                    <w:adjustRightInd w:val="0"/>
                    <w:snapToGrid w:val="0"/>
                    <w:jc w:val="center"/>
                    <w:rPr>
                      <w:color w:val="auto"/>
                    </w:rPr>
                  </w:pPr>
                  <w:r>
                    <w:rPr>
                      <w:color w:val="auto"/>
                    </w:rPr>
                    <w:t>年平均值</w:t>
                  </w:r>
                </w:p>
              </w:tc>
              <w:tc>
                <w:tcPr>
                  <w:tcW w:w="702" w:type="pct"/>
                  <w:noWrap/>
                  <w:vAlign w:val="center"/>
                </w:tcPr>
                <w:p w14:paraId="23C7130A">
                  <w:pPr>
                    <w:adjustRightInd w:val="0"/>
                    <w:snapToGrid w:val="0"/>
                    <w:jc w:val="center"/>
                    <w:rPr>
                      <w:color w:val="auto"/>
                    </w:rPr>
                  </w:pPr>
                  <w:r>
                    <w:rPr>
                      <w:color w:val="auto"/>
                    </w:rPr>
                    <w:t>35</w:t>
                  </w:r>
                </w:p>
              </w:tc>
              <w:tc>
                <w:tcPr>
                  <w:tcW w:w="702" w:type="pct"/>
                  <w:noWrap/>
                  <w:vAlign w:val="center"/>
                </w:tcPr>
                <w:p w14:paraId="1FD9C535">
                  <w:pPr>
                    <w:adjustRightInd w:val="0"/>
                    <w:snapToGrid w:val="0"/>
                    <w:jc w:val="center"/>
                    <w:rPr>
                      <w:rFonts w:hint="default" w:eastAsia="宋体"/>
                      <w:color w:val="auto"/>
                      <w:lang w:val="en-US" w:eastAsia="zh-CN"/>
                    </w:rPr>
                  </w:pPr>
                  <w:r>
                    <w:rPr>
                      <w:rFonts w:hint="eastAsia"/>
                      <w:color w:val="auto"/>
                      <w:lang w:val="en-US" w:eastAsia="zh-CN"/>
                    </w:rPr>
                    <w:t>29</w:t>
                  </w:r>
                </w:p>
              </w:tc>
              <w:tc>
                <w:tcPr>
                  <w:tcW w:w="596" w:type="pct"/>
                  <w:noWrap/>
                  <w:vAlign w:val="center"/>
                </w:tcPr>
                <w:p w14:paraId="1508E664">
                  <w:pPr>
                    <w:jc w:val="center"/>
                    <w:rPr>
                      <w:color w:val="auto"/>
                    </w:rPr>
                  </w:pPr>
                  <w:r>
                    <w:rPr>
                      <w:rFonts w:hint="eastAsia"/>
                      <w:color w:val="auto"/>
                    </w:rPr>
                    <w:t>8</w:t>
                  </w:r>
                  <w:r>
                    <w:rPr>
                      <w:rFonts w:hint="eastAsia"/>
                      <w:color w:val="auto"/>
                      <w:lang w:val="en-US" w:eastAsia="zh-CN"/>
                    </w:rPr>
                    <w:t>2.9</w:t>
                  </w:r>
                  <w:r>
                    <w:rPr>
                      <w:color w:val="auto"/>
                    </w:rPr>
                    <w:t>%</w:t>
                  </w:r>
                </w:p>
              </w:tc>
              <w:tc>
                <w:tcPr>
                  <w:tcW w:w="516" w:type="pct"/>
                  <w:noWrap/>
                  <w:vAlign w:val="center"/>
                </w:tcPr>
                <w:p w14:paraId="42077B38">
                  <w:pPr>
                    <w:adjustRightInd w:val="0"/>
                    <w:snapToGrid w:val="0"/>
                    <w:jc w:val="center"/>
                    <w:rPr>
                      <w:color w:val="auto"/>
                    </w:rPr>
                  </w:pPr>
                  <w:r>
                    <w:rPr>
                      <w:color w:val="auto"/>
                    </w:rPr>
                    <w:t>达标</w:t>
                  </w:r>
                </w:p>
              </w:tc>
            </w:tr>
            <w:tr w14:paraId="2F7539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3C4966F1">
                  <w:pPr>
                    <w:adjustRightInd w:val="0"/>
                    <w:snapToGrid w:val="0"/>
                    <w:jc w:val="center"/>
                    <w:rPr>
                      <w:color w:val="auto"/>
                    </w:rPr>
                  </w:pPr>
                  <w:r>
                    <w:rPr>
                      <w:color w:val="auto"/>
                    </w:rPr>
                    <w:t>PM</w:t>
                  </w:r>
                  <w:r>
                    <w:rPr>
                      <w:color w:val="auto"/>
                      <w:vertAlign w:val="subscript"/>
                    </w:rPr>
                    <w:t>10</w:t>
                  </w:r>
                </w:p>
              </w:tc>
              <w:tc>
                <w:tcPr>
                  <w:tcW w:w="1948" w:type="pct"/>
                  <w:vMerge w:val="continue"/>
                  <w:noWrap/>
                  <w:vAlign w:val="center"/>
                </w:tcPr>
                <w:p w14:paraId="0E6FC628">
                  <w:pPr>
                    <w:adjustRightInd w:val="0"/>
                    <w:snapToGrid w:val="0"/>
                    <w:jc w:val="center"/>
                    <w:rPr>
                      <w:color w:val="auto"/>
                    </w:rPr>
                  </w:pPr>
                </w:p>
              </w:tc>
              <w:tc>
                <w:tcPr>
                  <w:tcW w:w="702" w:type="pct"/>
                  <w:noWrap/>
                  <w:vAlign w:val="center"/>
                </w:tcPr>
                <w:p w14:paraId="7DC84DFA">
                  <w:pPr>
                    <w:adjustRightInd w:val="0"/>
                    <w:snapToGrid w:val="0"/>
                    <w:jc w:val="center"/>
                    <w:rPr>
                      <w:color w:val="auto"/>
                    </w:rPr>
                  </w:pPr>
                  <w:r>
                    <w:rPr>
                      <w:color w:val="auto"/>
                    </w:rPr>
                    <w:t>70</w:t>
                  </w:r>
                </w:p>
              </w:tc>
              <w:tc>
                <w:tcPr>
                  <w:tcW w:w="702" w:type="pct"/>
                  <w:noWrap/>
                  <w:vAlign w:val="center"/>
                </w:tcPr>
                <w:p w14:paraId="7372997E">
                  <w:pPr>
                    <w:adjustRightInd w:val="0"/>
                    <w:snapToGrid w:val="0"/>
                    <w:jc w:val="center"/>
                    <w:rPr>
                      <w:rFonts w:hint="default" w:eastAsia="宋体"/>
                      <w:color w:val="auto"/>
                      <w:lang w:val="en-US" w:eastAsia="zh-CN"/>
                    </w:rPr>
                  </w:pPr>
                  <w:r>
                    <w:rPr>
                      <w:rFonts w:hint="eastAsia"/>
                      <w:color w:val="auto"/>
                      <w:lang w:val="en-US" w:eastAsia="zh-CN"/>
                    </w:rPr>
                    <w:t>47</w:t>
                  </w:r>
                </w:p>
              </w:tc>
              <w:tc>
                <w:tcPr>
                  <w:tcW w:w="596" w:type="pct"/>
                  <w:noWrap/>
                  <w:vAlign w:val="center"/>
                </w:tcPr>
                <w:p w14:paraId="0C33D797">
                  <w:pPr>
                    <w:jc w:val="center"/>
                    <w:rPr>
                      <w:color w:val="auto"/>
                    </w:rPr>
                  </w:pPr>
                  <w:r>
                    <w:rPr>
                      <w:rFonts w:hint="eastAsia"/>
                      <w:color w:val="auto"/>
                      <w:lang w:val="en-US" w:eastAsia="zh-CN"/>
                    </w:rPr>
                    <w:t>67.1</w:t>
                  </w:r>
                  <w:r>
                    <w:rPr>
                      <w:color w:val="auto"/>
                    </w:rPr>
                    <w:t>%</w:t>
                  </w:r>
                </w:p>
              </w:tc>
              <w:tc>
                <w:tcPr>
                  <w:tcW w:w="516" w:type="pct"/>
                  <w:noWrap/>
                  <w:vAlign w:val="center"/>
                </w:tcPr>
                <w:p w14:paraId="688AFACE">
                  <w:pPr>
                    <w:adjustRightInd w:val="0"/>
                    <w:snapToGrid w:val="0"/>
                    <w:jc w:val="center"/>
                    <w:rPr>
                      <w:color w:val="auto"/>
                    </w:rPr>
                  </w:pPr>
                  <w:r>
                    <w:rPr>
                      <w:color w:val="auto"/>
                    </w:rPr>
                    <w:t>达标</w:t>
                  </w:r>
                </w:p>
              </w:tc>
            </w:tr>
            <w:tr w14:paraId="4C169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3961167A">
                  <w:pPr>
                    <w:adjustRightInd w:val="0"/>
                    <w:snapToGrid w:val="0"/>
                    <w:jc w:val="center"/>
                    <w:rPr>
                      <w:color w:val="auto"/>
                    </w:rPr>
                  </w:pPr>
                  <w:r>
                    <w:rPr>
                      <w:color w:val="auto"/>
                    </w:rPr>
                    <w:t>SO</w:t>
                  </w:r>
                  <w:r>
                    <w:rPr>
                      <w:color w:val="auto"/>
                      <w:vertAlign w:val="subscript"/>
                    </w:rPr>
                    <w:t>2</w:t>
                  </w:r>
                </w:p>
              </w:tc>
              <w:tc>
                <w:tcPr>
                  <w:tcW w:w="1948" w:type="pct"/>
                  <w:vMerge w:val="continue"/>
                  <w:noWrap/>
                  <w:vAlign w:val="center"/>
                </w:tcPr>
                <w:p w14:paraId="4B8391BC">
                  <w:pPr>
                    <w:adjustRightInd w:val="0"/>
                    <w:snapToGrid w:val="0"/>
                    <w:jc w:val="center"/>
                    <w:rPr>
                      <w:color w:val="auto"/>
                    </w:rPr>
                  </w:pPr>
                </w:p>
              </w:tc>
              <w:tc>
                <w:tcPr>
                  <w:tcW w:w="702" w:type="pct"/>
                  <w:noWrap/>
                  <w:vAlign w:val="center"/>
                </w:tcPr>
                <w:p w14:paraId="485B6FCF">
                  <w:pPr>
                    <w:adjustRightInd w:val="0"/>
                    <w:snapToGrid w:val="0"/>
                    <w:jc w:val="center"/>
                    <w:rPr>
                      <w:color w:val="auto"/>
                    </w:rPr>
                  </w:pPr>
                  <w:r>
                    <w:rPr>
                      <w:color w:val="auto"/>
                    </w:rPr>
                    <w:t>60</w:t>
                  </w:r>
                </w:p>
              </w:tc>
              <w:tc>
                <w:tcPr>
                  <w:tcW w:w="702" w:type="pct"/>
                  <w:noWrap/>
                  <w:vAlign w:val="center"/>
                </w:tcPr>
                <w:p w14:paraId="48D4D41B">
                  <w:pPr>
                    <w:adjustRightInd w:val="0"/>
                    <w:snapToGrid w:val="0"/>
                    <w:jc w:val="center"/>
                    <w:rPr>
                      <w:color w:val="auto"/>
                    </w:rPr>
                  </w:pPr>
                  <w:r>
                    <w:rPr>
                      <w:rFonts w:hint="eastAsia"/>
                      <w:color w:val="auto"/>
                    </w:rPr>
                    <w:t>8</w:t>
                  </w:r>
                </w:p>
              </w:tc>
              <w:tc>
                <w:tcPr>
                  <w:tcW w:w="596" w:type="pct"/>
                  <w:noWrap/>
                  <w:vAlign w:val="center"/>
                </w:tcPr>
                <w:p w14:paraId="1BAB454F">
                  <w:pPr>
                    <w:jc w:val="center"/>
                    <w:rPr>
                      <w:color w:val="auto"/>
                    </w:rPr>
                  </w:pPr>
                  <w:r>
                    <w:rPr>
                      <w:color w:val="auto"/>
                    </w:rPr>
                    <w:t>1</w:t>
                  </w:r>
                  <w:r>
                    <w:rPr>
                      <w:rFonts w:hint="eastAsia"/>
                      <w:color w:val="auto"/>
                    </w:rPr>
                    <w:t>3.3</w:t>
                  </w:r>
                  <w:r>
                    <w:rPr>
                      <w:color w:val="auto"/>
                    </w:rPr>
                    <w:t>%</w:t>
                  </w:r>
                </w:p>
              </w:tc>
              <w:tc>
                <w:tcPr>
                  <w:tcW w:w="516" w:type="pct"/>
                  <w:noWrap/>
                  <w:vAlign w:val="center"/>
                </w:tcPr>
                <w:p w14:paraId="34F56B9D">
                  <w:pPr>
                    <w:adjustRightInd w:val="0"/>
                    <w:snapToGrid w:val="0"/>
                    <w:jc w:val="center"/>
                    <w:rPr>
                      <w:color w:val="auto"/>
                    </w:rPr>
                  </w:pPr>
                  <w:r>
                    <w:rPr>
                      <w:color w:val="auto"/>
                    </w:rPr>
                    <w:t>达标</w:t>
                  </w:r>
                </w:p>
              </w:tc>
            </w:tr>
            <w:tr w14:paraId="645D2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42E0E4A3">
                  <w:pPr>
                    <w:adjustRightInd w:val="0"/>
                    <w:snapToGrid w:val="0"/>
                    <w:jc w:val="center"/>
                    <w:rPr>
                      <w:color w:val="auto"/>
                    </w:rPr>
                  </w:pPr>
                  <w:r>
                    <w:rPr>
                      <w:color w:val="auto"/>
                    </w:rPr>
                    <w:t>NO</w:t>
                  </w:r>
                  <w:r>
                    <w:rPr>
                      <w:color w:val="auto"/>
                      <w:vertAlign w:val="subscript"/>
                    </w:rPr>
                    <w:t>2</w:t>
                  </w:r>
                </w:p>
              </w:tc>
              <w:tc>
                <w:tcPr>
                  <w:tcW w:w="1948" w:type="pct"/>
                  <w:vMerge w:val="continue"/>
                  <w:noWrap/>
                  <w:vAlign w:val="center"/>
                </w:tcPr>
                <w:p w14:paraId="382EA678">
                  <w:pPr>
                    <w:adjustRightInd w:val="0"/>
                    <w:snapToGrid w:val="0"/>
                    <w:jc w:val="center"/>
                    <w:rPr>
                      <w:color w:val="auto"/>
                    </w:rPr>
                  </w:pPr>
                </w:p>
              </w:tc>
              <w:tc>
                <w:tcPr>
                  <w:tcW w:w="702" w:type="pct"/>
                  <w:noWrap/>
                  <w:vAlign w:val="center"/>
                </w:tcPr>
                <w:p w14:paraId="3789B722">
                  <w:pPr>
                    <w:adjustRightInd w:val="0"/>
                    <w:snapToGrid w:val="0"/>
                    <w:jc w:val="center"/>
                    <w:rPr>
                      <w:color w:val="auto"/>
                    </w:rPr>
                  </w:pPr>
                  <w:r>
                    <w:rPr>
                      <w:color w:val="auto"/>
                    </w:rPr>
                    <w:t>40</w:t>
                  </w:r>
                </w:p>
              </w:tc>
              <w:tc>
                <w:tcPr>
                  <w:tcW w:w="702" w:type="pct"/>
                  <w:noWrap/>
                  <w:vAlign w:val="center"/>
                </w:tcPr>
                <w:p w14:paraId="6ADC52F1">
                  <w:pPr>
                    <w:adjustRightInd w:val="0"/>
                    <w:snapToGrid w:val="0"/>
                    <w:jc w:val="center"/>
                    <w:rPr>
                      <w:rFonts w:hint="eastAsia" w:eastAsia="宋体"/>
                      <w:color w:val="auto"/>
                      <w:lang w:eastAsia="zh-CN"/>
                    </w:rPr>
                  </w:pPr>
                  <w:r>
                    <w:rPr>
                      <w:rFonts w:hint="eastAsia"/>
                      <w:color w:val="auto"/>
                    </w:rPr>
                    <w:t>2</w:t>
                  </w:r>
                  <w:r>
                    <w:rPr>
                      <w:rFonts w:hint="eastAsia"/>
                      <w:color w:val="auto"/>
                      <w:lang w:val="en-US" w:eastAsia="zh-CN"/>
                    </w:rPr>
                    <w:t>6</w:t>
                  </w:r>
                </w:p>
              </w:tc>
              <w:tc>
                <w:tcPr>
                  <w:tcW w:w="596" w:type="pct"/>
                  <w:noWrap/>
                  <w:vAlign w:val="center"/>
                </w:tcPr>
                <w:p w14:paraId="7B55D38A">
                  <w:pPr>
                    <w:jc w:val="center"/>
                    <w:rPr>
                      <w:color w:val="auto"/>
                    </w:rPr>
                  </w:pPr>
                  <w:r>
                    <w:rPr>
                      <w:rFonts w:hint="eastAsia"/>
                      <w:color w:val="auto"/>
                      <w:lang w:val="en-US" w:eastAsia="zh-CN"/>
                    </w:rPr>
                    <w:t>65.0</w:t>
                  </w:r>
                  <w:r>
                    <w:rPr>
                      <w:color w:val="auto"/>
                    </w:rPr>
                    <w:t>%</w:t>
                  </w:r>
                </w:p>
              </w:tc>
              <w:tc>
                <w:tcPr>
                  <w:tcW w:w="516" w:type="pct"/>
                  <w:noWrap/>
                  <w:vAlign w:val="center"/>
                </w:tcPr>
                <w:p w14:paraId="668C975C">
                  <w:pPr>
                    <w:adjustRightInd w:val="0"/>
                    <w:snapToGrid w:val="0"/>
                    <w:jc w:val="center"/>
                    <w:rPr>
                      <w:color w:val="auto"/>
                    </w:rPr>
                  </w:pPr>
                  <w:r>
                    <w:rPr>
                      <w:color w:val="auto"/>
                    </w:rPr>
                    <w:t>达标</w:t>
                  </w:r>
                </w:p>
              </w:tc>
            </w:tr>
            <w:tr w14:paraId="3CAD9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1AF23EEE">
                  <w:pPr>
                    <w:adjustRightInd w:val="0"/>
                    <w:snapToGrid w:val="0"/>
                    <w:jc w:val="center"/>
                    <w:rPr>
                      <w:color w:val="auto"/>
                    </w:rPr>
                  </w:pPr>
                  <w:r>
                    <w:rPr>
                      <w:color w:val="auto"/>
                    </w:rPr>
                    <w:t>CO</w:t>
                  </w:r>
                </w:p>
              </w:tc>
              <w:tc>
                <w:tcPr>
                  <w:tcW w:w="1948" w:type="pct"/>
                  <w:noWrap/>
                  <w:vAlign w:val="center"/>
                </w:tcPr>
                <w:p w14:paraId="49CB4357">
                  <w:pPr>
                    <w:adjustRightInd w:val="0"/>
                    <w:snapToGrid w:val="0"/>
                    <w:jc w:val="center"/>
                    <w:rPr>
                      <w:color w:val="auto"/>
                    </w:rPr>
                  </w:pPr>
                  <w:r>
                    <w:rPr>
                      <w:color w:val="auto"/>
                    </w:rPr>
                    <w:t>24h平均第95百分位数浓度</w:t>
                  </w:r>
                </w:p>
              </w:tc>
              <w:tc>
                <w:tcPr>
                  <w:tcW w:w="702" w:type="pct"/>
                  <w:noWrap/>
                  <w:vAlign w:val="center"/>
                </w:tcPr>
                <w:p w14:paraId="34E49850">
                  <w:pPr>
                    <w:adjustRightInd w:val="0"/>
                    <w:snapToGrid w:val="0"/>
                    <w:jc w:val="center"/>
                    <w:rPr>
                      <w:color w:val="auto"/>
                    </w:rPr>
                  </w:pPr>
                  <w:r>
                    <w:rPr>
                      <w:color w:val="auto"/>
                    </w:rPr>
                    <w:t>4mg/m</w:t>
                  </w:r>
                  <w:r>
                    <w:rPr>
                      <w:color w:val="auto"/>
                      <w:vertAlign w:val="superscript"/>
                    </w:rPr>
                    <w:t>3</w:t>
                  </w:r>
                </w:p>
              </w:tc>
              <w:tc>
                <w:tcPr>
                  <w:tcW w:w="702" w:type="pct"/>
                  <w:noWrap/>
                  <w:vAlign w:val="center"/>
                </w:tcPr>
                <w:p w14:paraId="17AF48AF">
                  <w:pPr>
                    <w:adjustRightInd w:val="0"/>
                    <w:snapToGrid w:val="0"/>
                    <w:jc w:val="center"/>
                    <w:rPr>
                      <w:color w:val="auto"/>
                    </w:rPr>
                  </w:pPr>
                  <w:r>
                    <w:rPr>
                      <w:rFonts w:hint="eastAsia"/>
                      <w:color w:val="auto"/>
                    </w:rPr>
                    <w:t>1</w:t>
                  </w:r>
                  <w:r>
                    <w:rPr>
                      <w:color w:val="auto"/>
                    </w:rPr>
                    <w:t>mg/m</w:t>
                  </w:r>
                  <w:r>
                    <w:rPr>
                      <w:color w:val="auto"/>
                      <w:vertAlign w:val="superscript"/>
                    </w:rPr>
                    <w:t>3</w:t>
                  </w:r>
                </w:p>
              </w:tc>
              <w:tc>
                <w:tcPr>
                  <w:tcW w:w="596" w:type="pct"/>
                  <w:noWrap/>
                  <w:vAlign w:val="center"/>
                </w:tcPr>
                <w:p w14:paraId="014EA162">
                  <w:pPr>
                    <w:jc w:val="center"/>
                    <w:rPr>
                      <w:color w:val="auto"/>
                    </w:rPr>
                  </w:pPr>
                  <w:r>
                    <w:rPr>
                      <w:color w:val="auto"/>
                    </w:rPr>
                    <w:t>2</w:t>
                  </w:r>
                  <w:r>
                    <w:rPr>
                      <w:rFonts w:hint="eastAsia"/>
                      <w:color w:val="auto"/>
                    </w:rPr>
                    <w:t>5.0</w:t>
                  </w:r>
                  <w:r>
                    <w:rPr>
                      <w:color w:val="auto"/>
                    </w:rPr>
                    <w:t>%</w:t>
                  </w:r>
                </w:p>
              </w:tc>
              <w:tc>
                <w:tcPr>
                  <w:tcW w:w="516" w:type="pct"/>
                  <w:noWrap/>
                  <w:vAlign w:val="center"/>
                </w:tcPr>
                <w:p w14:paraId="2F4370E6">
                  <w:pPr>
                    <w:adjustRightInd w:val="0"/>
                    <w:snapToGrid w:val="0"/>
                    <w:jc w:val="center"/>
                    <w:rPr>
                      <w:color w:val="auto"/>
                    </w:rPr>
                  </w:pPr>
                  <w:r>
                    <w:rPr>
                      <w:color w:val="auto"/>
                    </w:rPr>
                    <w:t>达标</w:t>
                  </w:r>
                </w:p>
              </w:tc>
            </w:tr>
            <w:tr w14:paraId="082DD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3" w:type="pct"/>
                  <w:noWrap/>
                  <w:vAlign w:val="center"/>
                </w:tcPr>
                <w:p w14:paraId="65804E66">
                  <w:pPr>
                    <w:adjustRightInd w:val="0"/>
                    <w:snapToGrid w:val="0"/>
                    <w:jc w:val="center"/>
                    <w:rPr>
                      <w:color w:val="auto"/>
                    </w:rPr>
                  </w:pPr>
                  <w:r>
                    <w:rPr>
                      <w:color w:val="auto"/>
                    </w:rPr>
                    <w:t>O</w:t>
                  </w:r>
                  <w:r>
                    <w:rPr>
                      <w:color w:val="auto"/>
                      <w:vertAlign w:val="subscript"/>
                    </w:rPr>
                    <w:t>3</w:t>
                  </w:r>
                </w:p>
              </w:tc>
              <w:tc>
                <w:tcPr>
                  <w:tcW w:w="1948" w:type="pct"/>
                  <w:noWrap/>
                  <w:vAlign w:val="center"/>
                </w:tcPr>
                <w:p w14:paraId="1C0DE215">
                  <w:pPr>
                    <w:adjustRightInd w:val="0"/>
                    <w:snapToGrid w:val="0"/>
                    <w:jc w:val="center"/>
                    <w:rPr>
                      <w:color w:val="auto"/>
                    </w:rPr>
                  </w:pPr>
                  <w:r>
                    <w:rPr>
                      <w:color w:val="auto"/>
                    </w:rPr>
                    <w:t>日最大8小时滑动平均的第90百分位数浓度</w:t>
                  </w:r>
                </w:p>
              </w:tc>
              <w:tc>
                <w:tcPr>
                  <w:tcW w:w="702" w:type="pct"/>
                  <w:noWrap/>
                  <w:vAlign w:val="center"/>
                </w:tcPr>
                <w:p w14:paraId="64B741B8">
                  <w:pPr>
                    <w:adjustRightInd w:val="0"/>
                    <w:snapToGrid w:val="0"/>
                    <w:jc w:val="center"/>
                    <w:rPr>
                      <w:color w:val="auto"/>
                    </w:rPr>
                  </w:pPr>
                  <w:r>
                    <w:rPr>
                      <w:color w:val="auto"/>
                    </w:rPr>
                    <w:t>160</w:t>
                  </w:r>
                </w:p>
              </w:tc>
              <w:tc>
                <w:tcPr>
                  <w:tcW w:w="702" w:type="pct"/>
                  <w:noWrap/>
                  <w:vAlign w:val="center"/>
                </w:tcPr>
                <w:p w14:paraId="20D3DF0E">
                  <w:pPr>
                    <w:adjustRightInd w:val="0"/>
                    <w:snapToGrid w:val="0"/>
                    <w:jc w:val="center"/>
                    <w:rPr>
                      <w:rFonts w:hint="default" w:eastAsia="宋体"/>
                      <w:color w:val="auto"/>
                      <w:lang w:val="en-US" w:eastAsia="zh-CN"/>
                    </w:rPr>
                  </w:pPr>
                  <w:r>
                    <w:rPr>
                      <w:color w:val="auto"/>
                    </w:rPr>
                    <w:t>1</w:t>
                  </w:r>
                  <w:r>
                    <w:rPr>
                      <w:rFonts w:hint="eastAsia"/>
                      <w:color w:val="auto"/>
                      <w:lang w:val="en-US" w:eastAsia="zh-CN"/>
                    </w:rPr>
                    <w:t>61</w:t>
                  </w:r>
                </w:p>
              </w:tc>
              <w:tc>
                <w:tcPr>
                  <w:tcW w:w="596" w:type="pct"/>
                  <w:noWrap/>
                  <w:vAlign w:val="center"/>
                </w:tcPr>
                <w:p w14:paraId="5D128B34">
                  <w:pPr>
                    <w:jc w:val="center"/>
                    <w:rPr>
                      <w:color w:val="auto"/>
                    </w:rPr>
                  </w:pPr>
                  <w:r>
                    <w:rPr>
                      <w:rFonts w:hint="eastAsia"/>
                      <w:color w:val="auto"/>
                      <w:lang w:val="en-US" w:eastAsia="zh-CN"/>
                    </w:rPr>
                    <w:t>100.6</w:t>
                  </w:r>
                  <w:r>
                    <w:rPr>
                      <w:color w:val="auto"/>
                    </w:rPr>
                    <w:t>%</w:t>
                  </w:r>
                </w:p>
              </w:tc>
              <w:tc>
                <w:tcPr>
                  <w:tcW w:w="516" w:type="pct"/>
                  <w:noWrap/>
                  <w:vAlign w:val="center"/>
                </w:tcPr>
                <w:p w14:paraId="7D7956F6">
                  <w:pPr>
                    <w:adjustRightInd w:val="0"/>
                    <w:snapToGrid w:val="0"/>
                    <w:jc w:val="center"/>
                    <w:rPr>
                      <w:color w:val="auto"/>
                    </w:rPr>
                  </w:pPr>
                  <w:r>
                    <w:rPr>
                      <w:color w:val="auto"/>
                    </w:rPr>
                    <w:t>不达标</w:t>
                  </w:r>
                </w:p>
              </w:tc>
            </w:tr>
          </w:tbl>
          <w:p w14:paraId="27EBE1EC">
            <w:pPr>
              <w:pStyle w:val="5"/>
              <w:keepNext w:val="0"/>
              <w:keepLines w:val="0"/>
              <w:pageBreakBefore w:val="0"/>
              <w:kinsoku/>
              <w:wordWrap/>
              <w:overflowPunct/>
              <w:topLinePunct w:val="0"/>
              <w:autoSpaceDE/>
              <w:autoSpaceDN/>
              <w:bidi w:val="0"/>
              <w:adjustRightInd/>
              <w:snapToGrid/>
              <w:spacing w:before="0" w:after="0" w:line="360" w:lineRule="auto"/>
              <w:ind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color w:val="auto"/>
                <w:sz w:val="24"/>
              </w:rPr>
              <w:t>根据表3-1，项目所在区O</w:t>
            </w:r>
            <w:r>
              <w:rPr>
                <w:rFonts w:hint="eastAsia"/>
                <w:color w:val="auto"/>
                <w:sz w:val="24"/>
                <w:vertAlign w:val="subscript"/>
              </w:rPr>
              <w:t>3</w:t>
            </w:r>
            <w:r>
              <w:rPr>
                <w:rFonts w:hint="eastAsia"/>
                <w:color w:val="auto"/>
                <w:sz w:val="24"/>
              </w:rPr>
              <w:t>超标，因此判定为不达标区。</w:t>
            </w:r>
            <w:r>
              <w:rPr>
                <w:rFonts w:hint="default" w:ascii="Times New Roman" w:hAnsi="Times New Roman" w:cs="Times New Roman"/>
                <w:color w:val="auto"/>
                <w:sz w:val="24"/>
                <w:szCs w:val="24"/>
                <w:highlight w:val="none"/>
                <w:lang w:val="en-US" w:eastAsia="zh-CN"/>
              </w:rPr>
              <w:t>根据《苏州市空气质量持续改善行动计划实施方案》（苏府〔2024〕50号），协同推进降碳、减污、扩绿、增长，以改善空气质量为核心，扎实推进产业、能源、交通绿色低碳转型，强化面源污染治理，加强源头防控，以高品质生态环境支撑高质量发展。主要目标是：到2025年，全市PM</w:t>
            </w:r>
            <w:r>
              <w:rPr>
                <w:rFonts w:hint="eastAsia" w:cs="Times New Roman"/>
                <w:color w:val="auto"/>
                <w:sz w:val="24"/>
                <w:szCs w:val="24"/>
                <w:highlight w:val="none"/>
                <w:vertAlign w:val="subscript"/>
                <w:lang w:val="en-US" w:eastAsia="zh-CN"/>
              </w:rPr>
              <w:t>2.5</w:t>
            </w:r>
            <w:r>
              <w:rPr>
                <w:rFonts w:hint="default" w:ascii="Times New Roman" w:hAnsi="Times New Roman" w:cs="Times New Roman"/>
                <w:color w:val="auto"/>
                <w:sz w:val="24"/>
                <w:szCs w:val="24"/>
                <w:highlight w:val="none"/>
                <w:lang w:val="en-US" w:eastAsia="zh-CN"/>
              </w:rPr>
              <w:t>浓度稳定在30微克/立方米以下，重度及以上污染天数控制在1天以内；氮氧化物和VOCs排放总量比2020年分别下降10%以上，完成省下达的减排目标。</w:t>
            </w:r>
          </w:p>
          <w:p w14:paraId="3AACB3EB">
            <w:pPr>
              <w:keepNext w:val="0"/>
              <w:keepLines w:val="0"/>
              <w:pageBreakBefore w:val="0"/>
              <w:numPr>
                <w:ilvl w:val="0"/>
                <w:numId w:val="0"/>
              </w:numPr>
              <w:kinsoku/>
              <w:wordWrap/>
              <w:overflowPunct/>
              <w:topLinePunct w:val="0"/>
              <w:autoSpaceDE w:val="0"/>
              <w:autoSpaceDN w:val="0"/>
              <w:bidi w:val="0"/>
              <w:adjustRightInd/>
              <w:snapToGrid/>
              <w:spacing w:line="360" w:lineRule="auto"/>
              <w:ind w:firstLine="482" w:firstLineChars="200"/>
              <w:textAlignment w:val="auto"/>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rPr>
              <w:t>特征污染物</w:t>
            </w:r>
            <w:r>
              <w:rPr>
                <w:rFonts w:hint="eastAsia" w:ascii="Times New Roman" w:hAnsi="Times New Roman" w:eastAsia="宋体" w:cs="Times New Roman"/>
                <w:b/>
                <w:bCs/>
                <w:color w:val="auto"/>
                <w:sz w:val="24"/>
                <w:lang w:eastAsia="zh-CN"/>
              </w:rPr>
              <w:t>：</w:t>
            </w:r>
          </w:p>
          <w:p w14:paraId="5DE36837">
            <w:pPr>
              <w:keepNext w:val="0"/>
              <w:keepLines w:val="0"/>
              <w:pageBreakBefore w:val="0"/>
              <w:numPr>
                <w:ilvl w:val="0"/>
                <w:numId w:val="0"/>
              </w:numPr>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本项目特征污染物为非甲烷总烃，引用项目所在地东北</w:t>
            </w:r>
            <w:r>
              <w:rPr>
                <w:rFonts w:hint="eastAsia" w:cs="Times New Roman"/>
                <w:color w:val="auto"/>
                <w:sz w:val="24"/>
                <w:lang w:val="en-US" w:eastAsia="zh-CN"/>
              </w:rPr>
              <w:t>4.7</w:t>
            </w:r>
            <w:r>
              <w:rPr>
                <w:rFonts w:hint="eastAsia" w:ascii="Times New Roman" w:hAnsi="Times New Roman" w:eastAsia="宋体" w:cs="Times New Roman"/>
                <w:color w:val="auto"/>
                <w:sz w:val="24"/>
                <w:lang w:val="en-US" w:eastAsia="zh-CN"/>
              </w:rPr>
              <w:t>km的</w:t>
            </w:r>
            <w:r>
              <w:rPr>
                <w:rFonts w:hint="eastAsia" w:ascii="Times New Roman" w:hAnsi="Times New Roman" w:eastAsia="宋体" w:cs="Times New Roman"/>
                <w:color w:val="auto"/>
                <w:sz w:val="24"/>
              </w:rPr>
              <w:t>《东锦食品（苏州）有限公司年</w:t>
            </w:r>
            <w:r>
              <w:rPr>
                <w:rFonts w:hint="eastAsia" w:ascii="Times New Roman" w:hAnsi="Times New Roman" w:eastAsia="宋体" w:cs="Times New Roman"/>
                <w:color w:val="auto"/>
                <w:sz w:val="24"/>
                <w:lang w:eastAsia="zh-CN"/>
              </w:rPr>
              <w:t>产</w:t>
            </w:r>
            <w:r>
              <w:rPr>
                <w:rFonts w:hint="eastAsia" w:ascii="Times New Roman" w:hAnsi="Times New Roman" w:eastAsia="宋体" w:cs="Times New Roman"/>
                <w:color w:val="auto"/>
                <w:sz w:val="24"/>
              </w:rPr>
              <w:t>水果制品12吨、饮料1000吨、糕点50吨生产技术改造项目环境影响报告表》中</w:t>
            </w:r>
            <w:r>
              <w:rPr>
                <w:rFonts w:hint="eastAsia" w:ascii="Times New Roman" w:hAnsi="Times New Roman" w:eastAsia="宋体" w:cs="Times New Roman"/>
                <w:color w:val="auto"/>
                <w:sz w:val="24"/>
                <w:lang w:val="en-US" w:eastAsia="zh-CN"/>
              </w:rPr>
              <w:t>G1康家浜点位的</w:t>
            </w:r>
            <w:r>
              <w:rPr>
                <w:rFonts w:hint="eastAsia" w:ascii="Times New Roman" w:hAnsi="Times New Roman" w:eastAsia="宋体" w:cs="Times New Roman"/>
                <w:color w:val="auto"/>
                <w:sz w:val="24"/>
              </w:rPr>
              <w:t>监测结果。报告中环境空气监测委托</w:t>
            </w:r>
            <w:r>
              <w:rPr>
                <w:rFonts w:hint="eastAsia" w:ascii="Times New Roman" w:hAnsi="Times New Roman" w:eastAsia="宋体" w:cs="Times New Roman"/>
                <w:color w:val="auto"/>
                <w:sz w:val="24"/>
                <w:lang w:eastAsia="zh-CN"/>
              </w:rPr>
              <w:t>苏州昌禾环境检测有限公司</w:t>
            </w:r>
            <w:r>
              <w:rPr>
                <w:rFonts w:hint="eastAsia" w:ascii="Times New Roman" w:hAnsi="Times New Roman" w:eastAsia="宋体" w:cs="Times New Roman"/>
                <w:color w:val="auto"/>
                <w:sz w:val="24"/>
              </w:rPr>
              <w:t>，监测数据来源于报告</w:t>
            </w:r>
            <w:r>
              <w:rPr>
                <w:rFonts w:hint="eastAsia" w:ascii="Times New Roman" w:hAnsi="Times New Roman" w:eastAsia="宋体" w:cs="Times New Roman"/>
                <w:color w:val="auto"/>
                <w:sz w:val="24"/>
                <w:lang w:val="en-US" w:eastAsia="zh-CN"/>
              </w:rPr>
              <w:t>CH2406162</w:t>
            </w:r>
            <w:r>
              <w:rPr>
                <w:rFonts w:hint="eastAsia" w:ascii="Times New Roman" w:hAnsi="Times New Roman" w:eastAsia="宋体" w:cs="Times New Roman"/>
                <w:color w:val="auto"/>
                <w:sz w:val="24"/>
              </w:rPr>
              <w:t>，监测时间202</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15</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17</w:t>
            </w:r>
            <w:r>
              <w:rPr>
                <w:rFonts w:hint="eastAsia" w:ascii="Times New Roman" w:hAnsi="Times New Roman" w:eastAsia="宋体" w:cs="Times New Roman"/>
                <w:color w:val="auto"/>
                <w:sz w:val="24"/>
              </w:rPr>
              <w:t>日，连续监测3天。</w:t>
            </w:r>
          </w:p>
          <w:p w14:paraId="3745A3F4">
            <w:pPr>
              <w:jc w:val="center"/>
              <w:rPr>
                <w:b/>
                <w:bCs/>
                <w:color w:val="auto"/>
              </w:rPr>
            </w:pPr>
            <w:r>
              <w:rPr>
                <w:b/>
                <w:bCs/>
                <w:color w:val="auto"/>
              </w:rPr>
              <w:t>表</w:t>
            </w:r>
            <w:r>
              <w:rPr>
                <w:rFonts w:hint="eastAsia"/>
                <w:b/>
                <w:bCs/>
                <w:color w:val="auto"/>
              </w:rPr>
              <w:t>3-2 区域空气质量</w:t>
            </w:r>
            <w:r>
              <w:rPr>
                <w:b/>
                <w:bCs/>
                <w:color w:val="auto"/>
              </w:rPr>
              <w:t>现状</w:t>
            </w:r>
            <w:r>
              <w:rPr>
                <w:rFonts w:hint="eastAsia"/>
                <w:b/>
                <w:bCs/>
                <w:color w:val="auto"/>
              </w:rPr>
              <w:t>评价表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432"/>
              <w:gridCol w:w="1764"/>
              <w:gridCol w:w="1691"/>
              <w:gridCol w:w="1269"/>
              <w:gridCol w:w="830"/>
            </w:tblGrid>
            <w:tr w14:paraId="3D717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6" w:type="pct"/>
                  <w:noWrap w:val="0"/>
                  <w:vAlign w:val="center"/>
                </w:tcPr>
                <w:p w14:paraId="2158629D">
                  <w:pPr>
                    <w:adjustRightInd w:val="0"/>
                    <w:snapToGrid w:val="0"/>
                    <w:jc w:val="center"/>
                    <w:rPr>
                      <w:rFonts w:hint="eastAsia"/>
                      <w:b/>
                      <w:bCs/>
                      <w:color w:val="auto"/>
                    </w:rPr>
                  </w:pPr>
                  <w:r>
                    <w:rPr>
                      <w:rFonts w:hint="eastAsia"/>
                      <w:b/>
                      <w:bCs/>
                      <w:color w:val="auto"/>
                    </w:rPr>
                    <w:t>监测点位</w:t>
                  </w:r>
                </w:p>
              </w:tc>
              <w:tc>
                <w:tcPr>
                  <w:tcW w:w="865" w:type="pct"/>
                  <w:noWrap w:val="0"/>
                  <w:vAlign w:val="center"/>
                </w:tcPr>
                <w:p w14:paraId="41400622">
                  <w:pPr>
                    <w:adjustRightInd w:val="0"/>
                    <w:snapToGrid w:val="0"/>
                    <w:jc w:val="center"/>
                    <w:rPr>
                      <w:rFonts w:hint="eastAsia"/>
                      <w:b/>
                      <w:bCs/>
                      <w:color w:val="auto"/>
                    </w:rPr>
                  </w:pPr>
                  <w:r>
                    <w:rPr>
                      <w:rFonts w:hint="eastAsia"/>
                      <w:b/>
                      <w:bCs/>
                      <w:color w:val="auto"/>
                    </w:rPr>
                    <w:t>污染物名称</w:t>
                  </w:r>
                </w:p>
              </w:tc>
              <w:tc>
                <w:tcPr>
                  <w:tcW w:w="1066" w:type="pct"/>
                  <w:noWrap w:val="0"/>
                  <w:vAlign w:val="center"/>
                </w:tcPr>
                <w:p w14:paraId="7BC36C0F">
                  <w:pPr>
                    <w:adjustRightInd w:val="0"/>
                    <w:snapToGrid w:val="0"/>
                    <w:jc w:val="center"/>
                    <w:rPr>
                      <w:rFonts w:hint="eastAsia"/>
                      <w:b/>
                      <w:bCs/>
                      <w:color w:val="auto"/>
                    </w:rPr>
                  </w:pPr>
                  <w:r>
                    <w:rPr>
                      <w:rFonts w:hint="eastAsia"/>
                      <w:b/>
                      <w:bCs/>
                      <w:color w:val="auto"/>
                    </w:rPr>
                    <w:t>小时</w:t>
                  </w:r>
                  <w:r>
                    <w:rPr>
                      <w:b/>
                      <w:bCs/>
                      <w:color w:val="auto"/>
                    </w:rPr>
                    <w:t>浓度</w:t>
                  </w:r>
                  <w:r>
                    <w:rPr>
                      <w:rFonts w:hint="eastAsia"/>
                      <w:b/>
                      <w:bCs/>
                      <w:color w:val="auto"/>
                    </w:rPr>
                    <w:t>范围m</w:t>
                  </w:r>
                  <w:r>
                    <w:rPr>
                      <w:b/>
                      <w:bCs/>
                      <w:color w:val="auto"/>
                    </w:rPr>
                    <w:t>g/m</w:t>
                  </w:r>
                  <w:r>
                    <w:rPr>
                      <w:b/>
                      <w:bCs/>
                      <w:color w:val="auto"/>
                      <w:vertAlign w:val="superscript"/>
                    </w:rPr>
                    <w:t>3</w:t>
                  </w:r>
                </w:p>
              </w:tc>
              <w:tc>
                <w:tcPr>
                  <w:tcW w:w="1022" w:type="pct"/>
                  <w:noWrap w:val="0"/>
                  <w:vAlign w:val="center"/>
                </w:tcPr>
                <w:p w14:paraId="58D4EBDF">
                  <w:pPr>
                    <w:adjustRightInd w:val="0"/>
                    <w:snapToGrid w:val="0"/>
                    <w:jc w:val="center"/>
                    <w:rPr>
                      <w:rFonts w:hint="eastAsia" w:eastAsia="宋体"/>
                      <w:b/>
                      <w:bCs/>
                      <w:color w:val="auto"/>
                      <w:kern w:val="2"/>
                      <w:sz w:val="21"/>
                      <w:szCs w:val="24"/>
                      <w:lang w:val="en-US" w:eastAsia="zh-CN" w:bidi="ar-SA"/>
                    </w:rPr>
                  </w:pPr>
                  <w:r>
                    <w:rPr>
                      <w:rFonts w:hint="eastAsia"/>
                      <w:b/>
                      <w:bCs/>
                      <w:color w:val="auto"/>
                    </w:rPr>
                    <w:t>最大浓度占标率</w:t>
                  </w:r>
                  <w:r>
                    <w:rPr>
                      <w:rFonts w:hint="eastAsia"/>
                      <w:b/>
                      <w:bCs/>
                      <w:color w:val="auto"/>
                      <w:lang w:val="en-US" w:eastAsia="zh-CN"/>
                    </w:rPr>
                    <w:t>%</w:t>
                  </w:r>
                </w:p>
              </w:tc>
              <w:tc>
                <w:tcPr>
                  <w:tcW w:w="767" w:type="pct"/>
                  <w:noWrap w:val="0"/>
                  <w:vAlign w:val="center"/>
                </w:tcPr>
                <w:p w14:paraId="52739669">
                  <w:pPr>
                    <w:jc w:val="center"/>
                    <w:rPr>
                      <w:rFonts w:hint="eastAsia"/>
                      <w:b/>
                      <w:bCs/>
                      <w:color w:val="auto"/>
                    </w:rPr>
                  </w:pPr>
                  <w:r>
                    <w:rPr>
                      <w:rFonts w:ascii="Times New Roman" w:hAnsi="Times New Roman" w:eastAsia="宋体" w:cs="Times New Roman"/>
                      <w:b/>
                      <w:color w:val="000000"/>
                      <w:sz w:val="21"/>
                      <w:szCs w:val="21"/>
                      <w:highlight w:val="none"/>
                    </w:rPr>
                    <w:t>评价标准mg/m</w:t>
                  </w:r>
                  <w:r>
                    <w:rPr>
                      <w:rFonts w:ascii="Times New Roman" w:hAnsi="Times New Roman" w:eastAsia="宋体" w:cs="Times New Roman"/>
                      <w:b/>
                      <w:color w:val="000000"/>
                      <w:sz w:val="21"/>
                      <w:szCs w:val="21"/>
                      <w:highlight w:val="none"/>
                      <w:vertAlign w:val="superscript"/>
                    </w:rPr>
                    <w:t>3</w:t>
                  </w:r>
                </w:p>
              </w:tc>
              <w:tc>
                <w:tcPr>
                  <w:tcW w:w="501" w:type="pct"/>
                  <w:noWrap w:val="0"/>
                  <w:vAlign w:val="center"/>
                </w:tcPr>
                <w:p w14:paraId="3CD1BD84">
                  <w:pPr>
                    <w:adjustRightInd w:val="0"/>
                    <w:snapToGrid w:val="0"/>
                    <w:jc w:val="center"/>
                    <w:rPr>
                      <w:b/>
                      <w:bCs/>
                      <w:color w:val="auto"/>
                    </w:rPr>
                  </w:pPr>
                  <w:r>
                    <w:rPr>
                      <w:b/>
                      <w:bCs/>
                      <w:color w:val="auto"/>
                    </w:rPr>
                    <w:t>达标情况</w:t>
                  </w:r>
                </w:p>
              </w:tc>
            </w:tr>
            <w:tr w14:paraId="238CD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6" w:type="pct"/>
                  <w:noWrap w:val="0"/>
                  <w:vAlign w:val="center"/>
                </w:tcPr>
                <w:p w14:paraId="20471B0D">
                  <w:pPr>
                    <w:adjustRightInd w:val="0"/>
                    <w:snapToGrid w:val="0"/>
                    <w:jc w:val="center"/>
                    <w:rPr>
                      <w:rFonts w:hint="eastAsia" w:eastAsia="宋体"/>
                      <w:color w:val="auto"/>
                      <w:lang w:eastAsia="zh-CN"/>
                    </w:rPr>
                  </w:pPr>
                  <w:r>
                    <w:rPr>
                      <w:rFonts w:hint="eastAsia"/>
                      <w:color w:val="auto"/>
                      <w:lang w:val="en-US" w:eastAsia="zh-CN"/>
                    </w:rPr>
                    <w:t>G1</w:t>
                  </w:r>
                  <w:r>
                    <w:rPr>
                      <w:rFonts w:hint="eastAsia"/>
                      <w:color w:val="auto"/>
                      <w:lang w:eastAsia="zh-CN"/>
                    </w:rPr>
                    <w:t>康家浜</w:t>
                  </w:r>
                </w:p>
              </w:tc>
              <w:tc>
                <w:tcPr>
                  <w:tcW w:w="865" w:type="pct"/>
                  <w:noWrap w:val="0"/>
                  <w:vAlign w:val="center"/>
                </w:tcPr>
                <w:p w14:paraId="0AAECCC5">
                  <w:pPr>
                    <w:adjustRightInd w:val="0"/>
                    <w:snapToGrid w:val="0"/>
                    <w:jc w:val="center"/>
                    <w:rPr>
                      <w:rFonts w:hint="eastAsia"/>
                      <w:color w:val="auto"/>
                    </w:rPr>
                  </w:pPr>
                  <w:r>
                    <w:rPr>
                      <w:rFonts w:hint="eastAsia"/>
                      <w:color w:val="auto"/>
                    </w:rPr>
                    <w:t>非甲烷总烃</w:t>
                  </w:r>
                </w:p>
              </w:tc>
              <w:tc>
                <w:tcPr>
                  <w:tcW w:w="1066" w:type="pct"/>
                  <w:noWrap w:val="0"/>
                  <w:vAlign w:val="center"/>
                </w:tcPr>
                <w:p w14:paraId="4F1B91B3">
                  <w:pPr>
                    <w:jc w:val="center"/>
                    <w:rPr>
                      <w:rFonts w:hint="default" w:eastAsia="宋体"/>
                      <w:color w:val="auto"/>
                      <w:lang w:val="en-US" w:eastAsia="zh-CN"/>
                    </w:rPr>
                  </w:pPr>
                  <w:r>
                    <w:rPr>
                      <w:color w:val="auto"/>
                    </w:rPr>
                    <w:t>0.</w:t>
                  </w:r>
                  <w:r>
                    <w:rPr>
                      <w:rFonts w:hint="eastAsia"/>
                      <w:color w:val="auto"/>
                      <w:lang w:val="en-US" w:eastAsia="zh-CN"/>
                    </w:rPr>
                    <w:t>73</w:t>
                  </w:r>
                  <w:r>
                    <w:rPr>
                      <w:color w:val="auto"/>
                    </w:rPr>
                    <w:t>-</w:t>
                  </w:r>
                  <w:r>
                    <w:rPr>
                      <w:rFonts w:hint="eastAsia"/>
                      <w:color w:val="auto"/>
                      <w:lang w:val="en-US" w:eastAsia="zh-CN"/>
                    </w:rPr>
                    <w:t>1.32</w:t>
                  </w:r>
                </w:p>
              </w:tc>
              <w:tc>
                <w:tcPr>
                  <w:tcW w:w="1022" w:type="pct"/>
                  <w:noWrap w:val="0"/>
                  <w:vAlign w:val="center"/>
                </w:tcPr>
                <w:p w14:paraId="361021B3">
                  <w:pPr>
                    <w:jc w:val="center"/>
                    <w:rPr>
                      <w:rFonts w:hint="eastAsia"/>
                      <w:color w:val="auto"/>
                      <w:kern w:val="2"/>
                      <w:sz w:val="21"/>
                      <w:szCs w:val="24"/>
                      <w:lang w:val="en-US" w:eastAsia="zh-CN" w:bidi="ar-SA"/>
                    </w:rPr>
                  </w:pPr>
                  <w:r>
                    <w:rPr>
                      <w:rFonts w:hint="eastAsia"/>
                      <w:color w:val="auto"/>
                      <w:lang w:val="en-US" w:eastAsia="zh-CN"/>
                    </w:rPr>
                    <w:t>66</w:t>
                  </w:r>
                </w:p>
              </w:tc>
              <w:tc>
                <w:tcPr>
                  <w:tcW w:w="767" w:type="pct"/>
                  <w:noWrap w:val="0"/>
                  <w:vAlign w:val="center"/>
                </w:tcPr>
                <w:p w14:paraId="2675A281">
                  <w:pPr>
                    <w:jc w:val="center"/>
                    <w:rPr>
                      <w:rFonts w:hint="eastAsia"/>
                      <w:color w:val="auto"/>
                    </w:rPr>
                  </w:pPr>
                  <w:r>
                    <w:rPr>
                      <w:rFonts w:ascii="Times New Roman" w:hAnsi="Times New Roman" w:eastAsia="宋体" w:cs="Times New Roman"/>
                      <w:b w:val="0"/>
                      <w:bCs/>
                      <w:color w:val="000000"/>
                      <w:sz w:val="21"/>
                      <w:szCs w:val="21"/>
                      <w:highlight w:val="none"/>
                    </w:rPr>
                    <w:t>2.0</w:t>
                  </w:r>
                </w:p>
              </w:tc>
              <w:tc>
                <w:tcPr>
                  <w:tcW w:w="501" w:type="pct"/>
                  <w:noWrap w:val="0"/>
                  <w:vAlign w:val="center"/>
                </w:tcPr>
                <w:p w14:paraId="02026860">
                  <w:pPr>
                    <w:adjustRightInd w:val="0"/>
                    <w:snapToGrid w:val="0"/>
                    <w:jc w:val="center"/>
                    <w:rPr>
                      <w:color w:val="auto"/>
                    </w:rPr>
                  </w:pPr>
                  <w:r>
                    <w:rPr>
                      <w:color w:val="auto"/>
                    </w:rPr>
                    <w:t>达标</w:t>
                  </w:r>
                </w:p>
              </w:tc>
            </w:tr>
          </w:tbl>
          <w:p w14:paraId="4DB2A5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rPr>
            </w:pPr>
            <w:r>
              <w:rPr>
                <w:rFonts w:hint="eastAsia"/>
                <w:color w:val="auto"/>
                <w:sz w:val="24"/>
              </w:rPr>
              <w:t>由上表可知，根据监测数据，评价区大气监测点非甲烷总烃符合相应评价标准要求，项目周围大气环境质量较好。</w:t>
            </w:r>
          </w:p>
          <w:p w14:paraId="0DA3DB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lang w:val="en-US" w:eastAsia="zh-CN"/>
              </w:rPr>
            </w:pPr>
            <w:r>
              <w:rPr>
                <w:rFonts w:hint="eastAsia"/>
                <w:b/>
                <w:bCs/>
                <w:color w:val="auto"/>
                <w:sz w:val="24"/>
                <w:lang w:val="en-US" w:eastAsia="zh-CN"/>
              </w:rPr>
              <w:t>2、水环境质量现状</w:t>
            </w:r>
          </w:p>
          <w:p w14:paraId="61A345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根据《2024年度苏州市生态环境状况公报》</w:t>
            </w:r>
            <w:r>
              <w:rPr>
                <w:rFonts w:hint="eastAsia" w:ascii="Times New Roman" w:hAnsi="Times New Roman" w:eastAsia="宋体" w:cs="Times New Roman"/>
                <w:color w:val="000000"/>
                <w:sz w:val="24"/>
                <w:szCs w:val="24"/>
                <w:lang w:eastAsia="zh-CN"/>
              </w:rPr>
              <w:t>：</w:t>
            </w:r>
          </w:p>
          <w:p w14:paraId="1560E9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（一）饮用水水源地</w:t>
            </w:r>
          </w:p>
          <w:p w14:paraId="269550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江苏省2024年水生态环境保护工作计划》（苏污防攻坚指办〔2024〕35号），全市共13个县级及以上城市集中式饮用水水源地，均为集中式供水。2024年取水总量约为15.20亿吨，主要取水水源长江和太湖取水量分别约占取水总量的32.1%和54.3%。依据《地表水环境质量标准》</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GB 3838 2002</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评价，水质均达到或优于Ⅲ类标准，全部达到考核目标要求。</w:t>
            </w:r>
          </w:p>
          <w:p w14:paraId="5D450C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（二）国考断面</w:t>
            </w:r>
          </w:p>
          <w:p w14:paraId="44D6E2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2024年，纳入</w:t>
            </w:r>
            <w:r>
              <w:rPr>
                <w:rFonts w:hint="eastAsia" w:ascii="宋体" w:hAnsi="宋体" w:eastAsia="宋体" w:cs="宋体"/>
                <w:color w:val="000000"/>
                <w:sz w:val="24"/>
                <w:szCs w:val="24"/>
              </w:rPr>
              <w:t>“十四五”</w:t>
            </w:r>
            <w:r>
              <w:rPr>
                <w:rFonts w:hint="default" w:ascii="Times New Roman" w:hAnsi="Times New Roman" w:eastAsia="宋体" w:cs="Times New Roman"/>
                <w:color w:val="000000"/>
                <w:sz w:val="24"/>
                <w:szCs w:val="24"/>
              </w:rPr>
              <w:t>国家地表水环境质量考核的30个断面中，年均水质达到或好于《地表水环境质量标准》</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GB 3838-2002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Ⅲ类标准的断面比例为93.3%，同比持平；未达Ⅲ类的2个断面为</w:t>
            </w:r>
            <w:r>
              <w:rPr>
                <w:rFonts w:hint="default" w:ascii="Times New Roman" w:hAnsi="Times New Roman" w:eastAsia="宋体" w:cs="Times New Roman"/>
                <w:color w:val="000000"/>
                <w:sz w:val="24"/>
                <w:szCs w:val="24"/>
                <w:lang w:eastAsia="zh-CN"/>
              </w:rPr>
              <w:t>Ⅳ类</w:t>
            </w:r>
            <w:r>
              <w:rPr>
                <w:rFonts w:hint="default" w:ascii="Times New Roman" w:hAnsi="Times New Roman" w:eastAsia="宋体" w:cs="Times New Roman"/>
                <w:color w:val="000000"/>
                <w:sz w:val="24"/>
                <w:szCs w:val="24"/>
              </w:rPr>
              <w:t>（均为湖泊）。年均水质达到Ⅱ类标准的断面比例为63.3%，同比上升10.0个百分点，Ⅱ类水体比例全省第一。</w:t>
            </w:r>
          </w:p>
          <w:p w14:paraId="03B1B4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（三）省考断面</w:t>
            </w:r>
          </w:p>
          <w:p w14:paraId="146CAF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2024年，纳入江苏省</w:t>
            </w:r>
            <w:r>
              <w:rPr>
                <w:rFonts w:hint="eastAsia" w:ascii="宋体" w:hAnsi="宋体" w:eastAsia="宋体" w:cs="宋体"/>
                <w:color w:val="000000"/>
                <w:sz w:val="24"/>
                <w:szCs w:val="24"/>
              </w:rPr>
              <w:t>“十四五”</w:t>
            </w:r>
            <w:r>
              <w:rPr>
                <w:rFonts w:hint="default" w:ascii="Times New Roman" w:hAnsi="Times New Roman" w:eastAsia="宋体" w:cs="Times New Roman"/>
                <w:color w:val="000000"/>
                <w:sz w:val="24"/>
                <w:szCs w:val="24"/>
              </w:rPr>
              <w:t>水环境质量考核的80个地表水断面（含国考断面）中，年均水质达到或好于《地表水环境质量标准》</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GB 3838-2002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Ⅲ类标准的断面比例为97.5%，同比上升2.5个百分点；未达Ⅲ类的2个断面为</w:t>
            </w:r>
            <w:r>
              <w:rPr>
                <w:rFonts w:hint="default" w:ascii="Times New Roman" w:hAnsi="Times New Roman" w:eastAsia="宋体" w:cs="Times New Roman"/>
                <w:color w:val="000000"/>
                <w:sz w:val="24"/>
                <w:szCs w:val="24"/>
                <w:lang w:eastAsia="zh-CN"/>
              </w:rPr>
              <w:t>Ⅳ类</w:t>
            </w:r>
            <w:r>
              <w:rPr>
                <w:rFonts w:hint="default" w:ascii="Times New Roman" w:hAnsi="Times New Roman" w:eastAsia="宋体" w:cs="Times New Roman"/>
                <w:color w:val="000000"/>
                <w:sz w:val="24"/>
                <w:szCs w:val="24"/>
              </w:rPr>
              <w:t>（均为湖泊）</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年均水质达到Ⅱ类标准的断面比例为68.8%，同比上升2.5个百分点，Ⅱ类水体比例全省第二。</w:t>
            </w:r>
          </w:p>
          <w:p w14:paraId="3203A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四</w:t>
            </w:r>
            <w:r>
              <w:rPr>
                <w:rFonts w:hint="default" w:ascii="Times New Roman" w:hAnsi="Times New Roman" w:eastAsia="宋体" w:cs="Times New Roman"/>
                <w:color w:val="000000"/>
                <w:sz w:val="24"/>
                <w:szCs w:val="24"/>
              </w:rPr>
              <w:t>）太湖（苏州辖区）</w:t>
            </w:r>
          </w:p>
          <w:p w14:paraId="698175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年，太湖湖体（苏州辖区）总体水质处于Ⅲ类。湖体高锰酸盐指数和氨氮平均浓度分别为2.8毫克/升和0.06毫克/升，保持在Ⅱ类和Ⅰ类；总磷平均浓度为0.04</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毫克/升</w:t>
            </w:r>
            <w:r>
              <w:rPr>
                <w:rFonts w:hint="default" w:ascii="Times New Roman" w:hAnsi="Times New Roman" w:eastAsia="宋体" w:cs="Times New Roman"/>
                <w:color w:val="000000"/>
                <w:sz w:val="24"/>
                <w:szCs w:val="24"/>
                <w:lang w:eastAsia="zh-CN"/>
              </w:rPr>
              <w:t>，保持在</w:t>
            </w: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lang w:eastAsia="zh-CN"/>
              </w:rPr>
              <w:t>类；</w:t>
            </w:r>
            <w:r>
              <w:rPr>
                <w:rFonts w:hint="default" w:ascii="Times New Roman" w:hAnsi="Times New Roman" w:eastAsia="宋体" w:cs="Times New Roman"/>
                <w:color w:val="000000"/>
                <w:sz w:val="24"/>
                <w:szCs w:val="24"/>
              </w:rPr>
              <w:t>总氮平均浓度为1.22毫克／升；综合营养状态指数为50.4，处于轻度富营养状态。</w:t>
            </w:r>
          </w:p>
          <w:p w14:paraId="338056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主要入湖河流望虞河水质稳定达到Ⅱ类．</w:t>
            </w:r>
          </w:p>
          <w:p w14:paraId="50C7E1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rPr>
              <w:t>2024年3月至10月安全度夏期间，通过卫星遥感监测发现太湖（苏州辖区）共计出现蓝藻水华40次，同比增加7次，最大聚集面积112平方千米，平均面积21.8平方千米，与2023年相比，最大发生面积下降32.9%，平均发生面积下降42.6%</w:t>
            </w:r>
            <w:r>
              <w:rPr>
                <w:rFonts w:hint="eastAsia" w:cs="Times New Roman"/>
                <w:color w:val="000000"/>
                <w:sz w:val="24"/>
                <w:szCs w:val="24"/>
                <w:lang w:eastAsia="zh-CN"/>
              </w:rPr>
              <w:t>。</w:t>
            </w:r>
          </w:p>
          <w:p w14:paraId="451B0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cs="Times New Roman"/>
                <w:color w:val="000000"/>
                <w:sz w:val="24"/>
                <w:szCs w:val="24"/>
                <w:lang w:eastAsia="zh-CN"/>
              </w:rPr>
              <w:t>（</w:t>
            </w:r>
            <w:r>
              <w:rPr>
                <w:rFonts w:hint="eastAsia" w:cs="Times New Roman"/>
                <w:color w:val="000000"/>
                <w:sz w:val="24"/>
                <w:szCs w:val="24"/>
                <w:lang w:val="en-US" w:eastAsia="zh-CN"/>
              </w:rPr>
              <w:t>五</w:t>
            </w:r>
            <w:r>
              <w:rPr>
                <w:rFonts w:hint="eastAsia" w:cs="Times New Roman"/>
                <w:color w:val="000000"/>
                <w:sz w:val="24"/>
                <w:szCs w:val="24"/>
                <w:lang w:eastAsia="zh-CN"/>
              </w:rPr>
              <w:t>）</w:t>
            </w:r>
            <w:r>
              <w:rPr>
                <w:rFonts w:hint="eastAsia" w:cs="Times New Roman"/>
                <w:color w:val="000000"/>
                <w:sz w:val="24"/>
                <w:szCs w:val="24"/>
                <w:lang w:val="en-US" w:eastAsia="zh-CN"/>
              </w:rPr>
              <w:t>京杭大运河（苏州段）</w:t>
            </w:r>
          </w:p>
          <w:p w14:paraId="1A563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2024年，京杭大运河</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lang w:eastAsia="zh-CN"/>
              </w:rPr>
              <w:t>苏州段</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lang w:eastAsia="zh-CN"/>
              </w:rPr>
              <w:t>水质稳定在优级水平。沿线5个省考及以上监测断面水质均达到Ⅲ类，同比持平。</w:t>
            </w:r>
          </w:p>
          <w:p w14:paraId="30A0C56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eastAsia="宋体"/>
                <w:b/>
                <w:bCs/>
                <w:color w:val="auto"/>
                <w:sz w:val="24"/>
                <w:lang w:val="en-US" w:eastAsia="zh-CN"/>
              </w:rPr>
            </w:pPr>
            <w:r>
              <w:rPr>
                <w:rFonts w:hint="eastAsia"/>
                <w:b/>
                <w:bCs/>
                <w:color w:val="auto"/>
                <w:sz w:val="24"/>
                <w:lang w:val="en-US" w:eastAsia="zh-CN"/>
              </w:rPr>
              <w:t>3、</w:t>
            </w:r>
            <w:r>
              <w:rPr>
                <w:b/>
                <w:bCs/>
                <w:color w:val="auto"/>
                <w:sz w:val="24"/>
              </w:rPr>
              <w:t>声环境质量</w:t>
            </w:r>
            <w:r>
              <w:rPr>
                <w:rFonts w:hint="eastAsia"/>
                <w:b/>
                <w:bCs/>
                <w:color w:val="auto"/>
                <w:sz w:val="24"/>
                <w:lang w:val="en-US" w:eastAsia="zh-CN"/>
              </w:rPr>
              <w:t>现状</w:t>
            </w:r>
          </w:p>
          <w:p w14:paraId="334856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为了解项目所在地声环境质量状况，</w:t>
            </w:r>
            <w:r>
              <w:rPr>
                <w:rFonts w:hint="eastAsia" w:ascii="Times New Roman" w:hAnsi="Times New Roman" w:eastAsia="宋体" w:cs="Times New Roman"/>
                <w:color w:val="000000"/>
                <w:sz w:val="24"/>
                <w:szCs w:val="24"/>
                <w:highlight w:val="none"/>
                <w:lang w:val="en-US" w:eastAsia="zh-CN"/>
              </w:rPr>
              <w:t>委托苏州市科旺检测技术有限公司</w:t>
            </w:r>
            <w:r>
              <w:rPr>
                <w:rFonts w:hint="default" w:ascii="Times New Roman" w:hAnsi="Times New Roman" w:eastAsia="宋体" w:cs="Times New Roman"/>
                <w:color w:val="000000"/>
                <w:sz w:val="24"/>
                <w:szCs w:val="24"/>
                <w:highlight w:val="none"/>
                <w:lang w:eastAsia="zh-CN"/>
              </w:rPr>
              <w:t>于20</w:t>
            </w:r>
            <w:r>
              <w:rPr>
                <w:rFonts w:hint="eastAsia" w:ascii="Times New Roman" w:hAnsi="Times New Roman" w:eastAsia="宋体" w:cs="Times New Roman"/>
                <w:color w:val="000000"/>
                <w:sz w:val="24"/>
                <w:szCs w:val="24"/>
                <w:highlight w:val="none"/>
                <w:lang w:eastAsia="zh-CN"/>
              </w:rPr>
              <w:t>2</w:t>
            </w:r>
            <w:r>
              <w:rPr>
                <w:rFonts w:hint="eastAsia" w:ascii="Times New Roman" w:hAnsi="Times New Roman" w:eastAsia="宋体" w:cs="Times New Roman"/>
                <w:color w:val="000000"/>
                <w:sz w:val="24"/>
                <w:szCs w:val="24"/>
                <w:highlight w:val="none"/>
                <w:lang w:val="en-US" w:eastAsia="zh-CN"/>
              </w:rPr>
              <w:t>5</w:t>
            </w:r>
            <w:r>
              <w:rPr>
                <w:rFonts w:hint="eastAsia" w:ascii="Times New Roman" w:hAnsi="Times New Roman" w:eastAsia="宋体" w:cs="Times New Roman"/>
                <w:color w:val="000000"/>
                <w:sz w:val="24"/>
                <w:szCs w:val="24"/>
                <w:highlight w:val="none"/>
                <w:lang w:eastAsia="zh-CN"/>
              </w:rPr>
              <w:t>年</w:t>
            </w:r>
            <w:r>
              <w:rPr>
                <w:rFonts w:hint="eastAsia" w:ascii="Times New Roman" w:hAnsi="Times New Roman" w:eastAsia="宋体" w:cs="Times New Roman"/>
                <w:color w:val="000000"/>
                <w:sz w:val="24"/>
                <w:szCs w:val="24"/>
                <w:highlight w:val="none"/>
                <w:lang w:val="en-US" w:eastAsia="zh-CN"/>
              </w:rPr>
              <w:t>6</w:t>
            </w:r>
            <w:r>
              <w:rPr>
                <w:rFonts w:hint="default" w:ascii="Times New Roman" w:hAnsi="Times New Roman" w:eastAsia="宋体" w:cs="Times New Roman"/>
                <w:color w:val="000000"/>
                <w:sz w:val="24"/>
                <w:szCs w:val="24"/>
                <w:highlight w:val="none"/>
                <w:lang w:eastAsia="zh-CN"/>
              </w:rPr>
              <w:t>月</w:t>
            </w:r>
            <w:r>
              <w:rPr>
                <w:rFonts w:hint="eastAsia" w:ascii="Times New Roman" w:hAnsi="Times New Roman" w:eastAsia="宋体" w:cs="Times New Roman"/>
                <w:color w:val="000000"/>
                <w:sz w:val="24"/>
                <w:szCs w:val="24"/>
                <w:highlight w:val="none"/>
                <w:lang w:val="en-US" w:eastAsia="zh-CN"/>
              </w:rPr>
              <w:t>13</w:t>
            </w:r>
            <w:r>
              <w:rPr>
                <w:rFonts w:hint="default" w:ascii="Times New Roman" w:hAnsi="Times New Roman" w:eastAsia="宋体" w:cs="Times New Roman"/>
                <w:color w:val="000000"/>
                <w:sz w:val="24"/>
                <w:szCs w:val="24"/>
                <w:highlight w:val="none"/>
                <w:lang w:eastAsia="zh-CN"/>
              </w:rPr>
              <w:t>日</w:t>
            </w:r>
            <w:r>
              <w:rPr>
                <w:rFonts w:hint="eastAsia" w:ascii="Times New Roman" w:hAnsi="Times New Roman" w:eastAsia="宋体" w:cs="Times New Roman"/>
                <w:color w:val="000000"/>
                <w:sz w:val="24"/>
                <w:szCs w:val="24"/>
                <w:highlight w:val="none"/>
                <w:lang w:val="en-US" w:eastAsia="zh-CN"/>
              </w:rPr>
              <w:t>至6月14日</w:t>
            </w:r>
            <w:r>
              <w:rPr>
                <w:rFonts w:hint="default" w:ascii="Times New Roman" w:hAnsi="Times New Roman" w:eastAsia="宋体" w:cs="Times New Roman"/>
                <w:color w:val="000000"/>
                <w:sz w:val="24"/>
                <w:szCs w:val="24"/>
                <w:highlight w:val="none"/>
                <w:lang w:eastAsia="zh-CN"/>
              </w:rPr>
              <w:t>在项目所在地进行监测</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监测结果见表3-</w:t>
            </w:r>
            <w:r>
              <w:rPr>
                <w:rFonts w:hint="eastAsia" w:ascii="Times New Roman" w:hAnsi="Times New Roman" w:eastAsia="宋体" w:cs="Times New Roman"/>
                <w:color w:val="000000"/>
                <w:sz w:val="24"/>
                <w:szCs w:val="24"/>
                <w:highlight w:val="none"/>
                <w:lang w:eastAsia="zh-CN"/>
              </w:rPr>
              <w:t>3</w:t>
            </w:r>
            <w:r>
              <w:rPr>
                <w:rFonts w:hint="default" w:ascii="Times New Roman" w:hAnsi="Times New Roman" w:eastAsia="宋体" w:cs="Times New Roman"/>
                <w:color w:val="000000"/>
                <w:sz w:val="24"/>
                <w:szCs w:val="24"/>
                <w:highlight w:val="none"/>
                <w:lang w:eastAsia="zh-CN"/>
              </w:rPr>
              <w:t>。</w:t>
            </w:r>
          </w:p>
          <w:p w14:paraId="12CC7993">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color w:val="000000"/>
                <w:szCs w:val="21"/>
                <w:highlight w:val="none"/>
                <w:lang w:eastAsia="zh-CN"/>
              </w:rPr>
            </w:pPr>
            <w:r>
              <w:rPr>
                <w:rFonts w:ascii="Times New Roman" w:hAnsi="Times New Roman" w:eastAsia="宋体" w:cs="Times New Roman"/>
                <w:b/>
                <w:color w:val="000000"/>
                <w:szCs w:val="21"/>
                <w:highlight w:val="none"/>
              </w:rPr>
              <w:t>表3-</w:t>
            </w:r>
            <w:r>
              <w:rPr>
                <w:rFonts w:hint="eastAsia" w:ascii="Times New Roman" w:hAnsi="Times New Roman" w:eastAsia="宋体" w:cs="Times New Roman"/>
                <w:b/>
                <w:color w:val="000000"/>
                <w:szCs w:val="21"/>
                <w:highlight w:val="none"/>
              </w:rPr>
              <w:t>3</w:t>
            </w:r>
            <w:r>
              <w:rPr>
                <w:rFonts w:ascii="Times New Roman" w:hAnsi="Times New Roman" w:eastAsia="宋体" w:cs="Times New Roman"/>
                <w:b/>
                <w:color w:val="000000"/>
                <w:szCs w:val="21"/>
                <w:highlight w:val="none"/>
              </w:rPr>
              <w:t xml:space="preserve"> 声环境质量现状结果</w:t>
            </w:r>
            <w:r>
              <w:rPr>
                <w:rFonts w:hint="eastAsia" w:cs="Times New Roman"/>
                <w:b/>
                <w:color w:val="000000"/>
                <w:szCs w:val="21"/>
                <w:highlight w:val="none"/>
                <w:lang w:eastAsia="zh-CN"/>
              </w:rPr>
              <w:t>（</w:t>
            </w:r>
            <w:r>
              <w:rPr>
                <w:rFonts w:hint="eastAsia" w:cs="Times New Roman"/>
                <w:b/>
                <w:color w:val="000000"/>
                <w:szCs w:val="21"/>
                <w:highlight w:val="none"/>
                <w:lang w:val="en-US" w:eastAsia="zh-CN"/>
              </w:rPr>
              <w:t>单位：dB（A）</w:t>
            </w:r>
            <w:r>
              <w:rPr>
                <w:rFonts w:hint="eastAsia" w:cs="Times New Roman"/>
                <w:b/>
                <w:color w:val="000000"/>
                <w:szCs w:val="21"/>
                <w:highlight w:val="none"/>
                <w:lang w:eastAsia="zh-CN"/>
              </w:rPr>
              <w:t>）</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76"/>
              <w:gridCol w:w="974"/>
              <w:gridCol w:w="623"/>
              <w:gridCol w:w="860"/>
              <w:gridCol w:w="1032"/>
              <w:gridCol w:w="651"/>
              <w:gridCol w:w="904"/>
              <w:gridCol w:w="1083"/>
              <w:gridCol w:w="664"/>
            </w:tblGrid>
            <w:tr w14:paraId="7AB18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93" w:type="pct"/>
                  <w:vMerge w:val="restart"/>
                  <w:noWrap w:val="0"/>
                  <w:vAlign w:val="center"/>
                </w:tcPr>
                <w:p w14:paraId="275169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lang w:val="en-US" w:eastAsia="zh-CN"/>
                    </w:rPr>
                    <w:t>监</w:t>
                  </w:r>
                  <w:r>
                    <w:rPr>
                      <w:rFonts w:hint="default" w:ascii="Times New Roman" w:hAnsi="Times New Roman" w:eastAsia="宋体" w:cs="Times New Roman"/>
                      <w:b/>
                      <w:bCs/>
                      <w:color w:val="000000"/>
                      <w:szCs w:val="21"/>
                      <w:highlight w:val="none"/>
                    </w:rPr>
                    <w:t>测点</w:t>
                  </w:r>
                </w:p>
              </w:tc>
              <w:tc>
                <w:tcPr>
                  <w:tcW w:w="588" w:type="pct"/>
                  <w:vMerge w:val="restart"/>
                  <w:noWrap w:val="0"/>
                  <w:vAlign w:val="center"/>
                </w:tcPr>
                <w:p w14:paraId="6546E5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监测时间</w:t>
                  </w:r>
                </w:p>
              </w:tc>
              <w:tc>
                <w:tcPr>
                  <w:tcW w:w="377" w:type="pct"/>
                  <w:vMerge w:val="restart"/>
                  <w:noWrap w:val="0"/>
                  <w:vAlign w:val="center"/>
                </w:tcPr>
                <w:p w14:paraId="14525F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标准级别</w:t>
                  </w:r>
                </w:p>
              </w:tc>
              <w:tc>
                <w:tcPr>
                  <w:tcW w:w="1144" w:type="pct"/>
                  <w:gridSpan w:val="2"/>
                  <w:noWrap w:val="0"/>
                  <w:vAlign w:val="center"/>
                </w:tcPr>
                <w:p w14:paraId="288DB6F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昼间</w:t>
                  </w:r>
                </w:p>
              </w:tc>
              <w:tc>
                <w:tcPr>
                  <w:tcW w:w="394" w:type="pct"/>
                  <w:vMerge w:val="restart"/>
                  <w:noWrap w:val="0"/>
                  <w:vAlign w:val="center"/>
                </w:tcPr>
                <w:p w14:paraId="4DAC2C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达标情况</w:t>
                  </w:r>
                </w:p>
              </w:tc>
              <w:tc>
                <w:tcPr>
                  <w:tcW w:w="1202" w:type="pct"/>
                  <w:gridSpan w:val="2"/>
                  <w:noWrap w:val="0"/>
                  <w:vAlign w:val="center"/>
                </w:tcPr>
                <w:p w14:paraId="277FF4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夜间</w:t>
                  </w:r>
                </w:p>
              </w:tc>
              <w:tc>
                <w:tcPr>
                  <w:tcW w:w="399" w:type="pct"/>
                  <w:vMerge w:val="restart"/>
                  <w:noWrap w:val="0"/>
                  <w:vAlign w:val="center"/>
                </w:tcPr>
                <w:p w14:paraId="478D6F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达标情况</w:t>
                  </w:r>
                </w:p>
              </w:tc>
            </w:tr>
            <w:tr w14:paraId="149EC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93" w:type="pct"/>
                  <w:vMerge w:val="continue"/>
                  <w:noWrap w:val="0"/>
                  <w:vAlign w:val="center"/>
                </w:tcPr>
                <w:p w14:paraId="42187E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highlight w:val="none"/>
                    </w:rPr>
                  </w:pPr>
                  <w:bookmarkStart w:id="2" w:name="OLE_LINK168" w:colFirst="3" w:colLast="4"/>
                </w:p>
              </w:tc>
              <w:tc>
                <w:tcPr>
                  <w:tcW w:w="588" w:type="pct"/>
                  <w:vMerge w:val="continue"/>
                  <w:noWrap w:val="0"/>
                  <w:vAlign w:val="center"/>
                </w:tcPr>
                <w:p w14:paraId="71DD3BA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highlight w:val="none"/>
                    </w:rPr>
                  </w:pPr>
                </w:p>
              </w:tc>
              <w:tc>
                <w:tcPr>
                  <w:tcW w:w="377" w:type="pct"/>
                  <w:vMerge w:val="continue"/>
                  <w:noWrap w:val="0"/>
                  <w:vAlign w:val="center"/>
                </w:tcPr>
                <w:p w14:paraId="57E5F88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highlight w:val="none"/>
                    </w:rPr>
                  </w:pPr>
                </w:p>
              </w:tc>
              <w:tc>
                <w:tcPr>
                  <w:tcW w:w="520" w:type="pct"/>
                  <w:noWrap w:val="0"/>
                  <w:vAlign w:val="center"/>
                </w:tcPr>
                <w:p w14:paraId="490CA4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监测值</w:t>
                  </w:r>
                </w:p>
              </w:tc>
              <w:tc>
                <w:tcPr>
                  <w:tcW w:w="623" w:type="pct"/>
                  <w:noWrap w:val="0"/>
                  <w:vAlign w:val="center"/>
                </w:tcPr>
                <w:p w14:paraId="285AE4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default" w:ascii="Times New Roman" w:hAnsi="Times New Roman" w:eastAsia="宋体" w:cs="Times New Roman"/>
                      <w:b/>
                      <w:bCs/>
                      <w:color w:val="000000"/>
                      <w:szCs w:val="21"/>
                      <w:highlight w:val="none"/>
                      <w:lang w:val="en-US" w:eastAsia="zh-CN"/>
                    </w:rPr>
                    <w:t>标准限值</w:t>
                  </w:r>
                </w:p>
              </w:tc>
              <w:tc>
                <w:tcPr>
                  <w:tcW w:w="394" w:type="pct"/>
                  <w:vMerge w:val="continue"/>
                  <w:noWrap w:val="0"/>
                  <w:vAlign w:val="center"/>
                </w:tcPr>
                <w:p w14:paraId="0C54DB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rPr>
                  </w:pPr>
                </w:p>
              </w:tc>
              <w:tc>
                <w:tcPr>
                  <w:tcW w:w="547" w:type="pct"/>
                  <w:noWrap w:val="0"/>
                  <w:vAlign w:val="center"/>
                </w:tcPr>
                <w:p w14:paraId="16A905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szCs w:val="21"/>
                      <w:highlight w:val="none"/>
                      <w:lang w:val="en-US" w:eastAsia="zh-CN"/>
                    </w:rPr>
                    <w:t>监测值</w:t>
                  </w:r>
                </w:p>
              </w:tc>
              <w:tc>
                <w:tcPr>
                  <w:tcW w:w="655" w:type="pct"/>
                  <w:noWrap w:val="0"/>
                  <w:vAlign w:val="center"/>
                </w:tcPr>
                <w:p w14:paraId="687747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szCs w:val="21"/>
                      <w:highlight w:val="none"/>
                      <w:lang w:val="en-US" w:eastAsia="zh-CN"/>
                    </w:rPr>
                    <w:t>标准限值</w:t>
                  </w:r>
                </w:p>
              </w:tc>
              <w:tc>
                <w:tcPr>
                  <w:tcW w:w="399" w:type="pct"/>
                  <w:vMerge w:val="continue"/>
                  <w:noWrap w:val="0"/>
                  <w:vAlign w:val="center"/>
                </w:tcPr>
                <w:p w14:paraId="0323A2D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rPr>
                  </w:pPr>
                </w:p>
              </w:tc>
            </w:tr>
            <w:bookmarkEnd w:id="2"/>
            <w:tr w14:paraId="1FE76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893" w:type="pct"/>
                  <w:noWrap w:val="0"/>
                  <w:vAlign w:val="center"/>
                </w:tcPr>
                <w:p w14:paraId="54F1DB9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东</w:t>
                  </w:r>
                  <w:bookmarkStart w:id="3" w:name="OLE_LINK167"/>
                  <w:r>
                    <w:rPr>
                      <w:rFonts w:hint="default" w:ascii="Times New Roman" w:hAnsi="Times New Roman" w:eastAsia="宋体" w:cs="Times New Roman"/>
                      <w:color w:val="000000"/>
                      <w:szCs w:val="21"/>
                      <w:highlight w:val="none"/>
                      <w:lang w:val="en-US" w:eastAsia="zh-CN"/>
                    </w:rPr>
                    <w:t>厂界外1米（N1）</w:t>
                  </w:r>
                  <w:bookmarkEnd w:id="3"/>
                </w:p>
              </w:tc>
              <w:tc>
                <w:tcPr>
                  <w:tcW w:w="588" w:type="pct"/>
                  <w:vMerge w:val="restart"/>
                  <w:noWrap w:val="0"/>
                  <w:vAlign w:val="center"/>
                </w:tcPr>
                <w:p w14:paraId="575D63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2025.</w:t>
                  </w:r>
                  <w:r>
                    <w:rPr>
                      <w:rFonts w:hint="eastAsia" w:cs="Times New Roman"/>
                      <w:color w:val="000000"/>
                      <w:szCs w:val="21"/>
                      <w:highlight w:val="none"/>
                      <w:lang w:val="en-US" w:eastAsia="zh-CN"/>
                    </w:rPr>
                    <w:t>9.15</w:t>
                  </w:r>
                </w:p>
              </w:tc>
              <w:tc>
                <w:tcPr>
                  <w:tcW w:w="377" w:type="pct"/>
                  <w:noWrap w:val="0"/>
                  <w:vAlign w:val="center"/>
                </w:tcPr>
                <w:p w14:paraId="0CE65B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bookmarkStart w:id="4" w:name="OLE_LINK169"/>
                  <w:r>
                    <w:rPr>
                      <w:rFonts w:hint="default" w:ascii="Times New Roman" w:hAnsi="Times New Roman" w:eastAsia="宋体" w:cs="Times New Roman"/>
                      <w:color w:val="000000"/>
                      <w:szCs w:val="21"/>
                      <w:highlight w:val="none"/>
                      <w:lang w:val="en-US" w:eastAsia="zh-CN"/>
                    </w:rPr>
                    <w:t>2类</w:t>
                  </w:r>
                  <w:bookmarkEnd w:id="4"/>
                </w:p>
              </w:tc>
              <w:tc>
                <w:tcPr>
                  <w:tcW w:w="520" w:type="pct"/>
                  <w:noWrap w:val="0"/>
                  <w:vAlign w:val="center"/>
                </w:tcPr>
                <w:p w14:paraId="7267CF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57.5</w:t>
                  </w:r>
                </w:p>
              </w:tc>
              <w:tc>
                <w:tcPr>
                  <w:tcW w:w="623" w:type="pct"/>
                  <w:noWrap w:val="0"/>
                  <w:vAlign w:val="center"/>
                </w:tcPr>
                <w:p w14:paraId="7A6C7E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60</w:t>
                  </w:r>
                </w:p>
              </w:tc>
              <w:tc>
                <w:tcPr>
                  <w:tcW w:w="394" w:type="pct"/>
                  <w:noWrap w:val="0"/>
                  <w:vAlign w:val="center"/>
                </w:tcPr>
                <w:p w14:paraId="3725C7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达标</w:t>
                  </w:r>
                </w:p>
              </w:tc>
              <w:tc>
                <w:tcPr>
                  <w:tcW w:w="547" w:type="pct"/>
                  <w:noWrap w:val="0"/>
                  <w:vAlign w:val="center"/>
                </w:tcPr>
                <w:p w14:paraId="4FE257E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47.4</w:t>
                  </w:r>
                </w:p>
              </w:tc>
              <w:tc>
                <w:tcPr>
                  <w:tcW w:w="655" w:type="pct"/>
                  <w:noWrap w:val="0"/>
                  <w:vAlign w:val="center"/>
                </w:tcPr>
                <w:p w14:paraId="50DFE1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50</w:t>
                  </w:r>
                </w:p>
              </w:tc>
              <w:tc>
                <w:tcPr>
                  <w:tcW w:w="399" w:type="pct"/>
                  <w:noWrap w:val="0"/>
                  <w:vAlign w:val="center"/>
                </w:tcPr>
                <w:p w14:paraId="5EF94C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r>
            <w:tr w14:paraId="508D8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93" w:type="pct"/>
                  <w:noWrap w:val="0"/>
                  <w:vAlign w:val="center"/>
                </w:tcPr>
                <w:p w14:paraId="219884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南厂界外1米（N2）</w:t>
                  </w:r>
                </w:p>
              </w:tc>
              <w:tc>
                <w:tcPr>
                  <w:tcW w:w="588" w:type="pct"/>
                  <w:vMerge w:val="continue"/>
                  <w:noWrap w:val="0"/>
                  <w:vAlign w:val="center"/>
                </w:tcPr>
                <w:p w14:paraId="4A7297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p>
              </w:tc>
              <w:tc>
                <w:tcPr>
                  <w:tcW w:w="377" w:type="pct"/>
                  <w:noWrap w:val="0"/>
                  <w:vAlign w:val="center"/>
                </w:tcPr>
                <w:p w14:paraId="11DE25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2类</w:t>
                  </w:r>
                </w:p>
              </w:tc>
              <w:tc>
                <w:tcPr>
                  <w:tcW w:w="520" w:type="pct"/>
                  <w:noWrap w:val="0"/>
                  <w:vAlign w:val="center"/>
                </w:tcPr>
                <w:p w14:paraId="62AE68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58.7</w:t>
                  </w:r>
                </w:p>
              </w:tc>
              <w:tc>
                <w:tcPr>
                  <w:tcW w:w="623" w:type="pct"/>
                  <w:noWrap w:val="0"/>
                  <w:vAlign w:val="center"/>
                </w:tcPr>
                <w:p w14:paraId="6790E4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60</w:t>
                  </w:r>
                </w:p>
              </w:tc>
              <w:tc>
                <w:tcPr>
                  <w:tcW w:w="394" w:type="pct"/>
                  <w:noWrap w:val="0"/>
                  <w:vAlign w:val="center"/>
                </w:tcPr>
                <w:p w14:paraId="1FE0C55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c>
                <w:tcPr>
                  <w:tcW w:w="547" w:type="pct"/>
                  <w:noWrap w:val="0"/>
                  <w:vAlign w:val="center"/>
                </w:tcPr>
                <w:p w14:paraId="0285D9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48.4</w:t>
                  </w:r>
                </w:p>
              </w:tc>
              <w:tc>
                <w:tcPr>
                  <w:tcW w:w="655" w:type="pct"/>
                  <w:noWrap w:val="0"/>
                  <w:vAlign w:val="center"/>
                </w:tcPr>
                <w:p w14:paraId="060ACE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50</w:t>
                  </w:r>
                </w:p>
              </w:tc>
              <w:tc>
                <w:tcPr>
                  <w:tcW w:w="399" w:type="pct"/>
                  <w:noWrap w:val="0"/>
                  <w:vAlign w:val="center"/>
                </w:tcPr>
                <w:p w14:paraId="5CF621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r>
            <w:tr w14:paraId="57E65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93" w:type="pct"/>
                  <w:noWrap w:val="0"/>
                  <w:vAlign w:val="center"/>
                </w:tcPr>
                <w:p w14:paraId="604987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西厂界外1米（N3）</w:t>
                  </w:r>
                </w:p>
              </w:tc>
              <w:tc>
                <w:tcPr>
                  <w:tcW w:w="588" w:type="pct"/>
                  <w:vMerge w:val="continue"/>
                  <w:noWrap w:val="0"/>
                  <w:vAlign w:val="center"/>
                </w:tcPr>
                <w:p w14:paraId="5D8C0EC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p>
              </w:tc>
              <w:tc>
                <w:tcPr>
                  <w:tcW w:w="377" w:type="pct"/>
                  <w:noWrap w:val="0"/>
                  <w:vAlign w:val="center"/>
                </w:tcPr>
                <w:p w14:paraId="5197960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2类</w:t>
                  </w:r>
                </w:p>
              </w:tc>
              <w:tc>
                <w:tcPr>
                  <w:tcW w:w="520" w:type="pct"/>
                  <w:noWrap w:val="0"/>
                  <w:vAlign w:val="center"/>
                </w:tcPr>
                <w:p w14:paraId="57A35F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56.8</w:t>
                  </w:r>
                </w:p>
              </w:tc>
              <w:tc>
                <w:tcPr>
                  <w:tcW w:w="623" w:type="pct"/>
                  <w:noWrap w:val="0"/>
                  <w:vAlign w:val="center"/>
                </w:tcPr>
                <w:p w14:paraId="400C77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60</w:t>
                  </w:r>
                </w:p>
              </w:tc>
              <w:tc>
                <w:tcPr>
                  <w:tcW w:w="394" w:type="pct"/>
                  <w:noWrap w:val="0"/>
                  <w:vAlign w:val="center"/>
                </w:tcPr>
                <w:p w14:paraId="407309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c>
                <w:tcPr>
                  <w:tcW w:w="547" w:type="pct"/>
                  <w:noWrap w:val="0"/>
                  <w:vAlign w:val="center"/>
                </w:tcPr>
                <w:p w14:paraId="7E5C3C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45.7</w:t>
                  </w:r>
                </w:p>
              </w:tc>
              <w:tc>
                <w:tcPr>
                  <w:tcW w:w="655" w:type="pct"/>
                  <w:noWrap w:val="0"/>
                  <w:vAlign w:val="center"/>
                </w:tcPr>
                <w:p w14:paraId="294A7A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50</w:t>
                  </w:r>
                </w:p>
              </w:tc>
              <w:tc>
                <w:tcPr>
                  <w:tcW w:w="399" w:type="pct"/>
                  <w:noWrap w:val="0"/>
                  <w:vAlign w:val="center"/>
                </w:tcPr>
                <w:p w14:paraId="3EECC6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r>
            <w:tr w14:paraId="0481D0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93" w:type="pct"/>
                  <w:noWrap w:val="0"/>
                  <w:vAlign w:val="center"/>
                </w:tcPr>
                <w:p w14:paraId="1AFAF2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北厂界外1米（N4）</w:t>
                  </w:r>
                </w:p>
              </w:tc>
              <w:tc>
                <w:tcPr>
                  <w:tcW w:w="588" w:type="pct"/>
                  <w:vMerge w:val="continue"/>
                  <w:noWrap w:val="0"/>
                  <w:vAlign w:val="center"/>
                </w:tcPr>
                <w:p w14:paraId="31AC51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p>
              </w:tc>
              <w:tc>
                <w:tcPr>
                  <w:tcW w:w="377" w:type="pct"/>
                  <w:noWrap w:val="0"/>
                  <w:vAlign w:val="center"/>
                </w:tcPr>
                <w:p w14:paraId="5A3B84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2类</w:t>
                  </w:r>
                </w:p>
              </w:tc>
              <w:tc>
                <w:tcPr>
                  <w:tcW w:w="520" w:type="pct"/>
                  <w:noWrap w:val="0"/>
                  <w:vAlign w:val="center"/>
                </w:tcPr>
                <w:p w14:paraId="42495D8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57.6</w:t>
                  </w:r>
                </w:p>
              </w:tc>
              <w:tc>
                <w:tcPr>
                  <w:tcW w:w="623" w:type="pct"/>
                  <w:noWrap w:val="0"/>
                  <w:vAlign w:val="center"/>
                </w:tcPr>
                <w:p w14:paraId="1CBE9A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60</w:t>
                  </w:r>
                </w:p>
              </w:tc>
              <w:tc>
                <w:tcPr>
                  <w:tcW w:w="394" w:type="pct"/>
                  <w:noWrap w:val="0"/>
                  <w:vAlign w:val="center"/>
                </w:tcPr>
                <w:p w14:paraId="1848BEA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c>
                <w:tcPr>
                  <w:tcW w:w="547" w:type="pct"/>
                  <w:noWrap w:val="0"/>
                  <w:vAlign w:val="center"/>
                </w:tcPr>
                <w:p w14:paraId="1E5277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47.3</w:t>
                  </w:r>
                </w:p>
              </w:tc>
              <w:tc>
                <w:tcPr>
                  <w:tcW w:w="655" w:type="pct"/>
                  <w:noWrap w:val="0"/>
                  <w:vAlign w:val="center"/>
                </w:tcPr>
                <w:p w14:paraId="1E005E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50</w:t>
                  </w:r>
                </w:p>
              </w:tc>
              <w:tc>
                <w:tcPr>
                  <w:tcW w:w="399" w:type="pct"/>
                  <w:noWrap w:val="0"/>
                  <w:vAlign w:val="center"/>
                </w:tcPr>
                <w:p w14:paraId="50B901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lang w:val="en-US" w:eastAsia="zh-CN"/>
                    </w:rPr>
                    <w:t>达标</w:t>
                  </w:r>
                </w:p>
              </w:tc>
            </w:tr>
            <w:tr w14:paraId="19838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482" w:type="pct"/>
                  <w:gridSpan w:val="2"/>
                  <w:noWrap w:val="0"/>
                  <w:vAlign w:val="center"/>
                </w:tcPr>
                <w:p w14:paraId="514410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气象条件</w:t>
                  </w:r>
                </w:p>
              </w:tc>
              <w:tc>
                <w:tcPr>
                  <w:tcW w:w="3517" w:type="pct"/>
                  <w:gridSpan w:val="7"/>
                  <w:noWrap w:val="0"/>
                  <w:vAlign w:val="center"/>
                </w:tcPr>
                <w:p w14:paraId="2FF074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Cs w:val="21"/>
                      <w:highlight w:val="none"/>
                      <w:lang w:val="en-US" w:eastAsia="zh-CN"/>
                    </w:rPr>
                    <w:t>昼间：晴；风速2.</w:t>
                  </w:r>
                  <w:r>
                    <w:rPr>
                      <w:rFonts w:hint="eastAsia" w:cs="Times New Roman"/>
                      <w:color w:val="000000"/>
                      <w:szCs w:val="21"/>
                      <w:highlight w:val="none"/>
                      <w:lang w:val="en-US" w:eastAsia="zh-CN"/>
                    </w:rPr>
                    <w:t>1</w:t>
                  </w:r>
                  <w:r>
                    <w:rPr>
                      <w:rFonts w:hint="default" w:ascii="Times New Roman" w:hAnsi="Times New Roman" w:eastAsia="宋体" w:cs="Times New Roman"/>
                      <w:color w:val="000000"/>
                      <w:szCs w:val="21"/>
                      <w:highlight w:val="none"/>
                      <w:lang w:val="en-US" w:eastAsia="zh-CN"/>
                    </w:rPr>
                    <w:t>m/s</w:t>
                  </w:r>
                </w:p>
                <w:p w14:paraId="044818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szCs w:val="21"/>
                      <w:highlight w:val="none"/>
                      <w:lang w:val="en-US" w:eastAsia="zh-CN"/>
                    </w:rPr>
                    <w:t>夜间：晴；风速2.</w:t>
                  </w:r>
                  <w:r>
                    <w:rPr>
                      <w:rFonts w:hint="eastAsia" w:cs="Times New Roman"/>
                      <w:color w:val="000000"/>
                      <w:szCs w:val="21"/>
                      <w:highlight w:val="none"/>
                      <w:lang w:val="en-US" w:eastAsia="zh-CN"/>
                    </w:rPr>
                    <w:t>2</w:t>
                  </w:r>
                  <w:r>
                    <w:rPr>
                      <w:rFonts w:hint="default" w:ascii="Times New Roman" w:hAnsi="Times New Roman" w:eastAsia="宋体" w:cs="Times New Roman"/>
                      <w:color w:val="000000"/>
                      <w:szCs w:val="21"/>
                      <w:highlight w:val="none"/>
                      <w:lang w:val="en-US" w:eastAsia="zh-CN"/>
                    </w:rPr>
                    <w:t>m/s</w:t>
                  </w:r>
                </w:p>
              </w:tc>
            </w:tr>
          </w:tbl>
          <w:p w14:paraId="72916E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rPr>
            </w:pPr>
            <w:r>
              <w:rPr>
                <w:rFonts w:hint="eastAsia"/>
                <w:color w:val="auto"/>
                <w:sz w:val="24"/>
                <w:szCs w:val="24"/>
                <w:highlight w:val="none"/>
              </w:rPr>
              <w:t>由上表监测结果表明，监测期间内建设项目厂界噪声达到《声环境质量标准》（GB3096-2008）表1中2类标准，项目所在地声环境质量较好。</w:t>
            </w:r>
          </w:p>
          <w:p w14:paraId="33C7C71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4、生态环境现状</w:t>
            </w:r>
          </w:p>
          <w:p w14:paraId="682203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本项目不涉及产业园区外建设项目新增用地且用地范围内不含有生态环境保护目标，故本报告不进行生态现状调查。</w:t>
            </w:r>
          </w:p>
          <w:p w14:paraId="39673B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5、电磁辐射</w:t>
            </w:r>
          </w:p>
          <w:p w14:paraId="682B6F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本项目不涉及广播电台、差转台、电视塔台、卫星地球上行站、雷达等电磁辐射类项目，故本报告不进行电磁辐射现状监测与评价。</w:t>
            </w:r>
          </w:p>
          <w:p w14:paraId="0469C72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6、地下水、土壤环境现状</w:t>
            </w:r>
          </w:p>
          <w:p w14:paraId="023844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default" w:ascii="Times New Roman" w:hAnsi="Times New Roman" w:eastAsia="宋体" w:cs="Times New Roman"/>
                <w:color w:val="000000"/>
                <w:sz w:val="24"/>
                <w:szCs w:val="24"/>
              </w:rPr>
              <w:t>本项目原辅料及危险废物均储存于室内，室内已做好水泥硬化和防渗防漏，不存在土壤、地下水环境污染途径，根据《建设项目环境影响报告表编制技术指南》（污染影响类）（试行）的要求，不需要进行地下水和土壤现状调查。</w:t>
            </w:r>
          </w:p>
        </w:tc>
      </w:tr>
      <w:tr w14:paraId="6853C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noWrap w:val="0"/>
            <w:vAlign w:val="center"/>
          </w:tcPr>
          <w:p w14:paraId="4DEFCDD7">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14:paraId="680C4C8D">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保护</w:t>
            </w:r>
          </w:p>
          <w:p w14:paraId="01B37BEB">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目标</w:t>
            </w:r>
          </w:p>
        </w:tc>
        <w:tc>
          <w:tcPr>
            <w:tcW w:w="8486" w:type="dxa"/>
            <w:noWrap w:val="0"/>
            <w:vAlign w:val="center"/>
          </w:tcPr>
          <w:p w14:paraId="3788C7E3">
            <w:pPr>
              <w:keepNext w:val="0"/>
              <w:keepLines w:val="0"/>
              <w:pageBreakBefore w:val="0"/>
              <w:widowControl w:val="0"/>
              <w:kinsoku/>
              <w:wordWrap/>
              <w:overflowPunct/>
              <w:topLinePunct w:val="0"/>
              <w:autoSpaceDE/>
              <w:autoSpaceDN/>
              <w:bidi w:val="0"/>
              <w:adjustRightInd/>
              <w:snapToGrid/>
              <w:spacing w:line="360" w:lineRule="auto"/>
              <w:textAlignment w:val="auto"/>
              <w:rPr>
                <w:b/>
                <w:color w:val="000000"/>
                <w:sz w:val="24"/>
              </w:rPr>
            </w:pPr>
            <w:r>
              <w:rPr>
                <w:rFonts w:hint="eastAsia"/>
                <w:b/>
                <w:color w:val="000000"/>
                <w:sz w:val="24"/>
              </w:rPr>
              <w:t>主要环境保护目标（列出名单及保护级别）：</w:t>
            </w:r>
          </w:p>
          <w:p w14:paraId="58F762A3">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GB" w:eastAsia="zh-CN" w:bidi="ar-SA"/>
              </w:rPr>
              <w:t>本项目位于江苏省苏州市吴江区黎里镇黎民南路37号，</w:t>
            </w:r>
            <w:r>
              <w:rPr>
                <w:rFonts w:hint="default" w:ascii="Times New Roman" w:hAnsi="Times New Roman" w:eastAsia="宋体" w:cs="Times New Roman"/>
                <w:color w:val="000000"/>
                <w:kern w:val="2"/>
                <w:sz w:val="24"/>
                <w:szCs w:val="24"/>
                <w:lang w:val="en-US" w:eastAsia="zh-CN" w:bidi="ar-SA"/>
              </w:rPr>
              <w:t>项目周围环境保护目标详见下表。</w:t>
            </w:r>
          </w:p>
          <w:p w14:paraId="5320C0AC">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s="Times New Roman"/>
                <w:b/>
                <w:color w:val="000000"/>
                <w:szCs w:val="21"/>
                <w:highlight w:val="none"/>
              </w:rPr>
            </w:pPr>
            <w:r>
              <w:rPr>
                <w:rFonts w:ascii="Times New Roman" w:hAnsi="Times New Roman" w:eastAsia="宋体" w:cs="Times New Roman"/>
                <w:b/>
                <w:color w:val="000000"/>
                <w:szCs w:val="21"/>
                <w:highlight w:val="none"/>
              </w:rPr>
              <w:t>表3-</w:t>
            </w:r>
            <w:r>
              <w:rPr>
                <w:rFonts w:hint="eastAsia" w:ascii="Times New Roman" w:hAnsi="Times New Roman" w:eastAsia="宋体" w:cs="Times New Roman"/>
                <w:b/>
                <w:color w:val="000000"/>
                <w:szCs w:val="21"/>
                <w:highlight w:val="none"/>
              </w:rPr>
              <w:t>4</w:t>
            </w:r>
            <w:r>
              <w:rPr>
                <w:rFonts w:ascii="Times New Roman" w:hAnsi="Times New Roman" w:eastAsia="宋体" w:cs="Times New Roman"/>
                <w:b/>
                <w:color w:val="000000"/>
                <w:szCs w:val="21"/>
                <w:highlight w:val="none"/>
              </w:rPr>
              <w:t xml:space="preserve"> 主要大气环境保护目标</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697"/>
              <w:gridCol w:w="789"/>
              <w:gridCol w:w="788"/>
              <w:gridCol w:w="763"/>
              <w:gridCol w:w="1375"/>
              <w:gridCol w:w="886"/>
              <w:gridCol w:w="886"/>
              <w:gridCol w:w="958"/>
            </w:tblGrid>
            <w:tr w14:paraId="442D8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vMerge w:val="restart"/>
                  <w:noWrap/>
                  <w:vAlign w:val="center"/>
                </w:tcPr>
                <w:p w14:paraId="2C6C91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名称</w:t>
                  </w:r>
                </w:p>
              </w:tc>
              <w:tc>
                <w:tcPr>
                  <w:tcW w:w="898" w:type="pct"/>
                  <w:gridSpan w:val="2"/>
                  <w:noWrap/>
                  <w:vAlign w:val="center"/>
                </w:tcPr>
                <w:p w14:paraId="2B3E61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坐标/m</w:t>
                  </w:r>
                </w:p>
              </w:tc>
              <w:tc>
                <w:tcPr>
                  <w:tcW w:w="476" w:type="pct"/>
                  <w:vMerge w:val="restart"/>
                  <w:noWrap/>
                  <w:vAlign w:val="center"/>
                </w:tcPr>
                <w:p w14:paraId="467DDEB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保护</w:t>
                  </w:r>
                </w:p>
                <w:p w14:paraId="43366FD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对象</w:t>
                  </w:r>
                </w:p>
              </w:tc>
              <w:tc>
                <w:tcPr>
                  <w:tcW w:w="461" w:type="pct"/>
                  <w:vMerge w:val="restart"/>
                  <w:noWrap/>
                  <w:vAlign w:val="center"/>
                </w:tcPr>
                <w:p w14:paraId="22BE67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保护内容</w:t>
                  </w:r>
                </w:p>
              </w:tc>
              <w:tc>
                <w:tcPr>
                  <w:tcW w:w="831" w:type="pct"/>
                  <w:vMerge w:val="restart"/>
                  <w:noWrap/>
                  <w:vAlign w:val="center"/>
                </w:tcPr>
                <w:p w14:paraId="05CEF9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环境功能区</w:t>
                  </w:r>
                </w:p>
              </w:tc>
              <w:tc>
                <w:tcPr>
                  <w:tcW w:w="535" w:type="pct"/>
                  <w:vMerge w:val="restart"/>
                  <w:noWrap/>
                  <w:vAlign w:val="center"/>
                </w:tcPr>
                <w:p w14:paraId="386EDA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相对厂址方位</w:t>
                  </w:r>
                </w:p>
              </w:tc>
              <w:tc>
                <w:tcPr>
                  <w:tcW w:w="535" w:type="pct"/>
                  <w:vMerge w:val="restart"/>
                  <w:noWrap/>
                  <w:vAlign w:val="center"/>
                </w:tcPr>
                <w:p w14:paraId="5E5DD01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0000"/>
                      <w:szCs w:val="21"/>
                      <w:highlight w:val="none"/>
                      <w:lang w:val="en-US" w:eastAsia="zh-CN"/>
                    </w:rPr>
                  </w:pPr>
                  <w:r>
                    <w:rPr>
                      <w:rFonts w:hint="eastAsia" w:cs="Times New Roman"/>
                      <w:b/>
                      <w:bCs/>
                      <w:color w:val="000000"/>
                      <w:szCs w:val="21"/>
                      <w:highlight w:val="none"/>
                      <w:lang w:val="en-US" w:eastAsia="zh-CN"/>
                    </w:rPr>
                    <w:t>规模</w:t>
                  </w:r>
                </w:p>
              </w:tc>
              <w:tc>
                <w:tcPr>
                  <w:tcW w:w="579" w:type="pct"/>
                  <w:vMerge w:val="restart"/>
                  <w:noWrap/>
                  <w:vAlign w:val="center"/>
                </w:tcPr>
                <w:p w14:paraId="79CB527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相对距离m</w:t>
                  </w:r>
                </w:p>
              </w:tc>
            </w:tr>
            <w:tr w14:paraId="47D58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vMerge w:val="continue"/>
                  <w:noWrap/>
                  <w:vAlign w:val="center"/>
                </w:tcPr>
                <w:p w14:paraId="5A543B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c>
                <w:tcPr>
                  <w:tcW w:w="421" w:type="pct"/>
                  <w:noWrap/>
                  <w:vAlign w:val="center"/>
                </w:tcPr>
                <w:p w14:paraId="3AC69D4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X</w:t>
                  </w:r>
                </w:p>
              </w:tc>
              <w:tc>
                <w:tcPr>
                  <w:tcW w:w="477" w:type="pct"/>
                  <w:noWrap/>
                  <w:vAlign w:val="center"/>
                </w:tcPr>
                <w:p w14:paraId="6B2222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eastAsia="宋体" w:cs="Times New Roman"/>
                      <w:b/>
                      <w:bCs/>
                      <w:color w:val="000000"/>
                      <w:szCs w:val="21"/>
                      <w:highlight w:val="none"/>
                      <w:lang w:val="en-US" w:eastAsia="zh-CN"/>
                    </w:rPr>
                    <w:t>Y</w:t>
                  </w:r>
                </w:p>
              </w:tc>
              <w:tc>
                <w:tcPr>
                  <w:tcW w:w="476" w:type="pct"/>
                  <w:vMerge w:val="continue"/>
                  <w:noWrap/>
                  <w:vAlign w:val="center"/>
                </w:tcPr>
                <w:p w14:paraId="6A910C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c>
                <w:tcPr>
                  <w:tcW w:w="461" w:type="pct"/>
                  <w:vMerge w:val="continue"/>
                  <w:noWrap/>
                  <w:vAlign w:val="center"/>
                </w:tcPr>
                <w:p w14:paraId="7D741AC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c>
                <w:tcPr>
                  <w:tcW w:w="831" w:type="pct"/>
                  <w:vMerge w:val="continue"/>
                  <w:noWrap/>
                  <w:vAlign w:val="center"/>
                </w:tcPr>
                <w:p w14:paraId="353F1B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c>
                <w:tcPr>
                  <w:tcW w:w="535" w:type="pct"/>
                  <w:vMerge w:val="continue"/>
                  <w:noWrap/>
                  <w:vAlign w:val="center"/>
                </w:tcPr>
                <w:p w14:paraId="43D8C8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c>
                <w:tcPr>
                  <w:tcW w:w="535" w:type="pct"/>
                  <w:vMerge w:val="continue"/>
                  <w:noWrap/>
                  <w:vAlign w:val="center"/>
                </w:tcPr>
                <w:p w14:paraId="5617D46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c>
                <w:tcPr>
                  <w:tcW w:w="579" w:type="pct"/>
                  <w:vMerge w:val="continue"/>
                  <w:noWrap/>
                  <w:vAlign w:val="center"/>
                </w:tcPr>
                <w:p w14:paraId="7ADF8B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bCs/>
                      <w:color w:val="000000"/>
                      <w:szCs w:val="21"/>
                      <w:highlight w:val="none"/>
                      <w:lang w:val="en-US" w:eastAsia="zh-CN"/>
                    </w:rPr>
                  </w:pPr>
                </w:p>
              </w:tc>
            </w:tr>
            <w:tr w14:paraId="047A90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noWrap/>
                  <w:vAlign w:val="center"/>
                </w:tcPr>
                <w:p w14:paraId="25D5B9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bookmarkStart w:id="5" w:name="OLE_LINK2" w:colFirst="6" w:colLast="7"/>
                  <w:r>
                    <w:rPr>
                      <w:rFonts w:hint="eastAsia" w:cs="Times New Roman"/>
                      <w:b w:val="0"/>
                      <w:bCs w:val="0"/>
                      <w:color w:val="000000"/>
                      <w:szCs w:val="21"/>
                      <w:highlight w:val="none"/>
                      <w:lang w:val="en-US" w:eastAsia="zh-CN"/>
                    </w:rPr>
                    <w:t>西凌荡</w:t>
                  </w:r>
                </w:p>
              </w:tc>
              <w:tc>
                <w:tcPr>
                  <w:tcW w:w="421" w:type="pct"/>
                  <w:noWrap/>
                  <w:vAlign w:val="center"/>
                </w:tcPr>
                <w:p w14:paraId="0F8A95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-270</w:t>
                  </w:r>
                </w:p>
              </w:tc>
              <w:tc>
                <w:tcPr>
                  <w:tcW w:w="477" w:type="pct"/>
                  <w:noWrap/>
                  <w:vAlign w:val="center"/>
                </w:tcPr>
                <w:p w14:paraId="026C1C0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130</w:t>
                  </w:r>
                </w:p>
              </w:tc>
              <w:tc>
                <w:tcPr>
                  <w:tcW w:w="476" w:type="pct"/>
                  <w:noWrap/>
                  <w:vAlign w:val="center"/>
                </w:tcPr>
                <w:p w14:paraId="37374B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r>
                    <w:rPr>
                      <w:rFonts w:hint="eastAsia" w:ascii="Times New Roman" w:hAnsi="Times New Roman" w:eastAsia="宋体" w:cs="Times New Roman"/>
                      <w:b w:val="0"/>
                      <w:bCs w:val="0"/>
                      <w:color w:val="000000"/>
                      <w:szCs w:val="21"/>
                      <w:highlight w:val="none"/>
                      <w:lang w:val="en-US" w:eastAsia="zh-CN"/>
                    </w:rPr>
                    <w:t>居民</w:t>
                  </w:r>
                </w:p>
              </w:tc>
              <w:tc>
                <w:tcPr>
                  <w:tcW w:w="461" w:type="pct"/>
                  <w:vMerge w:val="restart"/>
                  <w:noWrap/>
                  <w:vAlign w:val="center"/>
                </w:tcPr>
                <w:p w14:paraId="1BAD50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r>
                    <w:rPr>
                      <w:rFonts w:hint="eastAsia" w:ascii="Times New Roman" w:hAnsi="Times New Roman" w:eastAsia="宋体" w:cs="Times New Roman"/>
                      <w:b w:val="0"/>
                      <w:bCs w:val="0"/>
                      <w:color w:val="000000"/>
                      <w:szCs w:val="21"/>
                      <w:highlight w:val="none"/>
                      <w:lang w:val="en-US" w:eastAsia="zh-CN"/>
                    </w:rPr>
                    <w:t>人群健康</w:t>
                  </w:r>
                </w:p>
              </w:tc>
              <w:tc>
                <w:tcPr>
                  <w:tcW w:w="831" w:type="pct"/>
                  <w:vMerge w:val="restart"/>
                  <w:noWrap/>
                  <w:vAlign w:val="center"/>
                </w:tcPr>
                <w:p w14:paraId="3539AD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r>
                    <w:rPr>
                      <w:rFonts w:hint="eastAsia" w:ascii="Times New Roman" w:hAnsi="Times New Roman" w:eastAsia="宋体" w:cs="Times New Roman"/>
                      <w:b w:val="0"/>
                      <w:bCs w:val="0"/>
                      <w:color w:val="000000"/>
                      <w:szCs w:val="21"/>
                      <w:highlight w:val="none"/>
                      <w:lang w:val="en-US" w:eastAsia="zh-CN"/>
                    </w:rPr>
                    <w:t>《环境空气质量标准》（GB3095-2012）二类</w:t>
                  </w:r>
                </w:p>
              </w:tc>
              <w:tc>
                <w:tcPr>
                  <w:tcW w:w="535" w:type="pct"/>
                  <w:noWrap/>
                  <w:vAlign w:val="center"/>
                </w:tcPr>
                <w:p w14:paraId="2405D3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西北</w:t>
                  </w:r>
                </w:p>
              </w:tc>
              <w:tc>
                <w:tcPr>
                  <w:tcW w:w="535" w:type="pct"/>
                  <w:noWrap/>
                  <w:vAlign w:val="center"/>
                </w:tcPr>
                <w:p w14:paraId="0D547F0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180人</w:t>
                  </w:r>
                </w:p>
              </w:tc>
              <w:tc>
                <w:tcPr>
                  <w:tcW w:w="579" w:type="pct"/>
                  <w:noWrap/>
                  <w:vAlign w:val="center"/>
                </w:tcPr>
                <w:p w14:paraId="276F7F9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315</w:t>
                  </w:r>
                </w:p>
              </w:tc>
            </w:tr>
            <w:bookmarkEnd w:id="5"/>
            <w:tr w14:paraId="24580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noWrap/>
                  <w:vAlign w:val="center"/>
                </w:tcPr>
                <w:p w14:paraId="66D449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和尚圩</w:t>
                  </w:r>
                </w:p>
              </w:tc>
              <w:tc>
                <w:tcPr>
                  <w:tcW w:w="421" w:type="pct"/>
                  <w:noWrap/>
                  <w:vAlign w:val="center"/>
                </w:tcPr>
                <w:p w14:paraId="1607C67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160</w:t>
                  </w:r>
                </w:p>
              </w:tc>
              <w:tc>
                <w:tcPr>
                  <w:tcW w:w="477" w:type="pct"/>
                  <w:noWrap/>
                  <w:vAlign w:val="center"/>
                </w:tcPr>
                <w:p w14:paraId="2AF1AA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-230</w:t>
                  </w:r>
                </w:p>
              </w:tc>
              <w:tc>
                <w:tcPr>
                  <w:tcW w:w="476" w:type="pct"/>
                  <w:noWrap/>
                  <w:vAlign w:val="center"/>
                </w:tcPr>
                <w:p w14:paraId="6C15F4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r>
                    <w:rPr>
                      <w:rFonts w:hint="eastAsia" w:ascii="Times New Roman" w:hAnsi="Times New Roman" w:eastAsia="宋体" w:cs="Times New Roman"/>
                      <w:b w:val="0"/>
                      <w:bCs w:val="0"/>
                      <w:color w:val="000000"/>
                      <w:szCs w:val="21"/>
                      <w:highlight w:val="none"/>
                      <w:lang w:val="en-US" w:eastAsia="zh-CN"/>
                    </w:rPr>
                    <w:t>居民</w:t>
                  </w:r>
                </w:p>
              </w:tc>
              <w:tc>
                <w:tcPr>
                  <w:tcW w:w="461" w:type="pct"/>
                  <w:vMerge w:val="continue"/>
                  <w:noWrap/>
                  <w:vAlign w:val="center"/>
                </w:tcPr>
                <w:p w14:paraId="26D8CB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p>
              </w:tc>
              <w:tc>
                <w:tcPr>
                  <w:tcW w:w="831" w:type="pct"/>
                  <w:vMerge w:val="continue"/>
                  <w:noWrap/>
                  <w:vAlign w:val="center"/>
                </w:tcPr>
                <w:p w14:paraId="30375D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p>
              </w:tc>
              <w:tc>
                <w:tcPr>
                  <w:tcW w:w="535" w:type="pct"/>
                  <w:noWrap/>
                  <w:vAlign w:val="center"/>
                </w:tcPr>
                <w:p w14:paraId="45D727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东南</w:t>
                  </w:r>
                </w:p>
              </w:tc>
              <w:tc>
                <w:tcPr>
                  <w:tcW w:w="535" w:type="pct"/>
                  <w:noWrap/>
                  <w:vAlign w:val="center"/>
                </w:tcPr>
                <w:p w14:paraId="2A53A1B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360人</w:t>
                  </w:r>
                </w:p>
              </w:tc>
              <w:tc>
                <w:tcPr>
                  <w:tcW w:w="579" w:type="pct"/>
                  <w:noWrap/>
                  <w:vAlign w:val="center"/>
                </w:tcPr>
                <w:p w14:paraId="1C8088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365</w:t>
                  </w:r>
                </w:p>
              </w:tc>
            </w:tr>
            <w:tr w14:paraId="5C7740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noWrap/>
                  <w:vAlign w:val="center"/>
                </w:tcPr>
                <w:p w14:paraId="44E677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厍地上</w:t>
                  </w:r>
                </w:p>
              </w:tc>
              <w:tc>
                <w:tcPr>
                  <w:tcW w:w="421" w:type="pct"/>
                  <w:noWrap/>
                  <w:vAlign w:val="center"/>
                </w:tcPr>
                <w:p w14:paraId="385D68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0</w:t>
                  </w:r>
                </w:p>
              </w:tc>
              <w:tc>
                <w:tcPr>
                  <w:tcW w:w="477" w:type="pct"/>
                  <w:noWrap/>
                  <w:vAlign w:val="center"/>
                </w:tcPr>
                <w:p w14:paraId="2239A8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200</w:t>
                  </w:r>
                </w:p>
              </w:tc>
              <w:tc>
                <w:tcPr>
                  <w:tcW w:w="476" w:type="pct"/>
                  <w:noWrap/>
                  <w:vAlign w:val="center"/>
                </w:tcPr>
                <w:p w14:paraId="7ABA18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bookmarkStart w:id="6" w:name="OLE_LINK49"/>
                  <w:r>
                    <w:rPr>
                      <w:rFonts w:hint="eastAsia" w:ascii="Times New Roman" w:hAnsi="Times New Roman" w:eastAsia="宋体" w:cs="Times New Roman"/>
                      <w:b w:val="0"/>
                      <w:bCs w:val="0"/>
                      <w:color w:val="000000"/>
                      <w:szCs w:val="21"/>
                      <w:highlight w:val="none"/>
                      <w:lang w:val="en-US" w:eastAsia="zh-CN"/>
                    </w:rPr>
                    <w:t>居民</w:t>
                  </w:r>
                  <w:bookmarkEnd w:id="6"/>
                </w:p>
              </w:tc>
              <w:tc>
                <w:tcPr>
                  <w:tcW w:w="461" w:type="pct"/>
                  <w:vMerge w:val="continue"/>
                  <w:noWrap/>
                  <w:vAlign w:val="center"/>
                </w:tcPr>
                <w:p w14:paraId="08003EE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p>
              </w:tc>
              <w:tc>
                <w:tcPr>
                  <w:tcW w:w="831" w:type="pct"/>
                  <w:vMerge w:val="continue"/>
                  <w:noWrap/>
                  <w:vAlign w:val="center"/>
                </w:tcPr>
                <w:p w14:paraId="327AC64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p>
              </w:tc>
              <w:tc>
                <w:tcPr>
                  <w:tcW w:w="535" w:type="pct"/>
                  <w:shd w:val="clear" w:color="auto" w:fill="auto"/>
                  <w:noWrap/>
                  <w:vAlign w:val="center"/>
                </w:tcPr>
                <w:p w14:paraId="1A230F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szCs w:val="21"/>
                      <w:highlight w:val="none"/>
                      <w:lang w:val="en-US" w:eastAsia="zh-CN"/>
                    </w:rPr>
                    <w:t>北</w:t>
                  </w:r>
                </w:p>
              </w:tc>
              <w:tc>
                <w:tcPr>
                  <w:tcW w:w="535" w:type="pct"/>
                  <w:shd w:val="clear" w:color="auto" w:fill="auto"/>
                  <w:noWrap/>
                  <w:vAlign w:val="center"/>
                </w:tcPr>
                <w:p w14:paraId="78DF89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400人</w:t>
                  </w:r>
                </w:p>
              </w:tc>
              <w:tc>
                <w:tcPr>
                  <w:tcW w:w="579" w:type="pct"/>
                  <w:shd w:val="clear" w:color="auto" w:fill="auto"/>
                  <w:noWrap/>
                  <w:vAlign w:val="center"/>
                </w:tcPr>
                <w:p w14:paraId="45915C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szCs w:val="21"/>
                      <w:highlight w:val="none"/>
                      <w:lang w:val="en-US" w:eastAsia="zh-CN"/>
                    </w:rPr>
                    <w:t>200</w:t>
                  </w:r>
                </w:p>
              </w:tc>
            </w:tr>
            <w:tr w14:paraId="34887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noWrap/>
                  <w:vAlign w:val="center"/>
                </w:tcPr>
                <w:p w14:paraId="1AD027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蜘蛛潭</w:t>
                  </w:r>
                </w:p>
              </w:tc>
              <w:tc>
                <w:tcPr>
                  <w:tcW w:w="421" w:type="pct"/>
                  <w:noWrap/>
                  <w:vAlign w:val="center"/>
                </w:tcPr>
                <w:p w14:paraId="505AA68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120</w:t>
                  </w:r>
                </w:p>
              </w:tc>
              <w:tc>
                <w:tcPr>
                  <w:tcW w:w="477" w:type="pct"/>
                  <w:noWrap/>
                  <w:vAlign w:val="center"/>
                </w:tcPr>
                <w:p w14:paraId="4930E4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140</w:t>
                  </w:r>
                </w:p>
              </w:tc>
              <w:tc>
                <w:tcPr>
                  <w:tcW w:w="476" w:type="pct"/>
                  <w:noWrap/>
                  <w:vAlign w:val="center"/>
                </w:tcPr>
                <w:p w14:paraId="2868E4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居民</w:t>
                  </w:r>
                </w:p>
              </w:tc>
              <w:tc>
                <w:tcPr>
                  <w:tcW w:w="461" w:type="pct"/>
                  <w:vMerge w:val="continue"/>
                  <w:noWrap/>
                  <w:vAlign w:val="center"/>
                </w:tcPr>
                <w:p w14:paraId="107ECC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p>
              </w:tc>
              <w:tc>
                <w:tcPr>
                  <w:tcW w:w="831" w:type="pct"/>
                  <w:vMerge w:val="continue"/>
                  <w:noWrap/>
                  <w:vAlign w:val="center"/>
                </w:tcPr>
                <w:p w14:paraId="112C473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b w:val="0"/>
                      <w:bCs w:val="0"/>
                      <w:color w:val="000000"/>
                      <w:szCs w:val="21"/>
                      <w:highlight w:val="none"/>
                      <w:lang w:val="en-US" w:eastAsia="zh-CN"/>
                    </w:rPr>
                  </w:pPr>
                </w:p>
              </w:tc>
              <w:tc>
                <w:tcPr>
                  <w:tcW w:w="535" w:type="pct"/>
                  <w:noWrap/>
                  <w:vAlign w:val="center"/>
                </w:tcPr>
                <w:p w14:paraId="2C95095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东北</w:t>
                  </w:r>
                </w:p>
              </w:tc>
              <w:tc>
                <w:tcPr>
                  <w:tcW w:w="535" w:type="pct"/>
                  <w:noWrap/>
                  <w:vAlign w:val="center"/>
                </w:tcPr>
                <w:p w14:paraId="68B3B04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410人</w:t>
                  </w:r>
                </w:p>
              </w:tc>
              <w:tc>
                <w:tcPr>
                  <w:tcW w:w="579" w:type="pct"/>
                  <w:noWrap/>
                  <w:vAlign w:val="center"/>
                </w:tcPr>
                <w:p w14:paraId="275E1A9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130</w:t>
                  </w:r>
                </w:p>
              </w:tc>
            </w:tr>
          </w:tbl>
          <w:p w14:paraId="19531885">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ascii="Times New Roman" w:hAnsi="Times New Roman" w:eastAsia="宋体"/>
                <w:b/>
                <w:bCs/>
                <w:color w:val="000000"/>
                <w:kern w:val="0"/>
              </w:rPr>
            </w:pPr>
            <w:r>
              <w:rPr>
                <w:rFonts w:ascii="Times New Roman" w:hAnsi="Times New Roman" w:eastAsia="宋体"/>
                <w:b/>
                <w:bCs/>
                <w:color w:val="000000"/>
                <w:kern w:val="0"/>
                <w:sz w:val="24"/>
              </w:rPr>
              <w:t>2、声环境</w:t>
            </w:r>
          </w:p>
          <w:p w14:paraId="1B37997A">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eastAsia" w:ascii="Times New Roman" w:hAnsi="Times New Roman" w:eastAsia="宋体"/>
                <w:b/>
                <w:bCs/>
                <w:color w:val="000000"/>
                <w:kern w:val="0"/>
                <w:sz w:val="24"/>
              </w:rPr>
            </w:pPr>
            <w:r>
              <w:rPr>
                <w:rFonts w:ascii="Times New Roman" w:hAnsi="Times New Roman" w:eastAsia="宋体"/>
                <w:color w:val="000000"/>
                <w:sz w:val="24"/>
              </w:rPr>
              <w:t>本项目厂界外50米范围内无声环境保护目标</w:t>
            </w:r>
            <w:r>
              <w:rPr>
                <w:rFonts w:hint="eastAsia" w:ascii="Times New Roman" w:hAnsi="Times New Roman" w:eastAsia="宋体"/>
                <w:color w:val="000000"/>
                <w:sz w:val="24"/>
              </w:rPr>
              <w:t>。</w:t>
            </w:r>
          </w:p>
          <w:p w14:paraId="029A06CC">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ascii="Times New Roman" w:hAnsi="Times New Roman" w:eastAsia="宋体"/>
                <w:b/>
                <w:bCs/>
                <w:color w:val="000000"/>
                <w:kern w:val="0"/>
                <w:sz w:val="24"/>
              </w:rPr>
            </w:pPr>
            <w:r>
              <w:rPr>
                <w:rFonts w:ascii="Times New Roman" w:hAnsi="Times New Roman" w:eastAsia="宋体"/>
                <w:b/>
                <w:bCs/>
                <w:color w:val="000000"/>
                <w:kern w:val="0"/>
                <w:sz w:val="24"/>
              </w:rPr>
              <w:t>3、地下水环境</w:t>
            </w:r>
          </w:p>
          <w:p w14:paraId="64CC3ED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color w:val="000000"/>
                <w:kern w:val="0"/>
                <w:szCs w:val="21"/>
              </w:rPr>
            </w:pPr>
            <w:r>
              <w:rPr>
                <w:bCs/>
                <w:color w:val="000000"/>
                <w:sz w:val="24"/>
              </w:rPr>
              <w:t>本项目厂界外500米范围内无地下水集中式饮用水水源和热水、矿泉水、温泉等特殊地下水资源。</w:t>
            </w:r>
          </w:p>
          <w:p w14:paraId="0F7CA76F">
            <w:pPr>
              <w:pStyle w:val="24"/>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ascii="Times New Roman" w:hAnsi="Times New Roman" w:eastAsia="宋体"/>
                <w:b/>
                <w:bCs/>
                <w:color w:val="000000"/>
                <w:kern w:val="0"/>
                <w:sz w:val="24"/>
              </w:rPr>
            </w:pPr>
            <w:r>
              <w:rPr>
                <w:rFonts w:ascii="Times New Roman" w:hAnsi="Times New Roman" w:eastAsia="宋体"/>
                <w:b/>
                <w:bCs/>
                <w:color w:val="000000"/>
                <w:kern w:val="0"/>
                <w:sz w:val="24"/>
              </w:rPr>
              <w:t>4、生态环境</w:t>
            </w:r>
          </w:p>
          <w:p w14:paraId="40D5C3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kern w:val="0"/>
                <w:szCs w:val="21"/>
              </w:rPr>
            </w:pPr>
            <w:r>
              <w:rPr>
                <w:rFonts w:hint="eastAsia" w:ascii="Times New Roman" w:hAnsi="Times New Roman" w:eastAsia="宋体"/>
                <w:color w:val="000000"/>
                <w:kern w:val="0"/>
                <w:sz w:val="24"/>
              </w:rPr>
              <w:t>本项目不涉及产业园区外建设项目新增用地，故不需要明确生态环境保护目标</w:t>
            </w:r>
            <w:r>
              <w:rPr>
                <w:rFonts w:hint="eastAsia" w:ascii="Times New Roman" w:hAnsi="Times New Roman" w:eastAsia="宋体"/>
                <w:color w:val="000000"/>
                <w:kern w:val="0"/>
                <w:sz w:val="24"/>
                <w:lang w:eastAsia="zh-CN"/>
              </w:rPr>
              <w:t>。</w:t>
            </w:r>
          </w:p>
        </w:tc>
      </w:tr>
      <w:tr w14:paraId="3DA69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noWrap w:val="0"/>
            <w:tcMar>
              <w:left w:w="28" w:type="dxa"/>
              <w:right w:w="28" w:type="dxa"/>
            </w:tcMar>
            <w:vAlign w:val="center"/>
          </w:tcPr>
          <w:p w14:paraId="7341FAB8">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污</w:t>
            </w:r>
          </w:p>
          <w:p w14:paraId="45A96208">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染</w:t>
            </w:r>
          </w:p>
          <w:p w14:paraId="1F93729F">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物</w:t>
            </w:r>
          </w:p>
          <w:p w14:paraId="0797974E">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排</w:t>
            </w:r>
          </w:p>
          <w:p w14:paraId="3ADE30FD">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放</w:t>
            </w:r>
          </w:p>
          <w:p w14:paraId="32781ACF">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控</w:t>
            </w:r>
          </w:p>
          <w:p w14:paraId="7F5DE03D">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制</w:t>
            </w:r>
          </w:p>
          <w:p w14:paraId="55196AB5">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标</w:t>
            </w:r>
          </w:p>
          <w:p w14:paraId="40AA9815">
            <w:pPr>
              <w:adjustRightInd w:val="0"/>
              <w:snapToGrid w:val="0"/>
              <w:jc w:val="center"/>
              <w:rPr>
                <w:rFonts w:ascii="宋体" w:hAnsi="宋体" w:cs="宋体"/>
                <w:b/>
                <w:color w:val="auto"/>
                <w:kern w:val="0"/>
                <w:szCs w:val="21"/>
              </w:rPr>
            </w:pPr>
            <w:r>
              <w:rPr>
                <w:rFonts w:hint="eastAsia" w:ascii="宋体" w:hAnsi="宋体" w:cs="宋体"/>
                <w:b/>
                <w:color w:val="auto"/>
                <w:kern w:val="0"/>
                <w:szCs w:val="21"/>
              </w:rPr>
              <w:t>准</w:t>
            </w:r>
          </w:p>
        </w:tc>
        <w:tc>
          <w:tcPr>
            <w:tcW w:w="8486" w:type="dxa"/>
            <w:noWrap w:val="0"/>
            <w:vAlign w:val="top"/>
          </w:tcPr>
          <w:p w14:paraId="465BA46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auto"/>
                <w:sz w:val="24"/>
              </w:rPr>
            </w:pPr>
            <w:r>
              <w:rPr>
                <w:rFonts w:hint="eastAsia"/>
                <w:b/>
                <w:color w:val="auto"/>
                <w:sz w:val="24"/>
                <w:lang w:val="en-US" w:eastAsia="zh-CN"/>
              </w:rPr>
              <w:t>1、</w:t>
            </w:r>
            <w:r>
              <w:rPr>
                <w:b/>
                <w:color w:val="auto"/>
                <w:sz w:val="24"/>
              </w:rPr>
              <w:t>大气污染物排放标准</w:t>
            </w:r>
          </w:p>
          <w:p w14:paraId="38D18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s="宋体"/>
                <w:color w:val="000000"/>
                <w:sz w:val="24"/>
                <w:highlight w:val="none"/>
                <w:lang w:val="en-US" w:eastAsia="zh-CN"/>
              </w:rPr>
            </w:pPr>
            <w:r>
              <w:rPr>
                <w:rFonts w:hint="eastAsia"/>
                <w:color w:val="auto"/>
                <w:sz w:val="24"/>
                <w:lang w:eastAsia="zh-CN"/>
              </w:rPr>
              <w:t>本项目</w:t>
            </w:r>
            <w:r>
              <w:rPr>
                <w:rFonts w:hint="eastAsia"/>
                <w:color w:val="auto"/>
                <w:sz w:val="24"/>
                <w:lang w:val="en-US" w:eastAsia="zh-CN"/>
              </w:rPr>
              <w:t>针柄制作、封装、挤塑产生的</w:t>
            </w:r>
            <w:r>
              <w:rPr>
                <w:rFonts w:hint="eastAsia"/>
                <w:color w:val="auto"/>
                <w:sz w:val="24"/>
                <w:lang w:eastAsia="zh-CN"/>
              </w:rPr>
              <w:t>非甲</w:t>
            </w:r>
            <w:r>
              <w:rPr>
                <w:rFonts w:hint="eastAsia" w:ascii="Times New Roman" w:hAnsi="Times New Roman" w:eastAsia="宋体" w:cs="Times New Roman"/>
                <w:color w:val="auto"/>
                <w:sz w:val="24"/>
                <w:lang w:eastAsia="zh-CN"/>
              </w:rPr>
              <w:t>烷总烃排放执行《合成树脂工业污染物排放标准》（GB31572-2015，含2024年修改单）</w:t>
            </w:r>
            <w:r>
              <w:rPr>
                <w:rFonts w:hint="eastAsia" w:eastAsia="宋体" w:cs="Times New Roman"/>
                <w:color w:val="auto"/>
                <w:sz w:val="24"/>
                <w:lang w:val="en-US" w:eastAsia="zh-CN"/>
              </w:rPr>
              <w:t>表5及表9</w:t>
            </w:r>
            <w:r>
              <w:rPr>
                <w:rFonts w:hint="eastAsia" w:ascii="Times New Roman" w:hAnsi="Times New Roman" w:eastAsia="宋体" w:cs="Times New Roman"/>
                <w:color w:val="auto"/>
                <w:sz w:val="24"/>
                <w:lang w:eastAsia="zh-CN"/>
              </w:rPr>
              <w:t>标准</w:t>
            </w:r>
            <w:r>
              <w:rPr>
                <w:rFonts w:hint="eastAsia" w:eastAsia="宋体" w:cs="Times New Roman"/>
                <w:color w:val="auto"/>
                <w:sz w:val="24"/>
                <w:lang w:eastAsia="zh-CN"/>
              </w:rPr>
              <w:t>。</w:t>
            </w:r>
            <w:r>
              <w:rPr>
                <w:rFonts w:hint="eastAsia" w:hAnsi="宋体" w:cs="宋体"/>
                <w:color w:val="000000"/>
                <w:sz w:val="24"/>
                <w:highlight w:val="none"/>
                <w:lang w:val="en-US" w:eastAsia="zh-CN"/>
              </w:rPr>
              <w:t>详见表3-5</w:t>
            </w:r>
            <w:r>
              <w:rPr>
                <w:rFonts w:hint="eastAsia" w:hAnsi="宋体" w:cs="宋体"/>
                <w:color w:val="000000"/>
                <w:sz w:val="24"/>
                <w:highlight w:val="none"/>
              </w:rPr>
              <w:t>。</w:t>
            </w:r>
          </w:p>
          <w:p w14:paraId="2FBBC2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s="宋体"/>
                <w:color w:val="000000"/>
                <w:sz w:val="24"/>
                <w:highlight w:val="none"/>
              </w:rPr>
            </w:pPr>
            <w:r>
              <w:rPr>
                <w:rFonts w:hint="eastAsia" w:hAnsi="宋体" w:cs="宋体"/>
                <w:color w:val="000000"/>
                <w:sz w:val="24"/>
                <w:highlight w:val="none"/>
                <w:lang w:val="en-US" w:eastAsia="zh-CN"/>
              </w:rPr>
              <w:t>针体磨抛产生的颗粒物执行《大气污染物综合排放标准》（DB32/4041-2021）</w:t>
            </w:r>
            <w:r>
              <w:rPr>
                <w:rFonts w:hint="eastAsia"/>
                <w:b w:val="0"/>
                <w:bCs w:val="0"/>
                <w:spacing w:val="0"/>
                <w:kern w:val="0"/>
                <w:sz w:val="24"/>
                <w:lang w:val="en-US" w:eastAsia="zh-CN"/>
              </w:rPr>
              <w:t>表1及表3标准，具体标准值详见下表。</w:t>
            </w:r>
            <w:r>
              <w:rPr>
                <w:rFonts w:hint="eastAsia" w:hAnsi="宋体" w:cs="宋体"/>
                <w:color w:val="000000"/>
                <w:sz w:val="24"/>
                <w:highlight w:val="none"/>
                <w:lang w:val="en-US" w:eastAsia="zh-CN"/>
              </w:rPr>
              <w:t>详见表3-5</w:t>
            </w:r>
            <w:r>
              <w:rPr>
                <w:rFonts w:hint="eastAsia" w:hAnsi="宋体" w:cs="宋体"/>
                <w:color w:val="000000"/>
                <w:sz w:val="24"/>
                <w:highlight w:val="none"/>
              </w:rPr>
              <w:t>。</w:t>
            </w:r>
          </w:p>
          <w:p w14:paraId="3AEB2991">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b/>
                <w:color w:val="000000"/>
                <w:sz w:val="21"/>
                <w:szCs w:val="21"/>
                <w:highlight w:val="none"/>
              </w:rPr>
            </w:pPr>
          </w:p>
          <w:p w14:paraId="33822CA2">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b/>
                <w:color w:val="000000"/>
                <w:sz w:val="21"/>
                <w:szCs w:val="21"/>
                <w:highlight w:val="none"/>
              </w:rPr>
            </w:pPr>
          </w:p>
          <w:p w14:paraId="51A89D85">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b/>
                <w:color w:val="000000"/>
                <w:sz w:val="21"/>
                <w:szCs w:val="21"/>
                <w:highlight w:val="none"/>
              </w:rPr>
            </w:pPr>
          </w:p>
          <w:p w14:paraId="76D7151E">
            <w:pPr>
              <w:adjustRightInd w:val="0"/>
              <w:snapToGrid w:val="0"/>
              <w:jc w:val="center"/>
              <w:rPr>
                <w:b/>
                <w:bCs/>
                <w:color w:val="auto"/>
                <w:sz w:val="21"/>
                <w:szCs w:val="21"/>
              </w:rPr>
            </w:pPr>
          </w:p>
          <w:p w14:paraId="36FCBC7C">
            <w:pPr>
              <w:adjustRightInd w:val="0"/>
              <w:snapToGrid w:val="0"/>
              <w:jc w:val="center"/>
              <w:rPr>
                <w:color w:val="auto"/>
                <w:sz w:val="21"/>
                <w:szCs w:val="21"/>
              </w:rPr>
            </w:pPr>
            <w:r>
              <w:rPr>
                <w:b/>
                <w:bCs/>
                <w:color w:val="auto"/>
                <w:sz w:val="21"/>
                <w:szCs w:val="21"/>
              </w:rPr>
              <w:t>表</w:t>
            </w:r>
            <w:r>
              <w:rPr>
                <w:rFonts w:hint="eastAsia"/>
                <w:b/>
                <w:bCs/>
                <w:color w:val="auto"/>
                <w:sz w:val="21"/>
                <w:szCs w:val="21"/>
              </w:rPr>
              <w:t>3</w:t>
            </w:r>
            <w:r>
              <w:rPr>
                <w:b/>
                <w:bCs/>
                <w:color w:val="auto"/>
                <w:sz w:val="21"/>
                <w:szCs w:val="21"/>
              </w:rPr>
              <w:t>-</w:t>
            </w:r>
            <w:r>
              <w:rPr>
                <w:rFonts w:hint="eastAsia"/>
                <w:b/>
                <w:bCs/>
                <w:color w:val="auto"/>
                <w:sz w:val="21"/>
                <w:szCs w:val="21"/>
              </w:rPr>
              <w:t xml:space="preserve">5 </w:t>
            </w:r>
            <w:r>
              <w:rPr>
                <w:b/>
                <w:bCs/>
                <w:color w:val="auto"/>
                <w:sz w:val="21"/>
                <w:szCs w:val="21"/>
              </w:rPr>
              <w:t>大气污染物排放标准</w:t>
            </w:r>
          </w:p>
          <w:tbl>
            <w:tblPr>
              <w:tblStyle w:val="20"/>
              <w:tblW w:w="83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6"/>
              <w:gridCol w:w="2227"/>
              <w:gridCol w:w="1026"/>
              <w:gridCol w:w="907"/>
              <w:gridCol w:w="760"/>
              <w:gridCol w:w="1946"/>
              <w:gridCol w:w="797"/>
            </w:tblGrid>
            <w:tr w14:paraId="304AD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11" w:hRule="atLeast"/>
                <w:jc w:val="center"/>
              </w:trPr>
              <w:tc>
                <w:tcPr>
                  <w:tcW w:w="716" w:type="dxa"/>
                  <w:vMerge w:val="restart"/>
                  <w:noWrap w:val="0"/>
                  <w:vAlign w:val="center"/>
                </w:tcPr>
                <w:p w14:paraId="66A82EB5">
                  <w:pPr>
                    <w:adjustRightInd w:val="0"/>
                    <w:snapToGrid w:val="0"/>
                    <w:jc w:val="center"/>
                    <w:rPr>
                      <w:b/>
                      <w:color w:val="auto"/>
                      <w:szCs w:val="21"/>
                    </w:rPr>
                  </w:pPr>
                  <w:r>
                    <w:rPr>
                      <w:b/>
                      <w:color w:val="auto"/>
                      <w:szCs w:val="21"/>
                    </w:rPr>
                    <w:t>污染</w:t>
                  </w:r>
                  <w:r>
                    <w:rPr>
                      <w:rFonts w:hint="eastAsia"/>
                      <w:b/>
                      <w:color w:val="auto"/>
                      <w:szCs w:val="21"/>
                    </w:rPr>
                    <w:t>物名称</w:t>
                  </w:r>
                </w:p>
              </w:tc>
              <w:tc>
                <w:tcPr>
                  <w:tcW w:w="2227" w:type="dxa"/>
                  <w:vMerge w:val="restart"/>
                  <w:noWrap w:val="0"/>
                  <w:vAlign w:val="center"/>
                </w:tcPr>
                <w:p w14:paraId="7A016868">
                  <w:pPr>
                    <w:adjustRightInd w:val="0"/>
                    <w:snapToGrid w:val="0"/>
                    <w:jc w:val="center"/>
                    <w:rPr>
                      <w:b/>
                      <w:color w:val="auto"/>
                      <w:szCs w:val="21"/>
                    </w:rPr>
                  </w:pPr>
                  <w:r>
                    <w:rPr>
                      <w:b/>
                      <w:color w:val="auto"/>
                      <w:szCs w:val="21"/>
                    </w:rPr>
                    <w:t>执行标准</w:t>
                  </w:r>
                </w:p>
              </w:tc>
              <w:tc>
                <w:tcPr>
                  <w:tcW w:w="1026" w:type="dxa"/>
                  <w:vMerge w:val="restart"/>
                  <w:noWrap w:val="0"/>
                  <w:vAlign w:val="center"/>
                </w:tcPr>
                <w:p w14:paraId="00D400F1">
                  <w:pPr>
                    <w:adjustRightInd w:val="0"/>
                    <w:snapToGrid w:val="0"/>
                    <w:jc w:val="center"/>
                    <w:rPr>
                      <w:rFonts w:hint="eastAsia"/>
                      <w:b/>
                      <w:color w:val="auto"/>
                      <w:szCs w:val="21"/>
                    </w:rPr>
                  </w:pPr>
                  <w:r>
                    <w:rPr>
                      <w:rFonts w:hint="eastAsia"/>
                      <w:b/>
                      <w:color w:val="auto"/>
                      <w:szCs w:val="21"/>
                    </w:rPr>
                    <w:t>最高允许排放浓度mg/m</w:t>
                  </w:r>
                  <w:r>
                    <w:rPr>
                      <w:rFonts w:hint="eastAsia"/>
                      <w:b/>
                      <w:color w:val="auto"/>
                      <w:szCs w:val="21"/>
                      <w:vertAlign w:val="superscript"/>
                    </w:rPr>
                    <w:t>3</w:t>
                  </w:r>
                </w:p>
              </w:tc>
              <w:tc>
                <w:tcPr>
                  <w:tcW w:w="1667" w:type="dxa"/>
                  <w:gridSpan w:val="2"/>
                  <w:noWrap w:val="0"/>
                  <w:vAlign w:val="center"/>
                </w:tcPr>
                <w:p w14:paraId="7F4B6182">
                  <w:pPr>
                    <w:adjustRightInd w:val="0"/>
                    <w:snapToGrid w:val="0"/>
                    <w:jc w:val="center"/>
                    <w:rPr>
                      <w:rFonts w:hint="eastAsia"/>
                      <w:b/>
                      <w:color w:val="auto"/>
                      <w:szCs w:val="21"/>
                    </w:rPr>
                  </w:pPr>
                  <w:r>
                    <w:rPr>
                      <w:rFonts w:hint="eastAsia"/>
                      <w:b/>
                      <w:color w:val="auto"/>
                      <w:szCs w:val="21"/>
                    </w:rPr>
                    <w:t>最高允许排放速率</w:t>
                  </w:r>
                </w:p>
              </w:tc>
              <w:tc>
                <w:tcPr>
                  <w:tcW w:w="2743" w:type="dxa"/>
                  <w:gridSpan w:val="2"/>
                  <w:noWrap w:val="0"/>
                  <w:vAlign w:val="center"/>
                </w:tcPr>
                <w:p w14:paraId="1C378AF8">
                  <w:pPr>
                    <w:adjustRightInd w:val="0"/>
                    <w:snapToGrid w:val="0"/>
                    <w:jc w:val="center"/>
                    <w:rPr>
                      <w:rFonts w:hint="eastAsia"/>
                      <w:b/>
                      <w:color w:val="auto"/>
                      <w:szCs w:val="21"/>
                    </w:rPr>
                  </w:pPr>
                  <w:r>
                    <w:rPr>
                      <w:rFonts w:hint="eastAsia"/>
                      <w:b/>
                      <w:color w:val="auto"/>
                      <w:szCs w:val="21"/>
                    </w:rPr>
                    <w:t>无组织排放浓度限值（mg/m</w:t>
                  </w:r>
                  <w:r>
                    <w:rPr>
                      <w:rFonts w:hint="eastAsia"/>
                      <w:b/>
                      <w:color w:val="auto"/>
                      <w:szCs w:val="21"/>
                      <w:vertAlign w:val="superscript"/>
                    </w:rPr>
                    <w:t>3</w:t>
                  </w:r>
                  <w:r>
                    <w:rPr>
                      <w:rFonts w:hint="eastAsia"/>
                      <w:b/>
                      <w:color w:val="auto"/>
                      <w:szCs w:val="21"/>
                    </w:rPr>
                    <w:t>）</w:t>
                  </w:r>
                </w:p>
              </w:tc>
            </w:tr>
            <w:tr w14:paraId="3C125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36" w:hRule="atLeast"/>
                <w:jc w:val="center"/>
              </w:trPr>
              <w:tc>
                <w:tcPr>
                  <w:tcW w:w="716" w:type="dxa"/>
                  <w:vMerge w:val="continue"/>
                  <w:noWrap w:val="0"/>
                  <w:vAlign w:val="center"/>
                </w:tcPr>
                <w:p w14:paraId="02845680">
                  <w:pPr>
                    <w:adjustRightInd w:val="0"/>
                    <w:snapToGrid w:val="0"/>
                    <w:jc w:val="center"/>
                    <w:rPr>
                      <w:b/>
                      <w:color w:val="auto"/>
                      <w:szCs w:val="21"/>
                    </w:rPr>
                  </w:pPr>
                </w:p>
              </w:tc>
              <w:tc>
                <w:tcPr>
                  <w:tcW w:w="2227" w:type="dxa"/>
                  <w:vMerge w:val="continue"/>
                  <w:noWrap w:val="0"/>
                  <w:vAlign w:val="center"/>
                </w:tcPr>
                <w:p w14:paraId="0300CBCA">
                  <w:pPr>
                    <w:adjustRightInd w:val="0"/>
                    <w:snapToGrid w:val="0"/>
                    <w:jc w:val="center"/>
                    <w:rPr>
                      <w:b/>
                      <w:color w:val="auto"/>
                      <w:szCs w:val="21"/>
                    </w:rPr>
                  </w:pPr>
                </w:p>
              </w:tc>
              <w:tc>
                <w:tcPr>
                  <w:tcW w:w="1026" w:type="dxa"/>
                  <w:vMerge w:val="continue"/>
                  <w:noWrap w:val="0"/>
                  <w:vAlign w:val="center"/>
                </w:tcPr>
                <w:p w14:paraId="25C4EEBB">
                  <w:pPr>
                    <w:adjustRightInd w:val="0"/>
                    <w:snapToGrid w:val="0"/>
                    <w:jc w:val="center"/>
                    <w:rPr>
                      <w:rFonts w:hint="eastAsia"/>
                      <w:b/>
                      <w:color w:val="auto"/>
                      <w:szCs w:val="21"/>
                    </w:rPr>
                  </w:pPr>
                </w:p>
              </w:tc>
              <w:tc>
                <w:tcPr>
                  <w:tcW w:w="907" w:type="dxa"/>
                  <w:noWrap w:val="0"/>
                  <w:vAlign w:val="center"/>
                </w:tcPr>
                <w:p w14:paraId="0C39F114">
                  <w:pPr>
                    <w:adjustRightInd w:val="0"/>
                    <w:snapToGrid w:val="0"/>
                    <w:jc w:val="center"/>
                    <w:rPr>
                      <w:rFonts w:hint="eastAsia"/>
                      <w:b/>
                      <w:color w:val="auto"/>
                      <w:kern w:val="2"/>
                      <w:sz w:val="21"/>
                      <w:szCs w:val="21"/>
                      <w:lang w:val="en-US" w:eastAsia="zh-CN" w:bidi="ar-SA"/>
                    </w:rPr>
                  </w:pPr>
                  <w:r>
                    <w:rPr>
                      <w:rFonts w:hint="eastAsia"/>
                      <w:b/>
                      <w:color w:val="auto"/>
                      <w:szCs w:val="21"/>
                    </w:rPr>
                    <w:t>排气筒高度（m）</w:t>
                  </w:r>
                </w:p>
              </w:tc>
              <w:tc>
                <w:tcPr>
                  <w:tcW w:w="760" w:type="dxa"/>
                  <w:noWrap w:val="0"/>
                  <w:vAlign w:val="center"/>
                </w:tcPr>
                <w:p w14:paraId="2C26ED28">
                  <w:pPr>
                    <w:adjustRightInd w:val="0"/>
                    <w:snapToGrid w:val="0"/>
                    <w:jc w:val="center"/>
                    <w:rPr>
                      <w:rFonts w:hint="eastAsia"/>
                      <w:b/>
                      <w:color w:val="auto"/>
                      <w:kern w:val="2"/>
                      <w:sz w:val="21"/>
                      <w:szCs w:val="21"/>
                      <w:lang w:val="en-US" w:eastAsia="zh-CN" w:bidi="ar-SA"/>
                    </w:rPr>
                  </w:pPr>
                  <w:r>
                    <w:rPr>
                      <w:rFonts w:hint="eastAsia"/>
                      <w:b/>
                      <w:color w:val="auto"/>
                      <w:szCs w:val="21"/>
                    </w:rPr>
                    <w:t>速率kg/h</w:t>
                  </w:r>
                </w:p>
              </w:tc>
              <w:tc>
                <w:tcPr>
                  <w:tcW w:w="1946" w:type="dxa"/>
                  <w:noWrap w:val="0"/>
                  <w:vAlign w:val="center"/>
                </w:tcPr>
                <w:p w14:paraId="4A48F41A">
                  <w:pPr>
                    <w:adjustRightInd w:val="0"/>
                    <w:snapToGrid w:val="0"/>
                    <w:jc w:val="center"/>
                    <w:rPr>
                      <w:rFonts w:hint="eastAsia"/>
                      <w:b/>
                      <w:color w:val="auto"/>
                      <w:szCs w:val="21"/>
                    </w:rPr>
                  </w:pPr>
                  <w:r>
                    <w:rPr>
                      <w:b/>
                      <w:color w:val="auto"/>
                      <w:szCs w:val="21"/>
                    </w:rPr>
                    <w:t>执行标准</w:t>
                  </w:r>
                </w:p>
              </w:tc>
              <w:tc>
                <w:tcPr>
                  <w:tcW w:w="797" w:type="dxa"/>
                  <w:noWrap w:val="0"/>
                  <w:vAlign w:val="center"/>
                </w:tcPr>
                <w:p w14:paraId="5E1C14A2">
                  <w:pPr>
                    <w:adjustRightInd w:val="0"/>
                    <w:snapToGrid w:val="0"/>
                    <w:jc w:val="center"/>
                    <w:rPr>
                      <w:rFonts w:hint="eastAsia"/>
                      <w:b/>
                      <w:color w:val="auto"/>
                      <w:szCs w:val="21"/>
                    </w:rPr>
                  </w:pPr>
                  <w:r>
                    <w:rPr>
                      <w:rFonts w:hint="eastAsia"/>
                      <w:b/>
                      <w:color w:val="auto"/>
                      <w:szCs w:val="21"/>
                    </w:rPr>
                    <w:t>浓度mg/m</w:t>
                  </w:r>
                  <w:r>
                    <w:rPr>
                      <w:rFonts w:hint="eastAsia"/>
                      <w:b/>
                      <w:color w:val="auto"/>
                      <w:szCs w:val="21"/>
                      <w:vertAlign w:val="superscript"/>
                    </w:rPr>
                    <w:t>3</w:t>
                  </w:r>
                </w:p>
              </w:tc>
            </w:tr>
            <w:tr w14:paraId="5ABA5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22" w:hRule="atLeast"/>
                <w:jc w:val="center"/>
              </w:trPr>
              <w:tc>
                <w:tcPr>
                  <w:tcW w:w="716" w:type="dxa"/>
                  <w:noWrap w:val="0"/>
                  <w:vAlign w:val="center"/>
                </w:tcPr>
                <w:p w14:paraId="758DCC20">
                  <w:pPr>
                    <w:adjustRightInd w:val="0"/>
                    <w:snapToGrid w:val="0"/>
                    <w:jc w:val="center"/>
                    <w:rPr>
                      <w:color w:val="auto"/>
                      <w:szCs w:val="21"/>
                    </w:rPr>
                  </w:pPr>
                  <w:r>
                    <w:rPr>
                      <w:rFonts w:hint="eastAsia"/>
                      <w:color w:val="auto"/>
                      <w:szCs w:val="21"/>
                    </w:rPr>
                    <w:t>非甲烷总烃</w:t>
                  </w:r>
                </w:p>
              </w:tc>
              <w:tc>
                <w:tcPr>
                  <w:tcW w:w="2227" w:type="dxa"/>
                  <w:noWrap w:val="0"/>
                  <w:vAlign w:val="center"/>
                </w:tcPr>
                <w:p w14:paraId="0F498449">
                  <w:pPr>
                    <w:widowControl/>
                    <w:autoSpaceDE w:val="0"/>
                    <w:autoSpaceDN w:val="0"/>
                    <w:spacing w:line="320" w:lineRule="exact"/>
                    <w:jc w:val="center"/>
                    <w:rPr>
                      <w:rFonts w:hint="default"/>
                      <w:color w:val="auto"/>
                      <w:szCs w:val="21"/>
                      <w:lang w:val="en-US"/>
                    </w:rPr>
                  </w:pPr>
                  <w:r>
                    <w:rPr>
                      <w:rFonts w:hint="eastAsia" w:ascii="Times New Roman" w:hAnsi="Times New Roman" w:eastAsia="宋体" w:cs="Times New Roman"/>
                      <w:color w:val="auto"/>
                      <w:szCs w:val="21"/>
                      <w:lang w:eastAsia="zh-CN"/>
                    </w:rPr>
                    <w:t>《合成树脂工业污染物排放标准》（GB31572-2015，含2024年修改单）</w:t>
                  </w:r>
                  <w:r>
                    <w:rPr>
                      <w:rFonts w:hint="eastAsia" w:eastAsia="宋体" w:cs="Times New Roman"/>
                      <w:color w:val="auto"/>
                      <w:szCs w:val="21"/>
                      <w:lang w:val="en-US" w:eastAsia="zh-CN"/>
                    </w:rPr>
                    <w:t>表5标准</w:t>
                  </w:r>
                </w:p>
              </w:tc>
              <w:tc>
                <w:tcPr>
                  <w:tcW w:w="1026" w:type="dxa"/>
                  <w:noWrap w:val="0"/>
                  <w:vAlign w:val="center"/>
                </w:tcPr>
                <w:p w14:paraId="0EED79A1">
                  <w:pPr>
                    <w:widowControl/>
                    <w:autoSpaceDE w:val="0"/>
                    <w:autoSpaceDN w:val="0"/>
                    <w:spacing w:line="320" w:lineRule="exact"/>
                    <w:jc w:val="center"/>
                    <w:rPr>
                      <w:rFonts w:hint="default" w:eastAsia="宋体"/>
                      <w:color w:val="auto"/>
                      <w:szCs w:val="21"/>
                      <w:lang w:val="en-US" w:eastAsia="zh-CN"/>
                    </w:rPr>
                  </w:pPr>
                  <w:r>
                    <w:rPr>
                      <w:rFonts w:hint="eastAsia"/>
                      <w:color w:val="auto"/>
                      <w:szCs w:val="21"/>
                      <w:lang w:val="en-US" w:eastAsia="zh-CN"/>
                    </w:rPr>
                    <w:t>60</w:t>
                  </w:r>
                </w:p>
              </w:tc>
              <w:tc>
                <w:tcPr>
                  <w:tcW w:w="907" w:type="dxa"/>
                  <w:noWrap w:val="0"/>
                  <w:vAlign w:val="center"/>
                </w:tcPr>
                <w:p w14:paraId="2E5BFBF2">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c>
                <w:tcPr>
                  <w:tcW w:w="760" w:type="dxa"/>
                  <w:noWrap w:val="0"/>
                  <w:vAlign w:val="center"/>
                </w:tcPr>
                <w:p w14:paraId="0D0DFC7A">
                  <w:pPr>
                    <w:adjustRightInd w:val="0"/>
                    <w:snapToGrid w:val="0"/>
                    <w:jc w:val="center"/>
                    <w:rPr>
                      <w:rFonts w:hint="default" w:eastAsia="宋体"/>
                      <w:color w:val="auto"/>
                      <w:szCs w:val="21"/>
                      <w:lang w:val="en-US" w:eastAsia="zh-CN"/>
                    </w:rPr>
                  </w:pPr>
                  <w:r>
                    <w:rPr>
                      <w:rFonts w:hint="eastAsia" w:eastAsia="宋体"/>
                      <w:color w:val="auto"/>
                      <w:szCs w:val="21"/>
                      <w:lang w:val="en-US" w:eastAsia="zh-CN"/>
                    </w:rPr>
                    <w:t>/</w:t>
                  </w:r>
                </w:p>
              </w:tc>
              <w:tc>
                <w:tcPr>
                  <w:tcW w:w="1946" w:type="dxa"/>
                  <w:noWrap w:val="0"/>
                  <w:vAlign w:val="center"/>
                </w:tcPr>
                <w:p w14:paraId="51CB2E01">
                  <w:pPr>
                    <w:adjustRightInd w:val="0"/>
                    <w:snapToGrid w:val="0"/>
                    <w:jc w:val="center"/>
                    <w:rPr>
                      <w:rFonts w:hint="eastAsia"/>
                      <w:color w:val="auto"/>
                      <w:szCs w:val="21"/>
                    </w:rPr>
                  </w:pPr>
                  <w:r>
                    <w:rPr>
                      <w:rFonts w:hint="eastAsia"/>
                      <w:color w:val="auto"/>
                      <w:szCs w:val="21"/>
                    </w:rPr>
                    <w:t>《合成树脂工业污染物排放标准》（GB31572-2015</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含2024年修改单</w:t>
                  </w:r>
                  <w:r>
                    <w:rPr>
                      <w:rFonts w:hint="eastAsia"/>
                      <w:color w:val="auto"/>
                      <w:szCs w:val="21"/>
                    </w:rPr>
                    <w:t>）</w:t>
                  </w:r>
                  <w:r>
                    <w:rPr>
                      <w:rFonts w:hint="eastAsia" w:eastAsia="宋体" w:cs="Times New Roman"/>
                      <w:color w:val="auto"/>
                      <w:szCs w:val="21"/>
                      <w:lang w:val="en-US" w:eastAsia="zh-CN"/>
                    </w:rPr>
                    <w:t>表9标准</w:t>
                  </w:r>
                </w:p>
              </w:tc>
              <w:tc>
                <w:tcPr>
                  <w:tcW w:w="797" w:type="dxa"/>
                  <w:noWrap w:val="0"/>
                  <w:vAlign w:val="center"/>
                </w:tcPr>
                <w:p w14:paraId="1813E330">
                  <w:pPr>
                    <w:adjustRightInd w:val="0"/>
                    <w:snapToGrid w:val="0"/>
                    <w:jc w:val="center"/>
                    <w:rPr>
                      <w:rFonts w:hint="eastAsia"/>
                      <w:color w:val="auto"/>
                      <w:szCs w:val="21"/>
                    </w:rPr>
                  </w:pPr>
                  <w:r>
                    <w:rPr>
                      <w:rFonts w:hint="eastAsia"/>
                      <w:color w:val="auto"/>
                      <w:szCs w:val="21"/>
                    </w:rPr>
                    <w:t>4.0</w:t>
                  </w:r>
                </w:p>
              </w:tc>
            </w:tr>
            <w:tr w14:paraId="50676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622" w:hRule="atLeast"/>
                <w:jc w:val="center"/>
              </w:trPr>
              <w:tc>
                <w:tcPr>
                  <w:tcW w:w="716" w:type="dxa"/>
                  <w:noWrap w:val="0"/>
                  <w:vAlign w:val="center"/>
                </w:tcPr>
                <w:p w14:paraId="2FEC2B40">
                  <w:pPr>
                    <w:adjustRightInd w:val="0"/>
                    <w:snapToGrid w:val="0"/>
                    <w:jc w:val="center"/>
                    <w:rPr>
                      <w:rFonts w:hint="eastAsia" w:eastAsia="宋体"/>
                      <w:color w:val="auto"/>
                      <w:szCs w:val="21"/>
                      <w:lang w:val="en-US" w:eastAsia="zh-CN"/>
                    </w:rPr>
                  </w:pPr>
                  <w:r>
                    <w:rPr>
                      <w:rFonts w:hint="eastAsia"/>
                      <w:color w:val="auto"/>
                      <w:szCs w:val="21"/>
                      <w:lang w:val="en-US" w:eastAsia="zh-CN"/>
                    </w:rPr>
                    <w:t>颗粒物</w:t>
                  </w:r>
                </w:p>
              </w:tc>
              <w:tc>
                <w:tcPr>
                  <w:tcW w:w="2227" w:type="dxa"/>
                  <w:noWrap w:val="0"/>
                  <w:vAlign w:val="center"/>
                </w:tcPr>
                <w:p w14:paraId="09F7C997">
                  <w:pPr>
                    <w:widowControl/>
                    <w:autoSpaceDE w:val="0"/>
                    <w:autoSpaceDN w:val="0"/>
                    <w:spacing w:line="320" w:lineRule="exact"/>
                    <w:jc w:val="center"/>
                    <w:rPr>
                      <w:rFonts w:hint="eastAsia" w:ascii="Times New Roman" w:hAnsi="Times New Roman" w:eastAsia="宋体" w:cs="Times New Roman"/>
                      <w:color w:val="auto"/>
                      <w:szCs w:val="21"/>
                      <w:lang w:eastAsia="zh-CN"/>
                    </w:rPr>
                  </w:pPr>
                  <w:r>
                    <w:rPr>
                      <w:rFonts w:hint="eastAsia"/>
                    </w:rPr>
                    <w:t>《大气污染物综合排放标准》（DB32/4041-2021）表</w:t>
                  </w:r>
                  <w:r>
                    <w:rPr>
                      <w:rFonts w:hint="eastAsia"/>
                      <w:lang w:val="en-US" w:eastAsia="zh-CN"/>
                    </w:rPr>
                    <w:t>1</w:t>
                  </w:r>
                  <w:r>
                    <w:rPr>
                      <w:rFonts w:hint="eastAsia"/>
                    </w:rPr>
                    <w:t>标准</w:t>
                  </w:r>
                </w:p>
              </w:tc>
              <w:tc>
                <w:tcPr>
                  <w:tcW w:w="1026" w:type="dxa"/>
                  <w:noWrap w:val="0"/>
                  <w:vAlign w:val="center"/>
                </w:tcPr>
                <w:p w14:paraId="7EA072EE">
                  <w:pPr>
                    <w:widowControl/>
                    <w:autoSpaceDE w:val="0"/>
                    <w:autoSpaceDN w:val="0"/>
                    <w:spacing w:line="320" w:lineRule="exact"/>
                    <w:jc w:val="center"/>
                    <w:rPr>
                      <w:rFonts w:hint="default"/>
                      <w:color w:val="auto"/>
                      <w:szCs w:val="21"/>
                      <w:lang w:val="en-US" w:eastAsia="zh-CN"/>
                    </w:rPr>
                  </w:pPr>
                  <w:r>
                    <w:rPr>
                      <w:rFonts w:hint="eastAsia"/>
                      <w:color w:val="auto"/>
                      <w:szCs w:val="21"/>
                      <w:lang w:val="en-US" w:eastAsia="zh-CN"/>
                    </w:rPr>
                    <w:t>20</w:t>
                  </w:r>
                </w:p>
              </w:tc>
              <w:tc>
                <w:tcPr>
                  <w:tcW w:w="907" w:type="dxa"/>
                  <w:noWrap w:val="0"/>
                  <w:vAlign w:val="center"/>
                </w:tcPr>
                <w:p w14:paraId="7F835A20">
                  <w:pPr>
                    <w:adjustRightInd w:val="0"/>
                    <w:snapToGrid w:val="0"/>
                    <w:jc w:val="center"/>
                    <w:rPr>
                      <w:rFonts w:hint="default"/>
                      <w:color w:val="auto"/>
                      <w:szCs w:val="21"/>
                      <w:lang w:val="en-US" w:eastAsia="zh-CN"/>
                    </w:rPr>
                  </w:pPr>
                  <w:r>
                    <w:rPr>
                      <w:rFonts w:hint="eastAsia"/>
                      <w:color w:val="auto"/>
                      <w:szCs w:val="21"/>
                      <w:lang w:val="en-US" w:eastAsia="zh-CN"/>
                    </w:rPr>
                    <w:t>15</w:t>
                  </w:r>
                </w:p>
              </w:tc>
              <w:tc>
                <w:tcPr>
                  <w:tcW w:w="760" w:type="dxa"/>
                  <w:noWrap w:val="0"/>
                  <w:vAlign w:val="center"/>
                </w:tcPr>
                <w:p w14:paraId="38E8933C">
                  <w:pPr>
                    <w:adjustRightInd w:val="0"/>
                    <w:snapToGrid w:val="0"/>
                    <w:jc w:val="center"/>
                    <w:rPr>
                      <w:rFonts w:hint="default"/>
                      <w:color w:val="auto"/>
                      <w:szCs w:val="21"/>
                      <w:lang w:val="en-US" w:eastAsia="zh-CN"/>
                    </w:rPr>
                  </w:pPr>
                  <w:r>
                    <w:rPr>
                      <w:rFonts w:hint="eastAsia"/>
                      <w:color w:val="auto"/>
                      <w:szCs w:val="21"/>
                      <w:lang w:val="en-US" w:eastAsia="zh-CN"/>
                    </w:rPr>
                    <w:t>1</w:t>
                  </w:r>
                </w:p>
              </w:tc>
              <w:tc>
                <w:tcPr>
                  <w:tcW w:w="1946" w:type="dxa"/>
                  <w:noWrap w:val="0"/>
                  <w:vAlign w:val="center"/>
                </w:tcPr>
                <w:p w14:paraId="215677BD">
                  <w:pPr>
                    <w:adjustRightInd w:val="0"/>
                    <w:snapToGrid w:val="0"/>
                    <w:jc w:val="center"/>
                    <w:rPr>
                      <w:rFonts w:hint="eastAsia"/>
                      <w:color w:val="auto"/>
                      <w:szCs w:val="21"/>
                    </w:rPr>
                  </w:pPr>
                  <w:r>
                    <w:rPr>
                      <w:rFonts w:hint="eastAsia"/>
                    </w:rPr>
                    <w:t>《大气污染物综合排放标准》（DB32/4041-2021）表3标准</w:t>
                  </w:r>
                </w:p>
              </w:tc>
              <w:tc>
                <w:tcPr>
                  <w:tcW w:w="797" w:type="dxa"/>
                  <w:noWrap w:val="0"/>
                  <w:vAlign w:val="center"/>
                </w:tcPr>
                <w:p w14:paraId="32D5C28E">
                  <w:pPr>
                    <w:adjustRightInd w:val="0"/>
                    <w:snapToGrid w:val="0"/>
                    <w:jc w:val="center"/>
                    <w:rPr>
                      <w:rFonts w:hint="default" w:eastAsia="宋体"/>
                      <w:color w:val="auto"/>
                      <w:szCs w:val="21"/>
                      <w:lang w:val="en-US" w:eastAsia="zh-CN"/>
                    </w:rPr>
                  </w:pPr>
                  <w:r>
                    <w:rPr>
                      <w:rFonts w:hint="eastAsia"/>
                      <w:color w:val="auto"/>
                      <w:szCs w:val="21"/>
                      <w:lang w:val="en-US" w:eastAsia="zh-CN"/>
                    </w:rPr>
                    <w:t>0.5</w:t>
                  </w:r>
                </w:p>
              </w:tc>
            </w:tr>
          </w:tbl>
          <w:p w14:paraId="6B4DC9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企业厂区内VOCs无组织排放监控点浓度执行《挥发性有机物无组织排放控制标准》（GB37822-2019）附录A标准。详见表3-</w:t>
            </w:r>
            <w:r>
              <w:rPr>
                <w:rFonts w:hint="eastAsia" w:cs="Times New Roman"/>
                <w:color w:val="000000"/>
                <w:sz w:val="24"/>
                <w:lang w:val="en-US" w:eastAsia="zh-CN"/>
              </w:rPr>
              <w:t>6</w:t>
            </w:r>
            <w:r>
              <w:rPr>
                <w:rFonts w:hint="eastAsia" w:ascii="Times New Roman" w:hAnsi="Times New Roman" w:eastAsia="宋体" w:cs="Times New Roman"/>
                <w:color w:val="000000"/>
                <w:sz w:val="24"/>
              </w:rPr>
              <w:t>。</w:t>
            </w:r>
          </w:p>
          <w:p w14:paraId="0ED18C55">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表3-</w:t>
            </w:r>
            <w:r>
              <w:rPr>
                <w:rFonts w:hint="eastAsia" w:cs="Times New Roman"/>
                <w:b/>
                <w:color w:val="000000"/>
                <w:sz w:val="21"/>
                <w:szCs w:val="21"/>
                <w:highlight w:val="none"/>
                <w:lang w:val="en-US" w:eastAsia="zh-CN"/>
              </w:rPr>
              <w:t>6</w:t>
            </w:r>
            <w:r>
              <w:rPr>
                <w:rFonts w:hint="eastAsia" w:ascii="Times New Roman" w:hAnsi="Times New Roman" w:eastAsia="宋体" w:cs="Times New Roman"/>
                <w:b/>
                <w:color w:val="000000"/>
                <w:sz w:val="21"/>
                <w:szCs w:val="21"/>
                <w:highlight w:val="none"/>
              </w:rPr>
              <w:t xml:space="preserve"> 厂区内VOCs无组织排放限值</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686"/>
              <w:gridCol w:w="2855"/>
              <w:gridCol w:w="2328"/>
            </w:tblGrid>
            <w:tr w14:paraId="082FC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5" w:type="pct"/>
                  <w:tcBorders>
                    <w:tl2br w:val="nil"/>
                    <w:tr2bl w:val="nil"/>
                  </w:tcBorders>
                  <w:noWrap w:val="0"/>
                  <w:vAlign w:val="center"/>
                </w:tcPr>
                <w:p w14:paraId="23626662">
                  <w:pPr>
                    <w:adjustRightInd w:val="0"/>
                    <w:snapToGrid w:val="0"/>
                    <w:jc w:val="center"/>
                    <w:rPr>
                      <w:b/>
                      <w:bCs/>
                      <w:color w:val="000000"/>
                      <w:szCs w:val="21"/>
                    </w:rPr>
                  </w:pPr>
                  <w:r>
                    <w:rPr>
                      <w:rFonts w:hint="eastAsia"/>
                      <w:b/>
                      <w:bCs/>
                      <w:color w:val="000000"/>
                      <w:szCs w:val="21"/>
                    </w:rPr>
                    <w:t>污染物项目</w:t>
                  </w:r>
                </w:p>
              </w:tc>
              <w:tc>
                <w:tcPr>
                  <w:tcW w:w="1019" w:type="pct"/>
                  <w:tcBorders>
                    <w:tl2br w:val="nil"/>
                    <w:tr2bl w:val="nil"/>
                  </w:tcBorders>
                  <w:noWrap w:val="0"/>
                  <w:vAlign w:val="center"/>
                </w:tcPr>
                <w:p w14:paraId="6188C9C7">
                  <w:pPr>
                    <w:adjustRightInd w:val="0"/>
                    <w:snapToGrid w:val="0"/>
                    <w:jc w:val="center"/>
                    <w:rPr>
                      <w:b/>
                      <w:bCs/>
                      <w:color w:val="000000"/>
                      <w:szCs w:val="21"/>
                    </w:rPr>
                  </w:pPr>
                  <w:r>
                    <w:rPr>
                      <w:rFonts w:hint="eastAsia"/>
                      <w:b/>
                      <w:bCs/>
                      <w:color w:val="000000"/>
                      <w:szCs w:val="21"/>
                    </w:rPr>
                    <w:t>特别排放限值</w:t>
                  </w:r>
                  <w:r>
                    <w:rPr>
                      <w:b/>
                      <w:bCs/>
                      <w:color w:val="000000"/>
                      <w:szCs w:val="21"/>
                    </w:rPr>
                    <w:t>mg/m</w:t>
                  </w:r>
                  <w:r>
                    <w:rPr>
                      <w:b/>
                      <w:bCs/>
                      <w:color w:val="000000"/>
                      <w:szCs w:val="21"/>
                      <w:vertAlign w:val="superscript"/>
                    </w:rPr>
                    <w:t>3</w:t>
                  </w:r>
                </w:p>
              </w:tc>
              <w:tc>
                <w:tcPr>
                  <w:tcW w:w="1726" w:type="pct"/>
                  <w:tcBorders>
                    <w:tl2br w:val="nil"/>
                    <w:tr2bl w:val="nil"/>
                  </w:tcBorders>
                  <w:noWrap w:val="0"/>
                  <w:vAlign w:val="center"/>
                </w:tcPr>
                <w:p w14:paraId="3D98FAD6">
                  <w:pPr>
                    <w:adjustRightInd w:val="0"/>
                    <w:snapToGrid w:val="0"/>
                    <w:jc w:val="center"/>
                    <w:rPr>
                      <w:b/>
                      <w:bCs/>
                      <w:color w:val="000000"/>
                      <w:szCs w:val="21"/>
                    </w:rPr>
                  </w:pPr>
                  <w:r>
                    <w:rPr>
                      <w:rFonts w:hint="eastAsia"/>
                      <w:b/>
                      <w:bCs/>
                      <w:color w:val="000000"/>
                      <w:szCs w:val="21"/>
                    </w:rPr>
                    <w:t>限值含义</w:t>
                  </w:r>
                </w:p>
              </w:tc>
              <w:tc>
                <w:tcPr>
                  <w:tcW w:w="1407" w:type="pct"/>
                  <w:tcBorders>
                    <w:tl2br w:val="nil"/>
                    <w:tr2bl w:val="nil"/>
                  </w:tcBorders>
                  <w:noWrap w:val="0"/>
                  <w:vAlign w:val="center"/>
                </w:tcPr>
                <w:p w14:paraId="1F10C41A">
                  <w:pPr>
                    <w:adjustRightInd w:val="0"/>
                    <w:snapToGrid w:val="0"/>
                    <w:jc w:val="center"/>
                    <w:rPr>
                      <w:b/>
                      <w:bCs/>
                      <w:color w:val="000000"/>
                      <w:szCs w:val="21"/>
                    </w:rPr>
                  </w:pPr>
                  <w:r>
                    <w:rPr>
                      <w:rFonts w:hint="eastAsia"/>
                      <w:b/>
                      <w:bCs/>
                      <w:color w:val="000000"/>
                      <w:szCs w:val="21"/>
                    </w:rPr>
                    <w:t>无组织排放监控位置</w:t>
                  </w:r>
                </w:p>
              </w:tc>
            </w:tr>
            <w:tr w14:paraId="54B7B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5" w:type="pct"/>
                  <w:vMerge w:val="restart"/>
                  <w:tcBorders>
                    <w:tl2br w:val="nil"/>
                    <w:tr2bl w:val="nil"/>
                  </w:tcBorders>
                  <w:noWrap w:val="0"/>
                  <w:vAlign w:val="center"/>
                </w:tcPr>
                <w:p w14:paraId="28CF9D6C">
                  <w:pPr>
                    <w:adjustRightInd w:val="0"/>
                    <w:snapToGrid w:val="0"/>
                    <w:jc w:val="center"/>
                    <w:rPr>
                      <w:rFonts w:hint="eastAsia" w:eastAsia="宋体"/>
                      <w:bCs/>
                      <w:color w:val="000000"/>
                      <w:szCs w:val="21"/>
                      <w:lang w:eastAsia="zh-CN"/>
                    </w:rPr>
                  </w:pPr>
                  <w:r>
                    <w:rPr>
                      <w:rFonts w:hint="eastAsia"/>
                      <w:bCs/>
                      <w:color w:val="000000"/>
                      <w:szCs w:val="21"/>
                      <w:lang w:val="en-US" w:eastAsia="zh-CN"/>
                    </w:rPr>
                    <w:t>非甲烷总烃</w:t>
                  </w:r>
                </w:p>
              </w:tc>
              <w:tc>
                <w:tcPr>
                  <w:tcW w:w="1019" w:type="pct"/>
                  <w:tcBorders>
                    <w:tl2br w:val="nil"/>
                    <w:tr2bl w:val="nil"/>
                  </w:tcBorders>
                  <w:noWrap w:val="0"/>
                  <w:vAlign w:val="center"/>
                </w:tcPr>
                <w:p w14:paraId="6EAD3793">
                  <w:pPr>
                    <w:adjustRightInd w:val="0"/>
                    <w:snapToGrid w:val="0"/>
                    <w:jc w:val="center"/>
                    <w:rPr>
                      <w:bCs/>
                      <w:color w:val="000000"/>
                      <w:szCs w:val="21"/>
                    </w:rPr>
                  </w:pPr>
                  <w:r>
                    <w:rPr>
                      <w:bCs/>
                      <w:color w:val="000000"/>
                      <w:szCs w:val="21"/>
                    </w:rPr>
                    <w:t>6</w:t>
                  </w:r>
                </w:p>
              </w:tc>
              <w:tc>
                <w:tcPr>
                  <w:tcW w:w="1726" w:type="pct"/>
                  <w:tcBorders>
                    <w:tl2br w:val="nil"/>
                    <w:tr2bl w:val="nil"/>
                  </w:tcBorders>
                  <w:noWrap w:val="0"/>
                  <w:vAlign w:val="center"/>
                </w:tcPr>
                <w:p w14:paraId="54AC3806">
                  <w:pPr>
                    <w:adjustRightInd w:val="0"/>
                    <w:snapToGrid w:val="0"/>
                    <w:jc w:val="center"/>
                    <w:rPr>
                      <w:bCs/>
                      <w:color w:val="000000"/>
                      <w:szCs w:val="21"/>
                    </w:rPr>
                  </w:pPr>
                  <w:r>
                    <w:rPr>
                      <w:rFonts w:hint="eastAsia"/>
                      <w:bCs/>
                      <w:color w:val="000000"/>
                      <w:szCs w:val="21"/>
                    </w:rPr>
                    <w:t>监控点处</w:t>
                  </w:r>
                  <w:r>
                    <w:rPr>
                      <w:bCs/>
                      <w:color w:val="000000"/>
                      <w:szCs w:val="21"/>
                    </w:rPr>
                    <w:t>1h</w:t>
                  </w:r>
                  <w:r>
                    <w:rPr>
                      <w:rFonts w:hint="eastAsia"/>
                      <w:bCs/>
                      <w:color w:val="000000"/>
                      <w:szCs w:val="21"/>
                    </w:rPr>
                    <w:t>平均浓度值</w:t>
                  </w:r>
                </w:p>
              </w:tc>
              <w:tc>
                <w:tcPr>
                  <w:tcW w:w="1407" w:type="pct"/>
                  <w:vMerge w:val="restart"/>
                  <w:tcBorders>
                    <w:tl2br w:val="nil"/>
                    <w:tr2bl w:val="nil"/>
                  </w:tcBorders>
                  <w:noWrap w:val="0"/>
                  <w:vAlign w:val="center"/>
                </w:tcPr>
                <w:p w14:paraId="6F68B8F6">
                  <w:pPr>
                    <w:adjustRightInd w:val="0"/>
                    <w:snapToGrid w:val="0"/>
                    <w:jc w:val="center"/>
                    <w:rPr>
                      <w:bCs/>
                      <w:color w:val="000000"/>
                      <w:szCs w:val="21"/>
                    </w:rPr>
                  </w:pPr>
                  <w:r>
                    <w:rPr>
                      <w:rFonts w:hint="eastAsia"/>
                      <w:bCs/>
                      <w:color w:val="000000"/>
                      <w:szCs w:val="21"/>
                    </w:rPr>
                    <w:t>在厂房外设置监控点</w:t>
                  </w:r>
                </w:p>
              </w:tc>
            </w:tr>
            <w:tr w14:paraId="19EC2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5" w:type="pct"/>
                  <w:vMerge w:val="continue"/>
                  <w:tcBorders>
                    <w:tl2br w:val="nil"/>
                    <w:tr2bl w:val="nil"/>
                  </w:tcBorders>
                  <w:noWrap w:val="0"/>
                  <w:vAlign w:val="center"/>
                </w:tcPr>
                <w:p w14:paraId="2FC2279D">
                  <w:pPr>
                    <w:widowControl/>
                    <w:adjustRightInd w:val="0"/>
                    <w:snapToGrid w:val="0"/>
                    <w:jc w:val="center"/>
                    <w:rPr>
                      <w:bCs/>
                      <w:color w:val="000000"/>
                      <w:szCs w:val="21"/>
                    </w:rPr>
                  </w:pPr>
                </w:p>
              </w:tc>
              <w:tc>
                <w:tcPr>
                  <w:tcW w:w="1019" w:type="pct"/>
                  <w:tcBorders>
                    <w:tl2br w:val="nil"/>
                    <w:tr2bl w:val="nil"/>
                  </w:tcBorders>
                  <w:noWrap w:val="0"/>
                  <w:vAlign w:val="center"/>
                </w:tcPr>
                <w:p w14:paraId="0CBB3383">
                  <w:pPr>
                    <w:adjustRightInd w:val="0"/>
                    <w:snapToGrid w:val="0"/>
                    <w:jc w:val="center"/>
                    <w:rPr>
                      <w:bCs/>
                      <w:color w:val="000000"/>
                      <w:szCs w:val="21"/>
                    </w:rPr>
                  </w:pPr>
                  <w:r>
                    <w:rPr>
                      <w:bCs/>
                      <w:color w:val="000000"/>
                      <w:szCs w:val="21"/>
                    </w:rPr>
                    <w:t>20</w:t>
                  </w:r>
                </w:p>
              </w:tc>
              <w:tc>
                <w:tcPr>
                  <w:tcW w:w="1726" w:type="pct"/>
                  <w:tcBorders>
                    <w:tl2br w:val="nil"/>
                    <w:tr2bl w:val="nil"/>
                  </w:tcBorders>
                  <w:noWrap w:val="0"/>
                  <w:vAlign w:val="center"/>
                </w:tcPr>
                <w:p w14:paraId="2691D1FE">
                  <w:pPr>
                    <w:adjustRightInd w:val="0"/>
                    <w:snapToGrid w:val="0"/>
                    <w:jc w:val="center"/>
                    <w:rPr>
                      <w:bCs/>
                      <w:color w:val="000000"/>
                      <w:szCs w:val="21"/>
                    </w:rPr>
                  </w:pPr>
                  <w:r>
                    <w:rPr>
                      <w:rFonts w:hint="eastAsia"/>
                      <w:bCs/>
                      <w:color w:val="000000"/>
                      <w:szCs w:val="21"/>
                    </w:rPr>
                    <w:t>监控点处任意一次浓度值</w:t>
                  </w:r>
                </w:p>
              </w:tc>
              <w:tc>
                <w:tcPr>
                  <w:tcW w:w="1407" w:type="pct"/>
                  <w:vMerge w:val="continue"/>
                  <w:tcBorders>
                    <w:tl2br w:val="nil"/>
                    <w:tr2bl w:val="nil"/>
                  </w:tcBorders>
                  <w:noWrap w:val="0"/>
                  <w:vAlign w:val="center"/>
                </w:tcPr>
                <w:p w14:paraId="27A1A7F0">
                  <w:pPr>
                    <w:widowControl/>
                    <w:adjustRightInd w:val="0"/>
                    <w:snapToGrid w:val="0"/>
                    <w:jc w:val="center"/>
                    <w:rPr>
                      <w:bCs/>
                      <w:color w:val="000000"/>
                      <w:szCs w:val="21"/>
                    </w:rPr>
                  </w:pPr>
                </w:p>
              </w:tc>
            </w:tr>
          </w:tbl>
          <w:p w14:paraId="6BA6477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sz w:val="24"/>
              </w:rPr>
            </w:pPr>
            <w:r>
              <w:rPr>
                <w:rFonts w:hint="eastAsia"/>
                <w:b/>
                <w:bCs/>
                <w:color w:val="000000"/>
                <w:sz w:val="24"/>
              </w:rPr>
              <w:t>2、废水排放标准</w:t>
            </w:r>
          </w:p>
          <w:p w14:paraId="238C0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本项目厂排口：本项目生活污水</w:t>
            </w:r>
            <w:r>
              <w:rPr>
                <w:rFonts w:hint="eastAsia" w:cs="Times New Roman"/>
                <w:color w:val="auto"/>
                <w:sz w:val="24"/>
                <w:szCs w:val="24"/>
                <w:lang w:val="en-US" w:eastAsia="zh-CN"/>
              </w:rPr>
              <w:t>接管至</w:t>
            </w:r>
            <w:r>
              <w:rPr>
                <w:rFonts w:hint="eastAsia" w:cs="Times New Roman"/>
                <w:color w:val="auto"/>
                <w:sz w:val="24"/>
                <w:szCs w:val="24"/>
                <w:lang w:val="ru-RU" w:eastAsia="zh-CN"/>
              </w:rPr>
              <w:t>苏州汾湖水务发展有限公司（黎里工业再生水厂）</w:t>
            </w:r>
            <w:r>
              <w:rPr>
                <w:rFonts w:hint="default" w:ascii="Times New Roman" w:hAnsi="Times New Roman" w:eastAsia="宋体" w:cs="Times New Roman"/>
                <w:color w:val="auto"/>
                <w:sz w:val="24"/>
                <w:szCs w:val="24"/>
              </w:rPr>
              <w:t>处理，污水执行</w:t>
            </w:r>
            <w:r>
              <w:rPr>
                <w:rFonts w:hint="eastAsia" w:cs="Times New Roman"/>
                <w:color w:val="auto"/>
                <w:sz w:val="24"/>
                <w:szCs w:val="24"/>
                <w:lang w:val="ru-RU" w:eastAsia="zh-CN"/>
              </w:rPr>
              <w:t>苏州汾湖水务发展有限公司（黎里工业再生水厂）</w:t>
            </w:r>
            <w:r>
              <w:rPr>
                <w:rFonts w:hint="default" w:ascii="Times New Roman" w:hAnsi="Times New Roman" w:eastAsia="宋体" w:cs="Times New Roman"/>
                <w:color w:val="auto"/>
                <w:sz w:val="24"/>
                <w:szCs w:val="24"/>
              </w:rPr>
              <w:t>接管标准。</w:t>
            </w:r>
          </w:p>
          <w:p w14:paraId="489A3B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bCs/>
                <w:color w:val="auto"/>
              </w:rPr>
            </w:pPr>
            <w:r>
              <w:rPr>
                <w:rFonts w:hint="eastAsia" w:cs="Times New Roman"/>
                <w:color w:val="auto"/>
                <w:sz w:val="24"/>
                <w:szCs w:val="24"/>
                <w:lang w:val="ru-RU" w:eastAsia="zh-CN"/>
              </w:rPr>
              <w:t>苏州汾湖水务发展有限公司（黎里工业再生水厂）</w:t>
            </w:r>
            <w:r>
              <w:rPr>
                <w:rFonts w:hint="default" w:ascii="Times New Roman" w:hAnsi="Times New Roman" w:eastAsia="宋体" w:cs="Times New Roman"/>
                <w:color w:val="auto"/>
                <w:sz w:val="24"/>
                <w:szCs w:val="24"/>
              </w:rPr>
              <w:t>排口：目前，</w:t>
            </w:r>
            <w:r>
              <w:rPr>
                <w:rFonts w:hint="eastAsia" w:cs="Times New Roman"/>
                <w:color w:val="auto"/>
                <w:sz w:val="24"/>
                <w:szCs w:val="24"/>
                <w:lang w:val="ru-RU" w:eastAsia="zh-CN"/>
              </w:rPr>
              <w:t>苏州汾湖水务发展有限公司（黎里工业再生水厂）</w:t>
            </w:r>
            <w:r>
              <w:rPr>
                <w:rFonts w:hint="default" w:ascii="Times New Roman" w:hAnsi="Times New Roman" w:eastAsia="宋体" w:cs="Times New Roman"/>
                <w:color w:val="auto"/>
                <w:sz w:val="24"/>
                <w:szCs w:val="24"/>
              </w:rPr>
              <w:t>排放尾水水质</w:t>
            </w:r>
            <w:r>
              <w:rPr>
                <w:rFonts w:hint="eastAsia" w:cs="Times New Roman"/>
                <w:color w:val="auto"/>
                <w:sz w:val="24"/>
                <w:szCs w:val="24"/>
                <w:lang w:val="en-US" w:eastAsia="zh-CN"/>
              </w:rPr>
              <w:t>pH、</w:t>
            </w:r>
            <w:r>
              <w:rPr>
                <w:rFonts w:hint="default" w:ascii="Times New Roman" w:hAnsi="Times New Roman" w:eastAsia="宋体" w:cs="Times New Roman"/>
                <w:color w:val="auto"/>
                <w:sz w:val="24"/>
                <w:szCs w:val="24"/>
              </w:rPr>
              <w:t>COD、氨氮、总氮、总磷</w:t>
            </w:r>
            <w:r>
              <w:rPr>
                <w:rFonts w:hint="eastAsia" w:cs="Times New Roman"/>
                <w:color w:val="auto"/>
                <w:sz w:val="24"/>
                <w:szCs w:val="24"/>
                <w:lang w:eastAsia="zh-CN"/>
              </w:rPr>
              <w:t>、</w:t>
            </w:r>
            <w:r>
              <w:rPr>
                <w:rFonts w:hint="eastAsia" w:cs="Times New Roman"/>
                <w:color w:val="auto"/>
                <w:sz w:val="24"/>
                <w:szCs w:val="24"/>
                <w:lang w:val="en-US" w:eastAsia="zh-CN"/>
              </w:rPr>
              <w:t>SS</w:t>
            </w:r>
            <w:r>
              <w:rPr>
                <w:rFonts w:hint="default" w:ascii="Times New Roman" w:hAnsi="Times New Roman" w:eastAsia="宋体" w:cs="Times New Roman"/>
                <w:color w:val="auto"/>
                <w:sz w:val="24"/>
                <w:szCs w:val="24"/>
              </w:rPr>
              <w:t>执行《城镇污水处理厂污染物排放标准》（GB18918-2002）</w:t>
            </w:r>
            <w:r>
              <w:rPr>
                <w:rFonts w:hint="eastAsia" w:cs="Times New Roman"/>
                <w:color w:val="auto"/>
                <w:sz w:val="24"/>
                <w:szCs w:val="24"/>
                <w:lang w:val="en-US" w:eastAsia="zh-CN"/>
              </w:rPr>
              <w:t>及修改单</w:t>
            </w:r>
            <w:r>
              <w:rPr>
                <w:rFonts w:hint="default" w:ascii="Times New Roman" w:hAnsi="Times New Roman" w:eastAsia="宋体" w:cs="Times New Roman"/>
                <w:color w:val="auto"/>
                <w:sz w:val="24"/>
                <w:szCs w:val="24"/>
                <w:highlight w:val="none"/>
                <w:lang w:val="en-US" w:eastAsia="zh-CN"/>
              </w:rPr>
              <w:t>。</w:t>
            </w:r>
          </w:p>
          <w:p w14:paraId="4E70CC15">
            <w:pPr>
              <w:keepNext w:val="0"/>
              <w:keepLines w:val="0"/>
              <w:pageBreakBefore w:val="0"/>
              <w:widowControl w:val="0"/>
              <w:kinsoku/>
              <w:wordWrap/>
              <w:overflowPunct/>
              <w:topLinePunct w:val="0"/>
              <w:autoSpaceDE/>
              <w:autoSpaceDN/>
              <w:bidi w:val="0"/>
              <w:adjustRightInd/>
              <w:snapToGrid/>
              <w:jc w:val="center"/>
              <w:textAlignment w:val="auto"/>
              <w:rPr>
                <w:b/>
                <w:bCs/>
                <w:color w:val="auto"/>
              </w:rPr>
            </w:pPr>
            <w:r>
              <w:rPr>
                <w:b/>
                <w:bCs/>
                <w:color w:val="auto"/>
              </w:rPr>
              <w:t>表</w:t>
            </w:r>
            <w:r>
              <w:rPr>
                <w:rFonts w:hint="eastAsia"/>
                <w:b/>
                <w:bCs/>
                <w:color w:val="auto"/>
              </w:rPr>
              <w:t>3</w:t>
            </w:r>
            <w:r>
              <w:rPr>
                <w:b/>
                <w:bCs/>
                <w:color w:val="auto"/>
              </w:rPr>
              <w:t>-</w:t>
            </w:r>
            <w:r>
              <w:rPr>
                <w:rFonts w:hint="eastAsia"/>
                <w:b/>
                <w:bCs/>
                <w:color w:val="auto"/>
                <w:lang w:val="en-US" w:eastAsia="zh-CN"/>
              </w:rPr>
              <w:t>7</w:t>
            </w:r>
            <w:r>
              <w:rPr>
                <w:b/>
                <w:bCs/>
                <w:color w:val="auto"/>
              </w:rPr>
              <w:t xml:space="preserve"> 水污染物排放标准</w:t>
            </w:r>
          </w:p>
          <w:tbl>
            <w:tblPr>
              <w:tblStyle w:val="20"/>
              <w:tblW w:w="829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2629"/>
              <w:gridCol w:w="1385"/>
              <w:gridCol w:w="1381"/>
              <w:gridCol w:w="1544"/>
            </w:tblGrid>
            <w:tr w14:paraId="31D9D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tcBorders>
                    <w:top w:val="single" w:color="auto" w:sz="12" w:space="0"/>
                    <w:left w:val="nil"/>
                    <w:bottom w:val="single" w:color="auto" w:sz="4" w:space="0"/>
                    <w:right w:val="single" w:color="auto" w:sz="4" w:space="0"/>
                  </w:tcBorders>
                  <w:noWrap w:val="0"/>
                  <w:vAlign w:val="center"/>
                </w:tcPr>
                <w:p w14:paraId="67266668">
                  <w:pPr>
                    <w:autoSpaceDE w:val="0"/>
                    <w:autoSpaceDN w:val="0"/>
                    <w:adjustRightInd w:val="0"/>
                    <w:snapToGrid w:val="0"/>
                    <w:jc w:val="center"/>
                    <w:rPr>
                      <w:b/>
                      <w:bCs/>
                      <w:color w:val="auto"/>
                      <w:szCs w:val="21"/>
                      <w:highlight w:val="none"/>
                    </w:rPr>
                  </w:pPr>
                  <w:r>
                    <w:rPr>
                      <w:rFonts w:hAnsi="宋体"/>
                      <w:b/>
                      <w:bCs/>
                      <w:color w:val="auto"/>
                      <w:szCs w:val="21"/>
                      <w:highlight w:val="none"/>
                    </w:rPr>
                    <w:t>排放口名称</w:t>
                  </w:r>
                </w:p>
              </w:tc>
              <w:tc>
                <w:tcPr>
                  <w:tcW w:w="2629" w:type="dxa"/>
                  <w:tcBorders>
                    <w:top w:val="single" w:color="auto" w:sz="12" w:space="0"/>
                    <w:left w:val="single" w:color="auto" w:sz="4" w:space="0"/>
                    <w:bottom w:val="single" w:color="auto" w:sz="4" w:space="0"/>
                    <w:right w:val="single" w:color="auto" w:sz="4" w:space="0"/>
                  </w:tcBorders>
                  <w:noWrap w:val="0"/>
                  <w:vAlign w:val="center"/>
                </w:tcPr>
                <w:p w14:paraId="57D7FA7F">
                  <w:pPr>
                    <w:autoSpaceDE w:val="0"/>
                    <w:autoSpaceDN w:val="0"/>
                    <w:adjustRightInd w:val="0"/>
                    <w:snapToGrid w:val="0"/>
                    <w:jc w:val="center"/>
                    <w:rPr>
                      <w:b/>
                      <w:bCs/>
                      <w:color w:val="auto"/>
                      <w:szCs w:val="21"/>
                      <w:highlight w:val="none"/>
                    </w:rPr>
                  </w:pPr>
                  <w:r>
                    <w:rPr>
                      <w:rFonts w:hAnsi="宋体"/>
                      <w:b/>
                      <w:bCs/>
                      <w:color w:val="auto"/>
                      <w:szCs w:val="21"/>
                      <w:highlight w:val="none"/>
                    </w:rPr>
                    <w:t>执行标准</w:t>
                  </w:r>
                </w:p>
              </w:tc>
              <w:tc>
                <w:tcPr>
                  <w:tcW w:w="1385" w:type="dxa"/>
                  <w:tcBorders>
                    <w:top w:val="single" w:color="auto" w:sz="12" w:space="0"/>
                    <w:left w:val="single" w:color="auto" w:sz="4" w:space="0"/>
                    <w:bottom w:val="single" w:color="auto" w:sz="4" w:space="0"/>
                    <w:right w:val="single" w:color="auto" w:sz="4" w:space="0"/>
                  </w:tcBorders>
                  <w:noWrap w:val="0"/>
                  <w:vAlign w:val="center"/>
                </w:tcPr>
                <w:p w14:paraId="3B07A513">
                  <w:pPr>
                    <w:autoSpaceDE w:val="0"/>
                    <w:autoSpaceDN w:val="0"/>
                    <w:adjustRightInd w:val="0"/>
                    <w:snapToGrid w:val="0"/>
                    <w:jc w:val="center"/>
                    <w:rPr>
                      <w:b/>
                      <w:bCs/>
                      <w:color w:val="auto"/>
                      <w:szCs w:val="21"/>
                      <w:highlight w:val="none"/>
                    </w:rPr>
                  </w:pPr>
                  <w:r>
                    <w:rPr>
                      <w:rFonts w:hAnsi="宋体"/>
                      <w:b/>
                      <w:bCs/>
                      <w:color w:val="auto"/>
                      <w:szCs w:val="21"/>
                      <w:highlight w:val="none"/>
                    </w:rPr>
                    <w:t>取值表号及级别</w:t>
                  </w:r>
                </w:p>
              </w:tc>
              <w:tc>
                <w:tcPr>
                  <w:tcW w:w="1381" w:type="dxa"/>
                  <w:tcBorders>
                    <w:top w:val="single" w:color="auto" w:sz="12" w:space="0"/>
                    <w:left w:val="single" w:color="auto" w:sz="4" w:space="0"/>
                    <w:bottom w:val="single" w:color="auto" w:sz="4" w:space="0"/>
                    <w:right w:val="single" w:color="auto" w:sz="4" w:space="0"/>
                  </w:tcBorders>
                  <w:noWrap w:val="0"/>
                  <w:vAlign w:val="center"/>
                </w:tcPr>
                <w:p w14:paraId="28C1D2D1">
                  <w:pPr>
                    <w:autoSpaceDE w:val="0"/>
                    <w:autoSpaceDN w:val="0"/>
                    <w:adjustRightInd w:val="0"/>
                    <w:snapToGrid w:val="0"/>
                    <w:jc w:val="center"/>
                    <w:rPr>
                      <w:b/>
                      <w:bCs/>
                      <w:color w:val="auto"/>
                      <w:szCs w:val="21"/>
                      <w:highlight w:val="none"/>
                    </w:rPr>
                  </w:pPr>
                  <w:r>
                    <w:rPr>
                      <w:rFonts w:hAnsi="宋体"/>
                      <w:b/>
                      <w:bCs/>
                      <w:color w:val="auto"/>
                      <w:szCs w:val="21"/>
                      <w:highlight w:val="none"/>
                    </w:rPr>
                    <w:t>污染物指标</w:t>
                  </w:r>
                </w:p>
              </w:tc>
              <w:tc>
                <w:tcPr>
                  <w:tcW w:w="1544" w:type="dxa"/>
                  <w:tcBorders>
                    <w:top w:val="single" w:color="auto" w:sz="12" w:space="0"/>
                    <w:left w:val="single" w:color="auto" w:sz="4" w:space="0"/>
                    <w:bottom w:val="single" w:color="auto" w:sz="4" w:space="0"/>
                    <w:right w:val="nil"/>
                  </w:tcBorders>
                  <w:noWrap w:val="0"/>
                  <w:vAlign w:val="center"/>
                </w:tcPr>
                <w:p w14:paraId="58D8024C">
                  <w:pPr>
                    <w:autoSpaceDE w:val="0"/>
                    <w:autoSpaceDN w:val="0"/>
                    <w:adjustRightInd w:val="0"/>
                    <w:snapToGrid w:val="0"/>
                    <w:jc w:val="center"/>
                    <w:rPr>
                      <w:b/>
                      <w:bCs/>
                      <w:color w:val="auto"/>
                      <w:szCs w:val="21"/>
                      <w:highlight w:val="none"/>
                    </w:rPr>
                  </w:pPr>
                  <w:r>
                    <w:rPr>
                      <w:rFonts w:hAnsi="宋体"/>
                      <w:b/>
                      <w:bCs/>
                      <w:color w:val="auto"/>
                      <w:szCs w:val="21"/>
                      <w:highlight w:val="none"/>
                    </w:rPr>
                    <w:t>标准限值</w:t>
                  </w:r>
                  <w:r>
                    <w:rPr>
                      <w:b/>
                      <w:bCs/>
                      <w:color w:val="auto"/>
                      <w:szCs w:val="21"/>
                      <w:highlight w:val="none"/>
                    </w:rPr>
                    <w:t>mg/L</w:t>
                  </w:r>
                </w:p>
              </w:tc>
            </w:tr>
            <w:tr w14:paraId="6808A7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restart"/>
                  <w:tcBorders>
                    <w:top w:val="single" w:color="auto" w:sz="4" w:space="0"/>
                    <w:left w:val="nil"/>
                    <w:bottom w:val="single" w:color="auto" w:sz="4" w:space="0"/>
                    <w:right w:val="single" w:color="auto" w:sz="4" w:space="0"/>
                  </w:tcBorders>
                  <w:noWrap w:val="0"/>
                  <w:vAlign w:val="center"/>
                </w:tcPr>
                <w:p w14:paraId="70AF62AD">
                  <w:pPr>
                    <w:autoSpaceDE w:val="0"/>
                    <w:autoSpaceDN w:val="0"/>
                    <w:adjustRightInd w:val="0"/>
                    <w:snapToGrid w:val="0"/>
                    <w:jc w:val="center"/>
                    <w:rPr>
                      <w:color w:val="auto"/>
                      <w:szCs w:val="21"/>
                      <w:highlight w:val="none"/>
                    </w:rPr>
                  </w:pPr>
                  <w:r>
                    <w:rPr>
                      <w:rFonts w:hAnsi="宋体"/>
                      <w:color w:val="auto"/>
                      <w:szCs w:val="21"/>
                      <w:highlight w:val="none"/>
                    </w:rPr>
                    <w:t>本项目排口</w:t>
                  </w:r>
                </w:p>
              </w:tc>
              <w:tc>
                <w:tcPr>
                  <w:tcW w:w="2629" w:type="dxa"/>
                  <w:vMerge w:val="restart"/>
                  <w:tcBorders>
                    <w:top w:val="single" w:color="auto" w:sz="4" w:space="0"/>
                    <w:left w:val="single" w:color="auto" w:sz="4" w:space="0"/>
                    <w:right w:val="single" w:color="auto" w:sz="4" w:space="0"/>
                  </w:tcBorders>
                  <w:noWrap w:val="0"/>
                  <w:vAlign w:val="center"/>
                </w:tcPr>
                <w:p w14:paraId="3B58BC70">
                  <w:pPr>
                    <w:autoSpaceDE w:val="0"/>
                    <w:autoSpaceDN w:val="0"/>
                    <w:adjustRightInd w:val="0"/>
                    <w:snapToGrid w:val="0"/>
                    <w:jc w:val="center"/>
                    <w:rPr>
                      <w:color w:val="auto"/>
                      <w:szCs w:val="21"/>
                      <w:highlight w:val="none"/>
                    </w:rPr>
                  </w:pPr>
                  <w:r>
                    <w:rPr>
                      <w:rFonts w:hAnsi="宋体"/>
                      <w:color w:val="auto"/>
                      <w:szCs w:val="21"/>
                      <w:highlight w:val="none"/>
                    </w:rPr>
                    <w:t>《污水综合排放标准》</w:t>
                  </w:r>
                </w:p>
                <w:p w14:paraId="30DD767B">
                  <w:pPr>
                    <w:autoSpaceDE w:val="0"/>
                    <w:autoSpaceDN w:val="0"/>
                    <w:adjustRightInd w:val="0"/>
                    <w:snapToGrid w:val="0"/>
                    <w:jc w:val="center"/>
                    <w:rPr>
                      <w:color w:val="auto"/>
                      <w:szCs w:val="21"/>
                      <w:highlight w:val="none"/>
                    </w:rPr>
                  </w:pPr>
                  <w:r>
                    <w:rPr>
                      <w:rFonts w:hAnsi="宋体"/>
                      <w:color w:val="auto"/>
                      <w:szCs w:val="21"/>
                      <w:highlight w:val="none"/>
                    </w:rPr>
                    <w:t>（</w:t>
                  </w:r>
                  <w:r>
                    <w:rPr>
                      <w:color w:val="auto"/>
                      <w:szCs w:val="21"/>
                      <w:highlight w:val="none"/>
                    </w:rPr>
                    <w:t>GB8978</w:t>
                  </w:r>
                  <w:r>
                    <w:rPr>
                      <w:rFonts w:hAnsi="宋体"/>
                      <w:color w:val="auto"/>
                      <w:szCs w:val="21"/>
                      <w:highlight w:val="none"/>
                    </w:rPr>
                    <w:t>－</w:t>
                  </w:r>
                  <w:r>
                    <w:rPr>
                      <w:color w:val="auto"/>
                      <w:szCs w:val="21"/>
                      <w:highlight w:val="none"/>
                    </w:rPr>
                    <w:t>1996</w:t>
                  </w:r>
                  <w:r>
                    <w:rPr>
                      <w:rFonts w:hAnsi="宋体"/>
                      <w:color w:val="auto"/>
                      <w:szCs w:val="21"/>
                      <w:highlight w:val="none"/>
                    </w:rPr>
                    <w:t>）</w:t>
                  </w:r>
                </w:p>
              </w:tc>
              <w:tc>
                <w:tcPr>
                  <w:tcW w:w="1385" w:type="dxa"/>
                  <w:vMerge w:val="restart"/>
                  <w:tcBorders>
                    <w:top w:val="single" w:color="auto" w:sz="4" w:space="0"/>
                    <w:left w:val="single" w:color="auto" w:sz="4" w:space="0"/>
                    <w:right w:val="single" w:color="auto" w:sz="4" w:space="0"/>
                  </w:tcBorders>
                  <w:noWrap w:val="0"/>
                  <w:vAlign w:val="center"/>
                </w:tcPr>
                <w:p w14:paraId="6F91590F">
                  <w:pPr>
                    <w:autoSpaceDE w:val="0"/>
                    <w:autoSpaceDN w:val="0"/>
                    <w:adjustRightInd w:val="0"/>
                    <w:snapToGrid w:val="0"/>
                    <w:jc w:val="center"/>
                    <w:rPr>
                      <w:color w:val="auto"/>
                      <w:szCs w:val="21"/>
                      <w:highlight w:val="none"/>
                    </w:rPr>
                  </w:pPr>
                  <w:r>
                    <w:rPr>
                      <w:rFonts w:hAnsi="宋体"/>
                      <w:color w:val="auto"/>
                      <w:szCs w:val="21"/>
                      <w:highlight w:val="none"/>
                    </w:rPr>
                    <w:t>表</w:t>
                  </w:r>
                  <w:r>
                    <w:rPr>
                      <w:color w:val="auto"/>
                      <w:szCs w:val="21"/>
                      <w:highlight w:val="none"/>
                    </w:rPr>
                    <w:t>4</w:t>
                  </w:r>
                </w:p>
                <w:p w14:paraId="3F4F5FC6">
                  <w:pPr>
                    <w:autoSpaceDE w:val="0"/>
                    <w:autoSpaceDN w:val="0"/>
                    <w:adjustRightInd w:val="0"/>
                    <w:snapToGrid w:val="0"/>
                    <w:jc w:val="center"/>
                    <w:rPr>
                      <w:color w:val="auto"/>
                      <w:szCs w:val="21"/>
                      <w:highlight w:val="none"/>
                    </w:rPr>
                  </w:pPr>
                  <w:r>
                    <w:rPr>
                      <w:rFonts w:hAnsi="宋体"/>
                      <w:color w:val="auto"/>
                      <w:szCs w:val="21"/>
                      <w:highlight w:val="none"/>
                    </w:rPr>
                    <w:t>三级标准</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0EAA602">
                  <w:pPr>
                    <w:autoSpaceDE w:val="0"/>
                    <w:autoSpaceDN w:val="0"/>
                    <w:adjustRightInd w:val="0"/>
                    <w:snapToGrid w:val="0"/>
                    <w:jc w:val="center"/>
                    <w:rPr>
                      <w:color w:val="auto"/>
                      <w:szCs w:val="21"/>
                      <w:highlight w:val="none"/>
                    </w:rPr>
                  </w:pPr>
                  <w:r>
                    <w:rPr>
                      <w:color w:val="auto"/>
                      <w:szCs w:val="21"/>
                      <w:highlight w:val="none"/>
                    </w:rPr>
                    <w:t>SS</w:t>
                  </w:r>
                </w:p>
              </w:tc>
              <w:tc>
                <w:tcPr>
                  <w:tcW w:w="1544" w:type="dxa"/>
                  <w:tcBorders>
                    <w:top w:val="single" w:color="auto" w:sz="4" w:space="0"/>
                    <w:left w:val="single" w:color="auto" w:sz="4" w:space="0"/>
                    <w:bottom w:val="single" w:color="auto" w:sz="4" w:space="0"/>
                    <w:right w:val="nil"/>
                  </w:tcBorders>
                  <w:noWrap w:val="0"/>
                  <w:vAlign w:val="center"/>
                </w:tcPr>
                <w:p w14:paraId="0E0105A0">
                  <w:pPr>
                    <w:autoSpaceDE w:val="0"/>
                    <w:autoSpaceDN w:val="0"/>
                    <w:adjustRightInd w:val="0"/>
                    <w:snapToGrid w:val="0"/>
                    <w:jc w:val="center"/>
                    <w:rPr>
                      <w:color w:val="auto"/>
                      <w:szCs w:val="21"/>
                      <w:highlight w:val="none"/>
                    </w:rPr>
                  </w:pPr>
                  <w:r>
                    <w:rPr>
                      <w:color w:val="auto"/>
                      <w:szCs w:val="21"/>
                      <w:highlight w:val="none"/>
                    </w:rPr>
                    <w:t>400</w:t>
                  </w:r>
                </w:p>
              </w:tc>
            </w:tr>
            <w:tr w14:paraId="11635C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top w:val="single" w:color="auto" w:sz="4" w:space="0"/>
                    <w:left w:val="nil"/>
                    <w:bottom w:val="single" w:color="auto" w:sz="4" w:space="0"/>
                    <w:right w:val="single" w:color="auto" w:sz="4" w:space="0"/>
                  </w:tcBorders>
                  <w:noWrap w:val="0"/>
                  <w:vAlign w:val="center"/>
                </w:tcPr>
                <w:p w14:paraId="66317727">
                  <w:pPr>
                    <w:autoSpaceDE w:val="0"/>
                    <w:autoSpaceDN w:val="0"/>
                    <w:adjustRightInd w:val="0"/>
                    <w:snapToGrid w:val="0"/>
                    <w:jc w:val="center"/>
                    <w:rPr>
                      <w:rFonts w:hAnsi="宋体"/>
                      <w:color w:val="auto"/>
                      <w:szCs w:val="21"/>
                      <w:highlight w:val="none"/>
                    </w:rPr>
                  </w:pPr>
                </w:p>
              </w:tc>
              <w:tc>
                <w:tcPr>
                  <w:tcW w:w="2629" w:type="dxa"/>
                  <w:vMerge w:val="continue"/>
                  <w:tcBorders>
                    <w:left w:val="single" w:color="auto" w:sz="4" w:space="0"/>
                    <w:right w:val="single" w:color="auto" w:sz="4" w:space="0"/>
                  </w:tcBorders>
                  <w:noWrap w:val="0"/>
                  <w:vAlign w:val="center"/>
                </w:tcPr>
                <w:p w14:paraId="35F4806A">
                  <w:pPr>
                    <w:autoSpaceDE w:val="0"/>
                    <w:autoSpaceDN w:val="0"/>
                    <w:adjustRightInd w:val="0"/>
                    <w:snapToGrid w:val="0"/>
                    <w:jc w:val="center"/>
                    <w:rPr>
                      <w:rFonts w:hAnsi="宋体"/>
                      <w:color w:val="auto"/>
                      <w:szCs w:val="21"/>
                      <w:highlight w:val="none"/>
                    </w:rPr>
                  </w:pPr>
                </w:p>
              </w:tc>
              <w:tc>
                <w:tcPr>
                  <w:tcW w:w="1385" w:type="dxa"/>
                  <w:vMerge w:val="continue"/>
                  <w:tcBorders>
                    <w:left w:val="single" w:color="auto" w:sz="4" w:space="0"/>
                    <w:right w:val="single" w:color="auto" w:sz="4" w:space="0"/>
                  </w:tcBorders>
                  <w:noWrap w:val="0"/>
                  <w:vAlign w:val="center"/>
                </w:tcPr>
                <w:p w14:paraId="3FA7E65A">
                  <w:pPr>
                    <w:autoSpaceDE w:val="0"/>
                    <w:autoSpaceDN w:val="0"/>
                    <w:adjustRightInd w:val="0"/>
                    <w:snapToGrid w:val="0"/>
                    <w:jc w:val="center"/>
                    <w:rPr>
                      <w:rFonts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689F778D">
                  <w:pPr>
                    <w:autoSpaceDE w:val="0"/>
                    <w:autoSpaceDN w:val="0"/>
                    <w:adjustRightInd w:val="0"/>
                    <w:snapToGrid w:val="0"/>
                    <w:jc w:val="center"/>
                    <w:rPr>
                      <w:color w:val="auto"/>
                      <w:szCs w:val="21"/>
                      <w:highlight w:val="none"/>
                    </w:rPr>
                  </w:pPr>
                  <w:r>
                    <w:rPr>
                      <w:rFonts w:hint="eastAsia"/>
                      <w:color w:val="auto"/>
                      <w:szCs w:val="21"/>
                      <w:highlight w:val="none"/>
                      <w:lang w:eastAsia="zh-CN"/>
                    </w:rPr>
                    <w:t>pH</w:t>
                  </w:r>
                  <w:r>
                    <w:rPr>
                      <w:rFonts w:hAnsi="宋体"/>
                      <w:color w:val="auto"/>
                      <w:szCs w:val="21"/>
                      <w:highlight w:val="none"/>
                    </w:rPr>
                    <w:t>（无量纲）</w:t>
                  </w:r>
                </w:p>
              </w:tc>
              <w:tc>
                <w:tcPr>
                  <w:tcW w:w="1544" w:type="dxa"/>
                  <w:tcBorders>
                    <w:top w:val="single" w:color="auto" w:sz="4" w:space="0"/>
                    <w:left w:val="single" w:color="auto" w:sz="4" w:space="0"/>
                    <w:bottom w:val="single" w:color="auto" w:sz="4" w:space="0"/>
                    <w:right w:val="nil"/>
                  </w:tcBorders>
                  <w:noWrap w:val="0"/>
                  <w:vAlign w:val="center"/>
                </w:tcPr>
                <w:p w14:paraId="67A782AE">
                  <w:pPr>
                    <w:autoSpaceDE w:val="0"/>
                    <w:autoSpaceDN w:val="0"/>
                    <w:adjustRightInd w:val="0"/>
                    <w:snapToGrid w:val="0"/>
                    <w:jc w:val="center"/>
                    <w:rPr>
                      <w:color w:val="auto"/>
                      <w:szCs w:val="21"/>
                      <w:highlight w:val="none"/>
                    </w:rPr>
                  </w:pPr>
                  <w:r>
                    <w:rPr>
                      <w:rFonts w:hint="eastAsia"/>
                      <w:color w:val="auto"/>
                      <w:szCs w:val="21"/>
                      <w:highlight w:val="none"/>
                    </w:rPr>
                    <w:t>6</w:t>
                  </w:r>
                  <w:r>
                    <w:rPr>
                      <w:rFonts w:hAnsi="宋体"/>
                      <w:color w:val="auto"/>
                      <w:szCs w:val="21"/>
                      <w:highlight w:val="none"/>
                    </w:rPr>
                    <w:t>～</w:t>
                  </w:r>
                  <w:r>
                    <w:rPr>
                      <w:color w:val="auto"/>
                      <w:szCs w:val="21"/>
                      <w:highlight w:val="none"/>
                    </w:rPr>
                    <w:t>9</w:t>
                  </w:r>
                </w:p>
              </w:tc>
            </w:tr>
            <w:tr w14:paraId="75E475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top w:val="single" w:color="auto" w:sz="4" w:space="0"/>
                    <w:left w:val="nil"/>
                    <w:bottom w:val="single" w:color="auto" w:sz="4" w:space="0"/>
                    <w:right w:val="single" w:color="auto" w:sz="4" w:space="0"/>
                  </w:tcBorders>
                  <w:noWrap w:val="0"/>
                  <w:vAlign w:val="center"/>
                </w:tcPr>
                <w:p w14:paraId="32EBEDE7">
                  <w:pPr>
                    <w:autoSpaceDE w:val="0"/>
                    <w:autoSpaceDN w:val="0"/>
                    <w:adjustRightInd w:val="0"/>
                    <w:snapToGrid w:val="0"/>
                    <w:jc w:val="center"/>
                    <w:rPr>
                      <w:rFonts w:hAnsi="宋体"/>
                      <w:color w:val="auto"/>
                      <w:szCs w:val="21"/>
                      <w:highlight w:val="none"/>
                    </w:rPr>
                  </w:pPr>
                </w:p>
              </w:tc>
              <w:tc>
                <w:tcPr>
                  <w:tcW w:w="2629" w:type="dxa"/>
                  <w:vMerge w:val="continue"/>
                  <w:tcBorders>
                    <w:left w:val="single" w:color="auto" w:sz="4" w:space="0"/>
                    <w:bottom w:val="single" w:color="auto" w:sz="4" w:space="0"/>
                    <w:right w:val="single" w:color="auto" w:sz="4" w:space="0"/>
                  </w:tcBorders>
                  <w:noWrap w:val="0"/>
                  <w:vAlign w:val="center"/>
                </w:tcPr>
                <w:p w14:paraId="7264010B">
                  <w:pPr>
                    <w:autoSpaceDE w:val="0"/>
                    <w:autoSpaceDN w:val="0"/>
                    <w:adjustRightInd w:val="0"/>
                    <w:snapToGrid w:val="0"/>
                    <w:jc w:val="center"/>
                    <w:rPr>
                      <w:rFonts w:hAnsi="宋体"/>
                      <w:color w:val="auto"/>
                      <w:szCs w:val="21"/>
                      <w:highlight w:val="none"/>
                    </w:rPr>
                  </w:pPr>
                </w:p>
              </w:tc>
              <w:tc>
                <w:tcPr>
                  <w:tcW w:w="1385" w:type="dxa"/>
                  <w:vMerge w:val="continue"/>
                  <w:tcBorders>
                    <w:left w:val="single" w:color="auto" w:sz="4" w:space="0"/>
                    <w:bottom w:val="single" w:color="auto" w:sz="4" w:space="0"/>
                    <w:right w:val="single" w:color="auto" w:sz="4" w:space="0"/>
                  </w:tcBorders>
                  <w:noWrap w:val="0"/>
                  <w:vAlign w:val="center"/>
                </w:tcPr>
                <w:p w14:paraId="015675E4">
                  <w:pPr>
                    <w:autoSpaceDE w:val="0"/>
                    <w:autoSpaceDN w:val="0"/>
                    <w:adjustRightInd w:val="0"/>
                    <w:snapToGrid w:val="0"/>
                    <w:jc w:val="center"/>
                    <w:rPr>
                      <w:rFonts w:hAnsi="宋体"/>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BC9AE12">
                  <w:pPr>
                    <w:autoSpaceDE w:val="0"/>
                    <w:autoSpaceDN w:val="0"/>
                    <w:adjustRightInd w:val="0"/>
                    <w:snapToGrid w:val="0"/>
                    <w:jc w:val="center"/>
                    <w:rPr>
                      <w:color w:val="auto"/>
                      <w:szCs w:val="21"/>
                      <w:highlight w:val="none"/>
                    </w:rPr>
                  </w:pPr>
                  <w:r>
                    <w:rPr>
                      <w:color w:val="auto"/>
                      <w:szCs w:val="21"/>
                      <w:highlight w:val="none"/>
                    </w:rPr>
                    <w:t>COD</w:t>
                  </w:r>
                </w:p>
              </w:tc>
              <w:tc>
                <w:tcPr>
                  <w:tcW w:w="1544" w:type="dxa"/>
                  <w:tcBorders>
                    <w:top w:val="single" w:color="auto" w:sz="4" w:space="0"/>
                    <w:left w:val="single" w:color="auto" w:sz="4" w:space="0"/>
                    <w:bottom w:val="single" w:color="auto" w:sz="4" w:space="0"/>
                    <w:right w:val="nil"/>
                  </w:tcBorders>
                  <w:noWrap w:val="0"/>
                  <w:vAlign w:val="center"/>
                </w:tcPr>
                <w:p w14:paraId="46D95837">
                  <w:pPr>
                    <w:autoSpaceDE w:val="0"/>
                    <w:autoSpaceDN w:val="0"/>
                    <w:adjustRightInd w:val="0"/>
                    <w:snapToGrid w:val="0"/>
                    <w:jc w:val="center"/>
                    <w:rPr>
                      <w:color w:val="auto"/>
                      <w:szCs w:val="21"/>
                      <w:highlight w:val="none"/>
                    </w:rPr>
                  </w:pPr>
                  <w:r>
                    <w:rPr>
                      <w:color w:val="auto"/>
                      <w:szCs w:val="21"/>
                      <w:highlight w:val="none"/>
                    </w:rPr>
                    <w:t>500</w:t>
                  </w:r>
                </w:p>
              </w:tc>
            </w:tr>
            <w:tr w14:paraId="574E74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top w:val="single" w:color="auto" w:sz="4" w:space="0"/>
                    <w:left w:val="nil"/>
                    <w:bottom w:val="single" w:color="auto" w:sz="4" w:space="0"/>
                    <w:right w:val="single" w:color="auto" w:sz="4" w:space="0"/>
                  </w:tcBorders>
                  <w:noWrap w:val="0"/>
                  <w:vAlign w:val="center"/>
                </w:tcPr>
                <w:p w14:paraId="0B89C57D">
                  <w:pPr>
                    <w:rPr>
                      <w:color w:val="auto"/>
                      <w:szCs w:val="21"/>
                      <w:highlight w:val="none"/>
                    </w:rPr>
                  </w:pPr>
                </w:p>
              </w:tc>
              <w:tc>
                <w:tcPr>
                  <w:tcW w:w="2629" w:type="dxa"/>
                  <w:vMerge w:val="restart"/>
                  <w:tcBorders>
                    <w:top w:val="single" w:color="auto" w:sz="4" w:space="0"/>
                    <w:left w:val="single" w:color="auto" w:sz="4" w:space="0"/>
                    <w:bottom w:val="single" w:color="auto" w:sz="4" w:space="0"/>
                    <w:right w:val="single" w:color="auto" w:sz="4" w:space="0"/>
                  </w:tcBorders>
                  <w:noWrap w:val="0"/>
                  <w:vAlign w:val="center"/>
                </w:tcPr>
                <w:p w14:paraId="3230A613">
                  <w:pPr>
                    <w:autoSpaceDE w:val="0"/>
                    <w:autoSpaceDN w:val="0"/>
                    <w:adjustRightInd w:val="0"/>
                    <w:snapToGrid w:val="0"/>
                    <w:jc w:val="center"/>
                    <w:rPr>
                      <w:color w:val="auto"/>
                      <w:szCs w:val="21"/>
                      <w:highlight w:val="none"/>
                    </w:rPr>
                  </w:pPr>
                  <w:r>
                    <w:rPr>
                      <w:rFonts w:hint="eastAsia" w:hAnsi="宋体"/>
                      <w:color w:val="auto"/>
                      <w:szCs w:val="21"/>
                      <w:highlight w:val="none"/>
                    </w:rPr>
                    <w:t>《污水排入城镇下水道水质标准》（GB/T31962-2015）</w:t>
                  </w:r>
                </w:p>
              </w:tc>
              <w:tc>
                <w:tcPr>
                  <w:tcW w:w="1385" w:type="dxa"/>
                  <w:vMerge w:val="restart"/>
                  <w:tcBorders>
                    <w:top w:val="single" w:color="auto" w:sz="4" w:space="0"/>
                    <w:left w:val="single" w:color="auto" w:sz="4" w:space="0"/>
                    <w:bottom w:val="single" w:color="auto" w:sz="4" w:space="0"/>
                    <w:right w:val="single" w:color="auto" w:sz="4" w:space="0"/>
                  </w:tcBorders>
                  <w:noWrap w:val="0"/>
                  <w:vAlign w:val="center"/>
                </w:tcPr>
                <w:p w14:paraId="5B1A286E">
                  <w:pPr>
                    <w:autoSpaceDE w:val="0"/>
                    <w:autoSpaceDN w:val="0"/>
                    <w:adjustRightInd w:val="0"/>
                    <w:snapToGrid w:val="0"/>
                    <w:jc w:val="center"/>
                    <w:rPr>
                      <w:color w:val="auto"/>
                      <w:szCs w:val="21"/>
                      <w:highlight w:val="none"/>
                    </w:rPr>
                  </w:pPr>
                  <w:r>
                    <w:rPr>
                      <w:rFonts w:hint="eastAsia"/>
                      <w:color w:val="auto"/>
                      <w:szCs w:val="21"/>
                      <w:highlight w:val="none"/>
                    </w:rPr>
                    <w:t>表1B级标准</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245DA8A8">
                  <w:pPr>
                    <w:autoSpaceDE w:val="0"/>
                    <w:autoSpaceDN w:val="0"/>
                    <w:adjustRightInd w:val="0"/>
                    <w:snapToGrid w:val="0"/>
                    <w:jc w:val="center"/>
                    <w:rPr>
                      <w:color w:val="auto"/>
                      <w:szCs w:val="21"/>
                      <w:highlight w:val="none"/>
                    </w:rPr>
                  </w:pPr>
                  <w:r>
                    <w:rPr>
                      <w:rFonts w:hAnsi="宋体"/>
                      <w:color w:val="auto"/>
                      <w:szCs w:val="21"/>
                      <w:highlight w:val="none"/>
                    </w:rPr>
                    <w:t>氨氮</w:t>
                  </w:r>
                </w:p>
              </w:tc>
              <w:tc>
                <w:tcPr>
                  <w:tcW w:w="1544" w:type="dxa"/>
                  <w:tcBorders>
                    <w:top w:val="single" w:color="auto" w:sz="4" w:space="0"/>
                    <w:left w:val="single" w:color="auto" w:sz="4" w:space="0"/>
                    <w:bottom w:val="single" w:color="auto" w:sz="4" w:space="0"/>
                    <w:right w:val="nil"/>
                  </w:tcBorders>
                  <w:noWrap w:val="0"/>
                  <w:vAlign w:val="center"/>
                </w:tcPr>
                <w:p w14:paraId="7109DC83">
                  <w:pPr>
                    <w:autoSpaceDE w:val="0"/>
                    <w:autoSpaceDN w:val="0"/>
                    <w:adjustRightInd w:val="0"/>
                    <w:snapToGrid w:val="0"/>
                    <w:jc w:val="center"/>
                    <w:rPr>
                      <w:color w:val="auto"/>
                      <w:szCs w:val="21"/>
                      <w:highlight w:val="none"/>
                    </w:rPr>
                  </w:pPr>
                  <w:r>
                    <w:rPr>
                      <w:color w:val="auto"/>
                      <w:szCs w:val="21"/>
                      <w:highlight w:val="none"/>
                    </w:rPr>
                    <w:t>45</w:t>
                  </w:r>
                </w:p>
              </w:tc>
            </w:tr>
            <w:tr w14:paraId="2F7743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top w:val="single" w:color="auto" w:sz="4" w:space="0"/>
                    <w:left w:val="nil"/>
                    <w:bottom w:val="single" w:color="auto" w:sz="4" w:space="0"/>
                    <w:right w:val="single" w:color="auto" w:sz="4" w:space="0"/>
                  </w:tcBorders>
                  <w:noWrap w:val="0"/>
                  <w:vAlign w:val="center"/>
                </w:tcPr>
                <w:p w14:paraId="198E143E">
                  <w:pPr>
                    <w:rPr>
                      <w:color w:val="auto"/>
                      <w:szCs w:val="21"/>
                      <w:highlight w:val="none"/>
                    </w:rPr>
                  </w:pPr>
                </w:p>
              </w:tc>
              <w:tc>
                <w:tcPr>
                  <w:tcW w:w="2629" w:type="dxa"/>
                  <w:vMerge w:val="continue"/>
                  <w:tcBorders>
                    <w:top w:val="single" w:color="auto" w:sz="4" w:space="0"/>
                    <w:left w:val="single" w:color="auto" w:sz="4" w:space="0"/>
                    <w:bottom w:val="single" w:color="auto" w:sz="4" w:space="0"/>
                    <w:right w:val="single" w:color="auto" w:sz="4" w:space="0"/>
                  </w:tcBorders>
                  <w:noWrap w:val="0"/>
                  <w:vAlign w:val="center"/>
                </w:tcPr>
                <w:p w14:paraId="5A54E2D7">
                  <w:pPr>
                    <w:rPr>
                      <w:color w:val="auto"/>
                      <w:szCs w:val="21"/>
                      <w:highlight w:val="none"/>
                    </w:rPr>
                  </w:pPr>
                </w:p>
              </w:tc>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77302C9A">
                  <w:pPr>
                    <w:rPr>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6F7069C">
                  <w:pPr>
                    <w:autoSpaceDE w:val="0"/>
                    <w:autoSpaceDN w:val="0"/>
                    <w:adjustRightInd w:val="0"/>
                    <w:snapToGrid w:val="0"/>
                    <w:jc w:val="center"/>
                    <w:rPr>
                      <w:color w:val="auto"/>
                      <w:szCs w:val="21"/>
                      <w:highlight w:val="none"/>
                    </w:rPr>
                  </w:pPr>
                  <w:r>
                    <w:rPr>
                      <w:color w:val="auto"/>
                      <w:szCs w:val="21"/>
                      <w:highlight w:val="none"/>
                    </w:rPr>
                    <w:t>TN</w:t>
                  </w:r>
                </w:p>
              </w:tc>
              <w:tc>
                <w:tcPr>
                  <w:tcW w:w="1544" w:type="dxa"/>
                  <w:tcBorders>
                    <w:top w:val="single" w:color="auto" w:sz="4" w:space="0"/>
                    <w:left w:val="single" w:color="auto" w:sz="4" w:space="0"/>
                    <w:bottom w:val="single" w:color="auto" w:sz="4" w:space="0"/>
                    <w:right w:val="nil"/>
                  </w:tcBorders>
                  <w:noWrap w:val="0"/>
                  <w:vAlign w:val="center"/>
                </w:tcPr>
                <w:p w14:paraId="1E1C6A46">
                  <w:pPr>
                    <w:autoSpaceDE w:val="0"/>
                    <w:autoSpaceDN w:val="0"/>
                    <w:adjustRightInd w:val="0"/>
                    <w:snapToGrid w:val="0"/>
                    <w:jc w:val="center"/>
                    <w:rPr>
                      <w:color w:val="auto"/>
                      <w:szCs w:val="21"/>
                      <w:highlight w:val="none"/>
                    </w:rPr>
                  </w:pPr>
                  <w:r>
                    <w:rPr>
                      <w:color w:val="auto"/>
                      <w:szCs w:val="21"/>
                      <w:highlight w:val="none"/>
                    </w:rPr>
                    <w:t>70</w:t>
                  </w:r>
                </w:p>
              </w:tc>
            </w:tr>
            <w:tr w14:paraId="6B8749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9" w:hRule="atLeast"/>
              </w:trPr>
              <w:tc>
                <w:tcPr>
                  <w:tcW w:w="1353" w:type="dxa"/>
                  <w:vMerge w:val="continue"/>
                  <w:tcBorders>
                    <w:top w:val="single" w:color="auto" w:sz="4" w:space="0"/>
                    <w:left w:val="nil"/>
                    <w:bottom w:val="single" w:color="auto" w:sz="4" w:space="0"/>
                    <w:right w:val="single" w:color="auto" w:sz="4" w:space="0"/>
                  </w:tcBorders>
                  <w:noWrap w:val="0"/>
                  <w:vAlign w:val="center"/>
                </w:tcPr>
                <w:p w14:paraId="25B221E4">
                  <w:pPr>
                    <w:rPr>
                      <w:color w:val="auto"/>
                      <w:szCs w:val="21"/>
                      <w:highlight w:val="none"/>
                    </w:rPr>
                  </w:pPr>
                </w:p>
              </w:tc>
              <w:tc>
                <w:tcPr>
                  <w:tcW w:w="2629" w:type="dxa"/>
                  <w:vMerge w:val="continue"/>
                  <w:tcBorders>
                    <w:top w:val="single" w:color="auto" w:sz="4" w:space="0"/>
                    <w:left w:val="single" w:color="auto" w:sz="4" w:space="0"/>
                    <w:bottom w:val="single" w:color="auto" w:sz="4" w:space="0"/>
                    <w:right w:val="single" w:color="auto" w:sz="4" w:space="0"/>
                  </w:tcBorders>
                  <w:noWrap w:val="0"/>
                  <w:vAlign w:val="center"/>
                </w:tcPr>
                <w:p w14:paraId="1E3F0234">
                  <w:pPr>
                    <w:rPr>
                      <w:color w:val="auto"/>
                      <w:szCs w:val="21"/>
                      <w:highlight w:val="none"/>
                    </w:rPr>
                  </w:pPr>
                </w:p>
              </w:tc>
              <w:tc>
                <w:tcPr>
                  <w:tcW w:w="1385" w:type="dxa"/>
                  <w:vMerge w:val="continue"/>
                  <w:tcBorders>
                    <w:top w:val="single" w:color="auto" w:sz="4" w:space="0"/>
                    <w:left w:val="single" w:color="auto" w:sz="4" w:space="0"/>
                    <w:bottom w:val="single" w:color="auto" w:sz="4" w:space="0"/>
                    <w:right w:val="single" w:color="auto" w:sz="4" w:space="0"/>
                  </w:tcBorders>
                  <w:noWrap w:val="0"/>
                  <w:vAlign w:val="center"/>
                </w:tcPr>
                <w:p w14:paraId="0EF7AE37">
                  <w:pPr>
                    <w:rPr>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D2784F9">
                  <w:pPr>
                    <w:autoSpaceDE w:val="0"/>
                    <w:autoSpaceDN w:val="0"/>
                    <w:adjustRightInd w:val="0"/>
                    <w:snapToGrid w:val="0"/>
                    <w:jc w:val="center"/>
                    <w:rPr>
                      <w:color w:val="auto"/>
                      <w:szCs w:val="21"/>
                      <w:highlight w:val="none"/>
                    </w:rPr>
                  </w:pPr>
                  <w:r>
                    <w:rPr>
                      <w:color w:val="auto"/>
                      <w:szCs w:val="21"/>
                      <w:highlight w:val="none"/>
                    </w:rPr>
                    <w:t>TP</w:t>
                  </w:r>
                </w:p>
              </w:tc>
              <w:tc>
                <w:tcPr>
                  <w:tcW w:w="1544" w:type="dxa"/>
                  <w:tcBorders>
                    <w:top w:val="single" w:color="auto" w:sz="4" w:space="0"/>
                    <w:left w:val="single" w:color="auto" w:sz="4" w:space="0"/>
                    <w:bottom w:val="single" w:color="auto" w:sz="4" w:space="0"/>
                    <w:right w:val="nil"/>
                  </w:tcBorders>
                  <w:noWrap w:val="0"/>
                  <w:vAlign w:val="center"/>
                </w:tcPr>
                <w:p w14:paraId="6C029422">
                  <w:pPr>
                    <w:autoSpaceDE w:val="0"/>
                    <w:autoSpaceDN w:val="0"/>
                    <w:adjustRightInd w:val="0"/>
                    <w:snapToGrid w:val="0"/>
                    <w:jc w:val="center"/>
                    <w:rPr>
                      <w:color w:val="auto"/>
                      <w:szCs w:val="21"/>
                      <w:highlight w:val="none"/>
                    </w:rPr>
                  </w:pPr>
                  <w:r>
                    <w:rPr>
                      <w:color w:val="auto"/>
                      <w:szCs w:val="21"/>
                      <w:highlight w:val="none"/>
                    </w:rPr>
                    <w:t>8</w:t>
                  </w:r>
                </w:p>
              </w:tc>
            </w:tr>
            <w:tr w14:paraId="6C199C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restart"/>
                  <w:tcBorders>
                    <w:left w:val="nil"/>
                    <w:right w:val="single" w:color="auto" w:sz="4" w:space="0"/>
                  </w:tcBorders>
                  <w:noWrap w:val="0"/>
                  <w:vAlign w:val="center"/>
                </w:tcPr>
                <w:p w14:paraId="6E59A0D5">
                  <w:pPr>
                    <w:jc w:val="center"/>
                    <w:rPr>
                      <w:color w:val="auto"/>
                      <w:szCs w:val="21"/>
                      <w:highlight w:val="none"/>
                    </w:rPr>
                  </w:pPr>
                  <w:r>
                    <w:rPr>
                      <w:rFonts w:hAnsi="宋体"/>
                      <w:color w:val="auto"/>
                      <w:szCs w:val="21"/>
                      <w:highlight w:val="none"/>
                    </w:rPr>
                    <w:t>污水处理厂排口</w:t>
                  </w:r>
                </w:p>
              </w:tc>
              <w:tc>
                <w:tcPr>
                  <w:tcW w:w="2629" w:type="dxa"/>
                  <w:vMerge w:val="restart"/>
                  <w:tcBorders>
                    <w:top w:val="single" w:color="auto" w:sz="4" w:space="0"/>
                    <w:left w:val="single" w:color="auto" w:sz="4" w:space="0"/>
                    <w:right w:val="single" w:color="auto" w:sz="4" w:space="0"/>
                  </w:tcBorders>
                  <w:noWrap w:val="0"/>
                  <w:vAlign w:val="center"/>
                </w:tcPr>
                <w:p w14:paraId="27E0FDCC">
                  <w:pPr>
                    <w:autoSpaceDE w:val="0"/>
                    <w:autoSpaceDN w:val="0"/>
                    <w:adjustRightInd w:val="0"/>
                    <w:snapToGrid w:val="0"/>
                    <w:jc w:val="center"/>
                    <w:rPr>
                      <w:rFonts w:hint="default" w:eastAsia="宋体"/>
                      <w:color w:val="auto"/>
                      <w:szCs w:val="21"/>
                      <w:highlight w:val="none"/>
                      <w:lang w:val="en-US" w:eastAsia="zh-CN"/>
                    </w:rPr>
                  </w:pPr>
                  <w:r>
                    <w:rPr>
                      <w:rFonts w:hAnsi="宋体"/>
                      <w:color w:val="auto"/>
                      <w:szCs w:val="21"/>
                      <w:highlight w:val="none"/>
                    </w:rPr>
                    <w:t>《城镇污水处理厂污染物排放标准》（</w:t>
                  </w:r>
                  <w:r>
                    <w:rPr>
                      <w:color w:val="auto"/>
                      <w:szCs w:val="21"/>
                      <w:highlight w:val="none"/>
                    </w:rPr>
                    <w:t>GB18918-2002</w:t>
                  </w:r>
                  <w:r>
                    <w:rPr>
                      <w:rFonts w:hAnsi="宋体"/>
                      <w:color w:val="auto"/>
                      <w:szCs w:val="21"/>
                      <w:highlight w:val="none"/>
                    </w:rPr>
                    <w:t>）</w:t>
                  </w:r>
                  <w:r>
                    <w:rPr>
                      <w:rFonts w:hint="eastAsia" w:hAnsi="宋体"/>
                      <w:color w:val="auto"/>
                      <w:szCs w:val="21"/>
                      <w:highlight w:val="none"/>
                      <w:lang w:val="en-US" w:eastAsia="zh-CN"/>
                    </w:rPr>
                    <w:t>及修改单</w:t>
                  </w:r>
                </w:p>
              </w:tc>
              <w:tc>
                <w:tcPr>
                  <w:tcW w:w="1385" w:type="dxa"/>
                  <w:vMerge w:val="restart"/>
                  <w:tcBorders>
                    <w:top w:val="single" w:color="auto" w:sz="4" w:space="0"/>
                    <w:left w:val="single" w:color="auto" w:sz="4" w:space="0"/>
                    <w:right w:val="single" w:color="auto" w:sz="4" w:space="0"/>
                  </w:tcBorders>
                  <w:noWrap w:val="0"/>
                  <w:vAlign w:val="center"/>
                </w:tcPr>
                <w:p w14:paraId="697A22AC">
                  <w:pPr>
                    <w:autoSpaceDE w:val="0"/>
                    <w:autoSpaceDN w:val="0"/>
                    <w:adjustRightInd w:val="0"/>
                    <w:snapToGrid w:val="0"/>
                    <w:jc w:val="center"/>
                    <w:rPr>
                      <w:color w:val="auto"/>
                      <w:szCs w:val="21"/>
                      <w:highlight w:val="none"/>
                    </w:rPr>
                  </w:pPr>
                  <w:r>
                    <w:rPr>
                      <w:rFonts w:hAnsi="宋体"/>
                      <w:color w:val="auto"/>
                      <w:szCs w:val="21"/>
                      <w:highlight w:val="none"/>
                    </w:rPr>
                    <w:t>表</w:t>
                  </w:r>
                  <w:r>
                    <w:rPr>
                      <w:color w:val="auto"/>
                      <w:szCs w:val="21"/>
                      <w:highlight w:val="none"/>
                    </w:rPr>
                    <w:t>1</w:t>
                  </w:r>
                </w:p>
                <w:p w14:paraId="05F64850">
                  <w:pPr>
                    <w:autoSpaceDE w:val="0"/>
                    <w:autoSpaceDN w:val="0"/>
                    <w:adjustRightInd w:val="0"/>
                    <w:snapToGrid w:val="0"/>
                    <w:jc w:val="center"/>
                    <w:rPr>
                      <w:color w:val="auto"/>
                      <w:szCs w:val="21"/>
                      <w:highlight w:val="none"/>
                    </w:rPr>
                  </w:pPr>
                  <w:r>
                    <w:rPr>
                      <w:rFonts w:hAnsi="宋体"/>
                      <w:color w:val="auto"/>
                      <w:szCs w:val="21"/>
                      <w:highlight w:val="none"/>
                    </w:rPr>
                    <w:t>一级</w:t>
                  </w:r>
                  <w:r>
                    <w:rPr>
                      <w:color w:val="auto"/>
                      <w:szCs w:val="21"/>
                      <w:highlight w:val="none"/>
                    </w:rPr>
                    <w:t>A</w:t>
                  </w:r>
                  <w:r>
                    <w:rPr>
                      <w:rFonts w:hAnsi="宋体"/>
                      <w:color w:val="auto"/>
                      <w:szCs w:val="21"/>
                      <w:highlight w:val="none"/>
                    </w:rPr>
                    <w:t>标准</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4D7F4B5E">
                  <w:pPr>
                    <w:autoSpaceDE w:val="0"/>
                    <w:autoSpaceDN w:val="0"/>
                    <w:adjustRightInd w:val="0"/>
                    <w:snapToGrid w:val="0"/>
                    <w:jc w:val="center"/>
                    <w:rPr>
                      <w:color w:val="auto"/>
                      <w:szCs w:val="21"/>
                      <w:highlight w:val="none"/>
                    </w:rPr>
                  </w:pPr>
                  <w:r>
                    <w:rPr>
                      <w:rFonts w:hint="eastAsia"/>
                      <w:color w:val="auto"/>
                      <w:szCs w:val="21"/>
                      <w:highlight w:val="none"/>
                      <w:lang w:eastAsia="zh-CN"/>
                    </w:rPr>
                    <w:t>pH</w:t>
                  </w:r>
                  <w:r>
                    <w:rPr>
                      <w:rFonts w:hAnsi="宋体"/>
                      <w:color w:val="auto"/>
                      <w:szCs w:val="21"/>
                      <w:highlight w:val="none"/>
                    </w:rPr>
                    <w:t>（无量纲）</w:t>
                  </w:r>
                </w:p>
              </w:tc>
              <w:tc>
                <w:tcPr>
                  <w:tcW w:w="1544" w:type="dxa"/>
                  <w:tcBorders>
                    <w:top w:val="single" w:color="auto" w:sz="4" w:space="0"/>
                    <w:left w:val="single" w:color="auto" w:sz="4" w:space="0"/>
                    <w:bottom w:val="single" w:color="auto" w:sz="4" w:space="0"/>
                    <w:right w:val="nil"/>
                  </w:tcBorders>
                  <w:noWrap w:val="0"/>
                  <w:vAlign w:val="center"/>
                </w:tcPr>
                <w:p w14:paraId="0C81B81A">
                  <w:pPr>
                    <w:autoSpaceDE w:val="0"/>
                    <w:autoSpaceDN w:val="0"/>
                    <w:adjustRightInd w:val="0"/>
                    <w:snapToGrid w:val="0"/>
                    <w:jc w:val="center"/>
                    <w:rPr>
                      <w:color w:val="auto"/>
                      <w:szCs w:val="21"/>
                      <w:highlight w:val="none"/>
                    </w:rPr>
                  </w:pPr>
                  <w:r>
                    <w:rPr>
                      <w:color w:val="auto"/>
                      <w:szCs w:val="21"/>
                      <w:highlight w:val="none"/>
                    </w:rPr>
                    <w:t>6</w:t>
                  </w:r>
                  <w:r>
                    <w:rPr>
                      <w:rFonts w:hAnsi="宋体"/>
                      <w:color w:val="auto"/>
                      <w:szCs w:val="21"/>
                      <w:highlight w:val="none"/>
                    </w:rPr>
                    <w:t>～</w:t>
                  </w:r>
                  <w:r>
                    <w:rPr>
                      <w:color w:val="auto"/>
                      <w:szCs w:val="21"/>
                      <w:highlight w:val="none"/>
                    </w:rPr>
                    <w:t>9</w:t>
                  </w:r>
                </w:p>
              </w:tc>
            </w:tr>
            <w:tr w14:paraId="31725F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8" w:hRule="atLeast"/>
              </w:trPr>
              <w:tc>
                <w:tcPr>
                  <w:tcW w:w="1353" w:type="dxa"/>
                  <w:vMerge w:val="continue"/>
                  <w:tcBorders>
                    <w:left w:val="nil"/>
                    <w:right w:val="single" w:color="auto" w:sz="4" w:space="0"/>
                  </w:tcBorders>
                  <w:noWrap w:val="0"/>
                  <w:vAlign w:val="center"/>
                </w:tcPr>
                <w:p w14:paraId="031D1AE6">
                  <w:pPr>
                    <w:rPr>
                      <w:color w:val="auto"/>
                      <w:szCs w:val="21"/>
                      <w:highlight w:val="none"/>
                    </w:rPr>
                  </w:pPr>
                </w:p>
              </w:tc>
              <w:tc>
                <w:tcPr>
                  <w:tcW w:w="2629" w:type="dxa"/>
                  <w:vMerge w:val="continue"/>
                  <w:tcBorders>
                    <w:left w:val="single" w:color="auto" w:sz="4" w:space="0"/>
                    <w:right w:val="single" w:color="auto" w:sz="4" w:space="0"/>
                  </w:tcBorders>
                  <w:noWrap w:val="0"/>
                  <w:vAlign w:val="center"/>
                </w:tcPr>
                <w:p w14:paraId="463F9D86">
                  <w:pPr>
                    <w:rPr>
                      <w:color w:val="auto"/>
                      <w:szCs w:val="21"/>
                      <w:highlight w:val="none"/>
                    </w:rPr>
                  </w:pPr>
                </w:p>
              </w:tc>
              <w:tc>
                <w:tcPr>
                  <w:tcW w:w="1385" w:type="dxa"/>
                  <w:vMerge w:val="continue"/>
                  <w:tcBorders>
                    <w:left w:val="single" w:color="auto" w:sz="4" w:space="0"/>
                    <w:right w:val="single" w:color="auto" w:sz="4" w:space="0"/>
                  </w:tcBorders>
                  <w:noWrap w:val="0"/>
                  <w:vAlign w:val="center"/>
                </w:tcPr>
                <w:p w14:paraId="1F971C2D">
                  <w:pPr>
                    <w:rPr>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67C1C47">
                  <w:pPr>
                    <w:autoSpaceDE w:val="0"/>
                    <w:autoSpaceDN w:val="0"/>
                    <w:adjustRightInd w:val="0"/>
                    <w:snapToGrid w:val="0"/>
                    <w:jc w:val="center"/>
                    <w:rPr>
                      <w:color w:val="auto"/>
                      <w:szCs w:val="21"/>
                      <w:highlight w:val="none"/>
                    </w:rPr>
                  </w:pPr>
                  <w:r>
                    <w:rPr>
                      <w:color w:val="auto"/>
                      <w:szCs w:val="21"/>
                      <w:highlight w:val="none"/>
                    </w:rPr>
                    <w:t>SS</w:t>
                  </w:r>
                </w:p>
              </w:tc>
              <w:tc>
                <w:tcPr>
                  <w:tcW w:w="1544" w:type="dxa"/>
                  <w:tcBorders>
                    <w:top w:val="single" w:color="auto" w:sz="4" w:space="0"/>
                    <w:left w:val="single" w:color="auto" w:sz="4" w:space="0"/>
                    <w:bottom w:val="single" w:color="auto" w:sz="4" w:space="0"/>
                    <w:right w:val="nil"/>
                  </w:tcBorders>
                  <w:noWrap w:val="0"/>
                  <w:vAlign w:val="center"/>
                </w:tcPr>
                <w:p w14:paraId="683E44C8">
                  <w:pPr>
                    <w:autoSpaceDE w:val="0"/>
                    <w:autoSpaceDN w:val="0"/>
                    <w:adjustRightInd w:val="0"/>
                    <w:snapToGrid w:val="0"/>
                    <w:jc w:val="center"/>
                    <w:rPr>
                      <w:color w:val="auto"/>
                      <w:szCs w:val="21"/>
                      <w:highlight w:val="none"/>
                    </w:rPr>
                  </w:pPr>
                  <w:r>
                    <w:rPr>
                      <w:color w:val="auto"/>
                      <w:szCs w:val="21"/>
                      <w:highlight w:val="none"/>
                    </w:rPr>
                    <w:t>10</w:t>
                  </w:r>
                </w:p>
              </w:tc>
            </w:tr>
            <w:tr w14:paraId="47F77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170" w:hRule="atLeast"/>
              </w:trPr>
              <w:tc>
                <w:tcPr>
                  <w:tcW w:w="1353" w:type="dxa"/>
                  <w:vMerge w:val="continue"/>
                  <w:tcBorders>
                    <w:left w:val="nil"/>
                    <w:right w:val="single" w:color="auto" w:sz="4" w:space="0"/>
                  </w:tcBorders>
                  <w:noWrap w:val="0"/>
                  <w:vAlign w:val="center"/>
                </w:tcPr>
                <w:p w14:paraId="34EC2A9D">
                  <w:pPr>
                    <w:rPr>
                      <w:color w:val="auto"/>
                      <w:szCs w:val="21"/>
                      <w:highlight w:val="none"/>
                    </w:rPr>
                  </w:pPr>
                </w:p>
              </w:tc>
              <w:tc>
                <w:tcPr>
                  <w:tcW w:w="2629" w:type="dxa"/>
                  <w:vMerge w:val="continue"/>
                  <w:tcBorders>
                    <w:left w:val="single" w:color="auto" w:sz="4" w:space="0"/>
                    <w:right w:val="single" w:color="auto" w:sz="4" w:space="0"/>
                  </w:tcBorders>
                  <w:noWrap w:val="0"/>
                  <w:vAlign w:val="center"/>
                </w:tcPr>
                <w:p w14:paraId="0B7BDCDB">
                  <w:pPr>
                    <w:adjustRightInd w:val="0"/>
                    <w:snapToGrid w:val="0"/>
                    <w:jc w:val="center"/>
                    <w:rPr>
                      <w:color w:val="auto"/>
                      <w:szCs w:val="21"/>
                      <w:highlight w:val="none"/>
                    </w:rPr>
                  </w:pPr>
                </w:p>
              </w:tc>
              <w:tc>
                <w:tcPr>
                  <w:tcW w:w="1385" w:type="dxa"/>
                  <w:vMerge w:val="continue"/>
                  <w:tcBorders>
                    <w:left w:val="single" w:color="auto" w:sz="4" w:space="0"/>
                    <w:right w:val="single" w:color="auto" w:sz="4" w:space="0"/>
                  </w:tcBorders>
                  <w:noWrap w:val="0"/>
                  <w:vAlign w:val="center"/>
                </w:tcPr>
                <w:p w14:paraId="7E5AF663">
                  <w:pPr>
                    <w:adjustRightInd w:val="0"/>
                    <w:snapToGrid w:val="0"/>
                    <w:jc w:val="center"/>
                    <w:rPr>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0A565307">
                  <w:pPr>
                    <w:adjustRightInd w:val="0"/>
                    <w:snapToGrid w:val="0"/>
                    <w:jc w:val="center"/>
                    <w:rPr>
                      <w:color w:val="auto"/>
                      <w:szCs w:val="21"/>
                      <w:highlight w:val="none"/>
                    </w:rPr>
                  </w:pPr>
                  <w:r>
                    <w:rPr>
                      <w:color w:val="auto"/>
                      <w:szCs w:val="21"/>
                      <w:highlight w:val="none"/>
                    </w:rPr>
                    <w:t>COD</w:t>
                  </w:r>
                </w:p>
              </w:tc>
              <w:tc>
                <w:tcPr>
                  <w:tcW w:w="1544" w:type="dxa"/>
                  <w:tcBorders>
                    <w:top w:val="single" w:color="auto" w:sz="4" w:space="0"/>
                    <w:left w:val="single" w:color="auto" w:sz="4" w:space="0"/>
                    <w:bottom w:val="single" w:color="auto" w:sz="4" w:space="0"/>
                    <w:right w:val="nil"/>
                  </w:tcBorders>
                  <w:noWrap w:val="0"/>
                  <w:vAlign w:val="center"/>
                </w:tcPr>
                <w:p w14:paraId="097BB32F">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50</w:t>
                  </w:r>
                </w:p>
              </w:tc>
            </w:tr>
            <w:tr w14:paraId="2AE9AF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left w:val="nil"/>
                    <w:right w:val="single" w:color="auto" w:sz="4" w:space="0"/>
                  </w:tcBorders>
                  <w:noWrap w:val="0"/>
                  <w:vAlign w:val="center"/>
                </w:tcPr>
                <w:p w14:paraId="2E5C263C">
                  <w:pPr>
                    <w:rPr>
                      <w:color w:val="auto"/>
                      <w:szCs w:val="21"/>
                      <w:highlight w:val="none"/>
                    </w:rPr>
                  </w:pPr>
                </w:p>
              </w:tc>
              <w:tc>
                <w:tcPr>
                  <w:tcW w:w="2629" w:type="dxa"/>
                  <w:vMerge w:val="continue"/>
                  <w:tcBorders>
                    <w:left w:val="single" w:color="auto" w:sz="4" w:space="0"/>
                    <w:right w:val="single" w:color="auto" w:sz="4" w:space="0"/>
                  </w:tcBorders>
                  <w:noWrap w:val="0"/>
                  <w:vAlign w:val="center"/>
                </w:tcPr>
                <w:p w14:paraId="1E55F641">
                  <w:pPr>
                    <w:rPr>
                      <w:color w:val="auto"/>
                      <w:szCs w:val="21"/>
                      <w:highlight w:val="none"/>
                    </w:rPr>
                  </w:pPr>
                </w:p>
              </w:tc>
              <w:tc>
                <w:tcPr>
                  <w:tcW w:w="1385" w:type="dxa"/>
                  <w:vMerge w:val="continue"/>
                  <w:tcBorders>
                    <w:left w:val="single" w:color="auto" w:sz="4" w:space="0"/>
                    <w:right w:val="single" w:color="auto" w:sz="4" w:space="0"/>
                  </w:tcBorders>
                  <w:noWrap w:val="0"/>
                  <w:vAlign w:val="center"/>
                </w:tcPr>
                <w:p w14:paraId="41118742">
                  <w:pPr>
                    <w:rPr>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35C7E1D9">
                  <w:pPr>
                    <w:adjustRightInd w:val="0"/>
                    <w:snapToGrid w:val="0"/>
                    <w:jc w:val="center"/>
                    <w:rPr>
                      <w:color w:val="auto"/>
                      <w:szCs w:val="21"/>
                      <w:highlight w:val="none"/>
                    </w:rPr>
                  </w:pPr>
                  <w:r>
                    <w:rPr>
                      <w:rFonts w:hAnsi="宋体"/>
                      <w:color w:val="auto"/>
                      <w:szCs w:val="21"/>
                      <w:highlight w:val="none"/>
                    </w:rPr>
                    <w:t>氨氮</w:t>
                  </w:r>
                </w:p>
              </w:tc>
              <w:tc>
                <w:tcPr>
                  <w:tcW w:w="1544" w:type="dxa"/>
                  <w:tcBorders>
                    <w:top w:val="single" w:color="auto" w:sz="4" w:space="0"/>
                    <w:left w:val="single" w:color="auto" w:sz="4" w:space="0"/>
                    <w:bottom w:val="single" w:color="auto" w:sz="4" w:space="0"/>
                    <w:right w:val="nil"/>
                  </w:tcBorders>
                  <w:noWrap w:val="0"/>
                  <w:vAlign w:val="center"/>
                </w:tcPr>
                <w:p w14:paraId="4E228951">
                  <w:pPr>
                    <w:adjustRightInd w:val="0"/>
                    <w:snapToGrid w:val="0"/>
                    <w:jc w:val="center"/>
                    <w:rPr>
                      <w:color w:val="auto"/>
                      <w:szCs w:val="21"/>
                      <w:highlight w:val="none"/>
                    </w:rPr>
                  </w:pPr>
                  <w:r>
                    <w:rPr>
                      <w:rFonts w:hint="eastAsia"/>
                      <w:color w:val="auto"/>
                      <w:szCs w:val="21"/>
                      <w:highlight w:val="none"/>
                      <w:lang w:val="en-US" w:eastAsia="zh-CN"/>
                    </w:rPr>
                    <w:t>5</w:t>
                  </w:r>
                  <w:r>
                    <w:rPr>
                      <w:rFonts w:hAnsi="宋体"/>
                      <w:color w:val="auto"/>
                      <w:szCs w:val="21"/>
                      <w:highlight w:val="none"/>
                    </w:rPr>
                    <w:t>（</w:t>
                  </w:r>
                  <w:r>
                    <w:rPr>
                      <w:rFonts w:hint="eastAsia"/>
                      <w:color w:val="auto"/>
                      <w:szCs w:val="21"/>
                      <w:highlight w:val="none"/>
                      <w:lang w:val="en-US" w:eastAsia="zh-CN"/>
                    </w:rPr>
                    <w:t>8</w:t>
                  </w:r>
                  <w:r>
                    <w:rPr>
                      <w:rFonts w:hAnsi="宋体"/>
                      <w:color w:val="auto"/>
                      <w:szCs w:val="21"/>
                      <w:highlight w:val="none"/>
                    </w:rPr>
                    <w:t>）</w:t>
                  </w:r>
                </w:p>
              </w:tc>
            </w:tr>
            <w:tr w14:paraId="5D4AFE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left w:val="nil"/>
                    <w:right w:val="single" w:color="auto" w:sz="4" w:space="0"/>
                  </w:tcBorders>
                  <w:noWrap w:val="0"/>
                  <w:vAlign w:val="center"/>
                </w:tcPr>
                <w:p w14:paraId="501C7C2B">
                  <w:pPr>
                    <w:rPr>
                      <w:color w:val="auto"/>
                      <w:szCs w:val="21"/>
                      <w:highlight w:val="none"/>
                    </w:rPr>
                  </w:pPr>
                </w:p>
              </w:tc>
              <w:tc>
                <w:tcPr>
                  <w:tcW w:w="2629" w:type="dxa"/>
                  <w:vMerge w:val="continue"/>
                  <w:tcBorders>
                    <w:left w:val="single" w:color="auto" w:sz="4" w:space="0"/>
                    <w:right w:val="single" w:color="auto" w:sz="4" w:space="0"/>
                  </w:tcBorders>
                  <w:noWrap w:val="0"/>
                  <w:vAlign w:val="center"/>
                </w:tcPr>
                <w:p w14:paraId="5AEFABF7">
                  <w:pPr>
                    <w:rPr>
                      <w:color w:val="auto"/>
                      <w:szCs w:val="21"/>
                      <w:highlight w:val="none"/>
                    </w:rPr>
                  </w:pPr>
                </w:p>
              </w:tc>
              <w:tc>
                <w:tcPr>
                  <w:tcW w:w="1385" w:type="dxa"/>
                  <w:vMerge w:val="continue"/>
                  <w:tcBorders>
                    <w:left w:val="single" w:color="auto" w:sz="4" w:space="0"/>
                    <w:right w:val="single" w:color="auto" w:sz="4" w:space="0"/>
                  </w:tcBorders>
                  <w:noWrap w:val="0"/>
                  <w:vAlign w:val="center"/>
                </w:tcPr>
                <w:p w14:paraId="687CC446">
                  <w:pPr>
                    <w:rPr>
                      <w:color w:val="auto"/>
                      <w:szCs w:val="21"/>
                      <w:highlight w:val="none"/>
                    </w:rPr>
                  </w:pPr>
                </w:p>
              </w:tc>
              <w:tc>
                <w:tcPr>
                  <w:tcW w:w="1381" w:type="dxa"/>
                  <w:tcBorders>
                    <w:top w:val="single" w:color="auto" w:sz="4" w:space="0"/>
                    <w:left w:val="single" w:color="auto" w:sz="4" w:space="0"/>
                    <w:bottom w:val="single" w:color="auto" w:sz="4" w:space="0"/>
                    <w:right w:val="single" w:color="auto" w:sz="4" w:space="0"/>
                  </w:tcBorders>
                  <w:noWrap w:val="0"/>
                  <w:vAlign w:val="center"/>
                </w:tcPr>
                <w:p w14:paraId="1F340F57">
                  <w:pPr>
                    <w:adjustRightInd w:val="0"/>
                    <w:snapToGrid w:val="0"/>
                    <w:jc w:val="center"/>
                    <w:rPr>
                      <w:color w:val="auto"/>
                      <w:szCs w:val="21"/>
                      <w:highlight w:val="none"/>
                    </w:rPr>
                  </w:pPr>
                  <w:r>
                    <w:rPr>
                      <w:color w:val="auto"/>
                      <w:szCs w:val="21"/>
                      <w:highlight w:val="none"/>
                    </w:rPr>
                    <w:t>TN</w:t>
                  </w:r>
                </w:p>
              </w:tc>
              <w:tc>
                <w:tcPr>
                  <w:tcW w:w="1544" w:type="dxa"/>
                  <w:tcBorders>
                    <w:top w:val="single" w:color="auto" w:sz="4" w:space="0"/>
                    <w:left w:val="single" w:color="auto" w:sz="4" w:space="0"/>
                    <w:bottom w:val="single" w:color="auto" w:sz="4" w:space="0"/>
                    <w:right w:val="nil"/>
                  </w:tcBorders>
                  <w:noWrap w:val="0"/>
                  <w:vAlign w:val="center"/>
                </w:tcPr>
                <w:p w14:paraId="25BF0276">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15</w:t>
                  </w:r>
                </w:p>
              </w:tc>
            </w:tr>
            <w:tr w14:paraId="7BD9F4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trPr>
              <w:tc>
                <w:tcPr>
                  <w:tcW w:w="1353" w:type="dxa"/>
                  <w:vMerge w:val="continue"/>
                  <w:tcBorders>
                    <w:left w:val="nil"/>
                    <w:bottom w:val="single" w:color="auto" w:sz="12" w:space="0"/>
                    <w:right w:val="single" w:color="auto" w:sz="4" w:space="0"/>
                  </w:tcBorders>
                  <w:noWrap w:val="0"/>
                  <w:vAlign w:val="center"/>
                </w:tcPr>
                <w:p w14:paraId="5DD27080">
                  <w:pPr>
                    <w:rPr>
                      <w:color w:val="auto"/>
                      <w:szCs w:val="21"/>
                      <w:highlight w:val="none"/>
                    </w:rPr>
                  </w:pPr>
                </w:p>
              </w:tc>
              <w:tc>
                <w:tcPr>
                  <w:tcW w:w="2629" w:type="dxa"/>
                  <w:vMerge w:val="continue"/>
                  <w:tcBorders>
                    <w:left w:val="single" w:color="auto" w:sz="4" w:space="0"/>
                    <w:bottom w:val="single" w:color="auto" w:sz="12" w:space="0"/>
                    <w:right w:val="single" w:color="auto" w:sz="4" w:space="0"/>
                  </w:tcBorders>
                  <w:noWrap w:val="0"/>
                  <w:vAlign w:val="center"/>
                </w:tcPr>
                <w:p w14:paraId="20A9A5F1">
                  <w:pPr>
                    <w:rPr>
                      <w:color w:val="auto"/>
                      <w:szCs w:val="21"/>
                      <w:highlight w:val="none"/>
                    </w:rPr>
                  </w:pPr>
                </w:p>
              </w:tc>
              <w:tc>
                <w:tcPr>
                  <w:tcW w:w="1385" w:type="dxa"/>
                  <w:vMerge w:val="continue"/>
                  <w:tcBorders>
                    <w:left w:val="single" w:color="auto" w:sz="4" w:space="0"/>
                    <w:bottom w:val="single" w:color="auto" w:sz="12" w:space="0"/>
                    <w:right w:val="single" w:color="auto" w:sz="4" w:space="0"/>
                  </w:tcBorders>
                  <w:noWrap w:val="0"/>
                  <w:vAlign w:val="center"/>
                </w:tcPr>
                <w:p w14:paraId="4A7BB201">
                  <w:pPr>
                    <w:rPr>
                      <w:color w:val="auto"/>
                      <w:szCs w:val="21"/>
                      <w:highlight w:val="none"/>
                    </w:rPr>
                  </w:pPr>
                </w:p>
              </w:tc>
              <w:tc>
                <w:tcPr>
                  <w:tcW w:w="1381" w:type="dxa"/>
                  <w:tcBorders>
                    <w:top w:val="single" w:color="auto" w:sz="4" w:space="0"/>
                    <w:left w:val="single" w:color="auto" w:sz="4" w:space="0"/>
                    <w:bottom w:val="single" w:color="auto" w:sz="12" w:space="0"/>
                    <w:right w:val="single" w:color="auto" w:sz="4" w:space="0"/>
                  </w:tcBorders>
                  <w:noWrap w:val="0"/>
                  <w:vAlign w:val="center"/>
                </w:tcPr>
                <w:p w14:paraId="686028F2">
                  <w:pPr>
                    <w:adjustRightInd w:val="0"/>
                    <w:snapToGrid w:val="0"/>
                    <w:jc w:val="center"/>
                    <w:rPr>
                      <w:color w:val="auto"/>
                      <w:szCs w:val="21"/>
                      <w:highlight w:val="none"/>
                    </w:rPr>
                  </w:pPr>
                  <w:r>
                    <w:rPr>
                      <w:color w:val="auto"/>
                      <w:szCs w:val="21"/>
                      <w:highlight w:val="none"/>
                    </w:rPr>
                    <w:t>TP</w:t>
                  </w:r>
                </w:p>
              </w:tc>
              <w:tc>
                <w:tcPr>
                  <w:tcW w:w="1544" w:type="dxa"/>
                  <w:tcBorders>
                    <w:top w:val="single" w:color="auto" w:sz="4" w:space="0"/>
                    <w:left w:val="single" w:color="auto" w:sz="4" w:space="0"/>
                    <w:bottom w:val="single" w:color="auto" w:sz="12" w:space="0"/>
                    <w:right w:val="nil"/>
                  </w:tcBorders>
                  <w:noWrap w:val="0"/>
                  <w:vAlign w:val="center"/>
                </w:tcPr>
                <w:p w14:paraId="25F10E22">
                  <w:pPr>
                    <w:adjustRightInd w:val="0"/>
                    <w:snapToGrid w:val="0"/>
                    <w:jc w:val="center"/>
                    <w:rPr>
                      <w:rFonts w:hint="eastAsia" w:eastAsia="宋体"/>
                      <w:color w:val="auto"/>
                      <w:szCs w:val="21"/>
                      <w:highlight w:val="none"/>
                      <w:lang w:val="en-US" w:eastAsia="zh-CN"/>
                    </w:rPr>
                  </w:pPr>
                  <w:r>
                    <w:rPr>
                      <w:color w:val="auto"/>
                      <w:szCs w:val="21"/>
                      <w:highlight w:val="none"/>
                    </w:rPr>
                    <w:t>0.</w:t>
                  </w:r>
                  <w:r>
                    <w:rPr>
                      <w:rFonts w:hint="eastAsia"/>
                      <w:color w:val="auto"/>
                      <w:szCs w:val="21"/>
                      <w:highlight w:val="none"/>
                      <w:lang w:val="en-US" w:eastAsia="zh-CN"/>
                    </w:rPr>
                    <w:t>5</w:t>
                  </w:r>
                </w:p>
              </w:tc>
            </w:tr>
          </w:tbl>
          <w:p w14:paraId="473981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sz w:val="24"/>
              </w:rPr>
            </w:pPr>
            <w:r>
              <w:rPr>
                <w:b/>
                <w:bCs/>
                <w:color w:val="000000"/>
                <w:sz w:val="24"/>
              </w:rPr>
              <w:t>3</w:t>
            </w:r>
            <w:r>
              <w:rPr>
                <w:rFonts w:hint="eastAsia"/>
                <w:b/>
                <w:bCs/>
                <w:color w:val="000000"/>
                <w:sz w:val="24"/>
              </w:rPr>
              <w:t>、噪声排放标准</w:t>
            </w:r>
          </w:p>
          <w:p w14:paraId="25264103">
            <w:pPr>
              <w:pStyle w:val="13"/>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项目营运期各厂界噪声排放标准执行《工业企业厂界环境噪声排放标准》（GB12348-2008）表1中2类标准。</w:t>
            </w:r>
          </w:p>
          <w:p w14:paraId="717E69A6">
            <w:pPr>
              <w:keepNext w:val="0"/>
              <w:keepLines w:val="0"/>
              <w:pageBreakBefore w:val="0"/>
              <w:widowControl w:val="0"/>
              <w:kinsoku/>
              <w:wordWrap/>
              <w:overflowPunct/>
              <w:topLinePunct w:val="0"/>
              <w:autoSpaceDE/>
              <w:autoSpaceDN/>
              <w:bidi w:val="0"/>
              <w:adjustRightInd/>
              <w:snapToGrid/>
              <w:ind w:firstLine="0"/>
              <w:jc w:val="center"/>
              <w:textAlignment w:val="auto"/>
              <w:rPr>
                <w:b/>
                <w:color w:val="000000"/>
                <w:sz w:val="21"/>
                <w:szCs w:val="21"/>
              </w:rPr>
            </w:pPr>
            <w:r>
              <w:rPr>
                <w:rFonts w:hint="eastAsia"/>
                <w:b/>
                <w:color w:val="000000"/>
                <w:sz w:val="21"/>
                <w:szCs w:val="21"/>
              </w:rPr>
              <w:t>表3-</w:t>
            </w:r>
            <w:r>
              <w:rPr>
                <w:rFonts w:hint="eastAsia"/>
                <w:b/>
                <w:color w:val="000000"/>
                <w:sz w:val="21"/>
                <w:szCs w:val="21"/>
                <w:lang w:val="en-US" w:eastAsia="zh-CN"/>
              </w:rPr>
              <w:t>8</w:t>
            </w:r>
            <w:r>
              <w:rPr>
                <w:rFonts w:hint="eastAsia"/>
                <w:b/>
                <w:color w:val="000000"/>
                <w:sz w:val="21"/>
                <w:szCs w:val="21"/>
              </w:rPr>
              <w:t xml:space="preserve"> 噪声排放标准限值</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2874"/>
              <w:gridCol w:w="875"/>
              <w:gridCol w:w="1168"/>
              <w:gridCol w:w="1056"/>
              <w:gridCol w:w="1062"/>
            </w:tblGrid>
            <w:tr w14:paraId="69090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5" w:type="pct"/>
                  <w:vMerge w:val="restart"/>
                  <w:tcBorders>
                    <w:tl2br w:val="nil"/>
                    <w:tr2bl w:val="nil"/>
                  </w:tcBorders>
                  <w:noWrap w:val="0"/>
                  <w:vAlign w:val="center"/>
                </w:tcPr>
                <w:p w14:paraId="6301FB24">
                  <w:pPr>
                    <w:adjustRightInd w:val="0"/>
                    <w:snapToGrid w:val="0"/>
                    <w:jc w:val="center"/>
                    <w:rPr>
                      <w:b/>
                      <w:color w:val="000000"/>
                      <w:szCs w:val="21"/>
                    </w:rPr>
                  </w:pPr>
                  <w:r>
                    <w:rPr>
                      <w:rFonts w:hint="eastAsia"/>
                      <w:b/>
                      <w:color w:val="000000"/>
                      <w:szCs w:val="21"/>
                    </w:rPr>
                    <w:t>厂界名</w:t>
                  </w:r>
                </w:p>
              </w:tc>
              <w:tc>
                <w:tcPr>
                  <w:tcW w:w="1737" w:type="pct"/>
                  <w:vMerge w:val="restart"/>
                  <w:tcBorders>
                    <w:tl2br w:val="nil"/>
                    <w:tr2bl w:val="nil"/>
                  </w:tcBorders>
                  <w:noWrap w:val="0"/>
                  <w:vAlign w:val="center"/>
                </w:tcPr>
                <w:p w14:paraId="3CF3B7CC">
                  <w:pPr>
                    <w:adjustRightInd w:val="0"/>
                    <w:snapToGrid w:val="0"/>
                    <w:jc w:val="center"/>
                    <w:rPr>
                      <w:b/>
                      <w:color w:val="000000"/>
                      <w:szCs w:val="21"/>
                    </w:rPr>
                  </w:pPr>
                  <w:r>
                    <w:rPr>
                      <w:rFonts w:hint="eastAsia"/>
                      <w:b/>
                      <w:color w:val="000000"/>
                      <w:szCs w:val="21"/>
                    </w:rPr>
                    <w:t>执行标准</w:t>
                  </w:r>
                </w:p>
              </w:tc>
              <w:tc>
                <w:tcPr>
                  <w:tcW w:w="529" w:type="pct"/>
                  <w:vMerge w:val="restart"/>
                  <w:tcBorders>
                    <w:tl2br w:val="nil"/>
                    <w:tr2bl w:val="nil"/>
                  </w:tcBorders>
                  <w:noWrap w:val="0"/>
                  <w:vAlign w:val="center"/>
                </w:tcPr>
                <w:p w14:paraId="06982ED6">
                  <w:pPr>
                    <w:adjustRightInd w:val="0"/>
                    <w:snapToGrid w:val="0"/>
                    <w:jc w:val="center"/>
                    <w:rPr>
                      <w:b/>
                      <w:color w:val="000000"/>
                      <w:szCs w:val="21"/>
                    </w:rPr>
                  </w:pPr>
                  <w:r>
                    <w:rPr>
                      <w:rFonts w:hint="eastAsia"/>
                      <w:b/>
                      <w:color w:val="000000"/>
                      <w:szCs w:val="21"/>
                    </w:rPr>
                    <w:t>类别</w:t>
                  </w:r>
                </w:p>
              </w:tc>
              <w:tc>
                <w:tcPr>
                  <w:tcW w:w="706" w:type="pct"/>
                  <w:vMerge w:val="restart"/>
                  <w:tcBorders>
                    <w:tl2br w:val="nil"/>
                    <w:tr2bl w:val="nil"/>
                  </w:tcBorders>
                  <w:noWrap w:val="0"/>
                  <w:vAlign w:val="center"/>
                </w:tcPr>
                <w:p w14:paraId="18703744">
                  <w:pPr>
                    <w:adjustRightInd w:val="0"/>
                    <w:snapToGrid w:val="0"/>
                    <w:jc w:val="center"/>
                    <w:rPr>
                      <w:b/>
                      <w:color w:val="000000"/>
                      <w:szCs w:val="21"/>
                    </w:rPr>
                  </w:pPr>
                  <w:r>
                    <w:rPr>
                      <w:rFonts w:hint="eastAsia"/>
                      <w:b/>
                      <w:color w:val="000000"/>
                      <w:szCs w:val="21"/>
                    </w:rPr>
                    <w:t>单位</w:t>
                  </w:r>
                </w:p>
              </w:tc>
              <w:tc>
                <w:tcPr>
                  <w:tcW w:w="1280" w:type="pct"/>
                  <w:gridSpan w:val="2"/>
                  <w:tcBorders>
                    <w:tl2br w:val="nil"/>
                    <w:tr2bl w:val="nil"/>
                  </w:tcBorders>
                  <w:noWrap w:val="0"/>
                  <w:vAlign w:val="center"/>
                </w:tcPr>
                <w:p w14:paraId="29808FC7">
                  <w:pPr>
                    <w:adjustRightInd w:val="0"/>
                    <w:snapToGrid w:val="0"/>
                    <w:jc w:val="center"/>
                    <w:rPr>
                      <w:b/>
                      <w:color w:val="000000"/>
                      <w:szCs w:val="21"/>
                    </w:rPr>
                  </w:pPr>
                  <w:r>
                    <w:rPr>
                      <w:rFonts w:hint="eastAsia"/>
                      <w:b/>
                      <w:color w:val="000000"/>
                      <w:szCs w:val="21"/>
                    </w:rPr>
                    <w:t>标准限值</w:t>
                  </w:r>
                  <w:r>
                    <w:rPr>
                      <w:b/>
                      <w:color w:val="000000"/>
                      <w:szCs w:val="21"/>
                    </w:rPr>
                    <w:t>dB</w:t>
                  </w:r>
                  <w:r>
                    <w:rPr>
                      <w:rFonts w:hint="eastAsia"/>
                      <w:b/>
                      <w:color w:val="000000"/>
                      <w:szCs w:val="21"/>
                    </w:rPr>
                    <w:t>（</w:t>
                  </w:r>
                  <w:r>
                    <w:rPr>
                      <w:b/>
                      <w:color w:val="000000"/>
                      <w:szCs w:val="21"/>
                    </w:rPr>
                    <w:t>A</w:t>
                  </w:r>
                  <w:r>
                    <w:rPr>
                      <w:rFonts w:hint="eastAsia"/>
                      <w:b/>
                      <w:color w:val="000000"/>
                      <w:szCs w:val="21"/>
                    </w:rPr>
                    <w:t>）</w:t>
                  </w:r>
                </w:p>
              </w:tc>
            </w:tr>
            <w:tr w14:paraId="3BF90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5" w:type="pct"/>
                  <w:vMerge w:val="continue"/>
                  <w:tcBorders>
                    <w:tl2br w:val="nil"/>
                    <w:tr2bl w:val="nil"/>
                  </w:tcBorders>
                  <w:noWrap w:val="0"/>
                  <w:vAlign w:val="center"/>
                </w:tcPr>
                <w:p w14:paraId="2E43EB17">
                  <w:pPr>
                    <w:widowControl/>
                    <w:adjustRightInd w:val="0"/>
                    <w:snapToGrid w:val="0"/>
                    <w:jc w:val="center"/>
                    <w:rPr>
                      <w:b/>
                      <w:color w:val="000000"/>
                      <w:szCs w:val="21"/>
                    </w:rPr>
                  </w:pPr>
                </w:p>
              </w:tc>
              <w:tc>
                <w:tcPr>
                  <w:tcW w:w="1737" w:type="pct"/>
                  <w:vMerge w:val="continue"/>
                  <w:tcBorders>
                    <w:tl2br w:val="nil"/>
                    <w:tr2bl w:val="nil"/>
                  </w:tcBorders>
                  <w:noWrap w:val="0"/>
                  <w:vAlign w:val="center"/>
                </w:tcPr>
                <w:p w14:paraId="3B4C4034">
                  <w:pPr>
                    <w:widowControl/>
                    <w:adjustRightInd w:val="0"/>
                    <w:snapToGrid w:val="0"/>
                    <w:jc w:val="center"/>
                    <w:rPr>
                      <w:b/>
                      <w:color w:val="000000"/>
                      <w:szCs w:val="21"/>
                    </w:rPr>
                  </w:pPr>
                </w:p>
              </w:tc>
              <w:tc>
                <w:tcPr>
                  <w:tcW w:w="529" w:type="pct"/>
                  <w:vMerge w:val="continue"/>
                  <w:tcBorders>
                    <w:tl2br w:val="nil"/>
                    <w:tr2bl w:val="nil"/>
                  </w:tcBorders>
                  <w:noWrap w:val="0"/>
                  <w:vAlign w:val="center"/>
                </w:tcPr>
                <w:p w14:paraId="3937C3C7">
                  <w:pPr>
                    <w:widowControl/>
                    <w:adjustRightInd w:val="0"/>
                    <w:snapToGrid w:val="0"/>
                    <w:jc w:val="center"/>
                    <w:rPr>
                      <w:b/>
                      <w:color w:val="000000"/>
                      <w:szCs w:val="21"/>
                    </w:rPr>
                  </w:pPr>
                </w:p>
              </w:tc>
              <w:tc>
                <w:tcPr>
                  <w:tcW w:w="706" w:type="pct"/>
                  <w:vMerge w:val="continue"/>
                  <w:tcBorders>
                    <w:tl2br w:val="nil"/>
                    <w:tr2bl w:val="nil"/>
                  </w:tcBorders>
                  <w:noWrap w:val="0"/>
                  <w:vAlign w:val="center"/>
                </w:tcPr>
                <w:p w14:paraId="134F9601">
                  <w:pPr>
                    <w:widowControl/>
                    <w:adjustRightInd w:val="0"/>
                    <w:snapToGrid w:val="0"/>
                    <w:jc w:val="center"/>
                    <w:rPr>
                      <w:b/>
                      <w:color w:val="000000"/>
                      <w:szCs w:val="21"/>
                    </w:rPr>
                  </w:pPr>
                </w:p>
              </w:tc>
              <w:tc>
                <w:tcPr>
                  <w:tcW w:w="638" w:type="pct"/>
                  <w:tcBorders>
                    <w:tl2br w:val="nil"/>
                    <w:tr2bl w:val="nil"/>
                  </w:tcBorders>
                  <w:noWrap w:val="0"/>
                  <w:vAlign w:val="center"/>
                </w:tcPr>
                <w:p w14:paraId="43D35B08">
                  <w:pPr>
                    <w:adjustRightInd w:val="0"/>
                    <w:snapToGrid w:val="0"/>
                    <w:jc w:val="center"/>
                    <w:rPr>
                      <w:b/>
                      <w:color w:val="000000"/>
                      <w:szCs w:val="21"/>
                    </w:rPr>
                  </w:pPr>
                  <w:r>
                    <w:rPr>
                      <w:rFonts w:hint="eastAsia"/>
                      <w:b/>
                      <w:color w:val="000000"/>
                      <w:szCs w:val="21"/>
                    </w:rPr>
                    <w:t>昼</w:t>
                  </w:r>
                </w:p>
              </w:tc>
              <w:tc>
                <w:tcPr>
                  <w:tcW w:w="642" w:type="pct"/>
                  <w:tcBorders>
                    <w:tl2br w:val="nil"/>
                    <w:tr2bl w:val="nil"/>
                  </w:tcBorders>
                  <w:noWrap w:val="0"/>
                  <w:vAlign w:val="center"/>
                </w:tcPr>
                <w:p w14:paraId="6070BC8E">
                  <w:pPr>
                    <w:adjustRightInd w:val="0"/>
                    <w:snapToGrid w:val="0"/>
                    <w:jc w:val="center"/>
                    <w:rPr>
                      <w:b/>
                      <w:color w:val="000000"/>
                      <w:szCs w:val="21"/>
                    </w:rPr>
                  </w:pPr>
                  <w:r>
                    <w:rPr>
                      <w:rFonts w:hint="eastAsia"/>
                      <w:b/>
                      <w:color w:val="000000"/>
                      <w:szCs w:val="21"/>
                    </w:rPr>
                    <w:t>夜</w:t>
                  </w:r>
                </w:p>
              </w:tc>
            </w:tr>
            <w:tr w14:paraId="42196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45" w:type="pct"/>
                  <w:tcBorders>
                    <w:tl2br w:val="nil"/>
                    <w:tr2bl w:val="nil"/>
                  </w:tcBorders>
                  <w:noWrap w:val="0"/>
                  <w:vAlign w:val="center"/>
                </w:tcPr>
                <w:p w14:paraId="45DC61D5">
                  <w:pPr>
                    <w:adjustRightInd w:val="0"/>
                    <w:snapToGrid w:val="0"/>
                    <w:jc w:val="center"/>
                    <w:rPr>
                      <w:color w:val="000000"/>
                      <w:szCs w:val="21"/>
                    </w:rPr>
                  </w:pPr>
                  <w:r>
                    <w:rPr>
                      <w:rFonts w:hint="eastAsia"/>
                      <w:color w:val="000000"/>
                      <w:szCs w:val="21"/>
                    </w:rPr>
                    <w:t>厂界外</w:t>
                  </w:r>
                  <w:r>
                    <w:rPr>
                      <w:color w:val="000000"/>
                      <w:szCs w:val="21"/>
                    </w:rPr>
                    <w:t>1m</w:t>
                  </w:r>
                </w:p>
              </w:tc>
              <w:tc>
                <w:tcPr>
                  <w:tcW w:w="1737" w:type="pct"/>
                  <w:tcBorders>
                    <w:tl2br w:val="nil"/>
                    <w:tr2bl w:val="nil"/>
                  </w:tcBorders>
                  <w:noWrap w:val="0"/>
                  <w:vAlign w:val="center"/>
                </w:tcPr>
                <w:p w14:paraId="7C9BA52D">
                  <w:pPr>
                    <w:adjustRightInd w:val="0"/>
                    <w:snapToGrid w:val="0"/>
                    <w:jc w:val="center"/>
                    <w:rPr>
                      <w:color w:val="000000"/>
                      <w:szCs w:val="21"/>
                    </w:rPr>
                  </w:pPr>
                  <w:r>
                    <w:rPr>
                      <w:rFonts w:hint="eastAsia"/>
                      <w:color w:val="000000"/>
                      <w:szCs w:val="21"/>
                    </w:rPr>
                    <w:t>《工业企业厂界环境噪声排放标准》（</w:t>
                  </w:r>
                  <w:r>
                    <w:rPr>
                      <w:color w:val="000000"/>
                      <w:szCs w:val="21"/>
                    </w:rPr>
                    <w:t>GB12348-2008</w:t>
                  </w:r>
                  <w:r>
                    <w:rPr>
                      <w:rFonts w:hint="eastAsia"/>
                      <w:color w:val="000000"/>
                      <w:szCs w:val="21"/>
                    </w:rPr>
                    <w:t>）</w:t>
                  </w:r>
                </w:p>
              </w:tc>
              <w:tc>
                <w:tcPr>
                  <w:tcW w:w="529" w:type="pct"/>
                  <w:tcBorders>
                    <w:tl2br w:val="nil"/>
                    <w:tr2bl w:val="nil"/>
                  </w:tcBorders>
                  <w:noWrap w:val="0"/>
                  <w:vAlign w:val="center"/>
                </w:tcPr>
                <w:p w14:paraId="2B8107AD">
                  <w:pPr>
                    <w:adjustRightInd w:val="0"/>
                    <w:snapToGrid w:val="0"/>
                    <w:jc w:val="center"/>
                    <w:rPr>
                      <w:color w:val="000000"/>
                      <w:szCs w:val="21"/>
                    </w:rPr>
                  </w:pPr>
                  <w:r>
                    <w:rPr>
                      <w:rFonts w:hint="eastAsia"/>
                      <w:color w:val="000000"/>
                      <w:szCs w:val="21"/>
                      <w:lang w:val="en-US" w:eastAsia="zh-CN"/>
                    </w:rPr>
                    <w:t>2</w:t>
                  </w:r>
                  <w:r>
                    <w:rPr>
                      <w:rFonts w:hint="eastAsia"/>
                      <w:color w:val="000000"/>
                      <w:szCs w:val="21"/>
                    </w:rPr>
                    <w:t>类</w:t>
                  </w:r>
                </w:p>
              </w:tc>
              <w:tc>
                <w:tcPr>
                  <w:tcW w:w="706" w:type="pct"/>
                  <w:tcBorders>
                    <w:tl2br w:val="nil"/>
                    <w:tr2bl w:val="nil"/>
                  </w:tcBorders>
                  <w:noWrap w:val="0"/>
                  <w:vAlign w:val="center"/>
                </w:tcPr>
                <w:p w14:paraId="02614D2C">
                  <w:pPr>
                    <w:adjustRightInd w:val="0"/>
                    <w:snapToGrid w:val="0"/>
                    <w:jc w:val="center"/>
                    <w:rPr>
                      <w:color w:val="000000"/>
                      <w:szCs w:val="21"/>
                    </w:rPr>
                  </w:pPr>
                  <w:r>
                    <w:rPr>
                      <w:color w:val="000000"/>
                      <w:szCs w:val="21"/>
                    </w:rPr>
                    <w:t>dB</w:t>
                  </w:r>
                  <w:r>
                    <w:rPr>
                      <w:rFonts w:hint="eastAsia"/>
                      <w:color w:val="000000"/>
                      <w:szCs w:val="21"/>
                      <w:lang w:eastAsia="zh-CN"/>
                    </w:rPr>
                    <w:t>(</w:t>
                  </w:r>
                  <w:r>
                    <w:rPr>
                      <w:color w:val="000000"/>
                      <w:szCs w:val="21"/>
                    </w:rPr>
                    <w:t>A</w:t>
                  </w:r>
                  <w:r>
                    <w:rPr>
                      <w:rFonts w:hint="eastAsia"/>
                      <w:color w:val="000000"/>
                      <w:szCs w:val="21"/>
                      <w:lang w:eastAsia="zh-CN"/>
                    </w:rPr>
                    <w:t>)</w:t>
                  </w:r>
                </w:p>
              </w:tc>
              <w:tc>
                <w:tcPr>
                  <w:tcW w:w="638" w:type="pct"/>
                  <w:tcBorders>
                    <w:tl2br w:val="nil"/>
                    <w:tr2bl w:val="nil"/>
                  </w:tcBorders>
                  <w:noWrap w:val="0"/>
                  <w:vAlign w:val="center"/>
                </w:tcPr>
                <w:p w14:paraId="138EF02B">
                  <w:pPr>
                    <w:adjustRightInd w:val="0"/>
                    <w:snapToGrid w:val="0"/>
                    <w:jc w:val="center"/>
                    <w:rPr>
                      <w:rFonts w:hint="default" w:eastAsia="宋体"/>
                      <w:color w:val="000000"/>
                      <w:szCs w:val="21"/>
                      <w:lang w:val="en-US" w:eastAsia="zh-CN"/>
                    </w:rPr>
                  </w:pPr>
                  <w:r>
                    <w:rPr>
                      <w:rFonts w:hint="eastAsia"/>
                      <w:color w:val="000000"/>
                      <w:szCs w:val="21"/>
                      <w:lang w:val="en-US" w:eastAsia="zh-CN"/>
                    </w:rPr>
                    <w:t>60</w:t>
                  </w:r>
                </w:p>
              </w:tc>
              <w:tc>
                <w:tcPr>
                  <w:tcW w:w="642" w:type="pct"/>
                  <w:tcBorders>
                    <w:tl2br w:val="nil"/>
                    <w:tr2bl w:val="nil"/>
                  </w:tcBorders>
                  <w:noWrap w:val="0"/>
                  <w:vAlign w:val="center"/>
                </w:tcPr>
                <w:p w14:paraId="59E75ADA">
                  <w:pPr>
                    <w:adjustRightInd w:val="0"/>
                    <w:snapToGrid w:val="0"/>
                    <w:jc w:val="center"/>
                    <w:rPr>
                      <w:rFonts w:hint="default" w:eastAsia="宋体"/>
                      <w:color w:val="000000"/>
                      <w:szCs w:val="21"/>
                      <w:lang w:val="en-US" w:eastAsia="zh-CN"/>
                    </w:rPr>
                  </w:pPr>
                  <w:r>
                    <w:rPr>
                      <w:rFonts w:hint="eastAsia"/>
                      <w:color w:val="000000"/>
                      <w:szCs w:val="21"/>
                      <w:lang w:val="en-US" w:eastAsia="zh-CN"/>
                    </w:rPr>
                    <w:t>50</w:t>
                  </w:r>
                </w:p>
              </w:tc>
            </w:tr>
          </w:tbl>
          <w:p w14:paraId="7EF937A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sz w:val="24"/>
              </w:rPr>
            </w:pPr>
            <w:r>
              <w:rPr>
                <w:rFonts w:hint="eastAsia"/>
                <w:b/>
                <w:bCs/>
                <w:color w:val="000000"/>
                <w:sz w:val="24"/>
              </w:rPr>
              <w:t>4、其他标准</w:t>
            </w:r>
          </w:p>
          <w:p w14:paraId="06B8BD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000000"/>
                <w:kern w:val="0"/>
                <w:sz w:val="24"/>
              </w:rPr>
            </w:pPr>
            <w:r>
              <w:rPr>
                <w:rFonts w:hAnsi="宋体"/>
                <w:color w:val="000000"/>
                <w:kern w:val="0"/>
                <w:sz w:val="24"/>
              </w:rPr>
              <w:t>（</w:t>
            </w:r>
            <w:r>
              <w:rPr>
                <w:color w:val="000000"/>
                <w:kern w:val="0"/>
                <w:sz w:val="24"/>
              </w:rPr>
              <w:t>1</w:t>
            </w:r>
            <w:r>
              <w:rPr>
                <w:rFonts w:hAnsi="宋体"/>
                <w:color w:val="000000"/>
                <w:kern w:val="0"/>
                <w:sz w:val="24"/>
              </w:rPr>
              <w:t>）项目一般工业固体废物储存执行《一般工业固体废物贮存和填埋污染控制标准》（</w:t>
            </w:r>
            <w:r>
              <w:rPr>
                <w:color w:val="000000"/>
                <w:kern w:val="0"/>
                <w:sz w:val="24"/>
              </w:rPr>
              <w:t>GB 18599-2020</w:t>
            </w:r>
            <w:r>
              <w:rPr>
                <w:rFonts w:hAnsi="宋体"/>
                <w:color w:val="000000"/>
                <w:kern w:val="0"/>
                <w:sz w:val="24"/>
              </w:rPr>
              <w:t>）及《关于发布《一般工业固体废物贮存和填埋污染控制标准》等三项固体废物污染控制标准》（环境保护部</w:t>
            </w:r>
            <w:r>
              <w:rPr>
                <w:color w:val="000000"/>
                <w:kern w:val="0"/>
                <w:sz w:val="24"/>
              </w:rPr>
              <w:t>2020</w:t>
            </w:r>
            <w:r>
              <w:rPr>
                <w:rFonts w:hAnsi="宋体"/>
                <w:color w:val="000000"/>
                <w:kern w:val="0"/>
                <w:sz w:val="24"/>
              </w:rPr>
              <w:t>年第</w:t>
            </w:r>
            <w:r>
              <w:rPr>
                <w:color w:val="000000"/>
                <w:kern w:val="0"/>
                <w:sz w:val="24"/>
              </w:rPr>
              <w:t>65</w:t>
            </w:r>
            <w:r>
              <w:rPr>
                <w:rFonts w:hAnsi="宋体"/>
                <w:color w:val="000000"/>
                <w:kern w:val="0"/>
                <w:sz w:val="24"/>
              </w:rPr>
              <w:t>号公告）中的相关规定。</w:t>
            </w:r>
          </w:p>
          <w:p w14:paraId="42E1D2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kern w:val="0"/>
                <w:szCs w:val="21"/>
              </w:rPr>
            </w:pPr>
            <w:r>
              <w:rPr>
                <w:rFonts w:hAnsi="宋体"/>
                <w:color w:val="000000"/>
                <w:kern w:val="0"/>
                <w:sz w:val="24"/>
              </w:rPr>
              <w:t>（</w:t>
            </w:r>
            <w:r>
              <w:rPr>
                <w:color w:val="000000"/>
                <w:kern w:val="0"/>
                <w:sz w:val="24"/>
              </w:rPr>
              <w:t>2</w:t>
            </w:r>
            <w:r>
              <w:rPr>
                <w:rFonts w:hAnsi="宋体"/>
                <w:color w:val="000000"/>
                <w:kern w:val="0"/>
                <w:sz w:val="24"/>
              </w:rPr>
              <w:t>）危险固废执行《危险废物贮存污染控制标准》（GB18597-2023）</w:t>
            </w:r>
            <w:r>
              <w:rPr>
                <w:rFonts w:hint="eastAsia" w:hAnsi="宋体"/>
                <w:color w:val="000000"/>
                <w:kern w:val="0"/>
                <w:sz w:val="24"/>
              </w:rPr>
              <w:t>的相关规定</w:t>
            </w:r>
            <w:r>
              <w:rPr>
                <w:rFonts w:hint="eastAsia" w:hAnsi="宋体"/>
                <w:color w:val="000000"/>
                <w:kern w:val="0"/>
                <w:sz w:val="24"/>
                <w:lang w:eastAsia="zh-CN"/>
              </w:rPr>
              <w:t>。</w:t>
            </w:r>
          </w:p>
        </w:tc>
      </w:tr>
      <w:tr w14:paraId="5BEEE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17" w:type="dxa"/>
            <w:noWrap w:val="0"/>
            <w:vAlign w:val="center"/>
          </w:tcPr>
          <w:p w14:paraId="2266EE09">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总量</w:t>
            </w:r>
          </w:p>
          <w:p w14:paraId="3C6F972B">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控制</w:t>
            </w:r>
          </w:p>
          <w:p w14:paraId="361C1E4C">
            <w:pPr>
              <w:adjustRightInd w:val="0"/>
              <w:snapToGrid w:val="0"/>
              <w:jc w:val="center"/>
              <w:rPr>
                <w:rFonts w:ascii="宋体" w:hAnsi="宋体" w:cs="宋体"/>
                <w:b/>
                <w:color w:val="auto"/>
                <w:kern w:val="0"/>
                <w:szCs w:val="21"/>
              </w:rPr>
            </w:pPr>
            <w:r>
              <w:rPr>
                <w:rFonts w:hint="eastAsia" w:ascii="宋体" w:hAnsi="宋体" w:cs="宋体"/>
                <w:b/>
                <w:color w:val="auto"/>
                <w:kern w:val="0"/>
                <w:szCs w:val="21"/>
              </w:rPr>
              <w:t>指标</w:t>
            </w:r>
          </w:p>
        </w:tc>
        <w:tc>
          <w:tcPr>
            <w:tcW w:w="8486" w:type="dxa"/>
            <w:noWrap w:val="0"/>
            <w:vAlign w:val="top"/>
          </w:tcPr>
          <w:p w14:paraId="6A070B51">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auto"/>
                <w:sz w:val="24"/>
              </w:rPr>
            </w:pPr>
            <w:r>
              <w:rPr>
                <w:b/>
                <w:bCs/>
                <w:color w:val="auto"/>
                <w:sz w:val="24"/>
              </w:rPr>
              <w:t>总量控制因子和排放指标：</w:t>
            </w:r>
          </w:p>
          <w:p w14:paraId="5AD56D8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sz w:val="24"/>
                <w:highlight w:val="none"/>
              </w:rPr>
            </w:pPr>
            <w:r>
              <w:rPr>
                <w:b/>
                <w:bCs/>
                <w:color w:val="000000"/>
                <w:sz w:val="24"/>
              </w:rPr>
              <w:t>1</w:t>
            </w:r>
            <w:r>
              <w:rPr>
                <w:rFonts w:hint="eastAsia"/>
                <w:b/>
                <w:bCs/>
                <w:color w:val="000000"/>
                <w:sz w:val="24"/>
              </w:rPr>
              <w:t>、总量控制</w:t>
            </w:r>
            <w:r>
              <w:rPr>
                <w:rFonts w:hint="eastAsia"/>
                <w:b/>
                <w:bCs/>
                <w:color w:val="000000"/>
                <w:sz w:val="24"/>
                <w:highlight w:val="none"/>
              </w:rPr>
              <w:t>因子</w:t>
            </w:r>
          </w:p>
          <w:p w14:paraId="168ABC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大气污染物总量控制因子：</w:t>
            </w:r>
            <w:r>
              <w:rPr>
                <w:rFonts w:hint="eastAsia"/>
                <w:color w:val="auto"/>
                <w:sz w:val="24"/>
              </w:rPr>
              <w:t>VOCs（非甲烷总烃）</w:t>
            </w:r>
            <w:r>
              <w:rPr>
                <w:rFonts w:hint="eastAsia"/>
                <w:color w:val="auto"/>
                <w:sz w:val="24"/>
                <w:lang w:eastAsia="zh-CN"/>
              </w:rPr>
              <w:t>、</w:t>
            </w:r>
            <w:r>
              <w:rPr>
                <w:rFonts w:hint="eastAsia"/>
                <w:color w:val="auto"/>
                <w:sz w:val="24"/>
                <w:lang w:val="en-US" w:eastAsia="zh-CN"/>
              </w:rPr>
              <w:t>颗粒物</w:t>
            </w:r>
            <w:r>
              <w:rPr>
                <w:color w:val="auto"/>
                <w:sz w:val="24"/>
              </w:rPr>
              <w:t>；总量考核因子：</w:t>
            </w:r>
            <w:r>
              <w:rPr>
                <w:rFonts w:hint="eastAsia"/>
                <w:color w:val="auto"/>
                <w:sz w:val="24"/>
                <w:lang w:val="en-US" w:eastAsia="zh-CN"/>
              </w:rPr>
              <w:t>/</w:t>
            </w:r>
            <w:r>
              <w:rPr>
                <w:color w:val="auto"/>
                <w:sz w:val="24"/>
              </w:rPr>
              <w:t>。</w:t>
            </w:r>
          </w:p>
          <w:p w14:paraId="2DC5E0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水污染物总量控制因子：COD、NH</w:t>
            </w:r>
            <w:r>
              <w:rPr>
                <w:color w:val="auto"/>
                <w:sz w:val="24"/>
                <w:vertAlign w:val="subscript"/>
              </w:rPr>
              <w:t>3</w:t>
            </w:r>
            <w:r>
              <w:rPr>
                <w:color w:val="auto"/>
                <w:sz w:val="24"/>
              </w:rPr>
              <w:t>-N、TP、TN；总量考核因子：SS。</w:t>
            </w:r>
          </w:p>
          <w:p w14:paraId="3884662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color w:val="000000"/>
                <w:sz w:val="24"/>
              </w:rPr>
            </w:pPr>
            <w:r>
              <w:rPr>
                <w:b/>
                <w:bCs/>
                <w:color w:val="000000"/>
                <w:sz w:val="24"/>
              </w:rPr>
              <w:t>2</w:t>
            </w:r>
            <w:r>
              <w:rPr>
                <w:rFonts w:hint="eastAsia"/>
                <w:b/>
                <w:bCs/>
                <w:color w:val="000000"/>
                <w:sz w:val="24"/>
              </w:rPr>
              <w:t>、总量控制指标</w:t>
            </w:r>
          </w:p>
          <w:p w14:paraId="7D9DB77B">
            <w:pPr>
              <w:keepNext w:val="0"/>
              <w:keepLines w:val="0"/>
              <w:pageBreakBefore w:val="0"/>
              <w:widowControl w:val="0"/>
              <w:kinsoku/>
              <w:wordWrap/>
              <w:overflowPunct/>
              <w:topLinePunct w:val="0"/>
              <w:autoSpaceDE/>
              <w:autoSpaceDN/>
              <w:bidi w:val="0"/>
              <w:adjustRightInd/>
              <w:snapToGrid/>
              <w:jc w:val="center"/>
              <w:textAlignment w:val="auto"/>
              <w:rPr>
                <w:b/>
                <w:color w:val="auto"/>
                <w:highlight w:val="none"/>
              </w:rPr>
            </w:pPr>
            <w:r>
              <w:rPr>
                <w:b/>
                <w:color w:val="auto"/>
                <w:highlight w:val="none"/>
              </w:rPr>
              <w:t>表</w:t>
            </w:r>
            <w:r>
              <w:rPr>
                <w:rFonts w:hint="eastAsia"/>
                <w:b/>
                <w:color w:val="auto"/>
                <w:highlight w:val="none"/>
              </w:rPr>
              <w:t>3</w:t>
            </w:r>
            <w:r>
              <w:rPr>
                <w:b/>
                <w:color w:val="auto"/>
                <w:highlight w:val="none"/>
              </w:rPr>
              <w:t>-</w:t>
            </w:r>
            <w:r>
              <w:rPr>
                <w:rFonts w:hint="eastAsia"/>
                <w:b/>
                <w:color w:val="auto"/>
                <w:highlight w:val="none"/>
                <w:lang w:val="en-US" w:eastAsia="zh-CN"/>
              </w:rPr>
              <w:t>9</w:t>
            </w:r>
            <w:r>
              <w:rPr>
                <w:rFonts w:hint="eastAsia"/>
                <w:b/>
                <w:color w:val="auto"/>
                <w:highlight w:val="none"/>
              </w:rPr>
              <w:t xml:space="preserve"> </w:t>
            </w:r>
            <w:r>
              <w:rPr>
                <w:b/>
                <w:color w:val="auto"/>
                <w:highlight w:val="none"/>
              </w:rPr>
              <w:t>污染物排放总量控制指标表（单位：t/a）</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6"/>
              <w:gridCol w:w="735"/>
              <w:gridCol w:w="1596"/>
              <w:gridCol w:w="1084"/>
              <w:gridCol w:w="1201"/>
              <w:gridCol w:w="1039"/>
              <w:gridCol w:w="1022"/>
              <w:gridCol w:w="1044"/>
            </w:tblGrid>
            <w:tr w14:paraId="6DB19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restart"/>
                  <w:tcBorders>
                    <w:tl2br w:val="nil"/>
                    <w:tr2bl w:val="nil"/>
                  </w:tcBorders>
                  <w:noWrap w:val="0"/>
                  <w:vAlign w:val="center"/>
                </w:tcPr>
                <w:p w14:paraId="24847DF2">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环境要素</w:t>
                  </w:r>
                </w:p>
              </w:tc>
              <w:tc>
                <w:tcPr>
                  <w:tcW w:w="1409" w:type="pct"/>
                  <w:gridSpan w:val="2"/>
                  <w:vMerge w:val="restart"/>
                  <w:tcBorders>
                    <w:tl2br w:val="nil"/>
                    <w:tr2bl w:val="nil"/>
                  </w:tcBorders>
                  <w:noWrap w:val="0"/>
                  <w:vAlign w:val="center"/>
                </w:tcPr>
                <w:p w14:paraId="596818E0">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污染物名称</w:t>
                  </w:r>
                </w:p>
              </w:tc>
              <w:tc>
                <w:tcPr>
                  <w:tcW w:w="2010" w:type="pct"/>
                  <w:gridSpan w:val="3"/>
                  <w:tcBorders>
                    <w:tl2br w:val="nil"/>
                    <w:tr2bl w:val="nil"/>
                  </w:tcBorders>
                  <w:noWrap w:val="0"/>
                  <w:vAlign w:val="center"/>
                </w:tcPr>
                <w:p w14:paraId="171D017A">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本项目</w:t>
                  </w:r>
                </w:p>
              </w:tc>
              <w:tc>
                <w:tcPr>
                  <w:tcW w:w="618" w:type="pct"/>
                  <w:vMerge w:val="restart"/>
                  <w:tcBorders>
                    <w:tl2br w:val="nil"/>
                    <w:tr2bl w:val="nil"/>
                  </w:tcBorders>
                  <w:noWrap w:val="0"/>
                  <w:vAlign w:val="center"/>
                </w:tcPr>
                <w:p w14:paraId="599E4DF5">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预测外环境排放量</w:t>
                  </w:r>
                </w:p>
              </w:tc>
              <w:tc>
                <w:tcPr>
                  <w:tcW w:w="631" w:type="pct"/>
                  <w:vMerge w:val="restart"/>
                  <w:tcBorders>
                    <w:tl2br w:val="nil"/>
                    <w:tr2bl w:val="nil"/>
                  </w:tcBorders>
                  <w:noWrap w:val="0"/>
                  <w:vAlign w:val="center"/>
                </w:tcPr>
                <w:p w14:paraId="23DE0ACC">
                  <w:pPr>
                    <w:pStyle w:val="3"/>
                    <w:keepNext w:val="0"/>
                    <w:keepLines w:val="0"/>
                    <w:pageBreakBefore w:val="0"/>
                    <w:kinsoku/>
                    <w:wordWrap/>
                    <w:overflowPunct/>
                    <w:topLinePunct w:val="0"/>
                    <w:autoSpaceDE/>
                    <w:bidi w:val="0"/>
                    <w:snapToGrid w:val="0"/>
                    <w:ind w:left="0" w:leftChars="0" w:firstLine="0" w:firstLineChars="0"/>
                    <w:jc w:val="center"/>
                    <w:rPr>
                      <w:rFonts w:hint="default" w:ascii="Times New Roman" w:hAnsi="Times New Roman" w:eastAsia="宋体" w:cs="Times New Roman"/>
                      <w:b/>
                      <w:bCs w:val="0"/>
                      <w:color w:val="000000"/>
                      <w:sz w:val="21"/>
                      <w:szCs w:val="21"/>
                      <w:highlight w:val="none"/>
                    </w:rPr>
                  </w:pPr>
                  <w:r>
                    <w:rPr>
                      <w:rFonts w:hint="eastAsia" w:ascii="Times New Roman" w:hAnsi="Times New Roman" w:eastAsia="宋体" w:cs="Times New Roman"/>
                      <w:b/>
                      <w:bCs w:val="0"/>
                      <w:color w:val="000000"/>
                      <w:sz w:val="21"/>
                      <w:szCs w:val="21"/>
                      <w:highlight w:val="none"/>
                      <w:lang w:val="en-US" w:eastAsia="zh-CN"/>
                    </w:rPr>
                    <w:t>新增排放</w:t>
                  </w:r>
                  <w:r>
                    <w:rPr>
                      <w:rFonts w:hint="default" w:ascii="Times New Roman" w:hAnsi="Times New Roman" w:eastAsia="宋体" w:cs="Times New Roman"/>
                      <w:b/>
                      <w:bCs w:val="0"/>
                      <w:color w:val="000000"/>
                      <w:sz w:val="21"/>
                      <w:szCs w:val="21"/>
                      <w:highlight w:val="none"/>
                    </w:rPr>
                    <w:t>量</w:t>
                  </w:r>
                </w:p>
              </w:tc>
            </w:tr>
            <w:tr w14:paraId="6C37F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0EEA8EA1">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b/>
                      <w:color w:val="000000"/>
                      <w:kern w:val="0"/>
                      <w:sz w:val="21"/>
                      <w:szCs w:val="21"/>
                    </w:rPr>
                  </w:pPr>
                </w:p>
              </w:tc>
              <w:tc>
                <w:tcPr>
                  <w:tcW w:w="1409" w:type="pct"/>
                  <w:gridSpan w:val="2"/>
                  <w:vMerge w:val="continue"/>
                  <w:tcBorders>
                    <w:tl2br w:val="nil"/>
                    <w:tr2bl w:val="nil"/>
                  </w:tcBorders>
                  <w:noWrap w:val="0"/>
                  <w:vAlign w:val="center"/>
                </w:tcPr>
                <w:p w14:paraId="20F4EF49">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b/>
                      <w:color w:val="000000"/>
                      <w:kern w:val="0"/>
                      <w:sz w:val="21"/>
                      <w:szCs w:val="21"/>
                    </w:rPr>
                  </w:pPr>
                </w:p>
              </w:tc>
              <w:tc>
                <w:tcPr>
                  <w:tcW w:w="655" w:type="pct"/>
                  <w:tcBorders>
                    <w:tl2br w:val="nil"/>
                    <w:tr2bl w:val="nil"/>
                  </w:tcBorders>
                  <w:noWrap w:val="0"/>
                  <w:vAlign w:val="center"/>
                </w:tcPr>
                <w:p w14:paraId="760D915A">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产生量</w:t>
                  </w:r>
                </w:p>
              </w:tc>
              <w:tc>
                <w:tcPr>
                  <w:tcW w:w="726" w:type="pct"/>
                  <w:tcBorders>
                    <w:tl2br w:val="nil"/>
                    <w:tr2bl w:val="nil"/>
                  </w:tcBorders>
                  <w:noWrap w:val="0"/>
                  <w:vAlign w:val="center"/>
                </w:tcPr>
                <w:p w14:paraId="1F0F2E35">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削减量</w:t>
                  </w:r>
                </w:p>
              </w:tc>
              <w:tc>
                <w:tcPr>
                  <w:tcW w:w="628" w:type="pct"/>
                  <w:tcBorders>
                    <w:tl2br w:val="nil"/>
                    <w:tr2bl w:val="nil"/>
                  </w:tcBorders>
                  <w:noWrap w:val="0"/>
                  <w:vAlign w:val="center"/>
                </w:tcPr>
                <w:p w14:paraId="434B477C">
                  <w:pPr>
                    <w:pStyle w:val="3"/>
                    <w:keepNext w:val="0"/>
                    <w:keepLines w:val="0"/>
                    <w:pageBreakBefore w:val="0"/>
                    <w:kinsoku/>
                    <w:wordWrap/>
                    <w:overflowPunct/>
                    <w:topLinePunct w:val="0"/>
                    <w:autoSpaceDE/>
                    <w:bidi w:val="0"/>
                    <w:snapToGrid w:val="0"/>
                    <w:ind w:left="0" w:leftChars="0" w:firstLine="0" w:firstLineChars="0"/>
                    <w:jc w:val="center"/>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排放量</w:t>
                  </w:r>
                </w:p>
              </w:tc>
              <w:tc>
                <w:tcPr>
                  <w:tcW w:w="618" w:type="pct"/>
                  <w:vMerge w:val="continue"/>
                  <w:tcBorders>
                    <w:tl2br w:val="nil"/>
                    <w:tr2bl w:val="nil"/>
                  </w:tcBorders>
                  <w:noWrap w:val="0"/>
                  <w:vAlign w:val="center"/>
                </w:tcPr>
                <w:p w14:paraId="1454B492">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b/>
                      <w:color w:val="000000"/>
                      <w:sz w:val="21"/>
                      <w:szCs w:val="21"/>
                    </w:rPr>
                  </w:pPr>
                </w:p>
              </w:tc>
              <w:tc>
                <w:tcPr>
                  <w:tcW w:w="631" w:type="pct"/>
                  <w:vMerge w:val="continue"/>
                  <w:tcBorders>
                    <w:tl2br w:val="nil"/>
                    <w:tr2bl w:val="nil"/>
                  </w:tcBorders>
                  <w:noWrap w:val="0"/>
                  <w:vAlign w:val="center"/>
                </w:tcPr>
                <w:p w14:paraId="398C5EAF">
                  <w:pPr>
                    <w:pStyle w:val="3"/>
                    <w:keepNext w:val="0"/>
                    <w:keepLines w:val="0"/>
                    <w:pageBreakBefore w:val="0"/>
                    <w:kinsoku/>
                    <w:wordWrap/>
                    <w:overflowPunct/>
                    <w:topLinePunct w:val="0"/>
                    <w:autoSpaceDE/>
                    <w:bidi w:val="0"/>
                    <w:snapToGrid w:val="0"/>
                    <w:ind w:firstLine="0"/>
                    <w:jc w:val="center"/>
                    <w:rPr>
                      <w:rFonts w:hint="default" w:ascii="Times New Roman" w:hAnsi="Times New Roman" w:eastAsia="宋体" w:cs="Times New Roman"/>
                      <w:color w:val="000000"/>
                      <w:sz w:val="21"/>
                      <w:szCs w:val="21"/>
                    </w:rPr>
                  </w:pPr>
                </w:p>
              </w:tc>
            </w:tr>
            <w:tr w14:paraId="76A5F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restart"/>
                  <w:tcBorders>
                    <w:tl2br w:val="nil"/>
                    <w:tr2bl w:val="nil"/>
                  </w:tcBorders>
                  <w:noWrap w:val="0"/>
                  <w:vAlign w:val="center"/>
                </w:tcPr>
                <w:p w14:paraId="5CAFDDC4">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444" w:type="pct"/>
                  <w:vMerge w:val="restart"/>
                  <w:tcBorders>
                    <w:tl2br w:val="nil"/>
                    <w:tr2bl w:val="nil"/>
                  </w:tcBorders>
                  <w:noWrap w:val="0"/>
                  <w:vAlign w:val="center"/>
                </w:tcPr>
                <w:p w14:paraId="3F08D469">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生活污水</w:t>
                  </w:r>
                </w:p>
              </w:tc>
              <w:tc>
                <w:tcPr>
                  <w:tcW w:w="965" w:type="pct"/>
                  <w:tcBorders>
                    <w:tl2br w:val="nil"/>
                    <w:tr2bl w:val="nil"/>
                  </w:tcBorders>
                  <w:noWrap w:val="0"/>
                  <w:vAlign w:val="center"/>
                </w:tcPr>
                <w:p w14:paraId="1B207269">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废水量</w:t>
                  </w:r>
                </w:p>
              </w:tc>
              <w:tc>
                <w:tcPr>
                  <w:tcW w:w="655" w:type="pct"/>
                  <w:tcBorders>
                    <w:tl2br w:val="nil"/>
                    <w:tr2bl w:val="nil"/>
                  </w:tcBorders>
                  <w:noWrap w:val="0"/>
                  <w:vAlign w:val="center"/>
                </w:tcPr>
                <w:p w14:paraId="6BAD5699">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1352</w:t>
                  </w:r>
                </w:p>
              </w:tc>
              <w:tc>
                <w:tcPr>
                  <w:tcW w:w="726" w:type="pct"/>
                  <w:tcBorders>
                    <w:tl2br w:val="nil"/>
                    <w:tr2bl w:val="nil"/>
                  </w:tcBorders>
                  <w:noWrap w:val="0"/>
                  <w:vAlign w:val="center"/>
                </w:tcPr>
                <w:p w14:paraId="0BB42C36">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snapToGrid w:val="0"/>
                      <w:color w:val="000000"/>
                      <w:spacing w:val="-6"/>
                      <w:sz w:val="21"/>
                      <w:szCs w:val="21"/>
                      <w:lang w:val="en-US" w:eastAsia="zh-CN"/>
                    </w:rPr>
                  </w:pPr>
                  <w:r>
                    <w:rPr>
                      <w:rFonts w:hint="eastAsia" w:ascii="Times New Roman" w:hAnsi="Times New Roman" w:eastAsia="宋体" w:cs="Times New Roman"/>
                      <w:snapToGrid w:val="0"/>
                      <w:color w:val="000000"/>
                      <w:spacing w:val="-6"/>
                      <w:sz w:val="21"/>
                      <w:szCs w:val="21"/>
                      <w:lang w:val="en-US" w:eastAsia="zh-CN"/>
                    </w:rPr>
                    <w:t>0</w:t>
                  </w:r>
                </w:p>
              </w:tc>
              <w:tc>
                <w:tcPr>
                  <w:tcW w:w="628" w:type="pct"/>
                  <w:tcBorders>
                    <w:tl2br w:val="nil"/>
                    <w:tr2bl w:val="nil"/>
                  </w:tcBorders>
                  <w:noWrap w:val="0"/>
                  <w:vAlign w:val="center"/>
                </w:tcPr>
                <w:p w14:paraId="74BF6AB6">
                  <w:pPr>
                    <w:keepNext w:val="0"/>
                    <w:keepLines w:val="0"/>
                    <w:pageBreakBefore w:val="0"/>
                    <w:kinsoku/>
                    <w:wordWrap/>
                    <w:overflowPunct/>
                    <w:topLinePunct w:val="0"/>
                    <w:autoSpaceDE/>
                    <w:bidi w:val="0"/>
                    <w:adjustRightInd w:val="0"/>
                    <w:snapToGrid w:val="0"/>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1352</w:t>
                  </w:r>
                </w:p>
              </w:tc>
              <w:tc>
                <w:tcPr>
                  <w:tcW w:w="618" w:type="pct"/>
                  <w:tcBorders>
                    <w:tl2br w:val="nil"/>
                    <w:tr2bl w:val="nil"/>
                  </w:tcBorders>
                  <w:noWrap w:val="0"/>
                  <w:vAlign w:val="center"/>
                </w:tcPr>
                <w:p w14:paraId="781A42A9">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1352</w:t>
                  </w:r>
                </w:p>
              </w:tc>
              <w:tc>
                <w:tcPr>
                  <w:tcW w:w="631" w:type="pct"/>
                  <w:tcBorders>
                    <w:tl2br w:val="nil"/>
                    <w:tr2bl w:val="nil"/>
                  </w:tcBorders>
                  <w:noWrap w:val="0"/>
                  <w:vAlign w:val="center"/>
                </w:tcPr>
                <w:p w14:paraId="07315EAE">
                  <w:pPr>
                    <w:keepNext w:val="0"/>
                    <w:keepLines w:val="0"/>
                    <w:pageBreakBefore w:val="0"/>
                    <w:kinsoku/>
                    <w:wordWrap/>
                    <w:overflowPunct/>
                    <w:topLinePunct w:val="0"/>
                    <w:autoSpaceDE/>
                    <w:bidi w:val="0"/>
                    <w:adjustRightInd w:val="0"/>
                    <w:snapToGrid w:val="0"/>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1352</w:t>
                  </w:r>
                </w:p>
              </w:tc>
            </w:tr>
            <w:tr w14:paraId="56EE1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0C901734">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1A7354F1">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3230936F">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COD</w:t>
                  </w:r>
                </w:p>
              </w:tc>
              <w:tc>
                <w:tcPr>
                  <w:tcW w:w="655" w:type="pct"/>
                  <w:tcBorders>
                    <w:tl2br w:val="nil"/>
                    <w:tr2bl w:val="nil"/>
                  </w:tcBorders>
                  <w:noWrap w:val="0"/>
                  <w:vAlign w:val="center"/>
                </w:tcPr>
                <w:p w14:paraId="1521F511">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0.4056</w:t>
                  </w:r>
                </w:p>
              </w:tc>
              <w:tc>
                <w:tcPr>
                  <w:tcW w:w="726" w:type="pct"/>
                  <w:tcBorders>
                    <w:tl2br w:val="nil"/>
                    <w:tr2bl w:val="nil"/>
                  </w:tcBorders>
                  <w:noWrap w:val="0"/>
                  <w:vAlign w:val="center"/>
                </w:tcPr>
                <w:p w14:paraId="4B0667E8">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snapToGrid w:val="0"/>
                      <w:color w:val="000000"/>
                      <w:spacing w:val="-6"/>
                      <w:sz w:val="21"/>
                      <w:szCs w:val="21"/>
                      <w:highlight w:val="none"/>
                      <w:lang w:val="en-US" w:eastAsia="zh-CN"/>
                    </w:rPr>
                  </w:pPr>
                  <w:r>
                    <w:rPr>
                      <w:rFonts w:hint="eastAsia" w:ascii="Times New Roman" w:hAnsi="Times New Roman" w:eastAsia="宋体" w:cs="Times New Roman"/>
                      <w:snapToGrid w:val="0"/>
                      <w:color w:val="000000"/>
                      <w:spacing w:val="-6"/>
                      <w:sz w:val="21"/>
                      <w:szCs w:val="21"/>
                      <w:highlight w:val="none"/>
                      <w:lang w:val="en-US" w:eastAsia="zh-CN"/>
                    </w:rPr>
                    <w:t>0</w:t>
                  </w:r>
                </w:p>
              </w:tc>
              <w:tc>
                <w:tcPr>
                  <w:tcW w:w="628" w:type="pct"/>
                  <w:tcBorders>
                    <w:tl2br w:val="nil"/>
                    <w:tr2bl w:val="nil"/>
                  </w:tcBorders>
                  <w:noWrap w:val="0"/>
                  <w:vAlign w:val="center"/>
                </w:tcPr>
                <w:p w14:paraId="4C42E8EF">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0.4056</w:t>
                  </w:r>
                </w:p>
              </w:tc>
              <w:tc>
                <w:tcPr>
                  <w:tcW w:w="618" w:type="pct"/>
                  <w:tcBorders>
                    <w:tl2br w:val="nil"/>
                    <w:tr2bl w:val="nil"/>
                  </w:tcBorders>
                  <w:noWrap w:val="0"/>
                  <w:vAlign w:val="center"/>
                </w:tcPr>
                <w:p w14:paraId="759C5A6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0.0676</w:t>
                  </w:r>
                </w:p>
              </w:tc>
              <w:tc>
                <w:tcPr>
                  <w:tcW w:w="631" w:type="pct"/>
                  <w:tcBorders>
                    <w:tl2br w:val="nil"/>
                    <w:tr2bl w:val="nil"/>
                  </w:tcBorders>
                  <w:noWrap w:val="0"/>
                  <w:vAlign w:val="center"/>
                </w:tcPr>
                <w:p w14:paraId="4FC4ED9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0.4056</w:t>
                  </w:r>
                </w:p>
              </w:tc>
            </w:tr>
            <w:tr w14:paraId="3B1FD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76827E62">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445C6E98">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33D6C39C">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655" w:type="pct"/>
                  <w:tcBorders>
                    <w:tl2br w:val="nil"/>
                    <w:tr2bl w:val="nil"/>
                  </w:tcBorders>
                  <w:noWrap w:val="0"/>
                  <w:vAlign w:val="center"/>
                </w:tcPr>
                <w:p w14:paraId="3272A172">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0.2704</w:t>
                  </w:r>
                </w:p>
              </w:tc>
              <w:tc>
                <w:tcPr>
                  <w:tcW w:w="726" w:type="pct"/>
                  <w:tcBorders>
                    <w:tl2br w:val="nil"/>
                    <w:tr2bl w:val="nil"/>
                  </w:tcBorders>
                  <w:noWrap w:val="0"/>
                  <w:vAlign w:val="center"/>
                </w:tcPr>
                <w:p w14:paraId="0F5F7BDD">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snapToGrid w:val="0"/>
                      <w:color w:val="000000"/>
                      <w:spacing w:val="-6"/>
                      <w:sz w:val="21"/>
                      <w:szCs w:val="21"/>
                      <w:highlight w:val="none"/>
                      <w:lang w:val="en-US" w:eastAsia="zh-CN"/>
                    </w:rPr>
                  </w:pPr>
                  <w:r>
                    <w:rPr>
                      <w:rFonts w:hint="eastAsia" w:ascii="Times New Roman" w:hAnsi="Times New Roman" w:eastAsia="宋体" w:cs="Times New Roman"/>
                      <w:snapToGrid w:val="0"/>
                      <w:color w:val="000000"/>
                      <w:spacing w:val="-6"/>
                      <w:sz w:val="21"/>
                      <w:szCs w:val="21"/>
                      <w:highlight w:val="none"/>
                      <w:lang w:val="en-US" w:eastAsia="zh-CN"/>
                    </w:rPr>
                    <w:t>0</w:t>
                  </w:r>
                </w:p>
              </w:tc>
              <w:tc>
                <w:tcPr>
                  <w:tcW w:w="628" w:type="pct"/>
                  <w:tcBorders>
                    <w:tl2br w:val="nil"/>
                    <w:tr2bl w:val="nil"/>
                  </w:tcBorders>
                  <w:noWrap w:val="0"/>
                  <w:vAlign w:val="center"/>
                </w:tcPr>
                <w:p w14:paraId="478E19D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0.2704</w:t>
                  </w:r>
                </w:p>
              </w:tc>
              <w:tc>
                <w:tcPr>
                  <w:tcW w:w="618" w:type="pct"/>
                  <w:tcBorders>
                    <w:tl2br w:val="nil"/>
                    <w:tr2bl w:val="nil"/>
                  </w:tcBorders>
                  <w:noWrap w:val="0"/>
                  <w:vAlign w:val="center"/>
                </w:tcPr>
                <w:p w14:paraId="789A88DB">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0.01352</w:t>
                  </w:r>
                </w:p>
              </w:tc>
              <w:tc>
                <w:tcPr>
                  <w:tcW w:w="631" w:type="pct"/>
                  <w:tcBorders>
                    <w:tl2br w:val="nil"/>
                    <w:tr2bl w:val="nil"/>
                  </w:tcBorders>
                  <w:noWrap w:val="0"/>
                  <w:vAlign w:val="center"/>
                </w:tcPr>
                <w:p w14:paraId="3B4E2D4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0.2704</w:t>
                  </w:r>
                </w:p>
              </w:tc>
            </w:tr>
            <w:tr w14:paraId="17D44C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07B873BC">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4EB59F0C">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56935644">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w:t>
                  </w:r>
                </w:p>
              </w:tc>
              <w:tc>
                <w:tcPr>
                  <w:tcW w:w="655" w:type="pct"/>
                  <w:tcBorders>
                    <w:tl2br w:val="nil"/>
                    <w:tr2bl w:val="nil"/>
                  </w:tcBorders>
                  <w:noWrap w:val="0"/>
                  <w:vAlign w:val="center"/>
                </w:tcPr>
                <w:p w14:paraId="230266B3">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0.04056</w:t>
                  </w:r>
                </w:p>
              </w:tc>
              <w:tc>
                <w:tcPr>
                  <w:tcW w:w="726" w:type="pct"/>
                  <w:tcBorders>
                    <w:tl2br w:val="nil"/>
                    <w:tr2bl w:val="nil"/>
                  </w:tcBorders>
                  <w:noWrap w:val="0"/>
                  <w:vAlign w:val="center"/>
                </w:tcPr>
                <w:p w14:paraId="0C2CB79B">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28" w:type="pct"/>
                  <w:tcBorders>
                    <w:tl2br w:val="nil"/>
                    <w:tr2bl w:val="nil"/>
                  </w:tcBorders>
                  <w:noWrap w:val="0"/>
                  <w:vAlign w:val="center"/>
                </w:tcPr>
                <w:p w14:paraId="6A0846A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0.04056</w:t>
                  </w:r>
                </w:p>
              </w:tc>
              <w:tc>
                <w:tcPr>
                  <w:tcW w:w="618" w:type="pct"/>
                  <w:tcBorders>
                    <w:tl2br w:val="nil"/>
                    <w:tr2bl w:val="nil"/>
                  </w:tcBorders>
                  <w:noWrap w:val="0"/>
                  <w:vAlign w:val="center"/>
                </w:tcPr>
                <w:p w14:paraId="7782D1C6">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0.00676</w:t>
                  </w:r>
                </w:p>
              </w:tc>
              <w:tc>
                <w:tcPr>
                  <w:tcW w:w="631" w:type="pct"/>
                  <w:tcBorders>
                    <w:tl2br w:val="nil"/>
                    <w:tr2bl w:val="nil"/>
                  </w:tcBorders>
                  <w:noWrap w:val="0"/>
                  <w:vAlign w:val="center"/>
                </w:tcPr>
                <w:p w14:paraId="751E8E8E">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0.04056</w:t>
                  </w:r>
                </w:p>
              </w:tc>
            </w:tr>
            <w:tr w14:paraId="3F342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5CB90195">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37057A5F">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61CF5393">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TP</w:t>
                  </w:r>
                </w:p>
              </w:tc>
              <w:tc>
                <w:tcPr>
                  <w:tcW w:w="655" w:type="pct"/>
                  <w:tcBorders>
                    <w:tl2br w:val="nil"/>
                    <w:tr2bl w:val="nil"/>
                  </w:tcBorders>
                  <w:noWrap w:val="0"/>
                  <w:vAlign w:val="center"/>
                </w:tcPr>
                <w:p w14:paraId="1E19883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0.004056</w:t>
                  </w:r>
                </w:p>
              </w:tc>
              <w:tc>
                <w:tcPr>
                  <w:tcW w:w="726" w:type="pct"/>
                  <w:tcBorders>
                    <w:tl2br w:val="nil"/>
                    <w:tr2bl w:val="nil"/>
                  </w:tcBorders>
                  <w:noWrap w:val="0"/>
                  <w:vAlign w:val="center"/>
                </w:tcPr>
                <w:p w14:paraId="4C7C6684">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28" w:type="pct"/>
                  <w:tcBorders>
                    <w:tl2br w:val="nil"/>
                    <w:tr2bl w:val="nil"/>
                  </w:tcBorders>
                  <w:noWrap w:val="0"/>
                  <w:vAlign w:val="center"/>
                </w:tcPr>
                <w:p w14:paraId="6D0606F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0.004056</w:t>
                  </w:r>
                </w:p>
              </w:tc>
              <w:tc>
                <w:tcPr>
                  <w:tcW w:w="618" w:type="pct"/>
                  <w:tcBorders>
                    <w:tl2br w:val="nil"/>
                    <w:tr2bl w:val="nil"/>
                  </w:tcBorders>
                  <w:noWrap w:val="0"/>
                  <w:vAlign w:val="center"/>
                </w:tcPr>
                <w:p w14:paraId="5482EDB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0.000676</w:t>
                  </w:r>
                </w:p>
              </w:tc>
              <w:tc>
                <w:tcPr>
                  <w:tcW w:w="631" w:type="pct"/>
                  <w:tcBorders>
                    <w:tl2br w:val="nil"/>
                    <w:tr2bl w:val="nil"/>
                  </w:tcBorders>
                  <w:noWrap w:val="0"/>
                  <w:vAlign w:val="center"/>
                </w:tcPr>
                <w:p w14:paraId="0B338C10">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0.004056</w:t>
                  </w:r>
                </w:p>
              </w:tc>
            </w:tr>
            <w:tr w14:paraId="041AF5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6E125CBD">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054DAECB">
                  <w:pPr>
                    <w:keepNext w:val="0"/>
                    <w:keepLines w:val="0"/>
                    <w:pageBreakBefore w:val="0"/>
                    <w:widowControl/>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00F438F2">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TN</w:t>
                  </w:r>
                </w:p>
              </w:tc>
              <w:tc>
                <w:tcPr>
                  <w:tcW w:w="655" w:type="pct"/>
                  <w:tcBorders>
                    <w:tl2br w:val="nil"/>
                    <w:tr2bl w:val="nil"/>
                  </w:tcBorders>
                  <w:noWrap w:val="0"/>
                  <w:vAlign w:val="center"/>
                </w:tcPr>
                <w:p w14:paraId="347A715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0.0676</w:t>
                  </w:r>
                </w:p>
              </w:tc>
              <w:tc>
                <w:tcPr>
                  <w:tcW w:w="726" w:type="pct"/>
                  <w:tcBorders>
                    <w:tl2br w:val="nil"/>
                    <w:tr2bl w:val="nil"/>
                  </w:tcBorders>
                  <w:noWrap w:val="0"/>
                  <w:vAlign w:val="center"/>
                </w:tcPr>
                <w:p w14:paraId="6CCEE57A">
                  <w:pPr>
                    <w:keepNext w:val="0"/>
                    <w:keepLines w:val="0"/>
                    <w:pageBreakBefore w:val="0"/>
                    <w:kinsoku/>
                    <w:wordWrap/>
                    <w:overflowPunct/>
                    <w:topLinePunct w:val="0"/>
                    <w:autoSpaceDE/>
                    <w:bidi w:val="0"/>
                    <w:adjustRightInd w:val="0"/>
                    <w:snapToGrid w:val="0"/>
                    <w:ind w:firstLine="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28" w:type="pct"/>
                  <w:tcBorders>
                    <w:tl2br w:val="nil"/>
                    <w:tr2bl w:val="nil"/>
                  </w:tcBorders>
                  <w:noWrap w:val="0"/>
                  <w:vAlign w:val="center"/>
                </w:tcPr>
                <w:p w14:paraId="38A04314">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0.0676</w:t>
                  </w:r>
                </w:p>
              </w:tc>
              <w:tc>
                <w:tcPr>
                  <w:tcW w:w="618" w:type="pct"/>
                  <w:tcBorders>
                    <w:tl2br w:val="nil"/>
                    <w:tr2bl w:val="nil"/>
                  </w:tcBorders>
                  <w:noWrap w:val="0"/>
                  <w:vAlign w:val="center"/>
                </w:tcPr>
                <w:p w14:paraId="40B86057">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0.02028</w:t>
                  </w:r>
                </w:p>
              </w:tc>
              <w:tc>
                <w:tcPr>
                  <w:tcW w:w="631" w:type="pct"/>
                  <w:tcBorders>
                    <w:tl2br w:val="nil"/>
                    <w:tr2bl w:val="nil"/>
                  </w:tcBorders>
                  <w:noWrap w:val="0"/>
                  <w:vAlign w:val="center"/>
                </w:tcPr>
                <w:p w14:paraId="3359D995">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0.0676</w:t>
                  </w:r>
                </w:p>
              </w:tc>
            </w:tr>
            <w:tr w14:paraId="09A08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restart"/>
                  <w:tcBorders>
                    <w:tl2br w:val="nil"/>
                    <w:tr2bl w:val="nil"/>
                  </w:tcBorders>
                  <w:noWrap w:val="0"/>
                  <w:vAlign w:val="center"/>
                </w:tcPr>
                <w:p w14:paraId="6155B9B8">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w:t>
                  </w:r>
                </w:p>
              </w:tc>
              <w:tc>
                <w:tcPr>
                  <w:tcW w:w="444" w:type="pct"/>
                  <w:vMerge w:val="restart"/>
                  <w:tcBorders>
                    <w:tl2br w:val="nil"/>
                    <w:tr2bl w:val="nil"/>
                  </w:tcBorders>
                  <w:noWrap w:val="0"/>
                  <w:vAlign w:val="center"/>
                </w:tcPr>
                <w:p w14:paraId="3937596A">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有组织</w:t>
                  </w:r>
                </w:p>
              </w:tc>
              <w:tc>
                <w:tcPr>
                  <w:tcW w:w="965" w:type="pct"/>
                  <w:tcBorders>
                    <w:tl2br w:val="nil"/>
                    <w:tr2bl w:val="nil"/>
                  </w:tcBorders>
                  <w:noWrap w:val="0"/>
                  <w:vAlign w:val="center"/>
                </w:tcPr>
                <w:p w14:paraId="6107E011">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颗粒物</w:t>
                  </w:r>
                </w:p>
              </w:tc>
              <w:tc>
                <w:tcPr>
                  <w:tcW w:w="655" w:type="pct"/>
                  <w:tcBorders>
                    <w:tl2br w:val="nil"/>
                    <w:tr2bl w:val="nil"/>
                  </w:tcBorders>
                  <w:noWrap w:val="0"/>
                  <w:vAlign w:val="center"/>
                </w:tcPr>
                <w:p w14:paraId="2CF3584A">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0.0841</w:t>
                  </w:r>
                </w:p>
              </w:tc>
              <w:tc>
                <w:tcPr>
                  <w:tcW w:w="726" w:type="pct"/>
                  <w:tcBorders>
                    <w:tl2br w:val="nil"/>
                    <w:tr2bl w:val="nil"/>
                  </w:tcBorders>
                  <w:noWrap w:val="0"/>
                  <w:vAlign w:val="center"/>
                </w:tcPr>
                <w:p w14:paraId="1BF5E0E3">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0.08032</w:t>
                  </w:r>
                </w:p>
              </w:tc>
              <w:tc>
                <w:tcPr>
                  <w:tcW w:w="628" w:type="pct"/>
                  <w:tcBorders>
                    <w:tl2br w:val="nil"/>
                    <w:tr2bl w:val="nil"/>
                  </w:tcBorders>
                  <w:noWrap w:val="0"/>
                  <w:vAlign w:val="center"/>
                </w:tcPr>
                <w:p w14:paraId="3E84AD66">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0.00378</w:t>
                  </w:r>
                </w:p>
              </w:tc>
              <w:tc>
                <w:tcPr>
                  <w:tcW w:w="618" w:type="pct"/>
                  <w:tcBorders>
                    <w:tl2br w:val="nil"/>
                    <w:tr2bl w:val="nil"/>
                  </w:tcBorders>
                  <w:noWrap w:val="0"/>
                  <w:vAlign w:val="center"/>
                </w:tcPr>
                <w:p w14:paraId="02C83F27">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0.00378</w:t>
                  </w:r>
                </w:p>
              </w:tc>
              <w:tc>
                <w:tcPr>
                  <w:tcW w:w="631" w:type="pct"/>
                  <w:tcBorders>
                    <w:tl2br w:val="nil"/>
                    <w:tr2bl w:val="nil"/>
                  </w:tcBorders>
                  <w:noWrap w:val="0"/>
                  <w:vAlign w:val="center"/>
                </w:tcPr>
                <w:p w14:paraId="41531B89">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0.00378</w:t>
                  </w:r>
                </w:p>
              </w:tc>
            </w:tr>
            <w:tr w14:paraId="0A8BB9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67AD88E1">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2DBEE60A">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68E8BD1F">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非甲烷总烃</w:t>
                  </w:r>
                </w:p>
              </w:tc>
              <w:tc>
                <w:tcPr>
                  <w:tcW w:w="655" w:type="pct"/>
                  <w:tcBorders>
                    <w:tl2br w:val="nil"/>
                    <w:tr2bl w:val="nil"/>
                  </w:tcBorders>
                  <w:noWrap w:val="0"/>
                  <w:vAlign w:val="center"/>
                </w:tcPr>
                <w:p w14:paraId="2E38DA77">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0.02584</w:t>
                  </w:r>
                </w:p>
              </w:tc>
              <w:tc>
                <w:tcPr>
                  <w:tcW w:w="726" w:type="pct"/>
                  <w:tcBorders>
                    <w:tl2br w:val="nil"/>
                    <w:tr2bl w:val="nil"/>
                  </w:tcBorders>
                  <w:noWrap w:val="0"/>
                  <w:vAlign w:val="center"/>
                </w:tcPr>
                <w:p w14:paraId="3F79444F">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0.023515</w:t>
                  </w:r>
                </w:p>
              </w:tc>
              <w:tc>
                <w:tcPr>
                  <w:tcW w:w="628" w:type="pct"/>
                  <w:tcBorders>
                    <w:tl2br w:val="nil"/>
                    <w:tr2bl w:val="nil"/>
                  </w:tcBorders>
                  <w:noWrap w:val="0"/>
                  <w:vAlign w:val="center"/>
                </w:tcPr>
                <w:p w14:paraId="4871686A">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0.002325</w:t>
                  </w:r>
                </w:p>
              </w:tc>
              <w:tc>
                <w:tcPr>
                  <w:tcW w:w="618" w:type="pct"/>
                  <w:tcBorders>
                    <w:tl2br w:val="nil"/>
                    <w:tr2bl w:val="nil"/>
                  </w:tcBorders>
                  <w:noWrap w:val="0"/>
                  <w:vAlign w:val="center"/>
                </w:tcPr>
                <w:p w14:paraId="4E392FB8">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0.002325</w:t>
                  </w:r>
                </w:p>
              </w:tc>
              <w:tc>
                <w:tcPr>
                  <w:tcW w:w="631" w:type="pct"/>
                  <w:tcBorders>
                    <w:tl2br w:val="nil"/>
                    <w:tr2bl w:val="nil"/>
                  </w:tcBorders>
                  <w:noWrap w:val="0"/>
                  <w:vAlign w:val="center"/>
                </w:tcPr>
                <w:p w14:paraId="3D8D5FA3">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0.002325</w:t>
                  </w:r>
                </w:p>
              </w:tc>
            </w:tr>
            <w:tr w14:paraId="1D48A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3F87FC52">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444" w:type="pct"/>
                  <w:vMerge w:val="restart"/>
                  <w:tcBorders>
                    <w:tl2br w:val="nil"/>
                    <w:tr2bl w:val="nil"/>
                  </w:tcBorders>
                  <w:noWrap w:val="0"/>
                  <w:vAlign w:val="center"/>
                </w:tcPr>
                <w:p w14:paraId="3B2FE38B">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无组织</w:t>
                  </w:r>
                </w:p>
              </w:tc>
              <w:tc>
                <w:tcPr>
                  <w:tcW w:w="965" w:type="pct"/>
                  <w:tcBorders>
                    <w:tl2br w:val="nil"/>
                    <w:tr2bl w:val="nil"/>
                  </w:tcBorders>
                  <w:noWrap w:val="0"/>
                  <w:vAlign w:val="center"/>
                </w:tcPr>
                <w:p w14:paraId="6A181DE9">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颗粒物</w:t>
                  </w:r>
                </w:p>
              </w:tc>
              <w:tc>
                <w:tcPr>
                  <w:tcW w:w="655" w:type="pct"/>
                  <w:tcBorders>
                    <w:tl2br w:val="nil"/>
                    <w:tr2bl w:val="nil"/>
                  </w:tcBorders>
                  <w:noWrap w:val="0"/>
                  <w:vAlign w:val="center"/>
                </w:tcPr>
                <w:p w14:paraId="0730DC3B">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0.00841</w:t>
                  </w:r>
                </w:p>
              </w:tc>
              <w:tc>
                <w:tcPr>
                  <w:tcW w:w="726" w:type="pct"/>
                  <w:tcBorders>
                    <w:tl2br w:val="nil"/>
                    <w:tr2bl w:val="nil"/>
                  </w:tcBorders>
                  <w:noWrap w:val="0"/>
                  <w:vAlign w:val="center"/>
                </w:tcPr>
                <w:p w14:paraId="2ADB8E0A">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w:t>
                  </w:r>
                </w:p>
              </w:tc>
              <w:tc>
                <w:tcPr>
                  <w:tcW w:w="628" w:type="pct"/>
                  <w:tcBorders>
                    <w:tl2br w:val="nil"/>
                    <w:tr2bl w:val="nil"/>
                  </w:tcBorders>
                  <w:noWrap w:val="0"/>
                  <w:vAlign w:val="center"/>
                </w:tcPr>
                <w:p w14:paraId="54D2691C">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0.00841</w:t>
                  </w:r>
                </w:p>
              </w:tc>
              <w:tc>
                <w:tcPr>
                  <w:tcW w:w="618" w:type="pct"/>
                  <w:tcBorders>
                    <w:tl2br w:val="nil"/>
                    <w:tr2bl w:val="nil"/>
                  </w:tcBorders>
                  <w:noWrap w:val="0"/>
                  <w:vAlign w:val="center"/>
                </w:tcPr>
                <w:p w14:paraId="3529A2E4">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0.00841</w:t>
                  </w:r>
                </w:p>
              </w:tc>
              <w:tc>
                <w:tcPr>
                  <w:tcW w:w="631" w:type="pct"/>
                  <w:tcBorders>
                    <w:tl2br w:val="nil"/>
                    <w:tr2bl w:val="nil"/>
                  </w:tcBorders>
                  <w:noWrap w:val="0"/>
                  <w:vAlign w:val="center"/>
                </w:tcPr>
                <w:p w14:paraId="308A8F97">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0.00841</w:t>
                  </w:r>
                </w:p>
              </w:tc>
            </w:tr>
            <w:tr w14:paraId="6DC4F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3FA60F6A">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444" w:type="pct"/>
                  <w:vMerge w:val="continue"/>
                  <w:tcBorders>
                    <w:tl2br w:val="nil"/>
                    <w:tr2bl w:val="nil"/>
                  </w:tcBorders>
                  <w:noWrap w:val="0"/>
                  <w:vAlign w:val="center"/>
                </w:tcPr>
                <w:p w14:paraId="27CBD689">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965" w:type="pct"/>
                  <w:tcBorders>
                    <w:tl2br w:val="nil"/>
                    <w:tr2bl w:val="nil"/>
                  </w:tcBorders>
                  <w:noWrap w:val="0"/>
                  <w:vAlign w:val="center"/>
                </w:tcPr>
                <w:p w14:paraId="39561B9F">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非甲烷总烃</w:t>
                  </w:r>
                </w:p>
              </w:tc>
              <w:tc>
                <w:tcPr>
                  <w:tcW w:w="655" w:type="pct"/>
                  <w:tcBorders>
                    <w:tl2br w:val="nil"/>
                    <w:tr2bl w:val="nil"/>
                  </w:tcBorders>
                  <w:noWrap w:val="0"/>
                  <w:vAlign w:val="center"/>
                </w:tcPr>
                <w:p w14:paraId="3C58F5F0">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0.002584</w:t>
                  </w:r>
                </w:p>
              </w:tc>
              <w:tc>
                <w:tcPr>
                  <w:tcW w:w="726" w:type="pct"/>
                  <w:tcBorders>
                    <w:tl2br w:val="nil"/>
                    <w:tr2bl w:val="nil"/>
                  </w:tcBorders>
                  <w:noWrap w:val="0"/>
                  <w:vAlign w:val="center"/>
                </w:tcPr>
                <w:p w14:paraId="2D8160F8">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w:t>
                  </w:r>
                </w:p>
              </w:tc>
              <w:tc>
                <w:tcPr>
                  <w:tcW w:w="628" w:type="pct"/>
                  <w:tcBorders>
                    <w:tl2br w:val="nil"/>
                    <w:tr2bl w:val="nil"/>
                  </w:tcBorders>
                  <w:noWrap w:val="0"/>
                  <w:vAlign w:val="center"/>
                </w:tcPr>
                <w:p w14:paraId="58D34054">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0.002584</w:t>
                  </w:r>
                </w:p>
              </w:tc>
              <w:tc>
                <w:tcPr>
                  <w:tcW w:w="618" w:type="pct"/>
                  <w:tcBorders>
                    <w:tl2br w:val="nil"/>
                    <w:tr2bl w:val="nil"/>
                  </w:tcBorders>
                  <w:noWrap w:val="0"/>
                  <w:vAlign w:val="center"/>
                </w:tcPr>
                <w:p w14:paraId="0D031570">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0.002584</w:t>
                  </w:r>
                </w:p>
              </w:tc>
              <w:tc>
                <w:tcPr>
                  <w:tcW w:w="631" w:type="pct"/>
                  <w:tcBorders>
                    <w:tl2br w:val="nil"/>
                    <w:tr2bl w:val="nil"/>
                  </w:tcBorders>
                  <w:noWrap w:val="0"/>
                  <w:vAlign w:val="center"/>
                </w:tcPr>
                <w:p w14:paraId="6A9CF4CE">
                  <w:pPr>
                    <w:keepNext w:val="0"/>
                    <w:keepLines w:val="0"/>
                    <w:pageBreakBefore w:val="0"/>
                    <w:kinsoku/>
                    <w:wordWrap/>
                    <w:overflowPunct/>
                    <w:topLinePunct w:val="0"/>
                    <w:autoSpaceDE/>
                    <w:autoSpaceDN w:val="0"/>
                    <w:bidi w:val="0"/>
                    <w:adjustRightInd w:val="0"/>
                    <w:snapToGrid w:val="0"/>
                    <w:ind w:firstLine="0" w:firstLineChars="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0.002584</w:t>
                  </w:r>
                </w:p>
              </w:tc>
            </w:tr>
            <w:tr w14:paraId="50DE3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restart"/>
                  <w:tcBorders>
                    <w:tl2br w:val="nil"/>
                    <w:tr2bl w:val="nil"/>
                  </w:tcBorders>
                  <w:noWrap w:val="0"/>
                  <w:vAlign w:val="center"/>
                </w:tcPr>
                <w:p w14:paraId="39E20A48">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固废</w:t>
                  </w:r>
                </w:p>
              </w:tc>
              <w:tc>
                <w:tcPr>
                  <w:tcW w:w="1409" w:type="pct"/>
                  <w:gridSpan w:val="2"/>
                  <w:tcBorders>
                    <w:tl2br w:val="nil"/>
                    <w:tr2bl w:val="nil"/>
                  </w:tcBorders>
                  <w:noWrap w:val="0"/>
                  <w:vAlign w:val="center"/>
                </w:tcPr>
                <w:p w14:paraId="75E7AEDA">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一般固废</w:t>
                  </w:r>
                </w:p>
              </w:tc>
              <w:tc>
                <w:tcPr>
                  <w:tcW w:w="655" w:type="pct"/>
                  <w:tcBorders>
                    <w:tl2br w:val="nil"/>
                    <w:tr2bl w:val="nil"/>
                  </w:tcBorders>
                  <w:noWrap w:val="0"/>
                  <w:vAlign w:val="center"/>
                </w:tcPr>
                <w:p w14:paraId="0BAE4695">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13.55</w:t>
                  </w:r>
                </w:p>
              </w:tc>
              <w:tc>
                <w:tcPr>
                  <w:tcW w:w="726" w:type="pct"/>
                  <w:tcBorders>
                    <w:tl2br w:val="nil"/>
                    <w:tr2bl w:val="nil"/>
                  </w:tcBorders>
                  <w:noWrap w:val="0"/>
                  <w:vAlign w:val="center"/>
                </w:tcPr>
                <w:p w14:paraId="4F77C59F">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13.55</w:t>
                  </w:r>
                </w:p>
              </w:tc>
              <w:tc>
                <w:tcPr>
                  <w:tcW w:w="628" w:type="pct"/>
                  <w:tcBorders>
                    <w:tl2br w:val="nil"/>
                    <w:tr2bl w:val="nil"/>
                  </w:tcBorders>
                  <w:noWrap w:val="0"/>
                  <w:vAlign w:val="center"/>
                </w:tcPr>
                <w:p w14:paraId="42AD616F">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18" w:type="pct"/>
                  <w:tcBorders>
                    <w:tl2br w:val="nil"/>
                    <w:tr2bl w:val="nil"/>
                  </w:tcBorders>
                  <w:noWrap w:val="0"/>
                  <w:vAlign w:val="center"/>
                </w:tcPr>
                <w:p w14:paraId="280C0064">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31" w:type="pct"/>
                  <w:tcBorders>
                    <w:tl2br w:val="nil"/>
                    <w:tr2bl w:val="nil"/>
                  </w:tcBorders>
                  <w:noWrap w:val="0"/>
                  <w:vAlign w:val="center"/>
                </w:tcPr>
                <w:p w14:paraId="1230A1AC">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r>
            <w:tr w14:paraId="2B3EC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327BAFCB">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1409" w:type="pct"/>
                  <w:gridSpan w:val="2"/>
                  <w:tcBorders>
                    <w:tl2br w:val="nil"/>
                    <w:tr2bl w:val="nil"/>
                  </w:tcBorders>
                  <w:noWrap w:val="0"/>
                  <w:vAlign w:val="center"/>
                </w:tcPr>
                <w:p w14:paraId="1FC7AE65">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危险废物</w:t>
                  </w:r>
                </w:p>
              </w:tc>
              <w:tc>
                <w:tcPr>
                  <w:tcW w:w="655" w:type="pct"/>
                  <w:tcBorders>
                    <w:tl2br w:val="nil"/>
                    <w:tr2bl w:val="nil"/>
                  </w:tcBorders>
                  <w:noWrap w:val="0"/>
                  <w:vAlign w:val="center"/>
                </w:tcPr>
                <w:p w14:paraId="3ED13E39">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1.6199</w:t>
                  </w:r>
                </w:p>
              </w:tc>
              <w:tc>
                <w:tcPr>
                  <w:tcW w:w="726" w:type="pct"/>
                  <w:tcBorders>
                    <w:tl2br w:val="nil"/>
                    <w:tr2bl w:val="nil"/>
                  </w:tcBorders>
                  <w:noWrap w:val="0"/>
                  <w:vAlign w:val="center"/>
                </w:tcPr>
                <w:p w14:paraId="5CCB99B1">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1.6199</w:t>
                  </w:r>
                </w:p>
              </w:tc>
              <w:tc>
                <w:tcPr>
                  <w:tcW w:w="628" w:type="pct"/>
                  <w:tcBorders>
                    <w:tl2br w:val="nil"/>
                    <w:tr2bl w:val="nil"/>
                  </w:tcBorders>
                  <w:noWrap w:val="0"/>
                  <w:vAlign w:val="center"/>
                </w:tcPr>
                <w:p w14:paraId="1CD7A68A">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18" w:type="pct"/>
                  <w:tcBorders>
                    <w:tl2br w:val="nil"/>
                    <w:tr2bl w:val="nil"/>
                  </w:tcBorders>
                  <w:noWrap w:val="0"/>
                  <w:vAlign w:val="center"/>
                </w:tcPr>
                <w:p w14:paraId="2BC8693C">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31" w:type="pct"/>
                  <w:tcBorders>
                    <w:tl2br w:val="nil"/>
                    <w:tr2bl w:val="nil"/>
                  </w:tcBorders>
                  <w:noWrap w:val="0"/>
                  <w:vAlign w:val="center"/>
                </w:tcPr>
                <w:p w14:paraId="38583936">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r>
            <w:tr w14:paraId="2A00B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330" w:type="pct"/>
                  <w:vMerge w:val="continue"/>
                  <w:tcBorders>
                    <w:tl2br w:val="nil"/>
                    <w:tr2bl w:val="nil"/>
                  </w:tcBorders>
                  <w:noWrap w:val="0"/>
                  <w:vAlign w:val="center"/>
                </w:tcPr>
                <w:p w14:paraId="4C5772F4">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p>
              </w:tc>
              <w:tc>
                <w:tcPr>
                  <w:tcW w:w="1409" w:type="pct"/>
                  <w:gridSpan w:val="2"/>
                  <w:tcBorders>
                    <w:tl2br w:val="nil"/>
                    <w:tr2bl w:val="nil"/>
                  </w:tcBorders>
                  <w:noWrap w:val="0"/>
                  <w:vAlign w:val="center"/>
                </w:tcPr>
                <w:p w14:paraId="6AC9338E">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生活垃圾</w:t>
                  </w:r>
                </w:p>
              </w:tc>
              <w:tc>
                <w:tcPr>
                  <w:tcW w:w="655" w:type="pct"/>
                  <w:tcBorders>
                    <w:tl2br w:val="nil"/>
                    <w:tr2bl w:val="nil"/>
                  </w:tcBorders>
                  <w:noWrap w:val="0"/>
                  <w:vAlign w:val="center"/>
                </w:tcPr>
                <w:p w14:paraId="2DDFD03E">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16.9</w:t>
                  </w:r>
                </w:p>
              </w:tc>
              <w:tc>
                <w:tcPr>
                  <w:tcW w:w="726" w:type="pct"/>
                  <w:tcBorders>
                    <w:tl2br w:val="nil"/>
                    <w:tr2bl w:val="nil"/>
                  </w:tcBorders>
                  <w:noWrap w:val="0"/>
                  <w:vAlign w:val="center"/>
                </w:tcPr>
                <w:p w14:paraId="5B7DE4E4">
                  <w:pPr>
                    <w:keepNext w:val="0"/>
                    <w:keepLines w:val="0"/>
                    <w:pageBreakBefore w:val="0"/>
                    <w:kinsoku/>
                    <w:wordWrap/>
                    <w:overflowPunct/>
                    <w:topLinePunct w:val="0"/>
                    <w:autoSpaceDE/>
                    <w:autoSpaceDN w:val="0"/>
                    <w:bidi w:val="0"/>
                    <w:adjustRightInd w:val="0"/>
                    <w:snapToGrid w:val="0"/>
                    <w:ind w:firstLine="0"/>
                    <w:jc w:val="center"/>
                    <w:textAlignment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16.9</w:t>
                  </w:r>
                </w:p>
              </w:tc>
              <w:tc>
                <w:tcPr>
                  <w:tcW w:w="628" w:type="pct"/>
                  <w:tcBorders>
                    <w:tl2br w:val="nil"/>
                    <w:tr2bl w:val="nil"/>
                  </w:tcBorders>
                  <w:noWrap w:val="0"/>
                  <w:vAlign w:val="center"/>
                </w:tcPr>
                <w:p w14:paraId="47CC4DA8">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18" w:type="pct"/>
                  <w:tcBorders>
                    <w:tl2br w:val="nil"/>
                    <w:tr2bl w:val="nil"/>
                  </w:tcBorders>
                  <w:noWrap w:val="0"/>
                  <w:vAlign w:val="center"/>
                </w:tcPr>
                <w:p w14:paraId="486CE9B0">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631" w:type="pct"/>
                  <w:tcBorders>
                    <w:tl2br w:val="nil"/>
                    <w:tr2bl w:val="nil"/>
                  </w:tcBorders>
                  <w:noWrap w:val="0"/>
                  <w:vAlign w:val="center"/>
                </w:tcPr>
                <w:p w14:paraId="579C518A">
                  <w:pPr>
                    <w:keepNext w:val="0"/>
                    <w:keepLines w:val="0"/>
                    <w:pageBreakBefore w:val="0"/>
                    <w:kinsoku/>
                    <w:wordWrap/>
                    <w:overflowPunct/>
                    <w:topLinePunct w:val="0"/>
                    <w:autoSpaceDE/>
                    <w:autoSpaceDN w:val="0"/>
                    <w:bidi w:val="0"/>
                    <w:adjustRightInd w:val="0"/>
                    <w:snapToGrid w:val="0"/>
                    <w:ind w:firstLine="0"/>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r>
          </w:tbl>
          <w:p w14:paraId="3B8217D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b/>
                <w:color w:val="000000"/>
                <w:sz w:val="24"/>
              </w:rPr>
              <w:t>3</w:t>
            </w:r>
            <w:r>
              <w:rPr>
                <w:rFonts w:hint="eastAsia"/>
                <w:b/>
                <w:color w:val="000000"/>
                <w:sz w:val="24"/>
              </w:rPr>
              <w:t>、总量平衡方案</w:t>
            </w:r>
          </w:p>
          <w:p w14:paraId="743778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bCs/>
                <w:color w:val="000000"/>
                <w:sz w:val="24"/>
                <w:highlight w:val="none"/>
              </w:rPr>
            </w:pPr>
            <w:r>
              <w:rPr>
                <w:rFonts w:hint="eastAsia" w:hAnsi="宋体"/>
                <w:bCs/>
                <w:color w:val="000000"/>
                <w:sz w:val="24"/>
              </w:rPr>
              <w:t>（</w:t>
            </w:r>
            <w:r>
              <w:rPr>
                <w:rFonts w:hAnsi="宋体"/>
                <w:bCs/>
                <w:color w:val="000000"/>
                <w:sz w:val="24"/>
              </w:rPr>
              <w:t>1</w:t>
            </w:r>
            <w:r>
              <w:rPr>
                <w:rFonts w:hint="eastAsia" w:hAnsi="宋体"/>
                <w:bCs/>
                <w:color w:val="000000"/>
                <w:sz w:val="24"/>
              </w:rPr>
              <w:t>）本项目生活污水排放量</w:t>
            </w:r>
            <w:r>
              <w:rPr>
                <w:rFonts w:hint="eastAsia" w:hAnsi="宋体"/>
                <w:bCs/>
                <w:color w:val="000000"/>
                <w:sz w:val="24"/>
                <w:lang w:val="en-US" w:eastAsia="zh-CN"/>
              </w:rPr>
              <w:t>1352</w:t>
            </w:r>
            <w:r>
              <w:rPr>
                <w:color w:val="000000"/>
                <w:sz w:val="24"/>
              </w:rPr>
              <w:t>t/a</w:t>
            </w:r>
            <w:r>
              <w:rPr>
                <w:rFonts w:hint="eastAsia"/>
                <w:color w:val="000000"/>
                <w:sz w:val="24"/>
              </w:rPr>
              <w:t>、</w:t>
            </w:r>
            <w:r>
              <w:rPr>
                <w:color w:val="000000"/>
                <w:sz w:val="24"/>
              </w:rPr>
              <w:t>COD</w:t>
            </w:r>
            <w:r>
              <w:rPr>
                <w:rFonts w:hint="eastAsia"/>
                <w:color w:val="000000"/>
                <w:sz w:val="24"/>
                <w:lang w:val="en-US" w:eastAsia="zh-CN"/>
              </w:rPr>
              <w:t>0.4056</w:t>
            </w:r>
            <w:r>
              <w:rPr>
                <w:color w:val="000000"/>
                <w:sz w:val="24"/>
              </w:rPr>
              <w:t>t/a</w:t>
            </w:r>
            <w:r>
              <w:rPr>
                <w:rFonts w:hint="eastAsia"/>
                <w:color w:val="000000"/>
                <w:sz w:val="24"/>
              </w:rPr>
              <w:t>、</w:t>
            </w:r>
            <w:r>
              <w:rPr>
                <w:color w:val="000000"/>
                <w:sz w:val="24"/>
              </w:rPr>
              <w:t>SS</w:t>
            </w:r>
            <w:r>
              <w:rPr>
                <w:rFonts w:hint="eastAsia"/>
                <w:color w:val="000000"/>
                <w:sz w:val="24"/>
                <w:lang w:val="en-US" w:eastAsia="zh-CN"/>
              </w:rPr>
              <w:t>0.2704</w:t>
            </w:r>
            <w:r>
              <w:rPr>
                <w:color w:val="000000"/>
                <w:sz w:val="24"/>
              </w:rPr>
              <w:t>t/a</w:t>
            </w:r>
            <w:r>
              <w:rPr>
                <w:rFonts w:hint="eastAsia"/>
                <w:color w:val="000000"/>
                <w:sz w:val="24"/>
              </w:rPr>
              <w:t>、</w:t>
            </w:r>
            <w:r>
              <w:rPr>
                <w:color w:val="000000"/>
                <w:sz w:val="24"/>
              </w:rPr>
              <w:t>NH</w:t>
            </w:r>
            <w:r>
              <w:rPr>
                <w:color w:val="000000"/>
                <w:sz w:val="24"/>
                <w:vertAlign w:val="subscript"/>
              </w:rPr>
              <w:t>3</w:t>
            </w:r>
            <w:r>
              <w:rPr>
                <w:color w:val="000000"/>
                <w:sz w:val="24"/>
              </w:rPr>
              <w:t>-N</w:t>
            </w:r>
            <w:r>
              <w:rPr>
                <w:rFonts w:hint="eastAsia"/>
                <w:color w:val="000000"/>
                <w:sz w:val="24"/>
                <w:lang w:val="en-US" w:eastAsia="zh-CN"/>
              </w:rPr>
              <w:t>0.04056</w:t>
            </w:r>
            <w:r>
              <w:rPr>
                <w:color w:val="000000"/>
                <w:sz w:val="24"/>
              </w:rPr>
              <w:t>t/a</w:t>
            </w:r>
            <w:r>
              <w:rPr>
                <w:rFonts w:hint="eastAsia"/>
                <w:color w:val="000000"/>
                <w:sz w:val="24"/>
              </w:rPr>
              <w:t>、</w:t>
            </w:r>
            <w:r>
              <w:rPr>
                <w:color w:val="000000"/>
                <w:sz w:val="24"/>
              </w:rPr>
              <w:t>TP</w:t>
            </w:r>
            <w:r>
              <w:rPr>
                <w:rFonts w:hint="eastAsia"/>
                <w:color w:val="000000"/>
                <w:sz w:val="24"/>
                <w:lang w:val="en-US" w:eastAsia="zh-CN"/>
              </w:rPr>
              <w:t>0.004056</w:t>
            </w:r>
            <w:r>
              <w:rPr>
                <w:color w:val="000000"/>
                <w:sz w:val="24"/>
              </w:rPr>
              <w:t>t/a</w:t>
            </w:r>
            <w:r>
              <w:rPr>
                <w:rFonts w:hint="eastAsia"/>
                <w:color w:val="000000"/>
                <w:sz w:val="24"/>
              </w:rPr>
              <w:t>、TN</w:t>
            </w:r>
            <w:r>
              <w:rPr>
                <w:rFonts w:hint="eastAsia"/>
                <w:color w:val="000000"/>
                <w:sz w:val="24"/>
                <w:lang w:val="en-US" w:eastAsia="zh-CN"/>
              </w:rPr>
              <w:t>0.0676</w:t>
            </w:r>
            <w:r>
              <w:rPr>
                <w:rFonts w:hint="eastAsia"/>
                <w:color w:val="000000"/>
                <w:sz w:val="24"/>
              </w:rPr>
              <w:t>t/a</w:t>
            </w:r>
            <w:r>
              <w:rPr>
                <w:rFonts w:hint="eastAsia" w:hAnsi="宋体"/>
                <w:color w:val="000000"/>
                <w:sz w:val="24"/>
              </w:rPr>
              <w:t>，</w:t>
            </w:r>
            <w:r>
              <w:rPr>
                <w:rFonts w:hint="eastAsia"/>
                <w:bCs/>
                <w:color w:val="000000"/>
                <w:kern w:val="0"/>
                <w:sz w:val="24"/>
                <w:lang w:val="en-US" w:eastAsia="zh-CN"/>
              </w:rPr>
              <w:t>接管至</w:t>
            </w:r>
            <w:r>
              <w:rPr>
                <w:rFonts w:hint="eastAsia"/>
                <w:bCs/>
                <w:color w:val="000000"/>
                <w:kern w:val="0"/>
                <w:sz w:val="24"/>
                <w:highlight w:val="none"/>
                <w:lang w:val="en-US" w:eastAsia="zh-CN"/>
              </w:rPr>
              <w:t>苏州汾湖水务发展有限公司（黎里工业再生水厂）处理</w:t>
            </w:r>
            <w:r>
              <w:rPr>
                <w:rFonts w:hint="eastAsia"/>
                <w:bCs/>
                <w:color w:val="000000"/>
                <w:kern w:val="0"/>
                <w:sz w:val="24"/>
                <w:highlight w:val="none"/>
              </w:rPr>
              <w:t>，水污染物</w:t>
            </w:r>
            <w:r>
              <w:rPr>
                <w:bCs/>
                <w:color w:val="000000"/>
                <w:kern w:val="0"/>
                <w:sz w:val="24"/>
                <w:highlight w:val="none"/>
              </w:rPr>
              <w:t>排放总量指标</w:t>
            </w:r>
            <w:r>
              <w:rPr>
                <w:rFonts w:hint="eastAsia"/>
                <w:bCs/>
                <w:color w:val="000000"/>
                <w:kern w:val="0"/>
                <w:sz w:val="24"/>
                <w:highlight w:val="none"/>
              </w:rPr>
              <w:t>在污水处理厂内部</w:t>
            </w:r>
            <w:r>
              <w:rPr>
                <w:bCs/>
                <w:color w:val="000000"/>
                <w:kern w:val="0"/>
                <w:sz w:val="24"/>
                <w:highlight w:val="none"/>
              </w:rPr>
              <w:t>平衡</w:t>
            </w:r>
            <w:r>
              <w:rPr>
                <w:rFonts w:hint="eastAsia"/>
                <w:bCs/>
                <w:color w:val="000000"/>
                <w:kern w:val="0"/>
                <w:sz w:val="24"/>
                <w:highlight w:val="none"/>
              </w:rPr>
              <w:t>，企业不再另行申请。</w:t>
            </w:r>
          </w:p>
          <w:p w14:paraId="18B218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pacing w:val="0"/>
                <w:kern w:val="0"/>
                <w:sz w:val="24"/>
                <w:highlight w:val="none"/>
                <w:lang w:val="en-US" w:eastAsia="zh-CN"/>
              </w:rPr>
            </w:pPr>
            <w:r>
              <w:rPr>
                <w:rFonts w:hint="eastAsia"/>
                <w:color w:val="000000"/>
                <w:kern w:val="0"/>
                <w:sz w:val="24"/>
                <w:highlight w:val="none"/>
              </w:rPr>
              <w:t>（</w:t>
            </w:r>
            <w:r>
              <w:rPr>
                <w:color w:val="000000"/>
                <w:kern w:val="0"/>
                <w:sz w:val="24"/>
                <w:highlight w:val="none"/>
              </w:rPr>
              <w:t>2</w:t>
            </w:r>
            <w:r>
              <w:rPr>
                <w:rFonts w:hint="eastAsia"/>
                <w:color w:val="000000"/>
                <w:kern w:val="0"/>
                <w:sz w:val="24"/>
                <w:highlight w:val="none"/>
              </w:rPr>
              <w:t>）</w:t>
            </w:r>
            <w:r>
              <w:rPr>
                <w:rFonts w:hint="eastAsia" w:hAnsi="宋体"/>
                <w:bCs/>
                <w:color w:val="000000"/>
                <w:sz w:val="24"/>
                <w:highlight w:val="none"/>
              </w:rPr>
              <w:t>本项目有组织</w:t>
            </w:r>
            <w:r>
              <w:rPr>
                <w:rFonts w:hint="eastAsia"/>
                <w:color w:val="000000"/>
                <w:sz w:val="24"/>
                <w:highlight w:val="none"/>
                <w:lang w:val="en-US" w:eastAsia="zh-CN"/>
              </w:rPr>
              <w:t>颗粒物0.00378</w:t>
            </w:r>
            <w:r>
              <w:rPr>
                <w:rFonts w:hint="eastAsia"/>
                <w:color w:val="000000"/>
                <w:sz w:val="24"/>
                <w:highlight w:val="none"/>
              </w:rPr>
              <w:t>t/a</w:t>
            </w:r>
            <w:r>
              <w:rPr>
                <w:rFonts w:hint="eastAsia"/>
                <w:color w:val="000000"/>
                <w:sz w:val="24"/>
                <w:highlight w:val="none"/>
                <w:lang w:eastAsia="zh-CN"/>
              </w:rPr>
              <w:t>、</w:t>
            </w:r>
            <w:r>
              <w:rPr>
                <w:rFonts w:hint="eastAsia"/>
                <w:color w:val="000000"/>
                <w:sz w:val="24"/>
                <w:highlight w:val="none"/>
                <w:lang w:val="en-US" w:eastAsia="zh-CN"/>
              </w:rPr>
              <w:t>非甲烷总烃0.002325t/a；</w:t>
            </w:r>
            <w:r>
              <w:rPr>
                <w:rFonts w:hint="eastAsia"/>
                <w:color w:val="000000"/>
                <w:sz w:val="24"/>
                <w:highlight w:val="none"/>
              </w:rPr>
              <w:t>无组织</w:t>
            </w:r>
            <w:r>
              <w:rPr>
                <w:rFonts w:hint="eastAsia"/>
                <w:color w:val="000000"/>
                <w:sz w:val="24"/>
                <w:highlight w:val="none"/>
                <w:lang w:val="en-US" w:eastAsia="zh-CN"/>
              </w:rPr>
              <w:t>颗粒物0.00841t/a</w:t>
            </w:r>
            <w:r>
              <w:rPr>
                <w:rFonts w:hint="eastAsia"/>
                <w:color w:val="000000"/>
                <w:sz w:val="24"/>
                <w:highlight w:val="none"/>
                <w:lang w:eastAsia="zh-CN"/>
              </w:rPr>
              <w:t>、</w:t>
            </w:r>
            <w:r>
              <w:rPr>
                <w:rFonts w:hint="eastAsia"/>
                <w:color w:val="000000"/>
                <w:sz w:val="24"/>
                <w:highlight w:val="none"/>
                <w:lang w:val="en-US" w:eastAsia="zh-CN"/>
              </w:rPr>
              <w:t>非甲烷总烃0.002584t/a</w:t>
            </w:r>
            <w:r>
              <w:rPr>
                <w:rFonts w:hint="eastAsia" w:hAnsi="宋体"/>
                <w:color w:val="000000"/>
                <w:sz w:val="24"/>
                <w:highlight w:val="none"/>
              </w:rPr>
              <w:t>，</w:t>
            </w:r>
            <w:r>
              <w:rPr>
                <w:rFonts w:hint="eastAsia"/>
                <w:color w:val="auto"/>
                <w:spacing w:val="0"/>
                <w:kern w:val="0"/>
                <w:sz w:val="24"/>
                <w:highlight w:val="none"/>
                <w:lang w:val="en-US" w:eastAsia="zh-CN"/>
              </w:rPr>
              <w:t>污染物排放总量指标向苏州市吴江生态环境局申请，在吴江区范围内平衡。</w:t>
            </w:r>
          </w:p>
          <w:p w14:paraId="06D957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45EB6E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7CDD12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13D083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0BBCF2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419F3E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30C040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36C46B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0D241B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58A519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028BFA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kern w:val="0"/>
                <w:sz w:val="24"/>
                <w:lang w:val="en-US" w:eastAsia="zh-CN"/>
              </w:rPr>
            </w:pPr>
          </w:p>
          <w:p w14:paraId="3D59CE5A">
            <w:pPr>
              <w:pStyle w:val="5"/>
              <w:rPr>
                <w:rFonts w:hint="eastAsia"/>
                <w:color w:val="auto"/>
                <w:spacing w:val="0"/>
                <w:kern w:val="0"/>
                <w:sz w:val="24"/>
                <w:lang w:val="en-US" w:eastAsia="zh-CN"/>
              </w:rPr>
            </w:pPr>
          </w:p>
          <w:p w14:paraId="02F763C0">
            <w:pPr>
              <w:rPr>
                <w:rFonts w:hint="eastAsia"/>
                <w:color w:val="auto"/>
                <w:spacing w:val="0"/>
                <w:kern w:val="0"/>
                <w:sz w:val="24"/>
                <w:lang w:val="en-US" w:eastAsia="zh-CN"/>
              </w:rPr>
            </w:pPr>
          </w:p>
          <w:p w14:paraId="6B81FBB9">
            <w:pPr>
              <w:pStyle w:val="5"/>
              <w:rPr>
                <w:rFonts w:hint="eastAsia"/>
                <w:color w:val="auto"/>
                <w:spacing w:val="0"/>
                <w:kern w:val="0"/>
                <w:sz w:val="24"/>
                <w:lang w:val="en-US" w:eastAsia="zh-CN"/>
              </w:rPr>
            </w:pPr>
          </w:p>
          <w:p w14:paraId="4021168A">
            <w:pPr>
              <w:rPr>
                <w:rFonts w:hint="eastAsia"/>
                <w:color w:val="auto"/>
                <w:spacing w:val="0"/>
                <w:kern w:val="0"/>
                <w:sz w:val="24"/>
                <w:lang w:val="en-US" w:eastAsia="zh-CN"/>
              </w:rPr>
            </w:pPr>
          </w:p>
          <w:p w14:paraId="221BA63E">
            <w:pPr>
              <w:pStyle w:val="5"/>
              <w:rPr>
                <w:rFonts w:hint="eastAsia"/>
                <w:lang w:val="en-US" w:eastAsia="zh-CN"/>
              </w:rPr>
            </w:pPr>
          </w:p>
          <w:p w14:paraId="2D2CD3CF">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eastAsia="zh-CN"/>
              </w:rPr>
            </w:pPr>
          </w:p>
          <w:p w14:paraId="4FD049C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lang w:eastAsia="zh-CN"/>
              </w:rPr>
            </w:pPr>
          </w:p>
        </w:tc>
      </w:tr>
    </w:tbl>
    <w:p w14:paraId="6AA2B67F">
      <w:pPr>
        <w:ind w:firstLine="420" w:firstLineChars="0"/>
        <w:sectPr>
          <w:pgSz w:w="11906" w:h="16838"/>
          <w:pgMar w:top="1440" w:right="1800" w:bottom="1440" w:left="1800" w:header="851" w:footer="992" w:gutter="0"/>
          <w:pgNumType w:fmt="decimal"/>
          <w:cols w:space="425" w:num="1"/>
          <w:docGrid w:type="lines" w:linePitch="312" w:charSpace="0"/>
        </w:sectPr>
      </w:pPr>
    </w:p>
    <w:p w14:paraId="67D585EA">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黑体" w:hAnsi="黑体" w:eastAsia="黑体"/>
          <w:snapToGrid w:val="0"/>
          <w:color w:val="auto"/>
          <w:sz w:val="30"/>
          <w:szCs w:val="30"/>
        </w:rPr>
      </w:pPr>
      <w:r>
        <w:rPr>
          <w:rFonts w:hint="eastAsia" w:ascii="黑体" w:hAnsi="黑体" w:eastAsia="黑体" w:cs="Times New Roman"/>
          <w:snapToGrid w:val="0"/>
          <w:color w:val="auto"/>
          <w:sz w:val="30"/>
          <w:szCs w:val="30"/>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4"/>
        <w:gridCol w:w="8554"/>
      </w:tblGrid>
      <w:tr w14:paraId="49921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354" w:type="dxa"/>
            <w:noWrap w:val="0"/>
            <w:tcMar>
              <w:left w:w="28" w:type="dxa"/>
              <w:right w:w="28" w:type="dxa"/>
            </w:tcMar>
            <w:vAlign w:val="center"/>
          </w:tcPr>
          <w:p w14:paraId="6DE1A0A6">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施</w:t>
            </w:r>
          </w:p>
          <w:p w14:paraId="0879275E">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工</w:t>
            </w:r>
          </w:p>
          <w:p w14:paraId="0452D41A">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期</w:t>
            </w:r>
          </w:p>
          <w:p w14:paraId="4CE438E3">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环</w:t>
            </w:r>
          </w:p>
          <w:p w14:paraId="0EAC76B2">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境</w:t>
            </w:r>
          </w:p>
          <w:p w14:paraId="2B115F3D">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保</w:t>
            </w:r>
          </w:p>
          <w:p w14:paraId="264368D1">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护</w:t>
            </w:r>
          </w:p>
          <w:p w14:paraId="493A6A49">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措</w:t>
            </w:r>
          </w:p>
          <w:p w14:paraId="211CB13C">
            <w:pPr>
              <w:pStyle w:val="19"/>
              <w:adjustRightInd w:val="0"/>
              <w:snapToGrid w:val="0"/>
              <w:spacing w:before="0" w:beforeAutospacing="0" w:after="0" w:afterAutospacing="0"/>
              <w:jc w:val="center"/>
              <w:rPr>
                <w:rFonts w:hint="eastAsia" w:cs="宋体"/>
                <w:b/>
                <w:bCs/>
                <w:color w:val="auto"/>
                <w:kern w:val="2"/>
                <w:sz w:val="21"/>
                <w:szCs w:val="21"/>
              </w:rPr>
            </w:pPr>
            <w:r>
              <w:rPr>
                <w:rFonts w:hint="eastAsia" w:cs="宋体"/>
                <w:b/>
                <w:color w:val="auto"/>
                <w:kern w:val="2"/>
                <w:sz w:val="21"/>
                <w:szCs w:val="21"/>
              </w:rPr>
              <w:t>施</w:t>
            </w:r>
          </w:p>
        </w:tc>
        <w:tc>
          <w:tcPr>
            <w:tcW w:w="8554" w:type="dxa"/>
            <w:noWrap w:val="0"/>
            <w:vAlign w:val="center"/>
          </w:tcPr>
          <w:p w14:paraId="07CBA9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Cs/>
                <w:color w:val="auto"/>
                <w:spacing w:val="-10"/>
                <w:szCs w:val="21"/>
              </w:rPr>
            </w:pPr>
            <w:r>
              <w:rPr>
                <w:rFonts w:hint="eastAsia"/>
                <w:bCs/>
                <w:snapToGrid w:val="0"/>
                <w:color w:val="auto"/>
                <w:kern w:val="0"/>
                <w:sz w:val="24"/>
              </w:rPr>
              <w:t>本项目</w:t>
            </w:r>
            <w:r>
              <w:rPr>
                <w:rFonts w:hint="eastAsia"/>
                <w:color w:val="000000"/>
                <w:sz w:val="24"/>
                <w:highlight w:val="none"/>
                <w:lang w:val="en-US" w:eastAsia="zh-CN"/>
              </w:rPr>
              <w:t>利用</w:t>
            </w:r>
            <w:r>
              <w:rPr>
                <w:rFonts w:hint="eastAsia"/>
                <w:bCs/>
                <w:color w:val="auto"/>
                <w:sz w:val="24"/>
                <w:lang w:val="en-US" w:eastAsia="zh-CN"/>
              </w:rPr>
              <w:t>吴江市佳辰针灸器械</w:t>
            </w:r>
            <w:r>
              <w:rPr>
                <w:rFonts w:hint="eastAsia"/>
                <w:bCs/>
                <w:color w:val="auto"/>
                <w:sz w:val="24"/>
                <w:lang w:eastAsia="zh-CN"/>
              </w:rPr>
              <w:t>有限公司</w:t>
            </w:r>
            <w:r>
              <w:rPr>
                <w:rFonts w:hint="eastAsia"/>
                <w:color w:val="000000"/>
                <w:sz w:val="24"/>
                <w:highlight w:val="none"/>
              </w:rPr>
              <w:t>位于</w:t>
            </w:r>
            <w:r>
              <w:rPr>
                <w:rFonts w:hint="eastAsia"/>
                <w:color w:val="000000"/>
                <w:sz w:val="24"/>
                <w:highlight w:val="none"/>
                <w:lang w:val="en-US" w:eastAsia="zh-CN"/>
              </w:rPr>
              <w:t>江苏省苏州市吴江区黎里镇黎民南路37号自有</w:t>
            </w:r>
            <w:r>
              <w:rPr>
                <w:rFonts w:hint="eastAsia"/>
                <w:color w:val="000000"/>
                <w:sz w:val="24"/>
                <w:highlight w:val="none"/>
              </w:rPr>
              <w:t>厂房进行生产</w:t>
            </w:r>
            <w:r>
              <w:rPr>
                <w:rFonts w:hint="eastAsia"/>
                <w:bCs/>
                <w:snapToGrid w:val="0"/>
                <w:color w:val="auto"/>
                <w:kern w:val="0"/>
                <w:sz w:val="24"/>
              </w:rPr>
              <w:t>，目前厂房已建成，因此无土建施工作业，主要为设备安装过程产生的一些机械噪声，预测源强峰值可达90dB（A）左右，为控制设备安装期间的噪声污染，施工方应尽量采用低噪声的器械，避免夜间进行高噪声污染，减轻对厂界周围声环境的影响。设备安装期的影响较短暂，随着安装调试的结束，施工期环境影响随即停止。</w:t>
            </w:r>
          </w:p>
        </w:tc>
      </w:tr>
      <w:tr w14:paraId="2F79C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1" w:hRule="atLeast"/>
          <w:jc w:val="center"/>
        </w:trPr>
        <w:tc>
          <w:tcPr>
            <w:tcW w:w="354" w:type="dxa"/>
            <w:noWrap w:val="0"/>
            <w:tcMar>
              <w:left w:w="28" w:type="dxa"/>
              <w:right w:w="28" w:type="dxa"/>
            </w:tcMar>
            <w:vAlign w:val="center"/>
          </w:tcPr>
          <w:p w14:paraId="4A1EBBE3">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14:paraId="08E30BD9">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14:paraId="386001AE">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14:paraId="2D142188">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14:paraId="088FE233">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保护</w:t>
            </w:r>
          </w:p>
          <w:p w14:paraId="2CE9C755">
            <w:pPr>
              <w:pStyle w:val="19"/>
              <w:adjustRightInd w:val="0"/>
              <w:snapToGrid w:val="0"/>
              <w:spacing w:before="0" w:beforeAutospacing="0" w:after="0" w:afterAutospacing="0"/>
              <w:jc w:val="center"/>
              <w:rPr>
                <w:rFonts w:hint="eastAsia" w:cs="宋体"/>
                <w:b/>
                <w:color w:val="auto"/>
                <w:kern w:val="2"/>
                <w:sz w:val="21"/>
                <w:szCs w:val="21"/>
              </w:rPr>
            </w:pPr>
            <w:r>
              <w:rPr>
                <w:rFonts w:hint="eastAsia" w:cs="宋体"/>
                <w:b/>
                <w:bCs/>
                <w:color w:val="auto"/>
                <w:szCs w:val="21"/>
              </w:rPr>
              <w:t>措施</w:t>
            </w:r>
          </w:p>
        </w:tc>
        <w:tc>
          <w:tcPr>
            <w:tcW w:w="8554" w:type="dxa"/>
            <w:noWrap w:val="0"/>
            <w:vAlign w:val="center"/>
          </w:tcPr>
          <w:p w14:paraId="3C2ED303">
            <w:pPr>
              <w:keepNext w:val="0"/>
              <w:keepLines w:val="0"/>
              <w:pageBreakBefore w:val="0"/>
              <w:kinsoku/>
              <w:wordWrap/>
              <w:overflowPunct/>
              <w:topLinePunct w:val="0"/>
              <w:autoSpaceDE/>
              <w:autoSpaceDN/>
              <w:bidi w:val="0"/>
              <w:adjustRightInd/>
              <w:snapToGrid/>
              <w:spacing w:line="360" w:lineRule="auto"/>
              <w:textAlignment w:val="auto"/>
              <w:rPr>
                <w:b/>
                <w:color w:val="000000"/>
                <w:sz w:val="24"/>
              </w:rPr>
            </w:pPr>
            <w:r>
              <w:rPr>
                <w:rFonts w:hint="eastAsia"/>
                <w:b/>
                <w:color w:val="000000"/>
                <w:sz w:val="24"/>
              </w:rPr>
              <w:t>营运期环境影响分析：</w:t>
            </w:r>
          </w:p>
          <w:p w14:paraId="0DA9FFDB">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bCs/>
                <w:color w:val="000000"/>
                <w:sz w:val="24"/>
              </w:rPr>
            </w:pPr>
            <w:r>
              <w:rPr>
                <w:rFonts w:hint="eastAsia"/>
                <w:b/>
                <w:bCs/>
                <w:color w:val="000000"/>
                <w:sz w:val="24"/>
              </w:rPr>
              <w:t>1、废气</w:t>
            </w:r>
          </w:p>
          <w:p w14:paraId="54FBBA93">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color w:val="000000"/>
                <w:sz w:val="24"/>
              </w:rPr>
            </w:pPr>
            <w:r>
              <w:rPr>
                <w:b/>
                <w:color w:val="000000"/>
                <w:sz w:val="24"/>
              </w:rPr>
              <w:t>1.1</w:t>
            </w:r>
            <w:r>
              <w:rPr>
                <w:rFonts w:hint="eastAsia"/>
                <w:b/>
                <w:color w:val="000000"/>
                <w:sz w:val="24"/>
              </w:rPr>
              <w:t>废气产生环节</w:t>
            </w:r>
          </w:p>
          <w:p w14:paraId="188B8A3C">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b/>
                <w:color w:val="000000"/>
                <w:sz w:val="24"/>
                <w:lang w:val="en-US" w:eastAsia="zh-CN"/>
              </w:rPr>
            </w:pPr>
            <w:r>
              <w:rPr>
                <w:rFonts w:hint="eastAsia"/>
                <w:b/>
                <w:color w:val="000000"/>
                <w:sz w:val="24"/>
                <w:lang w:val="en-US" w:eastAsia="zh-CN"/>
              </w:rPr>
              <w:t>有组织排放废气：</w:t>
            </w:r>
          </w:p>
          <w:p w14:paraId="69AD0E1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（1）</w:t>
            </w:r>
            <w:r>
              <w:rPr>
                <w:rFonts w:hint="eastAsia" w:cs="Times New Roman"/>
                <w:b w:val="0"/>
                <w:bCs/>
                <w:color w:val="000000"/>
                <w:kern w:val="2"/>
                <w:sz w:val="24"/>
                <w:szCs w:val="24"/>
                <w:lang w:val="en-US" w:eastAsia="zh-CN" w:bidi="ar-SA"/>
              </w:rPr>
              <w:t>挤塑废气</w:t>
            </w:r>
          </w:p>
          <w:p w14:paraId="7F112C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b w:val="0"/>
                <w:bCs/>
                <w:color w:val="000000"/>
                <w:kern w:val="2"/>
                <w:sz w:val="24"/>
                <w:szCs w:val="24"/>
                <w:lang w:val="en-US" w:eastAsia="zh-CN" w:bidi="ar-SA"/>
              </w:rPr>
              <w:t>本项目PP、PE在挤塑过程中会产生</w:t>
            </w:r>
            <w:r>
              <w:rPr>
                <w:rFonts w:hint="eastAsia" w:ascii="Times New Roman" w:hAnsi="Times New Roman" w:eastAsia="宋体" w:cs="Times New Roman"/>
                <w:color w:val="auto"/>
                <w:sz w:val="24"/>
                <w:highlight w:val="none"/>
                <w:lang w:val="en-US" w:eastAsia="zh-CN"/>
              </w:rPr>
              <w:t>非甲烷总烃，非甲烷总烃产生情况参考</w:t>
            </w:r>
            <w:r>
              <w:rPr>
                <w:rFonts w:hint="eastAsia"/>
                <w:color w:val="auto"/>
                <w:sz w:val="24"/>
                <w:szCs w:val="24"/>
                <w:highlight w:val="none"/>
                <w:lang w:val="en-US" w:eastAsia="zh-CN"/>
              </w:rPr>
              <w:t>《排放源统计调查产排污核算方法和系数手册-机械行业系数手册》中“08树脂纤维加工”可知，</w:t>
            </w:r>
            <w:r>
              <w:rPr>
                <w:rFonts w:hint="eastAsia" w:ascii="Times New Roman" w:hAnsi="Times New Roman" w:eastAsia="宋体" w:cs="Times New Roman"/>
                <w:color w:val="auto"/>
                <w:sz w:val="24"/>
                <w:lang w:val="en-US" w:eastAsia="zh-CN"/>
              </w:rPr>
              <w:t>产生的有机废气（以非甲烷总烃计）产污系数为1.20kg/t-原</w:t>
            </w:r>
            <w:r>
              <w:rPr>
                <w:rFonts w:hint="eastAsia" w:ascii="Times New Roman" w:hAnsi="Times New Roman" w:eastAsia="宋体" w:cs="Times New Roman"/>
                <w:color w:val="auto"/>
                <w:sz w:val="24"/>
                <w:highlight w:val="none"/>
                <w:lang w:val="en-US" w:eastAsia="zh-CN"/>
              </w:rPr>
              <w:t>料，本项目PP、PE使用量为1.5t/a，则</w:t>
            </w:r>
            <w:r>
              <w:rPr>
                <w:rFonts w:hint="eastAsia" w:ascii="Times New Roman" w:hAnsi="Times New Roman" w:eastAsia="宋体" w:cs="Times New Roman"/>
                <w:color w:val="auto"/>
                <w:sz w:val="24"/>
                <w:lang w:val="en-US" w:eastAsia="zh-CN"/>
              </w:rPr>
              <w:t>非甲烷总烃</w:t>
            </w:r>
            <w:r>
              <w:rPr>
                <w:rFonts w:hint="eastAsia" w:ascii="Times New Roman" w:hAnsi="Times New Roman" w:eastAsia="宋体" w:cs="Times New Roman"/>
                <w:color w:val="auto"/>
                <w:sz w:val="24"/>
                <w:highlight w:val="none"/>
                <w:lang w:val="en-US" w:eastAsia="zh-CN"/>
              </w:rPr>
              <w:t>产生量为0.0018t/a。</w:t>
            </w:r>
          </w:p>
          <w:p w14:paraId="7FC67A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s="Times New Roman"/>
                <w:b w:val="0"/>
                <w:bCs/>
                <w:color w:val="000000"/>
                <w:kern w:val="2"/>
                <w:sz w:val="24"/>
                <w:szCs w:val="24"/>
                <w:lang w:val="en-US" w:eastAsia="zh-CN" w:bidi="ar-SA"/>
              </w:rPr>
            </w:pPr>
            <w:r>
              <w:rPr>
                <w:rFonts w:hint="eastAsia" w:ascii="Times New Roman" w:hAnsi="Times New Roman" w:eastAsia="宋体" w:cs="Times New Roman"/>
                <w:color w:val="auto"/>
                <w:sz w:val="24"/>
                <w:highlight w:val="none"/>
                <w:lang w:val="en-US" w:eastAsia="zh-CN"/>
              </w:rPr>
              <w:t>挤塑过程所产生的非甲烷总烃经集气罩收集</w:t>
            </w:r>
            <w:r>
              <w:rPr>
                <w:rFonts w:hint="eastAsia" w:ascii="Times New Roman" w:hAnsi="Times New Roman" w:eastAsia="宋体" w:cs="Times New Roman"/>
                <w:color w:val="auto"/>
                <w:sz w:val="24"/>
                <w:lang w:val="en-US" w:eastAsia="zh-CN"/>
              </w:rPr>
              <w:t>（收集效率为90%）后通过“二级活性炭吸附”装置处理（处理效率</w:t>
            </w:r>
            <w:r>
              <w:rPr>
                <w:rFonts w:hint="eastAsia" w:cs="Times New Roman"/>
                <w:color w:val="auto"/>
                <w:sz w:val="24"/>
                <w:lang w:val="en-US" w:eastAsia="zh-CN"/>
              </w:rPr>
              <w:t>90</w:t>
            </w:r>
            <w:r>
              <w:rPr>
                <w:rFonts w:hint="eastAsia" w:ascii="Times New Roman" w:hAnsi="Times New Roman" w:eastAsia="宋体" w:cs="Times New Roman"/>
                <w:color w:val="auto"/>
                <w:sz w:val="24"/>
                <w:lang w:val="en-US" w:eastAsia="zh-CN"/>
              </w:rPr>
              <w:t>%）后通过1根15m高的排气筒（2#）有组织排放，则有组织排放量为</w:t>
            </w:r>
            <w:r>
              <w:rPr>
                <w:rFonts w:hint="eastAsia" w:ascii="Times New Roman" w:hAnsi="Times New Roman" w:eastAsia="宋体" w:cs="Times New Roman"/>
                <w:color w:val="auto"/>
                <w:sz w:val="24"/>
                <w:highlight w:val="none"/>
                <w:lang w:val="en-US" w:eastAsia="zh-CN"/>
              </w:rPr>
              <w:t>0.0018</w:t>
            </w:r>
            <w:r>
              <w:rPr>
                <w:rFonts w:hint="default" w:ascii="Times New Roman" w:hAnsi="Times New Roman" w:eastAsia="宋体" w:cs="Times New Roman"/>
                <w:color w:val="auto"/>
                <w:sz w:val="24"/>
                <w:highlight w:val="none"/>
                <w:lang w:val="en-US" w:eastAsia="zh-CN"/>
              </w:rPr>
              <w:t>t/a×90％×</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0.000</w:t>
            </w:r>
            <w:r>
              <w:rPr>
                <w:rFonts w:hint="eastAsia" w:cs="Times New Roman"/>
                <w:color w:val="auto"/>
                <w:sz w:val="24"/>
                <w:lang w:val="en-US" w:eastAsia="zh-CN"/>
              </w:rPr>
              <w:t>162</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，无组织排放量为0.0018</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0.00018</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0399398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color w:val="000000"/>
                <w:sz w:val="24"/>
                <w:lang w:val="en-US" w:eastAsia="zh-CN"/>
              </w:rPr>
            </w:pPr>
            <w:r>
              <w:rPr>
                <w:rFonts w:hint="eastAsia" w:ascii="Times New Roman" w:hAnsi="Times New Roman" w:eastAsia="宋体" w:cs="Times New Roman"/>
                <w:b w:val="0"/>
                <w:bCs/>
                <w:color w:val="000000"/>
                <w:kern w:val="2"/>
                <w:sz w:val="24"/>
                <w:szCs w:val="24"/>
                <w:lang w:val="en-US" w:eastAsia="zh-CN" w:bidi="ar-SA"/>
              </w:rPr>
              <w:t>（</w:t>
            </w:r>
            <w:r>
              <w:rPr>
                <w:rFonts w:hint="eastAsia" w:cs="Times New Roman"/>
                <w:b w:val="0"/>
                <w:bCs/>
                <w:color w:val="000000"/>
                <w:kern w:val="2"/>
                <w:sz w:val="24"/>
                <w:szCs w:val="24"/>
                <w:lang w:val="en-US" w:eastAsia="zh-CN" w:bidi="ar-SA"/>
              </w:rPr>
              <w:t>2</w:t>
            </w:r>
            <w:r>
              <w:rPr>
                <w:rFonts w:hint="eastAsia" w:ascii="Times New Roman" w:hAnsi="Times New Roman" w:eastAsia="宋体" w:cs="Times New Roman"/>
                <w:b w:val="0"/>
                <w:bCs/>
                <w:color w:val="000000"/>
                <w:kern w:val="2"/>
                <w:sz w:val="24"/>
                <w:szCs w:val="24"/>
                <w:lang w:val="en-US" w:eastAsia="zh-CN" w:bidi="ar-SA"/>
              </w:rPr>
              <w:t>）</w:t>
            </w:r>
            <w:r>
              <w:rPr>
                <w:rFonts w:hint="eastAsia" w:ascii="Times New Roman" w:hAnsi="Times New Roman" w:cs="Times New Roman"/>
                <w:b w:val="0"/>
                <w:bCs/>
                <w:color w:val="000000"/>
                <w:sz w:val="24"/>
                <w:lang w:val="en-US" w:eastAsia="zh-CN"/>
              </w:rPr>
              <w:t>针体磨抛废气</w:t>
            </w:r>
          </w:p>
          <w:p w14:paraId="05B9B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b w:val="0"/>
                <w:bCs/>
                <w:color w:val="000000"/>
                <w:sz w:val="24"/>
                <w:lang w:val="en-US" w:eastAsia="zh-CN"/>
              </w:rPr>
              <w:t>本项目不锈钢丝、无氧铜丝在磨抛过程中</w:t>
            </w:r>
            <w:r>
              <w:rPr>
                <w:rFonts w:hint="eastAsia" w:cs="Times New Roman"/>
                <w:b w:val="0"/>
                <w:bCs/>
                <w:color w:val="000000"/>
                <w:sz w:val="24"/>
                <w:lang w:val="en-US" w:eastAsia="zh-CN"/>
              </w:rPr>
              <w:t>会产生颗粒物，颗粒物产生情况参考</w:t>
            </w:r>
            <w:r>
              <w:rPr>
                <w:rFonts w:hint="eastAsia"/>
                <w:color w:val="auto"/>
                <w:sz w:val="24"/>
                <w:szCs w:val="24"/>
                <w:highlight w:val="none"/>
                <w:lang w:val="en-US" w:eastAsia="zh-CN"/>
              </w:rPr>
              <w:t>《排放源统计调查产排污核算方法和系数手册-机械行业系数手册》中“06预处理”可知，磨抛废气产污系数取2.19</w:t>
            </w:r>
            <w:r>
              <w:rPr>
                <w:rFonts w:hint="eastAsia" w:ascii="Times New Roman" w:hAnsi="Times New Roman" w:eastAsia="宋体" w:cs="Times New Roman"/>
                <w:color w:val="auto"/>
                <w:sz w:val="24"/>
                <w:lang w:val="en-US" w:eastAsia="zh-CN"/>
              </w:rPr>
              <w:t>kg/t-原</w:t>
            </w:r>
            <w:r>
              <w:rPr>
                <w:rFonts w:hint="eastAsia" w:ascii="Times New Roman" w:hAnsi="Times New Roman" w:eastAsia="宋体" w:cs="Times New Roman"/>
                <w:color w:val="auto"/>
                <w:sz w:val="24"/>
                <w:highlight w:val="none"/>
                <w:lang w:val="en-US" w:eastAsia="zh-CN"/>
              </w:rPr>
              <w:t>料，本项目不锈钢丝、无氧铜丝使用量为38.4t/a，则颗粒物产生量为0.0841t/a。</w:t>
            </w:r>
          </w:p>
          <w:p w14:paraId="631F52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针体磨抛所产生的颗粒物经集气罩收集</w:t>
            </w:r>
            <w:r>
              <w:rPr>
                <w:rFonts w:hint="eastAsia" w:ascii="Times New Roman" w:hAnsi="Times New Roman" w:eastAsia="宋体" w:cs="Times New Roman"/>
                <w:color w:val="auto"/>
                <w:sz w:val="24"/>
                <w:lang w:val="en-US" w:eastAsia="zh-CN"/>
              </w:rPr>
              <w:t>（收集效率为90%）后通过“布袋除尘”装置处理（处理效率9</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%）后通过1根15m高的排气筒（1#）有组织排放，则有组织排放量为</w:t>
            </w:r>
            <w:r>
              <w:rPr>
                <w:rFonts w:hint="default" w:ascii="Times New Roman" w:hAnsi="Times New Roman" w:eastAsia="宋体" w:cs="Times New Roman"/>
                <w:color w:val="auto"/>
                <w:sz w:val="24"/>
                <w:highlight w:val="none"/>
                <w:lang w:val="en-US" w:eastAsia="zh-CN"/>
              </w:rPr>
              <w:t>0.0841t/a×90％×</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lang w:val="en-US" w:eastAsia="zh-CN"/>
              </w:rPr>
              <w:t>0.00</w:t>
            </w:r>
            <w:r>
              <w:rPr>
                <w:rFonts w:hint="eastAsia" w:cs="Times New Roman"/>
                <w:color w:val="auto"/>
                <w:sz w:val="24"/>
                <w:lang w:val="en-US" w:eastAsia="zh-CN"/>
              </w:rPr>
              <w:t>7569</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，无组织排放量为</w:t>
            </w:r>
            <w:r>
              <w:rPr>
                <w:rFonts w:hint="default" w:ascii="Times New Roman" w:hAnsi="Times New Roman" w:eastAsia="宋体" w:cs="Times New Roman"/>
                <w:color w:val="auto"/>
                <w:sz w:val="24"/>
                <w:highlight w:val="none"/>
                <w:lang w:val="en-US" w:eastAsia="zh-CN"/>
              </w:rPr>
              <w:t>0.0841t/a×</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0.00841</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43818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（3）</w:t>
            </w:r>
            <w:r>
              <w:rPr>
                <w:rFonts w:hint="eastAsia" w:ascii="Times New Roman" w:hAnsi="Times New Roman" w:eastAsia="宋体" w:cs="Times New Roman"/>
                <w:color w:val="auto"/>
                <w:sz w:val="24"/>
                <w:highlight w:val="none"/>
                <w:lang w:val="en-US" w:eastAsia="zh-CN"/>
              </w:rPr>
              <w:t>针柄制作废气</w:t>
            </w:r>
          </w:p>
          <w:p w14:paraId="7D0779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本项目塑管在针柄制作过程中会产生非甲烷总烃，非甲烷总烃产生情况参考</w:t>
            </w:r>
            <w:r>
              <w:rPr>
                <w:rFonts w:hint="eastAsia"/>
                <w:color w:val="auto"/>
                <w:sz w:val="24"/>
                <w:szCs w:val="24"/>
                <w:highlight w:val="none"/>
                <w:lang w:val="en-US" w:eastAsia="zh-CN"/>
              </w:rPr>
              <w:t>《排放源统计调查产排污核算方法和系数手册-机械行业系数手册》中“08树脂纤维加工”可知，</w:t>
            </w:r>
            <w:r>
              <w:rPr>
                <w:rFonts w:hint="eastAsia" w:ascii="Times New Roman" w:hAnsi="Times New Roman" w:eastAsia="宋体" w:cs="Times New Roman"/>
                <w:color w:val="auto"/>
                <w:sz w:val="24"/>
                <w:lang w:val="en-US" w:eastAsia="zh-CN"/>
              </w:rPr>
              <w:t>产生的有机废气（以非甲烷总烃计）产污系数为1.20kg/t-原</w:t>
            </w:r>
            <w:r>
              <w:rPr>
                <w:rFonts w:hint="eastAsia" w:ascii="Times New Roman" w:hAnsi="Times New Roman" w:eastAsia="宋体" w:cs="Times New Roman"/>
                <w:color w:val="auto"/>
                <w:sz w:val="24"/>
                <w:highlight w:val="none"/>
                <w:lang w:val="en-US" w:eastAsia="zh-CN"/>
              </w:rPr>
              <w:t>料，本项目塑管使用量为20t/a，则</w:t>
            </w:r>
            <w:r>
              <w:rPr>
                <w:rFonts w:hint="eastAsia" w:ascii="Times New Roman" w:hAnsi="Times New Roman" w:eastAsia="宋体" w:cs="Times New Roman"/>
                <w:color w:val="auto"/>
                <w:sz w:val="24"/>
                <w:lang w:val="en-US" w:eastAsia="zh-CN"/>
              </w:rPr>
              <w:t>非甲烷总烃</w:t>
            </w:r>
            <w:r>
              <w:rPr>
                <w:rFonts w:hint="eastAsia" w:ascii="Times New Roman" w:hAnsi="Times New Roman" w:eastAsia="宋体" w:cs="Times New Roman"/>
                <w:color w:val="auto"/>
                <w:sz w:val="24"/>
                <w:highlight w:val="none"/>
                <w:lang w:val="en-US" w:eastAsia="zh-CN"/>
              </w:rPr>
              <w:t>产生量为0.024t/a。</w:t>
            </w:r>
          </w:p>
          <w:p w14:paraId="56FC26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highlight w:val="none"/>
                <w:lang w:val="en-US" w:eastAsia="zh-CN"/>
              </w:rPr>
              <w:t>针柄制作所产生的非甲烷总烃经集气罩收集</w:t>
            </w:r>
            <w:r>
              <w:rPr>
                <w:rFonts w:hint="eastAsia" w:ascii="Times New Roman" w:hAnsi="Times New Roman" w:eastAsia="宋体" w:cs="Times New Roman"/>
                <w:color w:val="auto"/>
                <w:sz w:val="24"/>
                <w:lang w:val="en-US" w:eastAsia="zh-CN"/>
              </w:rPr>
              <w:t>（收集效率为90%）后通过“二级活性炭吸附”装置处理（处理效率9</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%）后通过1根15m高的排气筒（2#）有组织排放，则有组织排放量为</w:t>
            </w:r>
            <w:r>
              <w:rPr>
                <w:rFonts w:hint="default" w:ascii="Times New Roman" w:hAnsi="Times New Roman" w:eastAsia="宋体" w:cs="Times New Roman"/>
                <w:color w:val="auto"/>
                <w:sz w:val="24"/>
                <w:highlight w:val="none"/>
                <w:lang w:val="en-US" w:eastAsia="zh-CN"/>
              </w:rPr>
              <w:t>0.0</w:t>
            </w:r>
            <w:r>
              <w:rPr>
                <w:rFonts w:hint="eastAsia"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t/a×90％×</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0.00</w:t>
            </w:r>
            <w:r>
              <w:rPr>
                <w:rFonts w:hint="eastAsia" w:cs="Times New Roman"/>
                <w:color w:val="auto"/>
                <w:sz w:val="24"/>
                <w:lang w:val="en-US" w:eastAsia="zh-CN"/>
              </w:rPr>
              <w:t>216</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，无组织排放量为</w:t>
            </w:r>
            <w:r>
              <w:rPr>
                <w:rFonts w:hint="default" w:ascii="Times New Roman" w:hAnsi="Times New Roman" w:eastAsia="宋体" w:cs="Times New Roman"/>
                <w:color w:val="auto"/>
                <w:sz w:val="24"/>
                <w:highlight w:val="none"/>
                <w:lang w:val="en-US" w:eastAsia="zh-CN"/>
              </w:rPr>
              <w:t>0.0</w:t>
            </w:r>
            <w:r>
              <w:rPr>
                <w:rFonts w:hint="eastAsia"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0.0024</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291E64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kern w:val="2"/>
                <w:sz w:val="24"/>
                <w:szCs w:val="24"/>
                <w:lang w:val="en-US" w:eastAsia="zh-CN" w:bidi="ar-SA"/>
              </w:rPr>
              <w:t>（4）</w:t>
            </w:r>
            <w:r>
              <w:rPr>
                <w:rFonts w:hint="eastAsia" w:ascii="Times New Roman" w:hAnsi="Times New Roman" w:eastAsia="宋体" w:cs="Times New Roman"/>
                <w:color w:val="auto"/>
                <w:sz w:val="24"/>
                <w:highlight w:val="none"/>
                <w:lang w:val="en-US" w:eastAsia="zh-CN"/>
              </w:rPr>
              <w:t>封装废气</w:t>
            </w:r>
          </w:p>
          <w:p w14:paraId="5DEFD1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本项目PE袋在封装过程中会产生非甲烷总烃，非甲烷总烃产生情况参考</w:t>
            </w:r>
            <w:r>
              <w:rPr>
                <w:rFonts w:hint="eastAsia"/>
                <w:color w:val="auto"/>
                <w:sz w:val="24"/>
                <w:szCs w:val="24"/>
                <w:highlight w:val="none"/>
                <w:lang w:val="en-US" w:eastAsia="zh-CN"/>
              </w:rPr>
              <w:t>《排放源统计调查产排污核算方法和系数手册》中“2926塑料包装箱及容器制造行业系数表”可知，</w:t>
            </w:r>
            <w:r>
              <w:rPr>
                <w:rFonts w:hint="eastAsia" w:ascii="Times New Roman" w:hAnsi="Times New Roman" w:eastAsia="宋体" w:cs="Times New Roman"/>
                <w:color w:val="auto"/>
                <w:sz w:val="24"/>
                <w:lang w:val="en-US" w:eastAsia="zh-CN"/>
              </w:rPr>
              <w:t>产生的有机废气（以非甲烷总烃计）产污系数为1.90kg/t-原</w:t>
            </w:r>
            <w:r>
              <w:rPr>
                <w:rFonts w:hint="eastAsia" w:ascii="Times New Roman" w:hAnsi="Times New Roman" w:eastAsia="宋体" w:cs="Times New Roman"/>
                <w:color w:val="auto"/>
                <w:sz w:val="24"/>
                <w:highlight w:val="none"/>
                <w:lang w:val="en-US" w:eastAsia="zh-CN"/>
              </w:rPr>
              <w:t>料，本项目塑管使用量为0.02t/a，则</w:t>
            </w:r>
            <w:r>
              <w:rPr>
                <w:rFonts w:hint="eastAsia" w:ascii="Times New Roman" w:hAnsi="Times New Roman" w:eastAsia="宋体" w:cs="Times New Roman"/>
                <w:color w:val="auto"/>
                <w:sz w:val="24"/>
                <w:lang w:val="en-US" w:eastAsia="zh-CN"/>
              </w:rPr>
              <w:t>非甲烷总烃</w:t>
            </w:r>
            <w:r>
              <w:rPr>
                <w:rFonts w:hint="eastAsia" w:ascii="Times New Roman" w:hAnsi="Times New Roman" w:eastAsia="宋体" w:cs="Times New Roman"/>
                <w:color w:val="auto"/>
                <w:sz w:val="24"/>
                <w:highlight w:val="none"/>
                <w:lang w:val="en-US" w:eastAsia="zh-CN"/>
              </w:rPr>
              <w:t>产生量为0.000038t/a。</w:t>
            </w:r>
          </w:p>
          <w:p w14:paraId="1FD151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针柄制作所产生的非甲烷总烃经集气罩收集</w:t>
            </w:r>
            <w:r>
              <w:rPr>
                <w:rFonts w:hint="eastAsia" w:ascii="Times New Roman" w:hAnsi="Times New Roman" w:eastAsia="宋体" w:cs="Times New Roman"/>
                <w:color w:val="auto"/>
                <w:sz w:val="24"/>
                <w:lang w:val="en-US" w:eastAsia="zh-CN"/>
              </w:rPr>
              <w:t>（收集效率为90%）后通过“二级活性炭吸附”装置处理（处理效率9</w:t>
            </w:r>
            <w:r>
              <w:rPr>
                <w:rFonts w:hint="eastAsia" w:cs="Times New Roman"/>
                <w:color w:val="auto"/>
                <w:sz w:val="24"/>
                <w:lang w:val="en-US" w:eastAsia="zh-CN"/>
              </w:rPr>
              <w:t>0</w:t>
            </w:r>
            <w:r>
              <w:rPr>
                <w:rFonts w:hint="eastAsia" w:ascii="Times New Roman" w:hAnsi="Times New Roman" w:eastAsia="宋体" w:cs="Times New Roman"/>
                <w:color w:val="auto"/>
                <w:sz w:val="24"/>
                <w:lang w:val="en-US" w:eastAsia="zh-CN"/>
              </w:rPr>
              <w:t>%）后通过1根15m高的排气筒（2#）有组织排放，则有组织排放量为</w:t>
            </w:r>
            <w:r>
              <w:rPr>
                <w:rFonts w:hint="eastAsia" w:ascii="Times New Roman" w:hAnsi="Times New Roman" w:eastAsia="宋体" w:cs="Times New Roman"/>
                <w:color w:val="auto"/>
                <w:sz w:val="24"/>
                <w:highlight w:val="none"/>
                <w:lang w:val="en-US" w:eastAsia="zh-CN"/>
              </w:rPr>
              <w:t>0.000038</w:t>
            </w:r>
            <w:r>
              <w:rPr>
                <w:rFonts w:hint="default" w:ascii="Times New Roman" w:hAnsi="Times New Roman" w:eastAsia="宋体" w:cs="Times New Roman"/>
                <w:color w:val="auto"/>
                <w:sz w:val="24"/>
                <w:highlight w:val="none"/>
                <w:lang w:val="en-US" w:eastAsia="zh-CN"/>
              </w:rPr>
              <w:t>t/a×90％×</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lang w:val="en-US" w:eastAsia="zh-CN"/>
              </w:rPr>
              <w:t>0.00000</w:t>
            </w:r>
            <w:r>
              <w:rPr>
                <w:rFonts w:hint="eastAsia" w:cs="Times New Roman"/>
                <w:color w:val="auto"/>
                <w:sz w:val="24"/>
                <w:lang w:val="en-US" w:eastAsia="zh-CN"/>
              </w:rPr>
              <w:t>342</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，无组织排放量为0.000038</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0.0000038</w:t>
            </w:r>
            <w:r>
              <w:rPr>
                <w:rFonts w:hint="default" w:ascii="Times New Roman" w:hAnsi="Times New Roman" w:eastAsia="宋体" w:cs="Times New Roman"/>
                <w:color w:val="auto"/>
                <w:sz w:val="24"/>
                <w:lang w:val="en-US" w:eastAsia="zh-CN"/>
              </w:rPr>
              <w:t>t</w:t>
            </w:r>
            <w:r>
              <w:rPr>
                <w:rFonts w:hint="default" w:ascii="Times New Roman" w:hAnsi="Times New Roman" w:eastAsia="宋体" w:cs="Times New Roman"/>
                <w:color w:val="auto"/>
                <w:sz w:val="24"/>
                <w:highlight w:val="none"/>
                <w:lang w:val="en-US" w:eastAsia="zh-CN"/>
              </w:rPr>
              <w:t>/a</w:t>
            </w:r>
            <w:r>
              <w:rPr>
                <w:rFonts w:hint="eastAsia" w:ascii="Times New Roman" w:hAnsi="Times New Roman" w:eastAsia="宋体" w:cs="Times New Roman"/>
                <w:color w:val="auto"/>
                <w:sz w:val="24"/>
                <w:highlight w:val="none"/>
                <w:lang w:val="en-US" w:eastAsia="zh-CN"/>
              </w:rPr>
              <w:t>。</w:t>
            </w:r>
          </w:p>
          <w:p w14:paraId="65B4E865">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b/>
                <w:color w:val="000000"/>
                <w:sz w:val="24"/>
              </w:rPr>
            </w:pPr>
            <w:r>
              <w:rPr>
                <w:rFonts w:hint="eastAsia"/>
                <w:b/>
                <w:color w:val="000000"/>
                <w:sz w:val="24"/>
              </w:rPr>
              <w:t>无组织排放废气：</w:t>
            </w:r>
          </w:p>
          <w:p w14:paraId="4D0130F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rPr>
              <w:t>集气设备未捕集废气</w:t>
            </w:r>
          </w:p>
          <w:p w14:paraId="6238FDA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sz w:val="24"/>
                <w:highlight w:val="none"/>
                <w:lang w:eastAsia="zh-CN"/>
              </w:rPr>
            </w:pPr>
            <w:r>
              <w:rPr>
                <w:rFonts w:hint="eastAsia"/>
                <w:color w:val="000000"/>
                <w:sz w:val="24"/>
                <w:highlight w:val="none"/>
              </w:rPr>
              <w:t>本项目集气设备未捕集的废气为无组织排放废气</w:t>
            </w:r>
            <w:r>
              <w:rPr>
                <w:rFonts w:hint="eastAsia"/>
                <w:color w:val="000000"/>
                <w:sz w:val="24"/>
                <w:highlight w:val="none"/>
                <w:lang w:eastAsia="zh-CN"/>
              </w:rPr>
              <w:t>。</w:t>
            </w:r>
          </w:p>
          <w:p w14:paraId="63467D1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b/>
                <w:bCs/>
                <w:color w:val="000000"/>
                <w:sz w:val="24"/>
                <w:highlight w:val="none"/>
              </w:rPr>
            </w:pPr>
            <w:r>
              <w:rPr>
                <w:rFonts w:hint="eastAsia"/>
                <w:b/>
                <w:bCs/>
                <w:color w:val="000000"/>
                <w:sz w:val="24"/>
                <w:highlight w:val="none"/>
              </w:rPr>
              <w:t>非正常工况排放废气：</w:t>
            </w:r>
          </w:p>
          <w:p w14:paraId="3A7BFB4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bCs/>
                <w:color w:val="000000"/>
                <w:sz w:val="24"/>
                <w:highlight w:val="none"/>
              </w:rPr>
            </w:pPr>
            <w:r>
              <w:rPr>
                <w:rFonts w:hint="eastAsia"/>
                <w:bCs/>
                <w:color w:val="000000"/>
                <w:sz w:val="24"/>
                <w:highlight w:val="none"/>
              </w:rPr>
              <w:t>当废气处理设施发生故障时，在检测出废气处理设施发生故障到关闭相应产废工段，时间大约为</w:t>
            </w:r>
            <w:r>
              <w:rPr>
                <w:bCs/>
                <w:color w:val="000000"/>
                <w:sz w:val="24"/>
                <w:highlight w:val="none"/>
              </w:rPr>
              <w:t>60</w:t>
            </w:r>
            <w:r>
              <w:rPr>
                <w:rFonts w:hint="eastAsia"/>
                <w:bCs/>
                <w:color w:val="000000"/>
                <w:sz w:val="24"/>
                <w:highlight w:val="none"/>
              </w:rPr>
              <w:t>分钟</w:t>
            </w:r>
            <w:r>
              <w:rPr>
                <w:bCs/>
                <w:color w:val="000000"/>
                <w:sz w:val="24"/>
                <w:highlight w:val="none"/>
              </w:rPr>
              <w:t>/</w:t>
            </w:r>
            <w:r>
              <w:rPr>
                <w:rFonts w:hint="eastAsia"/>
                <w:bCs/>
                <w:color w:val="000000"/>
                <w:sz w:val="24"/>
                <w:highlight w:val="none"/>
              </w:rPr>
              <w:t>次，每年发生</w:t>
            </w:r>
            <w:r>
              <w:rPr>
                <w:bCs/>
                <w:color w:val="000000"/>
                <w:sz w:val="24"/>
                <w:highlight w:val="none"/>
              </w:rPr>
              <w:t>1</w:t>
            </w:r>
            <w:r>
              <w:rPr>
                <w:rFonts w:hint="eastAsia"/>
                <w:bCs/>
                <w:color w:val="000000"/>
                <w:sz w:val="24"/>
                <w:highlight w:val="none"/>
              </w:rPr>
              <w:t>次，故障期间，废气处理设施按全部失效计算（处理效率为</w:t>
            </w:r>
            <w:r>
              <w:rPr>
                <w:bCs/>
                <w:color w:val="000000"/>
                <w:sz w:val="24"/>
                <w:highlight w:val="none"/>
              </w:rPr>
              <w:t>0</w:t>
            </w:r>
            <w:r>
              <w:rPr>
                <w:rFonts w:hint="eastAsia"/>
                <w:bCs/>
                <w:color w:val="000000"/>
                <w:sz w:val="24"/>
                <w:highlight w:val="none"/>
              </w:rPr>
              <w:t>）。</w:t>
            </w:r>
          </w:p>
          <w:p w14:paraId="2A9D679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kern w:val="0"/>
                <w:sz w:val="24"/>
                <w:highlight w:val="none"/>
                <w:lang w:eastAsia="zh-CN"/>
              </w:rPr>
            </w:pPr>
            <w:r>
              <w:rPr>
                <w:rFonts w:hint="eastAsia"/>
                <w:color w:val="000000"/>
                <w:kern w:val="0"/>
                <w:sz w:val="24"/>
                <w:highlight w:val="none"/>
              </w:rPr>
              <w:t>本项目废气</w:t>
            </w:r>
            <w:r>
              <w:rPr>
                <w:rFonts w:hint="eastAsia"/>
                <w:color w:val="000000"/>
                <w:kern w:val="0"/>
                <w:sz w:val="24"/>
                <w:highlight w:val="none"/>
                <w:lang w:val="en-US" w:eastAsia="zh-CN"/>
              </w:rPr>
              <w:t>源强核算</w:t>
            </w:r>
            <w:r>
              <w:rPr>
                <w:rFonts w:hint="eastAsia"/>
                <w:color w:val="000000"/>
                <w:kern w:val="0"/>
                <w:sz w:val="24"/>
                <w:highlight w:val="none"/>
              </w:rPr>
              <w:t>表</w:t>
            </w:r>
            <w:r>
              <w:rPr>
                <w:rFonts w:hint="eastAsia"/>
                <w:color w:val="000000"/>
                <w:kern w:val="0"/>
                <w:sz w:val="24"/>
                <w:highlight w:val="none"/>
                <w:lang w:eastAsia="zh-CN"/>
              </w:rPr>
              <w:t>、</w:t>
            </w:r>
            <w:r>
              <w:rPr>
                <w:rFonts w:hint="eastAsia"/>
                <w:color w:val="000000"/>
                <w:kern w:val="0"/>
                <w:sz w:val="24"/>
                <w:highlight w:val="none"/>
              </w:rPr>
              <w:t>废气正常工况下有组织大气污染物产排情况、非正常工况下有组织大气污染物产排情况及无组织大气污染物产排情况、排放口基本情况详见下表</w:t>
            </w:r>
            <w:r>
              <w:rPr>
                <w:rFonts w:hint="eastAsia"/>
                <w:color w:val="000000"/>
                <w:kern w:val="0"/>
                <w:sz w:val="24"/>
                <w:highlight w:val="none"/>
                <w:lang w:eastAsia="zh-CN"/>
              </w:rPr>
              <w:t>。</w:t>
            </w:r>
          </w:p>
          <w:p w14:paraId="1BDE65B8">
            <w:pPr>
              <w:adjustRightInd w:val="0"/>
              <w:snapToGrid w:val="0"/>
              <w:spacing w:line="360" w:lineRule="auto"/>
              <w:jc w:val="left"/>
              <w:rPr>
                <w:rFonts w:hint="eastAsia" w:ascii="Times New Roman" w:hAnsi="Times New Roman" w:eastAsia="宋体" w:cs="Times New Roman"/>
                <w:color w:val="000000"/>
                <w:sz w:val="24"/>
              </w:rPr>
            </w:pPr>
          </w:p>
        </w:tc>
      </w:tr>
    </w:tbl>
    <w:p w14:paraId="415B8DA2">
      <w:pPr>
        <w:ind w:firstLine="420" w:firstLineChars="0"/>
        <w:sectPr>
          <w:pgSz w:w="11906" w:h="16838"/>
          <w:pgMar w:top="1440" w:right="1800" w:bottom="1440" w:left="1800" w:header="851" w:footer="992" w:gutter="0"/>
          <w:pgNumType w:fmt="decimal"/>
          <w:cols w:space="425"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2395"/>
      </w:tblGrid>
      <w:tr w14:paraId="4472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9" w:hRule="atLeast"/>
        </w:trPr>
        <w:tc>
          <w:tcPr>
            <w:tcW w:w="833" w:type="dxa"/>
            <w:noWrap w:val="0"/>
            <w:vAlign w:val="center"/>
          </w:tcPr>
          <w:p w14:paraId="570FBDA8">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ascii="宋体" w:hAnsi="宋体" w:cs="宋体"/>
                <w:bCs/>
                <w:color w:val="000000"/>
                <w:sz w:val="24"/>
              </w:rPr>
            </w:pPr>
            <w:r>
              <w:rPr>
                <w:rFonts w:hint="eastAsia" w:ascii="宋体" w:hAnsi="宋体" w:cs="宋体"/>
                <w:bCs/>
                <w:color w:val="000000"/>
                <w:sz w:val="24"/>
              </w:rPr>
              <w:t>运营期环境影响和保护措施</w:t>
            </w:r>
          </w:p>
        </w:tc>
        <w:tc>
          <w:tcPr>
            <w:tcW w:w="12395" w:type="dxa"/>
            <w:noWrap w:val="0"/>
            <w:vAlign w:val="top"/>
          </w:tcPr>
          <w:p w14:paraId="558BD11B">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color w:val="000000"/>
              </w:rPr>
            </w:pPr>
            <w:r>
              <w:rPr>
                <w:rFonts w:hint="default"/>
                <w:b/>
                <w:bCs/>
                <w:color w:val="000000"/>
                <w:highlight w:val="none"/>
              </w:rPr>
              <w:t>表4-</w:t>
            </w:r>
            <w:r>
              <w:rPr>
                <w:rFonts w:hint="eastAsia"/>
                <w:b/>
                <w:bCs/>
                <w:color w:val="000000"/>
                <w:highlight w:val="none"/>
                <w:lang w:val="en-US" w:eastAsia="zh-CN"/>
              </w:rPr>
              <w:t>1</w:t>
            </w:r>
            <w:r>
              <w:rPr>
                <w:rFonts w:hint="default"/>
                <w:b/>
                <w:bCs/>
                <w:color w:val="000000"/>
                <w:highlight w:val="none"/>
              </w:rPr>
              <w:t xml:space="preserve"> </w:t>
            </w:r>
            <w:r>
              <w:rPr>
                <w:rFonts w:hint="eastAsia"/>
                <w:b/>
                <w:bCs/>
                <w:color w:val="000000"/>
                <w:highlight w:val="none"/>
                <w:lang w:val="en-US" w:eastAsia="zh-CN"/>
              </w:rPr>
              <w:t>本项目</w:t>
            </w:r>
            <w:r>
              <w:rPr>
                <w:rFonts w:hint="default"/>
                <w:b/>
                <w:bCs/>
                <w:color w:val="000000"/>
                <w:highlight w:val="none"/>
              </w:rPr>
              <w:t>废气</w:t>
            </w:r>
            <w:r>
              <w:rPr>
                <w:rFonts w:hint="default"/>
                <w:b/>
                <w:bCs/>
                <w:color w:val="000000"/>
                <w:highlight w:val="none"/>
                <w:lang w:val="en-US" w:eastAsia="zh-CN"/>
              </w:rPr>
              <w:t>源强核算</w:t>
            </w:r>
            <w:r>
              <w:rPr>
                <w:rFonts w:hint="default"/>
                <w:b/>
                <w:bCs/>
                <w:color w:val="000000"/>
                <w:highlight w:val="none"/>
              </w:rPr>
              <w:t>表</w:t>
            </w:r>
          </w:p>
          <w:tbl>
            <w:tblPr>
              <w:tblStyle w:val="2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18"/>
              <w:gridCol w:w="1254"/>
              <w:gridCol w:w="914"/>
              <w:gridCol w:w="1089"/>
              <w:gridCol w:w="1068"/>
              <w:gridCol w:w="1538"/>
              <w:gridCol w:w="1137"/>
              <w:gridCol w:w="1163"/>
              <w:gridCol w:w="787"/>
              <w:gridCol w:w="1225"/>
              <w:gridCol w:w="979"/>
            </w:tblGrid>
            <w:tr w14:paraId="4C716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8" w:type="pct"/>
                  <w:vMerge w:val="restart"/>
                  <w:tcBorders>
                    <w:tl2br w:val="nil"/>
                    <w:tr2bl w:val="nil"/>
                  </w:tcBorders>
                  <w:noWrap w:val="0"/>
                  <w:vAlign w:val="center"/>
                </w:tcPr>
                <w:p w14:paraId="2E069060">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lang w:val="en-US" w:eastAsia="zh-CN"/>
                    </w:rPr>
                  </w:pPr>
                  <w:r>
                    <w:rPr>
                      <w:rFonts w:hint="default"/>
                      <w:b/>
                      <w:bCs/>
                      <w:color w:val="000000"/>
                      <w:szCs w:val="21"/>
                      <w:lang w:val="en-US" w:eastAsia="zh-CN"/>
                    </w:rPr>
                    <w:t>产污工序</w:t>
                  </w:r>
                </w:p>
              </w:tc>
              <w:tc>
                <w:tcPr>
                  <w:tcW w:w="515" w:type="pct"/>
                  <w:vMerge w:val="restart"/>
                  <w:tcBorders>
                    <w:tl2br w:val="nil"/>
                    <w:tr2bl w:val="nil"/>
                  </w:tcBorders>
                  <w:noWrap w:val="0"/>
                  <w:vAlign w:val="center"/>
                </w:tcPr>
                <w:p w14:paraId="2277EA5F">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rPr>
                  </w:pPr>
                  <w:r>
                    <w:rPr>
                      <w:rFonts w:hint="default"/>
                      <w:b/>
                      <w:bCs/>
                      <w:color w:val="000000"/>
                      <w:szCs w:val="21"/>
                    </w:rPr>
                    <w:t>污染物名称</w:t>
                  </w:r>
                </w:p>
              </w:tc>
              <w:tc>
                <w:tcPr>
                  <w:tcW w:w="375" w:type="pct"/>
                  <w:vMerge w:val="restart"/>
                  <w:tcBorders>
                    <w:tl2br w:val="nil"/>
                    <w:tr2bl w:val="nil"/>
                  </w:tcBorders>
                  <w:noWrap w:val="0"/>
                  <w:vAlign w:val="center"/>
                </w:tcPr>
                <w:p w14:paraId="4DC09238">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rPr>
                  </w:pPr>
                  <w:r>
                    <w:rPr>
                      <w:rFonts w:hint="default"/>
                      <w:b/>
                      <w:bCs/>
                      <w:color w:val="000000"/>
                      <w:szCs w:val="21"/>
                    </w:rPr>
                    <w:t>污染物产生量t/a</w:t>
                  </w:r>
                </w:p>
              </w:tc>
              <w:tc>
                <w:tcPr>
                  <w:tcW w:w="447" w:type="pct"/>
                  <w:vMerge w:val="restart"/>
                  <w:tcBorders>
                    <w:tl2br w:val="nil"/>
                    <w:tr2bl w:val="nil"/>
                  </w:tcBorders>
                  <w:noWrap w:val="0"/>
                  <w:vAlign w:val="center"/>
                </w:tcPr>
                <w:p w14:paraId="5C5A1809">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rPr>
                  </w:pPr>
                  <w:r>
                    <w:rPr>
                      <w:rFonts w:hint="default"/>
                      <w:b/>
                      <w:bCs/>
                      <w:color w:val="000000"/>
                      <w:szCs w:val="21"/>
                    </w:rPr>
                    <w:t>收集</w:t>
                  </w:r>
                  <w:r>
                    <w:rPr>
                      <w:rFonts w:hint="eastAsia"/>
                      <w:b/>
                      <w:bCs/>
                      <w:color w:val="000000"/>
                      <w:szCs w:val="21"/>
                      <w:lang w:val="en-US" w:eastAsia="zh-CN"/>
                    </w:rPr>
                    <w:t>效</w:t>
                  </w:r>
                  <w:r>
                    <w:rPr>
                      <w:rFonts w:hint="default"/>
                      <w:b/>
                      <w:bCs/>
                      <w:color w:val="000000"/>
                      <w:szCs w:val="21"/>
                    </w:rPr>
                    <w:t>率%</w:t>
                  </w:r>
                </w:p>
              </w:tc>
              <w:tc>
                <w:tcPr>
                  <w:tcW w:w="438" w:type="pct"/>
                  <w:vMerge w:val="restart"/>
                  <w:tcBorders>
                    <w:tl2br w:val="nil"/>
                    <w:tr2bl w:val="nil"/>
                  </w:tcBorders>
                  <w:noWrap w:val="0"/>
                  <w:vAlign w:val="center"/>
                </w:tcPr>
                <w:p w14:paraId="44B2A973">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rPr>
                  </w:pPr>
                  <w:r>
                    <w:rPr>
                      <w:rFonts w:hint="default"/>
                      <w:b/>
                      <w:bCs/>
                      <w:color w:val="000000"/>
                      <w:szCs w:val="21"/>
                    </w:rPr>
                    <w:t>收集量t/a</w:t>
                  </w:r>
                </w:p>
              </w:tc>
              <w:tc>
                <w:tcPr>
                  <w:tcW w:w="1098" w:type="pct"/>
                  <w:gridSpan w:val="2"/>
                  <w:tcBorders>
                    <w:tl2br w:val="nil"/>
                    <w:tr2bl w:val="nil"/>
                  </w:tcBorders>
                  <w:noWrap w:val="0"/>
                  <w:vAlign w:val="center"/>
                </w:tcPr>
                <w:p w14:paraId="32757A87">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lang w:val="en-US" w:eastAsia="zh-CN"/>
                    </w:rPr>
                  </w:pPr>
                  <w:r>
                    <w:rPr>
                      <w:rFonts w:hint="eastAsia"/>
                      <w:b/>
                      <w:bCs/>
                      <w:color w:val="000000"/>
                      <w:szCs w:val="21"/>
                      <w:lang w:val="en-US" w:eastAsia="zh-CN"/>
                    </w:rPr>
                    <w:t>废气处理措施</w:t>
                  </w:r>
                </w:p>
              </w:tc>
              <w:tc>
                <w:tcPr>
                  <w:tcW w:w="477" w:type="pct"/>
                  <w:vMerge w:val="restart"/>
                  <w:tcBorders>
                    <w:tl2br w:val="nil"/>
                    <w:tr2bl w:val="nil"/>
                  </w:tcBorders>
                  <w:noWrap w:val="0"/>
                  <w:vAlign w:val="center"/>
                </w:tcPr>
                <w:p w14:paraId="47A916B3">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lang w:val="en-US" w:eastAsia="zh-CN"/>
                    </w:rPr>
                  </w:pPr>
                  <w:r>
                    <w:rPr>
                      <w:rFonts w:hint="eastAsia"/>
                      <w:b/>
                      <w:bCs/>
                      <w:color w:val="000000"/>
                      <w:szCs w:val="21"/>
                      <w:lang w:val="en-US" w:eastAsia="zh-CN"/>
                    </w:rPr>
                    <w:t>有组织排放量t/a</w:t>
                  </w:r>
                </w:p>
              </w:tc>
              <w:tc>
                <w:tcPr>
                  <w:tcW w:w="323" w:type="pct"/>
                  <w:vMerge w:val="restart"/>
                  <w:tcBorders>
                    <w:tl2br w:val="nil"/>
                    <w:tr2bl w:val="nil"/>
                  </w:tcBorders>
                  <w:noWrap w:val="0"/>
                  <w:vAlign w:val="center"/>
                </w:tcPr>
                <w:p w14:paraId="3BA36C1C">
                  <w:pPr>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Cs w:val="21"/>
                      <w:lang w:val="en-US" w:eastAsia="zh-CN"/>
                    </w:rPr>
                  </w:pPr>
                  <w:r>
                    <w:rPr>
                      <w:rFonts w:hint="eastAsia"/>
                      <w:b/>
                      <w:bCs/>
                      <w:color w:val="000000"/>
                      <w:szCs w:val="21"/>
                      <w:lang w:val="en-US" w:eastAsia="zh-CN"/>
                    </w:rPr>
                    <w:t>排气筒</w:t>
                  </w:r>
                </w:p>
              </w:tc>
              <w:tc>
                <w:tcPr>
                  <w:tcW w:w="503" w:type="pct"/>
                  <w:vMerge w:val="restart"/>
                  <w:tcBorders>
                    <w:tl2br w:val="nil"/>
                    <w:tr2bl w:val="nil"/>
                  </w:tcBorders>
                  <w:noWrap w:val="0"/>
                  <w:vAlign w:val="center"/>
                </w:tcPr>
                <w:p w14:paraId="42ECF6BD">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bCs/>
                      <w:color w:val="000000"/>
                      <w:szCs w:val="21"/>
                    </w:rPr>
                  </w:pPr>
                  <w:r>
                    <w:rPr>
                      <w:rFonts w:hint="default"/>
                      <w:b/>
                      <w:bCs/>
                      <w:color w:val="000000"/>
                      <w:szCs w:val="21"/>
                    </w:rPr>
                    <w:t>无组织排放量t/a</w:t>
                  </w:r>
                </w:p>
              </w:tc>
              <w:tc>
                <w:tcPr>
                  <w:tcW w:w="402" w:type="pct"/>
                  <w:vMerge w:val="restart"/>
                  <w:tcBorders>
                    <w:tl2br w:val="nil"/>
                    <w:tr2bl w:val="nil"/>
                  </w:tcBorders>
                  <w:noWrap w:val="0"/>
                  <w:vAlign w:val="center"/>
                </w:tcPr>
                <w:p w14:paraId="74C73973">
                  <w:pPr>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Cs w:val="21"/>
                      <w:lang w:val="en-US" w:eastAsia="zh-CN"/>
                    </w:rPr>
                  </w:pPr>
                  <w:r>
                    <w:rPr>
                      <w:rFonts w:hint="eastAsia"/>
                      <w:b/>
                      <w:bCs/>
                      <w:color w:val="000000"/>
                      <w:szCs w:val="21"/>
                      <w:lang w:val="en-US" w:eastAsia="zh-CN"/>
                    </w:rPr>
                    <w:t>备注</w:t>
                  </w:r>
                </w:p>
              </w:tc>
            </w:tr>
            <w:tr w14:paraId="6499BD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8" w:type="pct"/>
                  <w:vMerge w:val="continue"/>
                  <w:tcBorders>
                    <w:tl2br w:val="nil"/>
                    <w:tr2bl w:val="nil"/>
                  </w:tcBorders>
                  <w:noWrap w:val="0"/>
                  <w:vAlign w:val="center"/>
                </w:tcPr>
                <w:p w14:paraId="6FF1B5E3">
                  <w:pPr>
                    <w:keepNext w:val="0"/>
                    <w:keepLines w:val="0"/>
                    <w:pageBreakBefore w:val="0"/>
                    <w:kinsoku/>
                    <w:wordWrap/>
                    <w:overflowPunct/>
                    <w:topLinePunct w:val="0"/>
                    <w:autoSpaceDE/>
                    <w:autoSpaceDN/>
                    <w:bidi w:val="0"/>
                    <w:adjustRightInd w:val="0"/>
                    <w:snapToGrid w:val="0"/>
                    <w:ind w:firstLine="0"/>
                    <w:jc w:val="center"/>
                    <w:textAlignment w:val="auto"/>
                  </w:pPr>
                </w:p>
              </w:tc>
              <w:tc>
                <w:tcPr>
                  <w:tcW w:w="515" w:type="pct"/>
                  <w:vMerge w:val="continue"/>
                  <w:tcBorders>
                    <w:tl2br w:val="nil"/>
                    <w:tr2bl w:val="nil"/>
                  </w:tcBorders>
                  <w:noWrap w:val="0"/>
                  <w:vAlign w:val="center"/>
                </w:tcPr>
                <w:p w14:paraId="63EBA244">
                  <w:pPr>
                    <w:keepNext w:val="0"/>
                    <w:keepLines w:val="0"/>
                    <w:pageBreakBefore w:val="0"/>
                    <w:kinsoku/>
                    <w:wordWrap/>
                    <w:overflowPunct/>
                    <w:topLinePunct w:val="0"/>
                    <w:autoSpaceDE/>
                    <w:autoSpaceDN/>
                    <w:bidi w:val="0"/>
                    <w:adjustRightInd w:val="0"/>
                    <w:snapToGrid w:val="0"/>
                    <w:ind w:firstLine="0"/>
                    <w:jc w:val="center"/>
                    <w:textAlignment w:val="auto"/>
                  </w:pPr>
                </w:p>
              </w:tc>
              <w:tc>
                <w:tcPr>
                  <w:tcW w:w="375" w:type="pct"/>
                  <w:vMerge w:val="continue"/>
                  <w:tcBorders>
                    <w:tl2br w:val="nil"/>
                    <w:tr2bl w:val="nil"/>
                  </w:tcBorders>
                  <w:noWrap w:val="0"/>
                  <w:vAlign w:val="center"/>
                </w:tcPr>
                <w:p w14:paraId="4FB8A06C">
                  <w:pPr>
                    <w:keepNext w:val="0"/>
                    <w:keepLines w:val="0"/>
                    <w:pageBreakBefore w:val="0"/>
                    <w:kinsoku/>
                    <w:wordWrap/>
                    <w:overflowPunct/>
                    <w:topLinePunct w:val="0"/>
                    <w:autoSpaceDE/>
                    <w:autoSpaceDN/>
                    <w:bidi w:val="0"/>
                    <w:adjustRightInd w:val="0"/>
                    <w:snapToGrid w:val="0"/>
                    <w:ind w:firstLine="0"/>
                    <w:jc w:val="center"/>
                    <w:textAlignment w:val="auto"/>
                  </w:pPr>
                </w:p>
              </w:tc>
              <w:tc>
                <w:tcPr>
                  <w:tcW w:w="447" w:type="pct"/>
                  <w:vMerge w:val="continue"/>
                  <w:tcBorders>
                    <w:tl2br w:val="nil"/>
                    <w:tr2bl w:val="nil"/>
                  </w:tcBorders>
                  <w:noWrap w:val="0"/>
                  <w:vAlign w:val="center"/>
                </w:tcPr>
                <w:p w14:paraId="0A3869F8">
                  <w:pPr>
                    <w:keepNext w:val="0"/>
                    <w:keepLines w:val="0"/>
                    <w:pageBreakBefore w:val="0"/>
                    <w:kinsoku/>
                    <w:wordWrap/>
                    <w:overflowPunct/>
                    <w:topLinePunct w:val="0"/>
                    <w:autoSpaceDE/>
                    <w:autoSpaceDN/>
                    <w:bidi w:val="0"/>
                    <w:adjustRightInd w:val="0"/>
                    <w:snapToGrid w:val="0"/>
                    <w:ind w:firstLine="0"/>
                    <w:jc w:val="center"/>
                    <w:textAlignment w:val="auto"/>
                  </w:pPr>
                </w:p>
              </w:tc>
              <w:tc>
                <w:tcPr>
                  <w:tcW w:w="438" w:type="pct"/>
                  <w:vMerge w:val="continue"/>
                  <w:tcBorders>
                    <w:tl2br w:val="nil"/>
                    <w:tr2bl w:val="nil"/>
                  </w:tcBorders>
                  <w:noWrap w:val="0"/>
                  <w:vAlign w:val="center"/>
                </w:tcPr>
                <w:p w14:paraId="12CB1B4A">
                  <w:pPr>
                    <w:keepNext w:val="0"/>
                    <w:keepLines w:val="0"/>
                    <w:pageBreakBefore w:val="0"/>
                    <w:kinsoku/>
                    <w:wordWrap/>
                    <w:overflowPunct/>
                    <w:topLinePunct w:val="0"/>
                    <w:autoSpaceDE/>
                    <w:autoSpaceDN/>
                    <w:bidi w:val="0"/>
                    <w:adjustRightInd w:val="0"/>
                    <w:snapToGrid w:val="0"/>
                    <w:ind w:firstLine="0"/>
                    <w:jc w:val="center"/>
                    <w:textAlignment w:val="auto"/>
                  </w:pPr>
                </w:p>
              </w:tc>
              <w:tc>
                <w:tcPr>
                  <w:tcW w:w="631" w:type="pct"/>
                  <w:tcBorders>
                    <w:tl2br w:val="nil"/>
                    <w:tr2bl w:val="nil"/>
                  </w:tcBorders>
                  <w:noWrap w:val="0"/>
                  <w:vAlign w:val="center"/>
                </w:tcPr>
                <w:p w14:paraId="5E56B91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b/>
                      <w:bCs/>
                      <w:color w:val="000000"/>
                      <w:kern w:val="2"/>
                      <w:sz w:val="21"/>
                      <w:szCs w:val="21"/>
                      <w:lang w:val="en-US" w:eastAsia="zh-CN" w:bidi="ar-SA"/>
                    </w:rPr>
                  </w:pPr>
                  <w:r>
                    <w:rPr>
                      <w:rFonts w:hint="eastAsia"/>
                      <w:b/>
                      <w:bCs/>
                      <w:color w:val="000000"/>
                      <w:szCs w:val="21"/>
                      <w:lang w:val="en-US" w:eastAsia="zh-CN"/>
                    </w:rPr>
                    <w:t>工艺</w:t>
                  </w:r>
                </w:p>
              </w:tc>
              <w:tc>
                <w:tcPr>
                  <w:tcW w:w="467" w:type="pct"/>
                  <w:tcBorders>
                    <w:tl2br w:val="nil"/>
                    <w:tr2bl w:val="nil"/>
                  </w:tcBorders>
                  <w:noWrap w:val="0"/>
                  <w:vAlign w:val="center"/>
                </w:tcPr>
                <w:p w14:paraId="00626A2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
                      <w:bCs/>
                      <w:color w:val="000000"/>
                      <w:kern w:val="2"/>
                      <w:sz w:val="21"/>
                      <w:szCs w:val="21"/>
                      <w:lang w:val="en-US" w:eastAsia="zh-CN" w:bidi="ar-SA"/>
                    </w:rPr>
                  </w:pPr>
                  <w:r>
                    <w:rPr>
                      <w:rFonts w:hint="eastAsia"/>
                      <w:b/>
                      <w:bCs/>
                      <w:color w:val="000000"/>
                      <w:szCs w:val="21"/>
                      <w:lang w:val="en-US" w:eastAsia="zh-CN"/>
                    </w:rPr>
                    <w:t>处理效率%</w:t>
                  </w:r>
                </w:p>
              </w:tc>
              <w:tc>
                <w:tcPr>
                  <w:tcW w:w="477" w:type="pct"/>
                  <w:vMerge w:val="continue"/>
                  <w:tcBorders>
                    <w:tl2br w:val="nil"/>
                    <w:tr2bl w:val="nil"/>
                  </w:tcBorders>
                  <w:noWrap w:val="0"/>
                  <w:vAlign w:val="center"/>
                </w:tcPr>
                <w:p w14:paraId="0B472615">
                  <w:pPr>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Cs w:val="21"/>
                      <w:lang w:val="en-US" w:eastAsia="zh-CN"/>
                    </w:rPr>
                  </w:pPr>
                </w:p>
              </w:tc>
              <w:tc>
                <w:tcPr>
                  <w:tcW w:w="323" w:type="pct"/>
                  <w:vMerge w:val="continue"/>
                  <w:tcBorders>
                    <w:tl2br w:val="nil"/>
                    <w:tr2bl w:val="nil"/>
                  </w:tcBorders>
                  <w:noWrap w:val="0"/>
                  <w:vAlign w:val="center"/>
                </w:tcPr>
                <w:p w14:paraId="6B787424">
                  <w:pPr>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Cs w:val="21"/>
                      <w:lang w:val="en-US" w:eastAsia="zh-CN"/>
                    </w:rPr>
                  </w:pPr>
                </w:p>
              </w:tc>
              <w:tc>
                <w:tcPr>
                  <w:tcW w:w="503" w:type="pct"/>
                  <w:vMerge w:val="continue"/>
                  <w:tcBorders>
                    <w:tl2br w:val="nil"/>
                    <w:tr2bl w:val="nil"/>
                  </w:tcBorders>
                  <w:noWrap w:val="0"/>
                  <w:vAlign w:val="center"/>
                </w:tcPr>
                <w:p w14:paraId="631FEBDE">
                  <w:pPr>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Cs w:val="21"/>
                      <w:lang w:val="en-US" w:eastAsia="zh-CN"/>
                    </w:rPr>
                  </w:pPr>
                </w:p>
              </w:tc>
              <w:tc>
                <w:tcPr>
                  <w:tcW w:w="402" w:type="pct"/>
                  <w:vMerge w:val="continue"/>
                  <w:tcBorders>
                    <w:tl2br w:val="nil"/>
                    <w:tr2bl w:val="nil"/>
                  </w:tcBorders>
                  <w:noWrap w:val="0"/>
                  <w:vAlign w:val="center"/>
                </w:tcPr>
                <w:p w14:paraId="07238926">
                  <w:pPr>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Cs w:val="21"/>
                      <w:lang w:val="en-US" w:eastAsia="zh-CN"/>
                    </w:rPr>
                  </w:pPr>
                </w:p>
              </w:tc>
            </w:tr>
            <w:tr w14:paraId="48A573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8" w:type="pct"/>
                  <w:tcBorders>
                    <w:tl2br w:val="nil"/>
                    <w:tr2bl w:val="nil"/>
                  </w:tcBorders>
                  <w:noWrap w:val="0"/>
                  <w:vAlign w:val="center"/>
                </w:tcPr>
                <w:p w14:paraId="647D0A78">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针体磨抛</w:t>
                  </w:r>
                </w:p>
              </w:tc>
              <w:tc>
                <w:tcPr>
                  <w:tcW w:w="515" w:type="pct"/>
                  <w:tcBorders>
                    <w:tl2br w:val="nil"/>
                    <w:tr2bl w:val="nil"/>
                  </w:tcBorders>
                  <w:noWrap w:val="0"/>
                  <w:vAlign w:val="center"/>
                </w:tcPr>
                <w:p w14:paraId="6484D1B4">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颗粒物</w:t>
                  </w:r>
                </w:p>
              </w:tc>
              <w:tc>
                <w:tcPr>
                  <w:tcW w:w="375" w:type="pct"/>
                  <w:tcBorders>
                    <w:tl2br w:val="nil"/>
                    <w:tr2bl w:val="nil"/>
                  </w:tcBorders>
                  <w:noWrap w:val="0"/>
                  <w:vAlign w:val="center"/>
                </w:tcPr>
                <w:p w14:paraId="4A80098A">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0.0841</w:t>
                  </w:r>
                </w:p>
              </w:tc>
              <w:tc>
                <w:tcPr>
                  <w:tcW w:w="447" w:type="pct"/>
                  <w:tcBorders>
                    <w:tl2br w:val="nil"/>
                    <w:tr2bl w:val="nil"/>
                  </w:tcBorders>
                  <w:noWrap w:val="0"/>
                  <w:vAlign w:val="center"/>
                </w:tcPr>
                <w:p w14:paraId="20FD8ED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90</w:t>
                  </w:r>
                </w:p>
              </w:tc>
              <w:tc>
                <w:tcPr>
                  <w:tcW w:w="438" w:type="pct"/>
                  <w:tcBorders>
                    <w:tl2br w:val="nil"/>
                    <w:tr2bl w:val="nil"/>
                  </w:tcBorders>
                  <w:noWrap w:val="0"/>
                  <w:vAlign w:val="center"/>
                </w:tcPr>
                <w:p w14:paraId="6C1B4DB6">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highlight w:val="none"/>
                      <w:lang w:val="en-US" w:eastAsia="zh-CN"/>
                    </w:rPr>
                  </w:pPr>
                  <w:r>
                    <w:rPr>
                      <w:rFonts w:hint="eastAsia" w:ascii="Times New Roman" w:hAnsi="Times New Roman" w:eastAsia="宋体" w:cs="Times New Roman"/>
                      <w:b w:val="0"/>
                      <w:bCs w:val="0"/>
                      <w:color w:val="000000"/>
                      <w:szCs w:val="21"/>
                      <w:highlight w:val="none"/>
                      <w:lang w:val="en-US" w:eastAsia="zh-CN"/>
                    </w:rPr>
                    <w:t>0.07569</w:t>
                  </w:r>
                </w:p>
              </w:tc>
              <w:tc>
                <w:tcPr>
                  <w:tcW w:w="631" w:type="pct"/>
                  <w:tcBorders>
                    <w:tl2br w:val="nil"/>
                    <w:tr2bl w:val="nil"/>
                  </w:tcBorders>
                  <w:noWrap w:val="0"/>
                  <w:vAlign w:val="center"/>
                </w:tcPr>
                <w:p w14:paraId="597BF3A5">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布袋除尘装置</w:t>
                  </w:r>
                </w:p>
              </w:tc>
              <w:tc>
                <w:tcPr>
                  <w:tcW w:w="467" w:type="pct"/>
                  <w:tcBorders>
                    <w:tl2br w:val="nil"/>
                    <w:tr2bl w:val="nil"/>
                  </w:tcBorders>
                  <w:noWrap w:val="0"/>
                  <w:vAlign w:val="center"/>
                </w:tcPr>
                <w:p w14:paraId="4444EC5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highlight w:val="none"/>
                      <w:lang w:val="en-US" w:eastAsia="zh-CN"/>
                    </w:rPr>
                  </w:pPr>
                  <w:r>
                    <w:rPr>
                      <w:rFonts w:hint="eastAsia"/>
                      <w:b w:val="0"/>
                      <w:bCs w:val="0"/>
                      <w:color w:val="000000"/>
                      <w:szCs w:val="21"/>
                      <w:highlight w:val="none"/>
                      <w:lang w:val="en-US" w:eastAsia="zh-CN"/>
                    </w:rPr>
                    <w:t>95</w:t>
                  </w:r>
                </w:p>
              </w:tc>
              <w:tc>
                <w:tcPr>
                  <w:tcW w:w="477" w:type="pct"/>
                  <w:tcBorders>
                    <w:tl2br w:val="nil"/>
                    <w:tr2bl w:val="nil"/>
                  </w:tcBorders>
                  <w:noWrap w:val="0"/>
                  <w:vAlign w:val="center"/>
                </w:tcPr>
                <w:p w14:paraId="2200EE40">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0.00378</w:t>
                  </w:r>
                </w:p>
              </w:tc>
              <w:tc>
                <w:tcPr>
                  <w:tcW w:w="323" w:type="pct"/>
                  <w:tcBorders>
                    <w:tl2br w:val="nil"/>
                    <w:tr2bl w:val="nil"/>
                  </w:tcBorders>
                  <w:noWrap w:val="0"/>
                  <w:vAlign w:val="center"/>
                </w:tcPr>
                <w:p w14:paraId="700B5A1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lang w:val="en-US" w:eastAsia="zh-CN"/>
                    </w:rPr>
                  </w:pPr>
                  <w:r>
                    <w:rPr>
                      <w:rFonts w:hint="eastAsia"/>
                      <w:b w:val="0"/>
                      <w:bCs w:val="0"/>
                      <w:color w:val="000000"/>
                      <w:szCs w:val="21"/>
                      <w:lang w:val="en-US" w:eastAsia="zh-CN"/>
                    </w:rPr>
                    <w:t>1#</w:t>
                  </w:r>
                </w:p>
              </w:tc>
              <w:tc>
                <w:tcPr>
                  <w:tcW w:w="503" w:type="pct"/>
                  <w:tcBorders>
                    <w:tl2br w:val="nil"/>
                    <w:tr2bl w:val="nil"/>
                  </w:tcBorders>
                  <w:noWrap w:val="0"/>
                  <w:vAlign w:val="center"/>
                </w:tcPr>
                <w:p w14:paraId="6A01506B">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ascii="Times New Roman" w:hAnsi="Times New Roman" w:eastAsia="宋体" w:cs="Times New Roman"/>
                      <w:b w:val="0"/>
                      <w:bCs w:val="0"/>
                      <w:color w:val="000000"/>
                      <w:szCs w:val="21"/>
                      <w:lang w:val="en-US" w:eastAsia="zh-CN"/>
                    </w:rPr>
                    <w:t>0.00841</w:t>
                  </w:r>
                </w:p>
              </w:tc>
              <w:tc>
                <w:tcPr>
                  <w:tcW w:w="402" w:type="pct"/>
                  <w:tcBorders>
                    <w:tl2br w:val="nil"/>
                    <w:tr2bl w:val="nil"/>
                  </w:tcBorders>
                  <w:noWrap w:val="0"/>
                  <w:vAlign w:val="center"/>
                </w:tcPr>
                <w:p w14:paraId="0147E23D">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w:t>
                  </w:r>
                </w:p>
              </w:tc>
            </w:tr>
            <w:tr w14:paraId="042F66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8" w:type="pct"/>
                  <w:tcBorders>
                    <w:tl2br w:val="nil"/>
                    <w:tr2bl w:val="nil"/>
                  </w:tcBorders>
                  <w:noWrap w:val="0"/>
                  <w:vAlign w:val="center"/>
                </w:tcPr>
                <w:p w14:paraId="331BA3D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挤塑</w:t>
                  </w:r>
                </w:p>
              </w:tc>
              <w:tc>
                <w:tcPr>
                  <w:tcW w:w="515" w:type="pct"/>
                  <w:tcBorders>
                    <w:tl2br w:val="nil"/>
                    <w:tr2bl w:val="nil"/>
                  </w:tcBorders>
                  <w:noWrap w:val="0"/>
                  <w:vAlign w:val="center"/>
                </w:tcPr>
                <w:p w14:paraId="470D1C4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非甲烷总烃</w:t>
                  </w:r>
                </w:p>
              </w:tc>
              <w:tc>
                <w:tcPr>
                  <w:tcW w:w="375" w:type="pct"/>
                  <w:tcBorders>
                    <w:tl2br w:val="nil"/>
                    <w:tr2bl w:val="nil"/>
                  </w:tcBorders>
                  <w:noWrap w:val="0"/>
                  <w:vAlign w:val="center"/>
                </w:tcPr>
                <w:p w14:paraId="75AA8EF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0.0018</w:t>
                  </w:r>
                </w:p>
              </w:tc>
              <w:tc>
                <w:tcPr>
                  <w:tcW w:w="447" w:type="pct"/>
                  <w:tcBorders>
                    <w:tl2br w:val="nil"/>
                    <w:tr2bl w:val="nil"/>
                  </w:tcBorders>
                  <w:noWrap w:val="0"/>
                  <w:vAlign w:val="center"/>
                </w:tcPr>
                <w:p w14:paraId="080F367A">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90</w:t>
                  </w:r>
                </w:p>
              </w:tc>
              <w:tc>
                <w:tcPr>
                  <w:tcW w:w="438" w:type="pct"/>
                  <w:tcBorders>
                    <w:tl2br w:val="nil"/>
                    <w:tr2bl w:val="nil"/>
                  </w:tcBorders>
                  <w:noWrap w:val="0"/>
                  <w:vAlign w:val="center"/>
                </w:tcPr>
                <w:p w14:paraId="1F83CB7F">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cs="Times New Roman"/>
                      <w:b w:val="0"/>
                      <w:bCs w:val="0"/>
                      <w:color w:val="000000"/>
                      <w:szCs w:val="21"/>
                      <w:lang w:val="en-US" w:eastAsia="zh-CN"/>
                    </w:rPr>
                    <w:t>0.00162</w:t>
                  </w:r>
                </w:p>
              </w:tc>
              <w:tc>
                <w:tcPr>
                  <w:tcW w:w="631" w:type="pct"/>
                  <w:vMerge w:val="restart"/>
                  <w:tcBorders>
                    <w:tl2br w:val="nil"/>
                    <w:tr2bl w:val="nil"/>
                  </w:tcBorders>
                  <w:noWrap w:val="0"/>
                  <w:vAlign w:val="center"/>
                </w:tcPr>
                <w:p w14:paraId="7DC0EB9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二级活性炭吸附</w:t>
                  </w:r>
                </w:p>
              </w:tc>
              <w:tc>
                <w:tcPr>
                  <w:tcW w:w="467" w:type="pct"/>
                  <w:vMerge w:val="restart"/>
                  <w:tcBorders>
                    <w:tl2br w:val="nil"/>
                    <w:tr2bl w:val="nil"/>
                  </w:tcBorders>
                  <w:noWrap w:val="0"/>
                  <w:vAlign w:val="center"/>
                </w:tcPr>
                <w:p w14:paraId="4F89D4E6">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90</w:t>
                  </w:r>
                </w:p>
              </w:tc>
              <w:tc>
                <w:tcPr>
                  <w:tcW w:w="477" w:type="pct"/>
                  <w:vMerge w:val="restart"/>
                  <w:tcBorders>
                    <w:tl2br w:val="nil"/>
                    <w:tr2bl w:val="nil"/>
                  </w:tcBorders>
                  <w:noWrap w:val="0"/>
                  <w:vAlign w:val="center"/>
                </w:tcPr>
                <w:p w14:paraId="508C00D9">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cs="Times New Roman"/>
                      <w:b w:val="0"/>
                      <w:bCs w:val="0"/>
                      <w:color w:val="000000"/>
                      <w:szCs w:val="21"/>
                      <w:lang w:val="en-US" w:eastAsia="zh-CN"/>
                    </w:rPr>
                    <w:t>0.002325</w:t>
                  </w:r>
                </w:p>
              </w:tc>
              <w:tc>
                <w:tcPr>
                  <w:tcW w:w="323" w:type="pct"/>
                  <w:vMerge w:val="restart"/>
                  <w:tcBorders>
                    <w:tl2br w:val="nil"/>
                    <w:tr2bl w:val="nil"/>
                  </w:tcBorders>
                  <w:noWrap w:val="0"/>
                  <w:vAlign w:val="center"/>
                </w:tcPr>
                <w:p w14:paraId="0364C218">
                  <w:pPr>
                    <w:keepNext w:val="0"/>
                    <w:keepLines w:val="0"/>
                    <w:pageBreakBefore w:val="0"/>
                    <w:kinsoku/>
                    <w:wordWrap/>
                    <w:overflowPunct/>
                    <w:topLinePunct w:val="0"/>
                    <w:autoSpaceDE/>
                    <w:autoSpaceDN/>
                    <w:bidi w:val="0"/>
                    <w:adjustRightInd w:val="0"/>
                    <w:snapToGrid w:val="0"/>
                    <w:ind w:firstLine="0"/>
                    <w:jc w:val="center"/>
                    <w:textAlignment w:val="auto"/>
                    <w:rPr>
                      <w:rFonts w:hint="default"/>
                      <w:b w:val="0"/>
                      <w:bCs w:val="0"/>
                      <w:color w:val="000000"/>
                      <w:szCs w:val="21"/>
                      <w:lang w:val="en-US" w:eastAsia="zh-CN"/>
                    </w:rPr>
                  </w:pPr>
                  <w:r>
                    <w:rPr>
                      <w:rFonts w:hint="eastAsia"/>
                      <w:b w:val="0"/>
                      <w:bCs w:val="0"/>
                      <w:color w:val="000000"/>
                      <w:szCs w:val="21"/>
                      <w:lang w:val="en-US" w:eastAsia="zh-CN"/>
                    </w:rPr>
                    <w:t>2#</w:t>
                  </w:r>
                </w:p>
              </w:tc>
              <w:tc>
                <w:tcPr>
                  <w:tcW w:w="503" w:type="pct"/>
                  <w:vMerge w:val="restart"/>
                  <w:tcBorders>
                    <w:tl2br w:val="nil"/>
                    <w:tr2bl w:val="nil"/>
                  </w:tcBorders>
                  <w:noWrap w:val="0"/>
                  <w:vAlign w:val="center"/>
                </w:tcPr>
                <w:p w14:paraId="0DEFC03F">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cs="Times New Roman"/>
                      <w:b w:val="0"/>
                      <w:bCs w:val="0"/>
                      <w:color w:val="000000"/>
                      <w:szCs w:val="21"/>
                      <w:lang w:val="en-US" w:eastAsia="zh-CN"/>
                    </w:rPr>
                    <w:t>0.002584</w:t>
                  </w:r>
                </w:p>
              </w:tc>
              <w:tc>
                <w:tcPr>
                  <w:tcW w:w="402" w:type="pct"/>
                  <w:tcBorders>
                    <w:tl2br w:val="nil"/>
                    <w:tr2bl w:val="nil"/>
                  </w:tcBorders>
                  <w:noWrap w:val="0"/>
                  <w:vAlign w:val="center"/>
                </w:tcPr>
                <w:p w14:paraId="0DB59B0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Cs w:val="21"/>
                      <w:lang w:val="en-US" w:eastAsia="zh-CN"/>
                    </w:rPr>
                    <w:t>/</w:t>
                  </w:r>
                </w:p>
              </w:tc>
            </w:tr>
            <w:tr w14:paraId="5DB33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8" w:type="pct"/>
                  <w:tcBorders>
                    <w:tl2br w:val="nil"/>
                    <w:tr2bl w:val="nil"/>
                  </w:tcBorders>
                  <w:noWrap w:val="0"/>
                  <w:vAlign w:val="center"/>
                </w:tcPr>
                <w:p w14:paraId="1F52150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针柄制作</w:t>
                  </w:r>
                </w:p>
              </w:tc>
              <w:tc>
                <w:tcPr>
                  <w:tcW w:w="515" w:type="pct"/>
                  <w:tcBorders>
                    <w:tl2br w:val="nil"/>
                    <w:tr2bl w:val="nil"/>
                  </w:tcBorders>
                  <w:noWrap w:val="0"/>
                  <w:vAlign w:val="center"/>
                </w:tcPr>
                <w:p w14:paraId="0670E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非甲烷总烃</w:t>
                  </w:r>
                </w:p>
              </w:tc>
              <w:tc>
                <w:tcPr>
                  <w:tcW w:w="375" w:type="pct"/>
                  <w:tcBorders>
                    <w:tl2br w:val="nil"/>
                    <w:tr2bl w:val="nil"/>
                  </w:tcBorders>
                  <w:noWrap w:val="0"/>
                  <w:vAlign w:val="center"/>
                </w:tcPr>
                <w:p w14:paraId="0338FF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0.024</w:t>
                  </w:r>
                </w:p>
              </w:tc>
              <w:tc>
                <w:tcPr>
                  <w:tcW w:w="447" w:type="pct"/>
                  <w:tcBorders>
                    <w:tl2br w:val="nil"/>
                    <w:tr2bl w:val="nil"/>
                  </w:tcBorders>
                  <w:noWrap w:val="0"/>
                  <w:vAlign w:val="center"/>
                </w:tcPr>
                <w:p w14:paraId="5922D09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lang w:val="en-US" w:eastAsia="zh-CN"/>
                    </w:rPr>
                  </w:pPr>
                  <w:r>
                    <w:rPr>
                      <w:rFonts w:hint="eastAsia"/>
                      <w:b w:val="0"/>
                      <w:bCs w:val="0"/>
                      <w:color w:val="000000"/>
                      <w:szCs w:val="21"/>
                      <w:lang w:val="en-US" w:eastAsia="zh-CN"/>
                    </w:rPr>
                    <w:t>90</w:t>
                  </w:r>
                </w:p>
              </w:tc>
              <w:tc>
                <w:tcPr>
                  <w:tcW w:w="438" w:type="pct"/>
                  <w:tcBorders>
                    <w:tl2br w:val="nil"/>
                    <w:tr2bl w:val="nil"/>
                  </w:tcBorders>
                  <w:noWrap w:val="0"/>
                  <w:vAlign w:val="center"/>
                </w:tcPr>
                <w:p w14:paraId="4BB3B208">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cs="Times New Roman"/>
                      <w:b w:val="0"/>
                      <w:bCs w:val="0"/>
                      <w:color w:val="000000"/>
                      <w:szCs w:val="21"/>
                      <w:lang w:val="en-US" w:eastAsia="zh-CN"/>
                    </w:rPr>
                    <w:t>0.0216</w:t>
                  </w:r>
                </w:p>
              </w:tc>
              <w:tc>
                <w:tcPr>
                  <w:tcW w:w="631" w:type="pct"/>
                  <w:vMerge w:val="continue"/>
                  <w:tcBorders>
                    <w:tl2br w:val="nil"/>
                    <w:tr2bl w:val="nil"/>
                  </w:tcBorders>
                  <w:noWrap w:val="0"/>
                  <w:vAlign w:val="center"/>
                </w:tcPr>
                <w:p w14:paraId="75399FC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p>
              </w:tc>
              <w:tc>
                <w:tcPr>
                  <w:tcW w:w="467" w:type="pct"/>
                  <w:vMerge w:val="continue"/>
                  <w:tcBorders>
                    <w:tl2br w:val="nil"/>
                    <w:tr2bl w:val="nil"/>
                  </w:tcBorders>
                  <w:noWrap w:val="0"/>
                  <w:vAlign w:val="center"/>
                </w:tcPr>
                <w:p w14:paraId="5DE7F83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lang w:val="en-US" w:eastAsia="zh-CN"/>
                    </w:rPr>
                  </w:pPr>
                </w:p>
              </w:tc>
              <w:tc>
                <w:tcPr>
                  <w:tcW w:w="477" w:type="pct"/>
                  <w:vMerge w:val="continue"/>
                  <w:tcBorders>
                    <w:tl2br w:val="nil"/>
                    <w:tr2bl w:val="nil"/>
                  </w:tcBorders>
                  <w:noWrap w:val="0"/>
                  <w:vAlign w:val="center"/>
                </w:tcPr>
                <w:p w14:paraId="23A9F418">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p>
              </w:tc>
              <w:tc>
                <w:tcPr>
                  <w:tcW w:w="323" w:type="pct"/>
                  <w:vMerge w:val="continue"/>
                  <w:tcBorders>
                    <w:tl2br w:val="nil"/>
                    <w:tr2bl w:val="nil"/>
                  </w:tcBorders>
                  <w:noWrap w:val="0"/>
                  <w:vAlign w:val="center"/>
                </w:tcPr>
                <w:p w14:paraId="3B736E9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 w:val="0"/>
                      <w:bCs w:val="0"/>
                      <w:color w:val="000000"/>
                      <w:szCs w:val="21"/>
                      <w:lang w:val="en-US" w:eastAsia="zh-CN"/>
                    </w:rPr>
                  </w:pPr>
                </w:p>
              </w:tc>
              <w:tc>
                <w:tcPr>
                  <w:tcW w:w="503" w:type="pct"/>
                  <w:vMerge w:val="continue"/>
                  <w:tcBorders>
                    <w:tl2br w:val="nil"/>
                    <w:tr2bl w:val="nil"/>
                  </w:tcBorders>
                  <w:noWrap w:val="0"/>
                  <w:vAlign w:val="center"/>
                </w:tcPr>
                <w:p w14:paraId="4CE9286D">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p>
              </w:tc>
              <w:tc>
                <w:tcPr>
                  <w:tcW w:w="402" w:type="pct"/>
                  <w:tcBorders>
                    <w:tl2br w:val="nil"/>
                    <w:tr2bl w:val="nil"/>
                  </w:tcBorders>
                  <w:noWrap w:val="0"/>
                  <w:vAlign w:val="center"/>
                </w:tcPr>
                <w:p w14:paraId="646D100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b w:val="0"/>
                      <w:bCs w:val="0"/>
                      <w:color w:val="000000"/>
                      <w:szCs w:val="21"/>
                      <w:lang w:val="en-US" w:eastAsia="zh-CN"/>
                    </w:rPr>
                    <w:t>/</w:t>
                  </w:r>
                </w:p>
              </w:tc>
            </w:tr>
            <w:tr w14:paraId="2DFD73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418" w:type="pct"/>
                  <w:tcBorders>
                    <w:tl2br w:val="nil"/>
                    <w:tr2bl w:val="nil"/>
                  </w:tcBorders>
                  <w:noWrap w:val="0"/>
                  <w:vAlign w:val="center"/>
                </w:tcPr>
                <w:p w14:paraId="2C284C9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封装</w:t>
                  </w:r>
                </w:p>
              </w:tc>
              <w:tc>
                <w:tcPr>
                  <w:tcW w:w="515" w:type="pct"/>
                  <w:tcBorders>
                    <w:tl2br w:val="nil"/>
                    <w:tr2bl w:val="nil"/>
                  </w:tcBorders>
                  <w:noWrap w:val="0"/>
                  <w:vAlign w:val="center"/>
                </w:tcPr>
                <w:p w14:paraId="0755D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非甲烷总烃</w:t>
                  </w:r>
                </w:p>
              </w:tc>
              <w:tc>
                <w:tcPr>
                  <w:tcW w:w="375" w:type="pct"/>
                  <w:tcBorders>
                    <w:tl2br w:val="nil"/>
                    <w:tr2bl w:val="nil"/>
                  </w:tcBorders>
                  <w:noWrap w:val="0"/>
                  <w:vAlign w:val="center"/>
                </w:tcPr>
                <w:p w14:paraId="1719B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0.000038</w:t>
                  </w:r>
                </w:p>
              </w:tc>
              <w:tc>
                <w:tcPr>
                  <w:tcW w:w="447" w:type="pct"/>
                  <w:tcBorders>
                    <w:tl2br w:val="nil"/>
                    <w:tr2bl w:val="nil"/>
                  </w:tcBorders>
                  <w:noWrap w:val="0"/>
                  <w:vAlign w:val="center"/>
                </w:tcPr>
                <w:p w14:paraId="2616148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lang w:val="en-US" w:eastAsia="zh-CN"/>
                    </w:rPr>
                  </w:pPr>
                  <w:r>
                    <w:rPr>
                      <w:rFonts w:hint="eastAsia"/>
                      <w:b w:val="0"/>
                      <w:bCs w:val="0"/>
                      <w:color w:val="000000"/>
                      <w:szCs w:val="21"/>
                      <w:lang w:val="en-US" w:eastAsia="zh-CN"/>
                    </w:rPr>
                    <w:t>90</w:t>
                  </w:r>
                </w:p>
              </w:tc>
              <w:tc>
                <w:tcPr>
                  <w:tcW w:w="438" w:type="pct"/>
                  <w:tcBorders>
                    <w:tl2br w:val="nil"/>
                    <w:tr2bl w:val="nil"/>
                  </w:tcBorders>
                  <w:noWrap w:val="0"/>
                  <w:vAlign w:val="center"/>
                </w:tcPr>
                <w:p w14:paraId="145E3564">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r>
                    <w:rPr>
                      <w:rFonts w:hint="eastAsia" w:cs="Times New Roman"/>
                      <w:b w:val="0"/>
                      <w:bCs w:val="0"/>
                      <w:color w:val="000000"/>
                      <w:szCs w:val="21"/>
                      <w:lang w:val="en-US" w:eastAsia="zh-CN"/>
                    </w:rPr>
                    <w:t>0.0000342</w:t>
                  </w:r>
                </w:p>
              </w:tc>
              <w:tc>
                <w:tcPr>
                  <w:tcW w:w="631" w:type="pct"/>
                  <w:vMerge w:val="continue"/>
                  <w:tcBorders>
                    <w:tl2br w:val="nil"/>
                    <w:tr2bl w:val="nil"/>
                  </w:tcBorders>
                  <w:noWrap w:val="0"/>
                  <w:vAlign w:val="center"/>
                </w:tcPr>
                <w:p w14:paraId="078DC1E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p>
              </w:tc>
              <w:tc>
                <w:tcPr>
                  <w:tcW w:w="467" w:type="pct"/>
                  <w:vMerge w:val="continue"/>
                  <w:tcBorders>
                    <w:tl2br w:val="nil"/>
                    <w:tr2bl w:val="nil"/>
                  </w:tcBorders>
                  <w:noWrap w:val="0"/>
                  <w:vAlign w:val="center"/>
                </w:tcPr>
                <w:p w14:paraId="7FC8B8D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lang w:val="en-US" w:eastAsia="zh-CN"/>
                    </w:rPr>
                  </w:pPr>
                </w:p>
              </w:tc>
              <w:tc>
                <w:tcPr>
                  <w:tcW w:w="477" w:type="pct"/>
                  <w:vMerge w:val="continue"/>
                  <w:tcBorders>
                    <w:tl2br w:val="nil"/>
                    <w:tr2bl w:val="nil"/>
                  </w:tcBorders>
                  <w:noWrap w:val="0"/>
                  <w:vAlign w:val="center"/>
                </w:tcPr>
                <w:p w14:paraId="7BA1D570">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p>
              </w:tc>
              <w:tc>
                <w:tcPr>
                  <w:tcW w:w="323" w:type="pct"/>
                  <w:vMerge w:val="continue"/>
                  <w:tcBorders>
                    <w:tl2br w:val="nil"/>
                    <w:tr2bl w:val="nil"/>
                  </w:tcBorders>
                  <w:noWrap w:val="0"/>
                  <w:vAlign w:val="center"/>
                </w:tcPr>
                <w:p w14:paraId="669631A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 w:val="0"/>
                      <w:bCs w:val="0"/>
                      <w:color w:val="000000"/>
                      <w:szCs w:val="21"/>
                      <w:lang w:val="en-US" w:eastAsia="zh-CN"/>
                    </w:rPr>
                  </w:pPr>
                </w:p>
              </w:tc>
              <w:tc>
                <w:tcPr>
                  <w:tcW w:w="503" w:type="pct"/>
                  <w:vMerge w:val="continue"/>
                  <w:tcBorders>
                    <w:tl2br w:val="nil"/>
                    <w:tr2bl w:val="nil"/>
                  </w:tcBorders>
                  <w:noWrap w:val="0"/>
                  <w:vAlign w:val="center"/>
                </w:tcPr>
                <w:p w14:paraId="3E3A90E8">
                  <w:pPr>
                    <w:keepNext w:val="0"/>
                    <w:keepLines w:val="0"/>
                    <w:pageBreakBefore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b w:val="0"/>
                      <w:bCs w:val="0"/>
                      <w:color w:val="000000"/>
                      <w:szCs w:val="21"/>
                      <w:lang w:val="en-US" w:eastAsia="zh-CN"/>
                    </w:rPr>
                  </w:pPr>
                </w:p>
              </w:tc>
              <w:tc>
                <w:tcPr>
                  <w:tcW w:w="402" w:type="pct"/>
                  <w:tcBorders>
                    <w:tl2br w:val="nil"/>
                    <w:tr2bl w:val="nil"/>
                  </w:tcBorders>
                  <w:noWrap w:val="0"/>
                  <w:vAlign w:val="center"/>
                </w:tcPr>
                <w:p w14:paraId="2566954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 w:val="0"/>
                      <w:bCs w:val="0"/>
                      <w:color w:val="000000"/>
                      <w:szCs w:val="21"/>
                      <w:lang w:val="en-US" w:eastAsia="zh-CN"/>
                    </w:rPr>
                  </w:pPr>
                  <w:r>
                    <w:rPr>
                      <w:rFonts w:hint="eastAsia"/>
                      <w:b w:val="0"/>
                      <w:bCs w:val="0"/>
                      <w:color w:val="000000"/>
                      <w:szCs w:val="21"/>
                      <w:lang w:val="en-US" w:eastAsia="zh-CN"/>
                    </w:rPr>
                    <w:t>/</w:t>
                  </w:r>
                </w:p>
              </w:tc>
            </w:tr>
          </w:tbl>
          <w:p w14:paraId="6B52044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
                <w:bCs/>
                <w:color w:val="000000"/>
                <w:sz w:val="21"/>
                <w:szCs w:val="21"/>
                <w:highlight w:val="none"/>
              </w:rPr>
            </w:pPr>
          </w:p>
          <w:p w14:paraId="39A0878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
                <w:bCs/>
                <w:color w:val="000000"/>
                <w:sz w:val="21"/>
                <w:szCs w:val="21"/>
                <w:highlight w:val="none"/>
              </w:rPr>
            </w:pPr>
          </w:p>
          <w:p w14:paraId="03A8D57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highlight w:val="none"/>
              </w:rPr>
            </w:pPr>
            <w:r>
              <w:rPr>
                <w:rFonts w:hint="eastAsia"/>
                <w:b/>
                <w:bCs/>
                <w:color w:val="000000"/>
                <w:sz w:val="21"/>
                <w:szCs w:val="21"/>
                <w:highlight w:val="none"/>
              </w:rPr>
              <w:t>表</w:t>
            </w:r>
            <w:r>
              <w:rPr>
                <w:b/>
                <w:bCs/>
                <w:color w:val="000000"/>
                <w:sz w:val="21"/>
                <w:szCs w:val="21"/>
                <w:highlight w:val="none"/>
              </w:rPr>
              <w:t>4-</w:t>
            </w:r>
            <w:r>
              <w:rPr>
                <w:rFonts w:hint="eastAsia"/>
                <w:b/>
                <w:bCs/>
                <w:color w:val="000000"/>
                <w:sz w:val="21"/>
                <w:szCs w:val="21"/>
                <w:highlight w:val="none"/>
                <w:lang w:val="en-US" w:eastAsia="zh-CN"/>
              </w:rPr>
              <w:t>2</w:t>
            </w:r>
            <w:r>
              <w:rPr>
                <w:b/>
                <w:bCs/>
                <w:color w:val="000000"/>
                <w:sz w:val="21"/>
                <w:szCs w:val="21"/>
                <w:highlight w:val="none"/>
              </w:rPr>
              <w:t xml:space="preserve"> </w:t>
            </w:r>
            <w:r>
              <w:rPr>
                <w:rFonts w:hint="eastAsia"/>
                <w:b/>
                <w:bCs/>
                <w:color w:val="000000"/>
                <w:sz w:val="21"/>
                <w:szCs w:val="21"/>
                <w:highlight w:val="none"/>
              </w:rPr>
              <w:t>正常工况下本项目有组织废气产生及排放情况一览表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883"/>
              <w:gridCol w:w="850"/>
              <w:gridCol w:w="1018"/>
              <w:gridCol w:w="1020"/>
              <w:gridCol w:w="1000"/>
              <w:gridCol w:w="862"/>
              <w:gridCol w:w="500"/>
              <w:gridCol w:w="1125"/>
              <w:gridCol w:w="1350"/>
              <w:gridCol w:w="1225"/>
              <w:gridCol w:w="525"/>
              <w:gridCol w:w="513"/>
              <w:gridCol w:w="638"/>
            </w:tblGrid>
            <w:tr w14:paraId="39622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72" w:type="pct"/>
                  <w:vMerge w:val="restart"/>
                  <w:tcBorders>
                    <w:tl2br w:val="nil"/>
                    <w:tr2bl w:val="nil"/>
                  </w:tcBorders>
                  <w:noWrap w:val="0"/>
                  <w:vAlign w:val="center"/>
                </w:tcPr>
                <w:p w14:paraId="25B69B78">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排气筒编号</w:t>
                  </w:r>
                </w:p>
              </w:tc>
              <w:tc>
                <w:tcPr>
                  <w:tcW w:w="362" w:type="pct"/>
                  <w:vMerge w:val="restart"/>
                  <w:tcBorders>
                    <w:tl2br w:val="nil"/>
                    <w:tr2bl w:val="nil"/>
                  </w:tcBorders>
                  <w:noWrap w:val="0"/>
                  <w:vAlign w:val="center"/>
                </w:tcPr>
                <w:p w14:paraId="6054599D">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废气名称</w:t>
                  </w:r>
                </w:p>
              </w:tc>
              <w:tc>
                <w:tcPr>
                  <w:tcW w:w="349" w:type="pct"/>
                  <w:vMerge w:val="restart"/>
                  <w:tcBorders>
                    <w:tl2br w:val="nil"/>
                    <w:tr2bl w:val="nil"/>
                  </w:tcBorders>
                  <w:noWrap w:val="0"/>
                  <w:vAlign w:val="center"/>
                </w:tcPr>
                <w:p w14:paraId="6227187B">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排气量</w:t>
                  </w:r>
                  <w:r>
                    <w:rPr>
                      <w:b/>
                      <w:bCs/>
                      <w:color w:val="000000"/>
                      <w:szCs w:val="21"/>
                    </w:rPr>
                    <w:t>m</w:t>
                  </w:r>
                  <w:r>
                    <w:rPr>
                      <w:b/>
                      <w:bCs/>
                      <w:color w:val="000000"/>
                      <w:szCs w:val="21"/>
                      <w:vertAlign w:val="superscript"/>
                    </w:rPr>
                    <w:t>3</w:t>
                  </w:r>
                  <w:r>
                    <w:rPr>
                      <w:b/>
                      <w:bCs/>
                      <w:color w:val="000000"/>
                      <w:szCs w:val="21"/>
                    </w:rPr>
                    <w:t>/h</w:t>
                  </w:r>
                </w:p>
              </w:tc>
              <w:tc>
                <w:tcPr>
                  <w:tcW w:w="1247" w:type="pct"/>
                  <w:gridSpan w:val="3"/>
                  <w:tcBorders>
                    <w:tl2br w:val="nil"/>
                    <w:tr2bl w:val="nil"/>
                  </w:tcBorders>
                  <w:noWrap w:val="0"/>
                  <w:vAlign w:val="center"/>
                </w:tcPr>
                <w:p w14:paraId="0276448C">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产生情况</w:t>
                  </w:r>
                </w:p>
              </w:tc>
              <w:tc>
                <w:tcPr>
                  <w:tcW w:w="354" w:type="pct"/>
                  <w:vMerge w:val="restart"/>
                  <w:tcBorders>
                    <w:tl2br w:val="nil"/>
                    <w:tr2bl w:val="nil"/>
                  </w:tcBorders>
                  <w:noWrap w:val="0"/>
                  <w:vAlign w:val="center"/>
                </w:tcPr>
                <w:p w14:paraId="688B4095">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治理</w:t>
                  </w:r>
                </w:p>
                <w:p w14:paraId="68D36BDE">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措施</w:t>
                  </w:r>
                </w:p>
              </w:tc>
              <w:tc>
                <w:tcPr>
                  <w:tcW w:w="205" w:type="pct"/>
                  <w:vMerge w:val="restart"/>
                  <w:tcBorders>
                    <w:tl2br w:val="nil"/>
                    <w:tr2bl w:val="nil"/>
                  </w:tcBorders>
                  <w:noWrap w:val="0"/>
                  <w:vAlign w:val="center"/>
                </w:tcPr>
                <w:p w14:paraId="6BEC70B2">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bCs/>
                      <w:color w:val="000000"/>
                      <w:szCs w:val="21"/>
                      <w:lang w:val="en-US" w:eastAsia="zh-CN"/>
                    </w:rPr>
                  </w:pPr>
                  <w:r>
                    <w:rPr>
                      <w:rFonts w:hint="eastAsia"/>
                      <w:b/>
                      <w:bCs/>
                      <w:color w:val="000000"/>
                      <w:szCs w:val="21"/>
                    </w:rPr>
                    <w:t>处理效率</w:t>
                  </w:r>
                  <w:r>
                    <w:rPr>
                      <w:rFonts w:hint="eastAsia"/>
                      <w:b/>
                      <w:bCs/>
                      <w:color w:val="000000"/>
                      <w:szCs w:val="21"/>
                      <w:lang w:val="en-US" w:eastAsia="zh-CN"/>
                    </w:rPr>
                    <w:t>%</w:t>
                  </w:r>
                </w:p>
              </w:tc>
              <w:tc>
                <w:tcPr>
                  <w:tcW w:w="1519" w:type="pct"/>
                  <w:gridSpan w:val="3"/>
                  <w:tcBorders>
                    <w:tl2br w:val="nil"/>
                    <w:tr2bl w:val="nil"/>
                  </w:tcBorders>
                  <w:noWrap w:val="0"/>
                  <w:vAlign w:val="center"/>
                </w:tcPr>
                <w:p w14:paraId="3918DF68">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排放情况</w:t>
                  </w:r>
                </w:p>
              </w:tc>
              <w:tc>
                <w:tcPr>
                  <w:tcW w:w="426" w:type="pct"/>
                  <w:gridSpan w:val="2"/>
                  <w:tcBorders>
                    <w:tl2br w:val="nil"/>
                    <w:tr2bl w:val="nil"/>
                  </w:tcBorders>
                  <w:noWrap w:val="0"/>
                  <w:vAlign w:val="center"/>
                </w:tcPr>
                <w:p w14:paraId="74FF9B0F">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排放限值</w:t>
                  </w:r>
                </w:p>
              </w:tc>
              <w:tc>
                <w:tcPr>
                  <w:tcW w:w="262" w:type="pct"/>
                  <w:vMerge w:val="restart"/>
                  <w:tcBorders>
                    <w:tl2br w:val="nil"/>
                    <w:tr2bl w:val="nil"/>
                  </w:tcBorders>
                  <w:noWrap w:val="0"/>
                  <w:vAlign w:val="center"/>
                </w:tcPr>
                <w:p w14:paraId="0A71FD8F">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排放时间</w:t>
                  </w:r>
                  <w:r>
                    <w:rPr>
                      <w:b/>
                      <w:bCs/>
                      <w:color w:val="000000"/>
                      <w:szCs w:val="21"/>
                    </w:rPr>
                    <w:t>h</w:t>
                  </w:r>
                </w:p>
              </w:tc>
            </w:tr>
            <w:tr w14:paraId="127A9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2" w:type="pct"/>
                  <w:vMerge w:val="continue"/>
                  <w:tcBorders>
                    <w:tl2br w:val="nil"/>
                    <w:tr2bl w:val="nil"/>
                  </w:tcBorders>
                  <w:noWrap w:val="0"/>
                  <w:vAlign w:val="center"/>
                </w:tcPr>
                <w:p w14:paraId="3CB320B8">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p>
              </w:tc>
              <w:tc>
                <w:tcPr>
                  <w:tcW w:w="362" w:type="pct"/>
                  <w:vMerge w:val="continue"/>
                  <w:tcBorders>
                    <w:tl2br w:val="nil"/>
                    <w:tr2bl w:val="nil"/>
                  </w:tcBorders>
                  <w:noWrap w:val="0"/>
                  <w:vAlign w:val="center"/>
                </w:tcPr>
                <w:p w14:paraId="36B3CE3E">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p>
              </w:tc>
              <w:tc>
                <w:tcPr>
                  <w:tcW w:w="349" w:type="pct"/>
                  <w:vMerge w:val="continue"/>
                  <w:tcBorders>
                    <w:tl2br w:val="nil"/>
                    <w:tr2bl w:val="nil"/>
                  </w:tcBorders>
                  <w:noWrap w:val="0"/>
                  <w:vAlign w:val="center"/>
                </w:tcPr>
                <w:p w14:paraId="6F944FAE">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p>
              </w:tc>
              <w:tc>
                <w:tcPr>
                  <w:tcW w:w="418" w:type="pct"/>
                  <w:tcBorders>
                    <w:tl2br w:val="nil"/>
                    <w:tr2bl w:val="nil"/>
                  </w:tcBorders>
                  <w:noWrap w:val="0"/>
                  <w:vAlign w:val="center"/>
                </w:tcPr>
                <w:p w14:paraId="2700B134">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浓度</w:t>
                  </w:r>
                </w:p>
                <w:p w14:paraId="0A336571">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mg/m</w:t>
                  </w:r>
                  <w:r>
                    <w:rPr>
                      <w:b/>
                      <w:bCs/>
                      <w:color w:val="000000"/>
                      <w:szCs w:val="21"/>
                      <w:vertAlign w:val="superscript"/>
                    </w:rPr>
                    <w:t>3</w:t>
                  </w:r>
                </w:p>
              </w:tc>
              <w:tc>
                <w:tcPr>
                  <w:tcW w:w="418" w:type="pct"/>
                  <w:tcBorders>
                    <w:tl2br w:val="nil"/>
                    <w:tr2bl w:val="nil"/>
                  </w:tcBorders>
                  <w:noWrap w:val="0"/>
                  <w:vAlign w:val="center"/>
                </w:tcPr>
                <w:p w14:paraId="60B0D1A1">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速率</w:t>
                  </w:r>
                </w:p>
                <w:p w14:paraId="081184B9">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kg/h</w:t>
                  </w:r>
                </w:p>
              </w:tc>
              <w:tc>
                <w:tcPr>
                  <w:tcW w:w="410" w:type="pct"/>
                  <w:tcBorders>
                    <w:tl2br w:val="nil"/>
                    <w:tr2bl w:val="nil"/>
                  </w:tcBorders>
                  <w:noWrap w:val="0"/>
                  <w:vAlign w:val="center"/>
                </w:tcPr>
                <w:p w14:paraId="004FC0B6">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产生量</w:t>
                  </w:r>
                  <w:r>
                    <w:rPr>
                      <w:b/>
                      <w:bCs/>
                      <w:color w:val="000000"/>
                      <w:szCs w:val="21"/>
                    </w:rPr>
                    <w:t>t/a</w:t>
                  </w:r>
                </w:p>
              </w:tc>
              <w:tc>
                <w:tcPr>
                  <w:tcW w:w="354" w:type="pct"/>
                  <w:vMerge w:val="continue"/>
                  <w:tcBorders>
                    <w:tl2br w:val="nil"/>
                    <w:tr2bl w:val="nil"/>
                  </w:tcBorders>
                  <w:noWrap w:val="0"/>
                  <w:vAlign w:val="center"/>
                </w:tcPr>
                <w:p w14:paraId="45F1CAA4">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szCs w:val="21"/>
                    </w:rPr>
                  </w:pPr>
                </w:p>
              </w:tc>
              <w:tc>
                <w:tcPr>
                  <w:tcW w:w="205" w:type="pct"/>
                  <w:vMerge w:val="continue"/>
                  <w:tcBorders>
                    <w:tl2br w:val="nil"/>
                    <w:tr2bl w:val="nil"/>
                  </w:tcBorders>
                  <w:noWrap w:val="0"/>
                  <w:vAlign w:val="center"/>
                </w:tcPr>
                <w:p w14:paraId="111328CA">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kern w:val="0"/>
                      <w:szCs w:val="21"/>
                      <w:highlight w:val="yellow"/>
                    </w:rPr>
                  </w:pPr>
                </w:p>
              </w:tc>
              <w:tc>
                <w:tcPr>
                  <w:tcW w:w="462" w:type="pct"/>
                  <w:tcBorders>
                    <w:tl2br w:val="nil"/>
                    <w:tr2bl w:val="nil"/>
                  </w:tcBorders>
                  <w:noWrap w:val="0"/>
                  <w:vAlign w:val="center"/>
                </w:tcPr>
                <w:p w14:paraId="53EA5FF3">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浓度</w:t>
                  </w:r>
                </w:p>
                <w:p w14:paraId="3B45AC22">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mg/m</w:t>
                  </w:r>
                  <w:r>
                    <w:rPr>
                      <w:b/>
                      <w:bCs/>
                      <w:color w:val="000000"/>
                      <w:szCs w:val="21"/>
                      <w:vertAlign w:val="superscript"/>
                    </w:rPr>
                    <w:t>3</w:t>
                  </w:r>
                </w:p>
              </w:tc>
              <w:tc>
                <w:tcPr>
                  <w:tcW w:w="554" w:type="pct"/>
                  <w:tcBorders>
                    <w:tl2br w:val="nil"/>
                    <w:tr2bl w:val="nil"/>
                  </w:tcBorders>
                  <w:noWrap w:val="0"/>
                  <w:vAlign w:val="center"/>
                </w:tcPr>
                <w:p w14:paraId="01400731">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速率</w:t>
                  </w:r>
                </w:p>
                <w:p w14:paraId="73630A14">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kg/h</w:t>
                  </w:r>
                </w:p>
              </w:tc>
              <w:tc>
                <w:tcPr>
                  <w:tcW w:w="503" w:type="pct"/>
                  <w:tcBorders>
                    <w:tl2br w:val="nil"/>
                    <w:tr2bl w:val="nil"/>
                  </w:tcBorders>
                  <w:noWrap w:val="0"/>
                  <w:vAlign w:val="center"/>
                </w:tcPr>
                <w:p w14:paraId="752992D6">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排放量</w:t>
                  </w:r>
                  <w:r>
                    <w:rPr>
                      <w:b/>
                      <w:bCs/>
                      <w:color w:val="000000"/>
                      <w:szCs w:val="21"/>
                    </w:rPr>
                    <w:t>t/a</w:t>
                  </w:r>
                </w:p>
              </w:tc>
              <w:tc>
                <w:tcPr>
                  <w:tcW w:w="215" w:type="pct"/>
                  <w:tcBorders>
                    <w:tl2br w:val="nil"/>
                    <w:tr2bl w:val="nil"/>
                  </w:tcBorders>
                  <w:noWrap w:val="0"/>
                  <w:vAlign w:val="center"/>
                </w:tcPr>
                <w:p w14:paraId="71460256">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浓度</w:t>
                  </w:r>
                </w:p>
                <w:p w14:paraId="6B40263E">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mg/m</w:t>
                  </w:r>
                  <w:r>
                    <w:rPr>
                      <w:b/>
                      <w:bCs/>
                      <w:color w:val="000000"/>
                      <w:szCs w:val="21"/>
                      <w:vertAlign w:val="superscript"/>
                    </w:rPr>
                    <w:t>3</w:t>
                  </w:r>
                </w:p>
              </w:tc>
              <w:tc>
                <w:tcPr>
                  <w:tcW w:w="210" w:type="pct"/>
                  <w:tcBorders>
                    <w:tl2br w:val="nil"/>
                    <w:tr2bl w:val="nil"/>
                  </w:tcBorders>
                  <w:noWrap w:val="0"/>
                  <w:vAlign w:val="center"/>
                </w:tcPr>
                <w:p w14:paraId="61B87D5A">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速率</w:t>
                  </w:r>
                </w:p>
                <w:p w14:paraId="6B9DD0B8">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kg/h</w:t>
                  </w:r>
                </w:p>
              </w:tc>
              <w:tc>
                <w:tcPr>
                  <w:tcW w:w="262" w:type="pct"/>
                  <w:vMerge w:val="continue"/>
                  <w:tcBorders>
                    <w:tl2br w:val="nil"/>
                    <w:tr2bl w:val="nil"/>
                  </w:tcBorders>
                  <w:noWrap w:val="0"/>
                  <w:vAlign w:val="center"/>
                </w:tcPr>
                <w:p w14:paraId="377D632F">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szCs w:val="21"/>
                      <w:highlight w:val="yellow"/>
                    </w:rPr>
                  </w:pPr>
                </w:p>
              </w:tc>
            </w:tr>
            <w:tr w14:paraId="38502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272" w:type="pct"/>
                  <w:tcBorders>
                    <w:tl2br w:val="nil"/>
                    <w:tr2bl w:val="nil"/>
                  </w:tcBorders>
                  <w:noWrap w:val="0"/>
                  <w:vAlign w:val="center"/>
                </w:tcPr>
                <w:p w14:paraId="55005960">
                  <w:pPr>
                    <w:keepNext w:val="0"/>
                    <w:keepLines w:val="0"/>
                    <w:pageBreakBefore w:val="0"/>
                    <w:kinsoku/>
                    <w:wordWrap/>
                    <w:overflowPunct/>
                    <w:topLinePunct w:val="0"/>
                    <w:autoSpaceDE/>
                    <w:autoSpaceDN/>
                    <w:bidi w:val="0"/>
                    <w:adjustRightInd w:val="0"/>
                    <w:snapToGrid w:val="0"/>
                    <w:ind w:firstLine="0"/>
                    <w:jc w:val="center"/>
                    <w:textAlignment w:val="auto"/>
                    <w:rPr>
                      <w:color w:val="000000"/>
                      <w:spacing w:val="-14"/>
                      <w:szCs w:val="21"/>
                    </w:rPr>
                  </w:pPr>
                  <w:r>
                    <w:rPr>
                      <w:rFonts w:hint="eastAsia"/>
                      <w:color w:val="000000"/>
                      <w:szCs w:val="21"/>
                    </w:rPr>
                    <w:t>1#</w:t>
                  </w:r>
                </w:p>
              </w:tc>
              <w:tc>
                <w:tcPr>
                  <w:tcW w:w="362" w:type="pct"/>
                  <w:tcBorders>
                    <w:tl2br w:val="nil"/>
                    <w:tr2bl w:val="nil"/>
                  </w:tcBorders>
                  <w:noWrap w:val="0"/>
                  <w:vAlign w:val="center"/>
                </w:tcPr>
                <w:p w14:paraId="0320BAB7">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pacing w:val="-14"/>
                      <w:szCs w:val="21"/>
                      <w:lang w:val="en-US" w:eastAsia="zh-CN"/>
                    </w:rPr>
                  </w:pPr>
                  <w:r>
                    <w:rPr>
                      <w:rFonts w:hint="eastAsia" w:eastAsia="宋体"/>
                      <w:color w:val="000000"/>
                      <w:spacing w:val="-14"/>
                      <w:szCs w:val="21"/>
                      <w:lang w:val="en-US" w:eastAsia="zh-CN"/>
                    </w:rPr>
                    <w:t>颗粒物</w:t>
                  </w:r>
                </w:p>
              </w:tc>
              <w:tc>
                <w:tcPr>
                  <w:tcW w:w="349" w:type="pct"/>
                  <w:tcBorders>
                    <w:tl2br w:val="nil"/>
                    <w:tr2bl w:val="nil"/>
                  </w:tcBorders>
                  <w:noWrap w:val="0"/>
                  <w:vAlign w:val="center"/>
                </w:tcPr>
                <w:p w14:paraId="53F9ACE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000000"/>
                      <w:szCs w:val="21"/>
                      <w:lang w:val="en-US" w:eastAsia="zh-CN"/>
                    </w:rPr>
                  </w:pPr>
                  <w:r>
                    <w:rPr>
                      <w:rFonts w:hint="eastAsia"/>
                      <w:bCs/>
                      <w:color w:val="000000"/>
                      <w:szCs w:val="21"/>
                      <w:lang w:val="en-US" w:eastAsia="zh-CN"/>
                    </w:rPr>
                    <w:t>8000</w:t>
                  </w:r>
                </w:p>
              </w:tc>
              <w:tc>
                <w:tcPr>
                  <w:tcW w:w="418" w:type="pct"/>
                  <w:tcBorders>
                    <w:tl2br w:val="nil"/>
                    <w:tr2bl w:val="nil"/>
                  </w:tcBorders>
                  <w:noWrap w:val="0"/>
                  <w:vAlign w:val="center"/>
                </w:tcPr>
                <w:p w14:paraId="5D1B816B">
                  <w:pPr>
                    <w:keepNext w:val="0"/>
                    <w:keepLines w:val="0"/>
                    <w:widowControl/>
                    <w:suppressLineNumbers w:val="0"/>
                    <w:jc w:val="center"/>
                    <w:textAlignment w:val="center"/>
                    <w:rPr>
                      <w:rFonts w:hint="default" w:ascii="Times New Roman" w:hAnsi="Times New Roman" w:eastAsia="宋体" w:cs="Times New Roman"/>
                      <w:bCs/>
                      <w:color w:val="000000"/>
                      <w:szCs w:val="21"/>
                      <w:highlight w:val="none"/>
                      <w:lang w:val="en-US" w:eastAsia="zh-CN"/>
                    </w:rPr>
                  </w:pPr>
                  <w:r>
                    <w:rPr>
                      <w:rFonts w:hint="eastAsia" w:cs="Times New Roman"/>
                      <w:bCs/>
                      <w:color w:val="000000"/>
                      <w:szCs w:val="21"/>
                      <w:highlight w:val="none"/>
                      <w:lang w:val="en-US" w:eastAsia="zh-CN"/>
                    </w:rPr>
                    <w:t>5.05</w:t>
                  </w:r>
                </w:p>
              </w:tc>
              <w:tc>
                <w:tcPr>
                  <w:tcW w:w="418" w:type="pct"/>
                  <w:tcBorders>
                    <w:tl2br w:val="nil"/>
                    <w:tr2bl w:val="nil"/>
                  </w:tcBorders>
                  <w:noWrap w:val="0"/>
                  <w:vAlign w:val="center"/>
                </w:tcPr>
                <w:p w14:paraId="6F351132">
                  <w:pPr>
                    <w:keepNext w:val="0"/>
                    <w:keepLines w:val="0"/>
                    <w:widowControl/>
                    <w:suppressLineNumbers w:val="0"/>
                    <w:jc w:val="center"/>
                    <w:textAlignment w:val="center"/>
                    <w:rPr>
                      <w:rFonts w:hint="default" w:ascii="Times New Roman" w:hAnsi="Times New Roman" w:eastAsia="宋体" w:cs="Times New Roman"/>
                      <w:bCs/>
                      <w:color w:val="000000"/>
                      <w:szCs w:val="21"/>
                      <w:highlight w:val="none"/>
                      <w:lang w:val="en-US" w:eastAsia="zh-CN"/>
                    </w:rPr>
                  </w:pPr>
                  <w:r>
                    <w:rPr>
                      <w:rFonts w:hint="eastAsia" w:cs="Times New Roman"/>
                      <w:bCs/>
                      <w:color w:val="000000"/>
                      <w:szCs w:val="21"/>
                      <w:highlight w:val="none"/>
                      <w:lang w:val="en-US" w:eastAsia="zh-CN"/>
                    </w:rPr>
                    <w:t>0.0404</w:t>
                  </w:r>
                </w:p>
              </w:tc>
              <w:tc>
                <w:tcPr>
                  <w:tcW w:w="410" w:type="pct"/>
                  <w:tcBorders>
                    <w:tl2br w:val="nil"/>
                    <w:tr2bl w:val="nil"/>
                  </w:tcBorders>
                  <w:noWrap w:val="0"/>
                  <w:vAlign w:val="center"/>
                </w:tcPr>
                <w:p w14:paraId="71D6A63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szCs w:val="21"/>
                      <w:lang w:val="en-US" w:eastAsia="zh-CN"/>
                    </w:rPr>
                  </w:pPr>
                  <w:r>
                    <w:rPr>
                      <w:rFonts w:hint="eastAsia"/>
                      <w:b w:val="0"/>
                      <w:bCs w:val="0"/>
                      <w:color w:val="000000"/>
                      <w:szCs w:val="21"/>
                      <w:lang w:val="en-US" w:eastAsia="zh-CN"/>
                    </w:rPr>
                    <w:t>0.0841</w:t>
                  </w:r>
                </w:p>
              </w:tc>
              <w:tc>
                <w:tcPr>
                  <w:tcW w:w="354" w:type="pct"/>
                  <w:tcBorders>
                    <w:tl2br w:val="nil"/>
                    <w:tr2bl w:val="nil"/>
                  </w:tcBorders>
                  <w:noWrap w:val="0"/>
                  <w:vAlign w:val="center"/>
                </w:tcPr>
                <w:p w14:paraId="2949203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Cs/>
                      <w:color w:val="000000"/>
                      <w:szCs w:val="21"/>
                      <w:highlight w:val="none"/>
                      <w:lang w:val="en-US" w:eastAsia="zh-CN"/>
                    </w:rPr>
                  </w:pPr>
                  <w:r>
                    <w:rPr>
                      <w:rFonts w:hint="eastAsia"/>
                      <w:b w:val="0"/>
                      <w:bCs w:val="0"/>
                      <w:color w:val="000000"/>
                      <w:szCs w:val="21"/>
                      <w:highlight w:val="none"/>
                      <w:lang w:val="en-US" w:eastAsia="zh-CN"/>
                    </w:rPr>
                    <w:t>布袋除尘装置</w:t>
                  </w:r>
                </w:p>
              </w:tc>
              <w:tc>
                <w:tcPr>
                  <w:tcW w:w="205" w:type="pct"/>
                  <w:tcBorders>
                    <w:tl2br w:val="nil"/>
                    <w:tr2bl w:val="nil"/>
                  </w:tcBorders>
                  <w:noWrap w:val="0"/>
                  <w:vAlign w:val="center"/>
                </w:tcPr>
                <w:p w14:paraId="1BC3295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szCs w:val="21"/>
                      <w:highlight w:val="none"/>
                      <w:lang w:val="en-US" w:eastAsia="zh-CN"/>
                    </w:rPr>
                  </w:pPr>
                  <w:r>
                    <w:rPr>
                      <w:rFonts w:hint="eastAsia"/>
                      <w:bCs/>
                      <w:color w:val="000000"/>
                      <w:szCs w:val="21"/>
                      <w:highlight w:val="none"/>
                      <w:lang w:val="en-US" w:eastAsia="zh-CN"/>
                    </w:rPr>
                    <w:t>95</w:t>
                  </w:r>
                </w:p>
              </w:tc>
              <w:tc>
                <w:tcPr>
                  <w:tcW w:w="462" w:type="pct"/>
                  <w:tcBorders>
                    <w:tl2br w:val="nil"/>
                    <w:tr2bl w:val="nil"/>
                  </w:tcBorders>
                  <w:noWrap w:val="0"/>
                  <w:vAlign w:val="center"/>
                </w:tcPr>
                <w:p w14:paraId="2287A080">
                  <w:pPr>
                    <w:keepNext w:val="0"/>
                    <w:keepLines w:val="0"/>
                    <w:widowControl/>
                    <w:suppressLineNumbers w:val="0"/>
                    <w:jc w:val="center"/>
                    <w:textAlignment w:val="center"/>
                    <w:rPr>
                      <w:rFonts w:hint="default"/>
                      <w:bCs/>
                      <w:color w:val="000000"/>
                      <w:szCs w:val="21"/>
                      <w:highlight w:val="none"/>
                      <w:lang w:val="en-US" w:eastAsia="zh-CN"/>
                    </w:rPr>
                  </w:pPr>
                  <w:r>
                    <w:rPr>
                      <w:rFonts w:hint="eastAsia" w:cs="Times New Roman"/>
                      <w:bCs/>
                      <w:color w:val="000000"/>
                      <w:szCs w:val="21"/>
                      <w:highlight w:val="none"/>
                      <w:lang w:val="en-US" w:eastAsia="zh-CN"/>
                    </w:rPr>
                    <w:t>0.2275</w:t>
                  </w:r>
                </w:p>
              </w:tc>
              <w:tc>
                <w:tcPr>
                  <w:tcW w:w="554" w:type="pct"/>
                  <w:tcBorders>
                    <w:tl2br w:val="nil"/>
                    <w:tr2bl w:val="nil"/>
                  </w:tcBorders>
                  <w:noWrap w:val="0"/>
                  <w:vAlign w:val="center"/>
                </w:tcPr>
                <w:p w14:paraId="3E4EFA35">
                  <w:pPr>
                    <w:keepNext w:val="0"/>
                    <w:keepLines w:val="0"/>
                    <w:widowControl/>
                    <w:suppressLineNumbers w:val="0"/>
                    <w:jc w:val="center"/>
                    <w:textAlignment w:val="center"/>
                    <w:rPr>
                      <w:rFonts w:hint="default"/>
                      <w:bCs/>
                      <w:color w:val="000000"/>
                      <w:szCs w:val="21"/>
                      <w:highlight w:val="none"/>
                      <w:lang w:val="en-US" w:eastAsia="zh-CN"/>
                    </w:rPr>
                  </w:pPr>
                  <w:r>
                    <w:rPr>
                      <w:rFonts w:hint="eastAsia" w:cs="Times New Roman"/>
                      <w:bCs/>
                      <w:color w:val="000000"/>
                      <w:szCs w:val="21"/>
                      <w:highlight w:val="none"/>
                      <w:lang w:val="en-US" w:eastAsia="zh-CN"/>
                    </w:rPr>
                    <w:t>0.00182</w:t>
                  </w:r>
                </w:p>
              </w:tc>
              <w:tc>
                <w:tcPr>
                  <w:tcW w:w="503" w:type="pct"/>
                  <w:tcBorders>
                    <w:tl2br w:val="nil"/>
                    <w:tr2bl w:val="nil"/>
                  </w:tcBorders>
                  <w:noWrap w:val="0"/>
                  <w:vAlign w:val="center"/>
                </w:tcPr>
                <w:p w14:paraId="6CA83A9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szCs w:val="21"/>
                      <w:lang w:val="en-US" w:eastAsia="zh-CN"/>
                    </w:rPr>
                  </w:pPr>
                  <w:r>
                    <w:rPr>
                      <w:rFonts w:hint="eastAsia" w:ascii="Times New Roman" w:hAnsi="Times New Roman" w:eastAsia="宋体" w:cs="Times New Roman"/>
                      <w:b w:val="0"/>
                      <w:bCs w:val="0"/>
                      <w:color w:val="000000"/>
                      <w:szCs w:val="21"/>
                      <w:lang w:val="en-US" w:eastAsia="zh-CN"/>
                    </w:rPr>
                    <w:t>0.00378</w:t>
                  </w:r>
                </w:p>
              </w:tc>
              <w:tc>
                <w:tcPr>
                  <w:tcW w:w="215" w:type="pct"/>
                  <w:tcBorders>
                    <w:tl2br w:val="nil"/>
                    <w:tr2bl w:val="nil"/>
                  </w:tcBorders>
                  <w:noWrap w:val="0"/>
                  <w:vAlign w:val="center"/>
                </w:tcPr>
                <w:p w14:paraId="0080B68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szCs w:val="21"/>
                      <w:highlight w:val="none"/>
                      <w:lang w:val="en-US" w:eastAsia="zh-CN"/>
                    </w:rPr>
                  </w:pPr>
                  <w:r>
                    <w:rPr>
                      <w:rFonts w:hint="eastAsia"/>
                      <w:bCs/>
                      <w:color w:val="000000"/>
                      <w:szCs w:val="21"/>
                      <w:highlight w:val="none"/>
                      <w:lang w:val="en-US" w:eastAsia="zh-CN"/>
                    </w:rPr>
                    <w:t>20</w:t>
                  </w:r>
                </w:p>
              </w:tc>
              <w:tc>
                <w:tcPr>
                  <w:tcW w:w="210" w:type="pct"/>
                  <w:tcBorders>
                    <w:tl2br w:val="nil"/>
                    <w:tr2bl w:val="nil"/>
                  </w:tcBorders>
                  <w:noWrap w:val="0"/>
                  <w:vAlign w:val="center"/>
                </w:tcPr>
                <w:p w14:paraId="596B37A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bCs/>
                      <w:color w:val="000000"/>
                      <w:szCs w:val="21"/>
                      <w:highlight w:val="none"/>
                      <w:lang w:val="en-US" w:eastAsia="zh-CN"/>
                    </w:rPr>
                  </w:pPr>
                  <w:r>
                    <w:rPr>
                      <w:rFonts w:hint="eastAsia"/>
                      <w:bCs/>
                      <w:color w:val="000000"/>
                      <w:szCs w:val="21"/>
                      <w:highlight w:val="none"/>
                      <w:lang w:val="en-US" w:eastAsia="zh-CN"/>
                    </w:rPr>
                    <w:t>1</w:t>
                  </w:r>
                </w:p>
              </w:tc>
              <w:tc>
                <w:tcPr>
                  <w:tcW w:w="262" w:type="pct"/>
                  <w:vMerge w:val="restart"/>
                  <w:tcBorders>
                    <w:tl2br w:val="nil"/>
                    <w:tr2bl w:val="nil"/>
                  </w:tcBorders>
                  <w:noWrap w:val="0"/>
                  <w:vAlign w:val="center"/>
                </w:tcPr>
                <w:p w14:paraId="31AF28E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2080</w:t>
                  </w:r>
                </w:p>
              </w:tc>
            </w:tr>
            <w:tr w14:paraId="234DF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72" w:type="pct"/>
                  <w:tcBorders>
                    <w:tl2br w:val="nil"/>
                    <w:tr2bl w:val="nil"/>
                  </w:tcBorders>
                  <w:noWrap w:val="0"/>
                  <w:vAlign w:val="center"/>
                </w:tcPr>
                <w:p w14:paraId="030457C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pacing w:val="-14"/>
                      <w:szCs w:val="21"/>
                      <w:lang w:val="en-US" w:eastAsia="zh-CN"/>
                    </w:rPr>
                  </w:pPr>
                  <w:r>
                    <w:rPr>
                      <w:rFonts w:hint="eastAsia"/>
                      <w:color w:val="000000"/>
                      <w:spacing w:val="-14"/>
                      <w:szCs w:val="21"/>
                      <w:lang w:val="en-US" w:eastAsia="zh-CN"/>
                    </w:rPr>
                    <w:t>2#</w:t>
                  </w:r>
                </w:p>
              </w:tc>
              <w:tc>
                <w:tcPr>
                  <w:tcW w:w="362" w:type="pct"/>
                  <w:tcBorders>
                    <w:tl2br w:val="nil"/>
                    <w:tr2bl w:val="nil"/>
                  </w:tcBorders>
                  <w:noWrap w:val="0"/>
                  <w:vAlign w:val="center"/>
                </w:tcPr>
                <w:p w14:paraId="29EF4E50">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pacing w:val="-14"/>
                      <w:szCs w:val="21"/>
                      <w:lang w:val="en-US" w:eastAsia="zh-CN"/>
                    </w:rPr>
                  </w:pPr>
                  <w:r>
                    <w:rPr>
                      <w:rFonts w:hint="eastAsia"/>
                      <w:color w:val="000000"/>
                      <w:spacing w:val="-14"/>
                      <w:szCs w:val="21"/>
                      <w:lang w:val="en-US" w:eastAsia="zh-CN"/>
                    </w:rPr>
                    <w:t>非甲烷总烃</w:t>
                  </w:r>
                </w:p>
              </w:tc>
              <w:tc>
                <w:tcPr>
                  <w:tcW w:w="349" w:type="pct"/>
                  <w:tcBorders>
                    <w:tl2br w:val="nil"/>
                    <w:tr2bl w:val="nil"/>
                  </w:tcBorders>
                  <w:noWrap w:val="0"/>
                  <w:vAlign w:val="center"/>
                </w:tcPr>
                <w:p w14:paraId="546159C2">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Cs/>
                      <w:color w:val="000000"/>
                      <w:szCs w:val="21"/>
                      <w:lang w:val="en-US" w:eastAsia="zh-CN"/>
                    </w:rPr>
                  </w:pPr>
                  <w:r>
                    <w:rPr>
                      <w:rFonts w:hint="eastAsia"/>
                      <w:bCs/>
                      <w:color w:val="000000"/>
                      <w:szCs w:val="21"/>
                      <w:lang w:val="en-US" w:eastAsia="zh-CN"/>
                    </w:rPr>
                    <w:t>25000</w:t>
                  </w:r>
                </w:p>
              </w:tc>
              <w:tc>
                <w:tcPr>
                  <w:tcW w:w="418" w:type="pct"/>
                  <w:tcBorders>
                    <w:tl2br w:val="nil"/>
                    <w:tr2bl w:val="nil"/>
                  </w:tcBorders>
                  <w:noWrap w:val="0"/>
                  <w:vAlign w:val="center"/>
                </w:tcPr>
                <w:p w14:paraId="2E5EA14E">
                  <w:pPr>
                    <w:keepNext w:val="0"/>
                    <w:keepLines w:val="0"/>
                    <w:widowControl/>
                    <w:suppressLineNumbers w:val="0"/>
                    <w:jc w:val="center"/>
                    <w:textAlignment w:val="center"/>
                    <w:rPr>
                      <w:rFonts w:hint="default" w:ascii="Times New Roman" w:hAnsi="Times New Roman" w:eastAsia="宋体" w:cs="Times New Roman"/>
                      <w:bCs/>
                      <w:color w:val="000000"/>
                      <w:szCs w:val="21"/>
                      <w:highlight w:val="none"/>
                      <w:lang w:val="en-US" w:eastAsia="zh-CN"/>
                    </w:rPr>
                  </w:pPr>
                  <w:r>
                    <w:rPr>
                      <w:rFonts w:hint="eastAsia" w:cs="Times New Roman"/>
                      <w:bCs/>
                      <w:color w:val="000000"/>
                      <w:szCs w:val="21"/>
                      <w:highlight w:val="none"/>
                      <w:lang w:val="en-US" w:eastAsia="zh-CN"/>
                    </w:rPr>
                    <w:t>0.4969</w:t>
                  </w:r>
                </w:p>
              </w:tc>
              <w:tc>
                <w:tcPr>
                  <w:tcW w:w="418" w:type="pct"/>
                  <w:tcBorders>
                    <w:tl2br w:val="nil"/>
                    <w:tr2bl w:val="nil"/>
                  </w:tcBorders>
                  <w:noWrap w:val="0"/>
                  <w:vAlign w:val="center"/>
                </w:tcPr>
                <w:p w14:paraId="1DE813DE">
                  <w:pPr>
                    <w:keepNext w:val="0"/>
                    <w:keepLines w:val="0"/>
                    <w:widowControl/>
                    <w:suppressLineNumbers w:val="0"/>
                    <w:jc w:val="center"/>
                    <w:textAlignment w:val="center"/>
                    <w:rPr>
                      <w:rFonts w:hint="default" w:ascii="Times New Roman" w:hAnsi="Times New Roman" w:eastAsia="宋体" w:cs="Times New Roman"/>
                      <w:bCs/>
                      <w:color w:val="000000"/>
                      <w:szCs w:val="21"/>
                      <w:highlight w:val="none"/>
                      <w:lang w:val="en-US" w:eastAsia="zh-CN"/>
                    </w:rPr>
                  </w:pPr>
                  <w:r>
                    <w:rPr>
                      <w:rFonts w:hint="eastAsia" w:cs="Times New Roman"/>
                      <w:bCs/>
                      <w:color w:val="000000"/>
                      <w:szCs w:val="21"/>
                      <w:highlight w:val="none"/>
                      <w:lang w:val="en-US" w:eastAsia="zh-CN"/>
                    </w:rPr>
                    <w:t>0.01242</w:t>
                  </w:r>
                </w:p>
              </w:tc>
              <w:tc>
                <w:tcPr>
                  <w:tcW w:w="410" w:type="pct"/>
                  <w:tcBorders>
                    <w:tl2br w:val="nil"/>
                    <w:tr2bl w:val="nil"/>
                  </w:tcBorders>
                  <w:noWrap w:val="0"/>
                  <w:vAlign w:val="center"/>
                </w:tcPr>
                <w:p w14:paraId="2B30472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szCs w:val="21"/>
                      <w:lang w:val="en-US" w:eastAsia="zh-CN"/>
                    </w:rPr>
                  </w:pPr>
                  <w:r>
                    <w:rPr>
                      <w:rFonts w:hint="eastAsia" w:cs="Times New Roman"/>
                      <w:b w:val="0"/>
                      <w:bCs w:val="0"/>
                      <w:color w:val="000000"/>
                      <w:kern w:val="2"/>
                      <w:sz w:val="21"/>
                      <w:szCs w:val="21"/>
                      <w:lang w:val="en-US" w:eastAsia="zh-CN" w:bidi="ar-SA"/>
                    </w:rPr>
                    <w:t>0.02584</w:t>
                  </w:r>
                </w:p>
              </w:tc>
              <w:tc>
                <w:tcPr>
                  <w:tcW w:w="354" w:type="pct"/>
                  <w:tcBorders>
                    <w:tl2br w:val="nil"/>
                    <w:tr2bl w:val="nil"/>
                  </w:tcBorders>
                  <w:noWrap w:val="0"/>
                  <w:vAlign w:val="center"/>
                </w:tcPr>
                <w:p w14:paraId="19B6130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Cs/>
                      <w:color w:val="000000"/>
                      <w:szCs w:val="21"/>
                      <w:highlight w:val="none"/>
                      <w:lang w:val="en-US" w:eastAsia="zh-CN"/>
                    </w:rPr>
                  </w:pPr>
                  <w:r>
                    <w:rPr>
                      <w:rFonts w:hint="eastAsia" w:ascii="Times New Roman" w:hAnsi="Times New Roman" w:eastAsia="宋体" w:cs="Times New Roman"/>
                      <w:b w:val="0"/>
                      <w:bCs w:val="0"/>
                      <w:color w:val="000000"/>
                      <w:kern w:val="2"/>
                      <w:sz w:val="21"/>
                      <w:szCs w:val="21"/>
                      <w:lang w:val="en-US" w:eastAsia="zh-CN" w:bidi="ar-SA"/>
                    </w:rPr>
                    <w:t>二级活性炭吸附</w:t>
                  </w:r>
                </w:p>
              </w:tc>
              <w:tc>
                <w:tcPr>
                  <w:tcW w:w="205" w:type="pct"/>
                  <w:tcBorders>
                    <w:tl2br w:val="nil"/>
                    <w:tr2bl w:val="nil"/>
                  </w:tcBorders>
                  <w:noWrap w:val="0"/>
                  <w:vAlign w:val="center"/>
                </w:tcPr>
                <w:p w14:paraId="3FB9284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szCs w:val="21"/>
                      <w:highlight w:val="none"/>
                      <w:lang w:val="en-US" w:eastAsia="zh-CN"/>
                    </w:rPr>
                  </w:pPr>
                  <w:r>
                    <w:rPr>
                      <w:rFonts w:hint="eastAsia"/>
                      <w:bCs/>
                      <w:color w:val="000000"/>
                      <w:szCs w:val="21"/>
                      <w:highlight w:val="none"/>
                      <w:lang w:val="en-US" w:eastAsia="zh-CN"/>
                    </w:rPr>
                    <w:t>90</w:t>
                  </w:r>
                </w:p>
              </w:tc>
              <w:tc>
                <w:tcPr>
                  <w:tcW w:w="462" w:type="pct"/>
                  <w:tcBorders>
                    <w:tl2br w:val="nil"/>
                    <w:tr2bl w:val="nil"/>
                  </w:tcBorders>
                  <w:noWrap w:val="0"/>
                  <w:vAlign w:val="center"/>
                </w:tcPr>
                <w:p w14:paraId="437F3128">
                  <w:pPr>
                    <w:keepNext w:val="0"/>
                    <w:keepLines w:val="0"/>
                    <w:widowControl/>
                    <w:suppressLineNumbers w:val="0"/>
                    <w:jc w:val="center"/>
                    <w:textAlignment w:val="center"/>
                    <w:rPr>
                      <w:rFonts w:hint="default"/>
                      <w:bCs/>
                      <w:color w:val="000000"/>
                      <w:szCs w:val="21"/>
                      <w:highlight w:val="none"/>
                      <w:lang w:val="en-US" w:eastAsia="zh-CN"/>
                    </w:rPr>
                  </w:pPr>
                  <w:r>
                    <w:rPr>
                      <w:rFonts w:hint="eastAsia"/>
                      <w:bCs/>
                      <w:color w:val="000000"/>
                      <w:szCs w:val="21"/>
                      <w:highlight w:val="none"/>
                      <w:lang w:val="en-US" w:eastAsia="zh-CN"/>
                    </w:rPr>
                    <w:t>0.04471</w:t>
                  </w:r>
                </w:p>
              </w:tc>
              <w:tc>
                <w:tcPr>
                  <w:tcW w:w="554" w:type="pct"/>
                  <w:tcBorders>
                    <w:tl2br w:val="nil"/>
                    <w:tr2bl w:val="nil"/>
                  </w:tcBorders>
                  <w:noWrap w:val="0"/>
                  <w:vAlign w:val="center"/>
                </w:tcPr>
                <w:p w14:paraId="639A1E78">
                  <w:pPr>
                    <w:keepNext w:val="0"/>
                    <w:keepLines w:val="0"/>
                    <w:widowControl/>
                    <w:suppressLineNumbers w:val="0"/>
                    <w:jc w:val="center"/>
                    <w:textAlignment w:val="center"/>
                    <w:rPr>
                      <w:rFonts w:hint="default"/>
                      <w:bCs/>
                      <w:color w:val="000000"/>
                      <w:szCs w:val="21"/>
                      <w:highlight w:val="none"/>
                      <w:lang w:val="en-US" w:eastAsia="zh-CN"/>
                    </w:rPr>
                  </w:pPr>
                  <w:r>
                    <w:rPr>
                      <w:rFonts w:hint="eastAsia"/>
                      <w:bCs/>
                      <w:color w:val="000000"/>
                      <w:szCs w:val="21"/>
                      <w:highlight w:val="none"/>
                      <w:lang w:val="en-US" w:eastAsia="zh-CN"/>
                    </w:rPr>
                    <w:t>0.00112</w:t>
                  </w:r>
                </w:p>
              </w:tc>
              <w:tc>
                <w:tcPr>
                  <w:tcW w:w="503" w:type="pct"/>
                  <w:tcBorders>
                    <w:tl2br w:val="nil"/>
                    <w:tr2bl w:val="nil"/>
                  </w:tcBorders>
                  <w:noWrap w:val="0"/>
                  <w:vAlign w:val="center"/>
                </w:tcPr>
                <w:p w14:paraId="53DD3D6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szCs w:val="21"/>
                      <w:lang w:val="en-US" w:eastAsia="zh-CN"/>
                    </w:rPr>
                  </w:pPr>
                  <w:r>
                    <w:rPr>
                      <w:rFonts w:hint="eastAsia" w:cs="Times New Roman"/>
                      <w:bCs/>
                      <w:color w:val="000000"/>
                      <w:szCs w:val="21"/>
                      <w:lang w:val="en-US" w:eastAsia="zh-CN"/>
                    </w:rPr>
                    <w:t>0.002325</w:t>
                  </w:r>
                </w:p>
              </w:tc>
              <w:tc>
                <w:tcPr>
                  <w:tcW w:w="215" w:type="pct"/>
                  <w:tcBorders>
                    <w:tl2br w:val="nil"/>
                    <w:tr2bl w:val="nil"/>
                  </w:tcBorders>
                  <w:noWrap w:val="0"/>
                  <w:vAlign w:val="center"/>
                </w:tcPr>
                <w:p w14:paraId="16FEAED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szCs w:val="21"/>
                      <w:highlight w:val="none"/>
                      <w:lang w:val="en-US" w:eastAsia="zh-CN"/>
                    </w:rPr>
                  </w:pPr>
                  <w:r>
                    <w:rPr>
                      <w:rFonts w:hint="eastAsia"/>
                      <w:bCs/>
                      <w:color w:val="000000"/>
                      <w:szCs w:val="21"/>
                      <w:highlight w:val="none"/>
                      <w:lang w:val="en-US" w:eastAsia="zh-CN"/>
                    </w:rPr>
                    <w:t>50</w:t>
                  </w:r>
                </w:p>
              </w:tc>
              <w:tc>
                <w:tcPr>
                  <w:tcW w:w="210" w:type="pct"/>
                  <w:tcBorders>
                    <w:tl2br w:val="nil"/>
                    <w:tr2bl w:val="nil"/>
                  </w:tcBorders>
                  <w:noWrap w:val="0"/>
                  <w:vAlign w:val="center"/>
                </w:tcPr>
                <w:p w14:paraId="3857E20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kern w:val="2"/>
                      <w:sz w:val="21"/>
                      <w:szCs w:val="21"/>
                      <w:highlight w:val="none"/>
                      <w:lang w:val="en-US" w:eastAsia="zh-CN" w:bidi="ar-SA"/>
                    </w:rPr>
                    <w:t>2.0</w:t>
                  </w:r>
                </w:p>
              </w:tc>
              <w:tc>
                <w:tcPr>
                  <w:tcW w:w="262" w:type="pct"/>
                  <w:vMerge w:val="continue"/>
                  <w:tcBorders>
                    <w:tl2br w:val="nil"/>
                    <w:tr2bl w:val="nil"/>
                  </w:tcBorders>
                  <w:noWrap w:val="0"/>
                  <w:vAlign w:val="center"/>
                </w:tcPr>
                <w:p w14:paraId="0A1B68E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Cs/>
                      <w:color w:val="000000"/>
                      <w:kern w:val="2"/>
                      <w:sz w:val="21"/>
                      <w:szCs w:val="21"/>
                      <w:lang w:val="en-US" w:eastAsia="zh-CN" w:bidi="ar-SA"/>
                    </w:rPr>
                  </w:pPr>
                </w:p>
              </w:tc>
            </w:tr>
          </w:tbl>
          <w:p w14:paraId="470D6F6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
                <w:bCs/>
                <w:color w:val="000000"/>
                <w:sz w:val="21"/>
                <w:szCs w:val="21"/>
                <w:highlight w:val="none"/>
              </w:rPr>
            </w:pPr>
          </w:p>
          <w:p w14:paraId="6C9153ED">
            <w:pPr>
              <w:keepNext w:val="0"/>
              <w:keepLines w:val="0"/>
              <w:pageBreakBefore w:val="0"/>
              <w:widowControl w:val="0"/>
              <w:kinsoku/>
              <w:wordWrap/>
              <w:overflowPunct/>
              <w:topLinePunct w:val="0"/>
              <w:autoSpaceDE/>
              <w:autoSpaceDN/>
              <w:bidi w:val="0"/>
              <w:adjustRightInd w:val="0"/>
              <w:snapToGrid w:val="0"/>
              <w:ind w:firstLine="0"/>
              <w:jc w:val="both"/>
              <w:textAlignment w:val="auto"/>
              <w:rPr>
                <w:rFonts w:hint="eastAsia"/>
                <w:b/>
                <w:bCs/>
                <w:color w:val="000000"/>
                <w:sz w:val="21"/>
                <w:szCs w:val="21"/>
                <w:highlight w:val="none"/>
              </w:rPr>
            </w:pPr>
          </w:p>
          <w:p w14:paraId="51622BF9">
            <w:pPr>
              <w:keepNext w:val="0"/>
              <w:keepLines w:val="0"/>
              <w:pageBreakBefore w:val="0"/>
              <w:widowControl w:val="0"/>
              <w:kinsoku/>
              <w:wordWrap/>
              <w:overflowPunct/>
              <w:topLinePunct w:val="0"/>
              <w:autoSpaceDE/>
              <w:autoSpaceDN/>
              <w:bidi w:val="0"/>
              <w:adjustRightInd w:val="0"/>
              <w:snapToGrid w:val="0"/>
              <w:ind w:firstLine="0"/>
              <w:jc w:val="both"/>
              <w:textAlignment w:val="auto"/>
              <w:rPr>
                <w:rFonts w:hint="eastAsia"/>
                <w:b/>
                <w:bCs/>
                <w:color w:val="000000"/>
                <w:sz w:val="21"/>
                <w:szCs w:val="21"/>
                <w:highlight w:val="none"/>
              </w:rPr>
            </w:pPr>
          </w:p>
          <w:p w14:paraId="5A5D2F24">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
                <w:bCs/>
                <w:color w:val="000000"/>
                <w:sz w:val="21"/>
                <w:szCs w:val="21"/>
                <w:highlight w:val="none"/>
              </w:rPr>
            </w:pPr>
            <w:r>
              <w:rPr>
                <w:rFonts w:hint="eastAsia"/>
                <w:b/>
                <w:bCs/>
                <w:color w:val="000000"/>
                <w:sz w:val="21"/>
                <w:szCs w:val="21"/>
                <w:highlight w:val="none"/>
              </w:rPr>
              <w:t>表4-</w:t>
            </w:r>
            <w:r>
              <w:rPr>
                <w:rFonts w:hint="eastAsia"/>
                <w:b/>
                <w:bCs/>
                <w:color w:val="000000"/>
                <w:sz w:val="21"/>
                <w:szCs w:val="21"/>
                <w:highlight w:val="none"/>
                <w:lang w:val="en-US" w:eastAsia="zh-CN"/>
              </w:rPr>
              <w:t>3</w:t>
            </w:r>
            <w:r>
              <w:rPr>
                <w:rFonts w:hint="eastAsia"/>
                <w:b/>
                <w:bCs/>
                <w:color w:val="000000"/>
                <w:sz w:val="21"/>
                <w:szCs w:val="21"/>
                <w:highlight w:val="none"/>
              </w:rPr>
              <w:t xml:space="preserve"> 非正常工况下本项目有组织废气产生及排放情况一览表</w:t>
            </w:r>
          </w:p>
          <w:tbl>
            <w:tblPr>
              <w:tblStyle w:val="20"/>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919"/>
              <w:gridCol w:w="800"/>
              <w:gridCol w:w="1025"/>
              <w:gridCol w:w="1256"/>
              <w:gridCol w:w="1401"/>
              <w:gridCol w:w="682"/>
              <w:gridCol w:w="1061"/>
              <w:gridCol w:w="1288"/>
              <w:gridCol w:w="837"/>
              <w:gridCol w:w="688"/>
              <w:gridCol w:w="712"/>
              <w:gridCol w:w="826"/>
            </w:tblGrid>
            <w:tr w14:paraId="70BFB3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vMerge w:val="restart"/>
                  <w:tcBorders>
                    <w:tl2br w:val="nil"/>
                    <w:tr2bl w:val="nil"/>
                  </w:tcBorders>
                  <w:noWrap w:val="0"/>
                  <w:vAlign w:val="center"/>
                </w:tcPr>
                <w:p w14:paraId="0465651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b/>
                      <w:bCs/>
                      <w:color w:val="000000"/>
                      <w:szCs w:val="21"/>
                      <w:lang w:val="en-US" w:eastAsia="zh-CN"/>
                    </w:rPr>
                  </w:pPr>
                  <w:r>
                    <w:rPr>
                      <w:rFonts w:hint="eastAsia"/>
                      <w:b/>
                      <w:bCs/>
                      <w:color w:val="000000"/>
                      <w:szCs w:val="21"/>
                      <w:lang w:val="en-US" w:eastAsia="zh-CN"/>
                    </w:rPr>
                    <w:t>排气筒编号</w:t>
                  </w:r>
                </w:p>
              </w:tc>
              <w:tc>
                <w:tcPr>
                  <w:tcW w:w="377" w:type="pct"/>
                  <w:vMerge w:val="restart"/>
                  <w:tcBorders>
                    <w:tl2br w:val="nil"/>
                    <w:tr2bl w:val="nil"/>
                  </w:tcBorders>
                  <w:noWrap w:val="0"/>
                  <w:vAlign w:val="center"/>
                </w:tcPr>
                <w:p w14:paraId="4D7AAF4C">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污染物</w:t>
                  </w:r>
                </w:p>
                <w:p w14:paraId="5690D2A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
                      <w:bCs/>
                      <w:color w:val="000000"/>
                      <w:kern w:val="2"/>
                      <w:sz w:val="21"/>
                      <w:szCs w:val="21"/>
                      <w:lang w:val="en-US" w:eastAsia="zh-CN" w:bidi="ar-SA"/>
                    </w:rPr>
                  </w:pPr>
                  <w:r>
                    <w:rPr>
                      <w:rFonts w:hint="eastAsia"/>
                      <w:b/>
                      <w:bCs/>
                      <w:color w:val="000000"/>
                      <w:szCs w:val="21"/>
                    </w:rPr>
                    <w:t>名称</w:t>
                  </w:r>
                </w:p>
              </w:tc>
              <w:tc>
                <w:tcPr>
                  <w:tcW w:w="328" w:type="pct"/>
                  <w:vMerge w:val="restart"/>
                  <w:tcBorders>
                    <w:tl2br w:val="nil"/>
                    <w:tr2bl w:val="nil"/>
                  </w:tcBorders>
                  <w:noWrap w:val="0"/>
                  <w:vAlign w:val="center"/>
                </w:tcPr>
                <w:p w14:paraId="75BA601F">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排气量</w:t>
                  </w:r>
                </w:p>
                <w:p w14:paraId="41F1274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
                      <w:bCs/>
                      <w:color w:val="000000"/>
                      <w:kern w:val="2"/>
                      <w:sz w:val="21"/>
                      <w:szCs w:val="21"/>
                      <w:lang w:val="en-US" w:eastAsia="zh-CN" w:bidi="ar-SA"/>
                    </w:rPr>
                  </w:pPr>
                  <w:r>
                    <w:rPr>
                      <w:b/>
                      <w:bCs/>
                      <w:color w:val="000000"/>
                      <w:szCs w:val="21"/>
                    </w:rPr>
                    <w:t>m</w:t>
                  </w:r>
                  <w:r>
                    <w:rPr>
                      <w:b/>
                      <w:bCs/>
                      <w:color w:val="000000"/>
                      <w:szCs w:val="21"/>
                      <w:vertAlign w:val="superscript"/>
                    </w:rPr>
                    <w:t>3</w:t>
                  </w:r>
                  <w:r>
                    <w:rPr>
                      <w:b/>
                      <w:bCs/>
                      <w:color w:val="000000"/>
                      <w:szCs w:val="21"/>
                    </w:rPr>
                    <w:t>/h</w:t>
                  </w:r>
                </w:p>
              </w:tc>
              <w:tc>
                <w:tcPr>
                  <w:tcW w:w="936" w:type="pct"/>
                  <w:gridSpan w:val="2"/>
                  <w:tcBorders>
                    <w:tl2br w:val="nil"/>
                    <w:tr2bl w:val="nil"/>
                  </w:tcBorders>
                  <w:noWrap w:val="0"/>
                  <w:vAlign w:val="center"/>
                </w:tcPr>
                <w:p w14:paraId="263D6E15">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产生情况</w:t>
                  </w:r>
                </w:p>
              </w:tc>
              <w:tc>
                <w:tcPr>
                  <w:tcW w:w="575" w:type="pct"/>
                  <w:vMerge w:val="restart"/>
                  <w:tcBorders>
                    <w:tl2br w:val="nil"/>
                    <w:tr2bl w:val="nil"/>
                  </w:tcBorders>
                  <w:noWrap w:val="0"/>
                  <w:vAlign w:val="center"/>
                </w:tcPr>
                <w:p w14:paraId="3DC3BC8D">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治理</w:t>
                  </w:r>
                </w:p>
                <w:p w14:paraId="51BB6767">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措施</w:t>
                  </w:r>
                </w:p>
              </w:tc>
              <w:tc>
                <w:tcPr>
                  <w:tcW w:w="280" w:type="pct"/>
                  <w:vMerge w:val="restart"/>
                  <w:tcBorders>
                    <w:tl2br w:val="nil"/>
                    <w:tr2bl w:val="nil"/>
                  </w:tcBorders>
                  <w:noWrap w:val="0"/>
                  <w:vAlign w:val="center"/>
                </w:tcPr>
                <w:p w14:paraId="652B4AFF">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处理效率%</w:t>
                  </w:r>
                </w:p>
              </w:tc>
              <w:tc>
                <w:tcPr>
                  <w:tcW w:w="964" w:type="pct"/>
                  <w:gridSpan w:val="2"/>
                  <w:tcBorders>
                    <w:tl2br w:val="nil"/>
                    <w:tr2bl w:val="nil"/>
                  </w:tcBorders>
                  <w:noWrap w:val="0"/>
                  <w:vAlign w:val="center"/>
                </w:tcPr>
                <w:p w14:paraId="58E1B97C">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排放情况</w:t>
                  </w:r>
                </w:p>
              </w:tc>
              <w:tc>
                <w:tcPr>
                  <w:tcW w:w="626" w:type="pct"/>
                  <w:gridSpan w:val="2"/>
                  <w:tcBorders>
                    <w:tl2br w:val="nil"/>
                    <w:tr2bl w:val="nil"/>
                  </w:tcBorders>
                  <w:noWrap w:val="0"/>
                  <w:vAlign w:val="center"/>
                </w:tcPr>
                <w:p w14:paraId="5D76CD86">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排放标准</w:t>
                  </w:r>
                </w:p>
              </w:tc>
              <w:tc>
                <w:tcPr>
                  <w:tcW w:w="292" w:type="pct"/>
                  <w:vMerge w:val="restart"/>
                  <w:tcBorders>
                    <w:tl2br w:val="nil"/>
                    <w:tr2bl w:val="nil"/>
                  </w:tcBorders>
                  <w:noWrap w:val="0"/>
                  <w:vAlign w:val="center"/>
                </w:tcPr>
                <w:p w14:paraId="6B54647E">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单次持续时间（</w:t>
                  </w:r>
                  <w:r>
                    <w:rPr>
                      <w:b/>
                      <w:bCs/>
                      <w:color w:val="000000"/>
                      <w:szCs w:val="21"/>
                    </w:rPr>
                    <w:t>h</w:t>
                  </w:r>
                  <w:r>
                    <w:rPr>
                      <w:rFonts w:hint="eastAsia"/>
                      <w:b/>
                      <w:bCs/>
                      <w:color w:val="000000"/>
                      <w:szCs w:val="21"/>
                    </w:rPr>
                    <w:t>）</w:t>
                  </w:r>
                </w:p>
              </w:tc>
              <w:tc>
                <w:tcPr>
                  <w:tcW w:w="339" w:type="pct"/>
                  <w:vMerge w:val="restart"/>
                  <w:tcBorders>
                    <w:tl2br w:val="nil"/>
                    <w:tr2bl w:val="nil"/>
                  </w:tcBorders>
                  <w:noWrap w:val="0"/>
                  <w:vAlign w:val="center"/>
                </w:tcPr>
                <w:p w14:paraId="24739C70">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年发生频次（次）</w:t>
                  </w:r>
                </w:p>
              </w:tc>
            </w:tr>
            <w:tr w14:paraId="2E203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8" w:type="pct"/>
                  <w:vMerge w:val="continue"/>
                  <w:tcBorders>
                    <w:tl2br w:val="nil"/>
                    <w:tr2bl w:val="nil"/>
                  </w:tcBorders>
                  <w:noWrap w:val="0"/>
                  <w:vAlign w:val="center"/>
                </w:tcPr>
                <w:p w14:paraId="3F6A6BD3">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p>
              </w:tc>
              <w:tc>
                <w:tcPr>
                  <w:tcW w:w="377" w:type="pct"/>
                  <w:vMerge w:val="continue"/>
                  <w:tcBorders>
                    <w:tl2br w:val="nil"/>
                    <w:tr2bl w:val="nil"/>
                  </w:tcBorders>
                  <w:noWrap w:val="0"/>
                  <w:vAlign w:val="center"/>
                </w:tcPr>
                <w:p w14:paraId="6589C16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
                      <w:bCs/>
                      <w:color w:val="000000"/>
                      <w:kern w:val="2"/>
                      <w:sz w:val="21"/>
                      <w:szCs w:val="21"/>
                      <w:lang w:val="en-US" w:eastAsia="zh-CN" w:bidi="ar-SA"/>
                    </w:rPr>
                  </w:pPr>
                </w:p>
              </w:tc>
              <w:tc>
                <w:tcPr>
                  <w:tcW w:w="328" w:type="pct"/>
                  <w:vMerge w:val="continue"/>
                  <w:tcBorders>
                    <w:tl2br w:val="nil"/>
                    <w:tr2bl w:val="nil"/>
                  </w:tcBorders>
                  <w:noWrap w:val="0"/>
                  <w:vAlign w:val="center"/>
                </w:tcPr>
                <w:p w14:paraId="655DAF7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b/>
                      <w:bCs/>
                      <w:color w:val="000000"/>
                      <w:kern w:val="2"/>
                      <w:sz w:val="21"/>
                      <w:szCs w:val="21"/>
                      <w:lang w:val="en-US" w:eastAsia="zh-CN" w:bidi="ar-SA"/>
                    </w:rPr>
                  </w:pPr>
                </w:p>
              </w:tc>
              <w:tc>
                <w:tcPr>
                  <w:tcW w:w="421" w:type="pct"/>
                  <w:tcBorders>
                    <w:tl2br w:val="nil"/>
                    <w:tr2bl w:val="nil"/>
                  </w:tcBorders>
                  <w:noWrap w:val="0"/>
                  <w:vAlign w:val="center"/>
                </w:tcPr>
                <w:p w14:paraId="41CF40DF">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浓度</w:t>
                  </w:r>
                </w:p>
                <w:p w14:paraId="46562014">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mg/m</w:t>
                  </w:r>
                  <w:r>
                    <w:rPr>
                      <w:b/>
                      <w:bCs/>
                      <w:color w:val="000000"/>
                      <w:szCs w:val="21"/>
                      <w:vertAlign w:val="superscript"/>
                    </w:rPr>
                    <w:t>3</w:t>
                  </w:r>
                </w:p>
              </w:tc>
              <w:tc>
                <w:tcPr>
                  <w:tcW w:w="515" w:type="pct"/>
                  <w:tcBorders>
                    <w:tl2br w:val="nil"/>
                    <w:tr2bl w:val="nil"/>
                  </w:tcBorders>
                  <w:noWrap w:val="0"/>
                  <w:vAlign w:val="center"/>
                </w:tcPr>
                <w:p w14:paraId="621443EF">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速率</w:t>
                  </w:r>
                </w:p>
                <w:p w14:paraId="77F000D1">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kg/h</w:t>
                  </w:r>
                </w:p>
              </w:tc>
              <w:tc>
                <w:tcPr>
                  <w:tcW w:w="575" w:type="pct"/>
                  <w:vMerge w:val="continue"/>
                  <w:tcBorders>
                    <w:tl2br w:val="nil"/>
                    <w:tr2bl w:val="nil"/>
                  </w:tcBorders>
                  <w:noWrap w:val="0"/>
                  <w:vAlign w:val="center"/>
                </w:tcPr>
                <w:p w14:paraId="2038B3E5">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szCs w:val="21"/>
                      <w:highlight w:val="yellow"/>
                    </w:rPr>
                  </w:pPr>
                </w:p>
              </w:tc>
              <w:tc>
                <w:tcPr>
                  <w:tcW w:w="280" w:type="pct"/>
                  <w:vMerge w:val="continue"/>
                  <w:tcBorders>
                    <w:tl2br w:val="nil"/>
                    <w:tr2bl w:val="nil"/>
                  </w:tcBorders>
                  <w:noWrap w:val="0"/>
                  <w:vAlign w:val="center"/>
                </w:tcPr>
                <w:p w14:paraId="09FFEF1C">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kern w:val="0"/>
                      <w:szCs w:val="21"/>
                    </w:rPr>
                  </w:pPr>
                </w:p>
              </w:tc>
              <w:tc>
                <w:tcPr>
                  <w:tcW w:w="435" w:type="pct"/>
                  <w:tcBorders>
                    <w:tl2br w:val="nil"/>
                    <w:tr2bl w:val="nil"/>
                  </w:tcBorders>
                  <w:noWrap w:val="0"/>
                  <w:vAlign w:val="center"/>
                </w:tcPr>
                <w:p w14:paraId="396D8812">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浓度</w:t>
                  </w:r>
                </w:p>
                <w:p w14:paraId="1527FCE6">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mg/m</w:t>
                  </w:r>
                  <w:r>
                    <w:rPr>
                      <w:b/>
                      <w:bCs/>
                      <w:color w:val="000000"/>
                      <w:szCs w:val="21"/>
                      <w:vertAlign w:val="superscript"/>
                    </w:rPr>
                    <w:t>3</w:t>
                  </w:r>
                </w:p>
              </w:tc>
              <w:tc>
                <w:tcPr>
                  <w:tcW w:w="529" w:type="pct"/>
                  <w:tcBorders>
                    <w:tl2br w:val="nil"/>
                    <w:tr2bl w:val="nil"/>
                  </w:tcBorders>
                  <w:noWrap w:val="0"/>
                  <w:vAlign w:val="center"/>
                </w:tcPr>
                <w:p w14:paraId="69A693D5">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速率</w:t>
                  </w:r>
                </w:p>
                <w:p w14:paraId="6EEB9EF2">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kg/h</w:t>
                  </w:r>
                </w:p>
              </w:tc>
              <w:tc>
                <w:tcPr>
                  <w:tcW w:w="343" w:type="pct"/>
                  <w:tcBorders>
                    <w:tl2br w:val="nil"/>
                    <w:tr2bl w:val="nil"/>
                  </w:tcBorders>
                  <w:noWrap w:val="0"/>
                  <w:vAlign w:val="center"/>
                </w:tcPr>
                <w:p w14:paraId="54C75036">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浓度</w:t>
                  </w:r>
                </w:p>
                <w:p w14:paraId="0BAA3D67">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mg/m</w:t>
                  </w:r>
                  <w:r>
                    <w:rPr>
                      <w:b/>
                      <w:bCs/>
                      <w:color w:val="000000"/>
                      <w:szCs w:val="21"/>
                      <w:vertAlign w:val="superscript"/>
                    </w:rPr>
                    <w:t>3</w:t>
                  </w:r>
                </w:p>
              </w:tc>
              <w:tc>
                <w:tcPr>
                  <w:tcW w:w="282" w:type="pct"/>
                  <w:tcBorders>
                    <w:tl2br w:val="nil"/>
                    <w:tr2bl w:val="nil"/>
                  </w:tcBorders>
                  <w:noWrap w:val="0"/>
                  <w:vAlign w:val="center"/>
                </w:tcPr>
                <w:p w14:paraId="225881A1">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rFonts w:hint="eastAsia"/>
                      <w:b/>
                      <w:bCs/>
                      <w:color w:val="000000"/>
                      <w:szCs w:val="21"/>
                    </w:rPr>
                    <w:t>速率</w:t>
                  </w:r>
                </w:p>
                <w:p w14:paraId="7F968E65">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zCs w:val="21"/>
                    </w:rPr>
                  </w:pPr>
                  <w:r>
                    <w:rPr>
                      <w:b/>
                      <w:bCs/>
                      <w:color w:val="000000"/>
                      <w:szCs w:val="21"/>
                    </w:rPr>
                    <w:t>kg/h</w:t>
                  </w:r>
                </w:p>
              </w:tc>
              <w:tc>
                <w:tcPr>
                  <w:tcW w:w="292" w:type="pct"/>
                  <w:vMerge w:val="continue"/>
                  <w:tcBorders>
                    <w:tl2br w:val="nil"/>
                    <w:tr2bl w:val="nil"/>
                  </w:tcBorders>
                  <w:noWrap w:val="0"/>
                  <w:vAlign w:val="center"/>
                </w:tcPr>
                <w:p w14:paraId="6E3EC5BF">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szCs w:val="21"/>
                      <w:highlight w:val="yellow"/>
                    </w:rPr>
                  </w:pPr>
                </w:p>
              </w:tc>
              <w:tc>
                <w:tcPr>
                  <w:tcW w:w="339" w:type="pct"/>
                  <w:vMerge w:val="continue"/>
                  <w:tcBorders>
                    <w:tl2br w:val="nil"/>
                    <w:tr2bl w:val="nil"/>
                  </w:tcBorders>
                  <w:noWrap w:val="0"/>
                  <w:vAlign w:val="center"/>
                </w:tcPr>
                <w:p w14:paraId="07C751B5">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szCs w:val="21"/>
                      <w:highlight w:val="yellow"/>
                    </w:rPr>
                  </w:pPr>
                </w:p>
              </w:tc>
            </w:tr>
            <w:tr w14:paraId="41C0C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278" w:type="pct"/>
                  <w:tcBorders>
                    <w:tl2br w:val="nil"/>
                    <w:tr2bl w:val="nil"/>
                  </w:tcBorders>
                  <w:noWrap w:val="0"/>
                  <w:vAlign w:val="center"/>
                </w:tcPr>
                <w:p w14:paraId="11CDB32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pacing w:val="-14"/>
                      <w:szCs w:val="21"/>
                      <w:lang w:val="en-US" w:eastAsia="zh-CN"/>
                    </w:rPr>
                  </w:pPr>
                  <w:r>
                    <w:rPr>
                      <w:rFonts w:hint="eastAsia" w:eastAsia="宋体"/>
                      <w:color w:val="000000"/>
                      <w:spacing w:val="-14"/>
                      <w:szCs w:val="21"/>
                      <w:lang w:val="en-US" w:eastAsia="zh-CN"/>
                    </w:rPr>
                    <w:t>1#</w:t>
                  </w:r>
                </w:p>
              </w:tc>
              <w:tc>
                <w:tcPr>
                  <w:tcW w:w="377" w:type="pct"/>
                  <w:tcBorders>
                    <w:tl2br w:val="nil"/>
                    <w:tr2bl w:val="nil"/>
                  </w:tcBorders>
                  <w:noWrap w:val="0"/>
                  <w:vAlign w:val="center"/>
                </w:tcPr>
                <w:p w14:paraId="062665F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spacing w:val="-14"/>
                      <w:kern w:val="2"/>
                      <w:sz w:val="21"/>
                      <w:szCs w:val="21"/>
                      <w:lang w:val="en-US" w:eastAsia="zh-CN" w:bidi="ar-SA"/>
                    </w:rPr>
                  </w:pPr>
                  <w:r>
                    <w:rPr>
                      <w:rFonts w:hint="eastAsia" w:eastAsia="宋体"/>
                      <w:color w:val="000000"/>
                      <w:spacing w:val="-14"/>
                      <w:szCs w:val="21"/>
                      <w:lang w:val="en-US" w:eastAsia="zh-CN"/>
                    </w:rPr>
                    <w:t>颗粒物</w:t>
                  </w:r>
                </w:p>
              </w:tc>
              <w:tc>
                <w:tcPr>
                  <w:tcW w:w="328" w:type="pct"/>
                  <w:tcBorders>
                    <w:tl2br w:val="nil"/>
                    <w:tr2bl w:val="nil"/>
                  </w:tcBorders>
                  <w:noWrap w:val="0"/>
                  <w:vAlign w:val="center"/>
                </w:tcPr>
                <w:p w14:paraId="451E0DF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000000"/>
                      <w:kern w:val="2"/>
                      <w:sz w:val="21"/>
                      <w:szCs w:val="21"/>
                      <w:lang w:val="en-US" w:eastAsia="zh-CN" w:bidi="ar-SA"/>
                    </w:rPr>
                  </w:pPr>
                  <w:r>
                    <w:rPr>
                      <w:rFonts w:hint="eastAsia" w:cs="Times New Roman"/>
                      <w:bCs/>
                      <w:color w:val="000000"/>
                      <w:kern w:val="2"/>
                      <w:sz w:val="21"/>
                      <w:szCs w:val="21"/>
                      <w:lang w:val="en-US" w:eastAsia="zh-CN" w:bidi="ar-SA"/>
                    </w:rPr>
                    <w:t>8000</w:t>
                  </w:r>
                </w:p>
              </w:tc>
              <w:tc>
                <w:tcPr>
                  <w:tcW w:w="421" w:type="pct"/>
                  <w:tcBorders>
                    <w:tl2br w:val="nil"/>
                    <w:tr2bl w:val="nil"/>
                  </w:tcBorders>
                  <w:noWrap w:val="0"/>
                  <w:vAlign w:val="center"/>
                </w:tcPr>
                <w:p w14:paraId="0E531321">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Cs w:val="21"/>
                      <w:highlight w:val="none"/>
                      <w:lang w:val="en-US" w:eastAsia="zh-CN"/>
                    </w:rPr>
                    <w:t>5.05</w:t>
                  </w:r>
                </w:p>
              </w:tc>
              <w:tc>
                <w:tcPr>
                  <w:tcW w:w="515" w:type="pct"/>
                  <w:tcBorders>
                    <w:tl2br w:val="nil"/>
                    <w:tr2bl w:val="nil"/>
                  </w:tcBorders>
                  <w:noWrap w:val="0"/>
                  <w:vAlign w:val="center"/>
                </w:tcPr>
                <w:p w14:paraId="403991FD">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Cs w:val="21"/>
                      <w:highlight w:val="none"/>
                      <w:lang w:val="en-US" w:eastAsia="zh-CN"/>
                    </w:rPr>
                    <w:t>0.0404</w:t>
                  </w:r>
                </w:p>
              </w:tc>
              <w:tc>
                <w:tcPr>
                  <w:tcW w:w="575" w:type="pct"/>
                  <w:tcBorders>
                    <w:tl2br w:val="nil"/>
                    <w:tr2bl w:val="nil"/>
                  </w:tcBorders>
                  <w:noWrap w:val="0"/>
                  <w:vAlign w:val="center"/>
                </w:tcPr>
                <w:p w14:paraId="222840E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kern w:val="2"/>
                      <w:sz w:val="21"/>
                      <w:szCs w:val="21"/>
                      <w:highlight w:val="none"/>
                      <w:lang w:val="en-US" w:eastAsia="zh-CN" w:bidi="ar-SA"/>
                    </w:rPr>
                  </w:pPr>
                  <w:r>
                    <w:rPr>
                      <w:rFonts w:hint="eastAsia"/>
                      <w:bCs/>
                      <w:color w:val="000000"/>
                      <w:kern w:val="2"/>
                      <w:sz w:val="21"/>
                      <w:szCs w:val="21"/>
                      <w:highlight w:val="none"/>
                      <w:lang w:val="en-US" w:eastAsia="zh-CN" w:bidi="ar-SA"/>
                    </w:rPr>
                    <w:t>布袋除尘装置</w:t>
                  </w:r>
                </w:p>
              </w:tc>
              <w:tc>
                <w:tcPr>
                  <w:tcW w:w="280" w:type="pct"/>
                  <w:tcBorders>
                    <w:tl2br w:val="nil"/>
                    <w:tr2bl w:val="nil"/>
                  </w:tcBorders>
                  <w:noWrap w:val="0"/>
                  <w:vAlign w:val="center"/>
                </w:tcPr>
                <w:p w14:paraId="426B365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pacing w:val="-20"/>
                      <w:szCs w:val="21"/>
                      <w:lang w:val="en-US" w:eastAsia="zh-CN"/>
                    </w:rPr>
                  </w:pPr>
                  <w:r>
                    <w:rPr>
                      <w:rFonts w:hint="eastAsia"/>
                      <w:color w:val="000000"/>
                      <w:spacing w:val="-20"/>
                      <w:szCs w:val="21"/>
                      <w:lang w:val="en-US" w:eastAsia="zh-CN"/>
                    </w:rPr>
                    <w:t>0</w:t>
                  </w:r>
                </w:p>
              </w:tc>
              <w:tc>
                <w:tcPr>
                  <w:tcW w:w="435" w:type="pct"/>
                  <w:tcBorders>
                    <w:tl2br w:val="nil"/>
                    <w:tr2bl w:val="nil"/>
                  </w:tcBorders>
                  <w:noWrap w:val="0"/>
                  <w:vAlign w:val="center"/>
                </w:tcPr>
                <w:p w14:paraId="4AA2C794">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Cs w:val="21"/>
                      <w:highlight w:val="none"/>
                      <w:lang w:val="en-US" w:eastAsia="zh-CN"/>
                    </w:rPr>
                    <w:t>5.05</w:t>
                  </w:r>
                </w:p>
              </w:tc>
              <w:tc>
                <w:tcPr>
                  <w:tcW w:w="529" w:type="pct"/>
                  <w:tcBorders>
                    <w:tl2br w:val="nil"/>
                    <w:tr2bl w:val="nil"/>
                  </w:tcBorders>
                  <w:noWrap w:val="0"/>
                  <w:vAlign w:val="center"/>
                </w:tcPr>
                <w:p w14:paraId="2944D83E">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Cs w:val="21"/>
                      <w:highlight w:val="none"/>
                      <w:lang w:val="en-US" w:eastAsia="zh-CN"/>
                    </w:rPr>
                    <w:t>0.0404</w:t>
                  </w:r>
                </w:p>
              </w:tc>
              <w:tc>
                <w:tcPr>
                  <w:tcW w:w="343" w:type="pct"/>
                  <w:tcBorders>
                    <w:tl2br w:val="nil"/>
                    <w:tr2bl w:val="nil"/>
                  </w:tcBorders>
                  <w:noWrap w:val="0"/>
                  <w:vAlign w:val="center"/>
                </w:tcPr>
                <w:p w14:paraId="4E9EA03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kern w:val="2"/>
                      <w:sz w:val="21"/>
                      <w:szCs w:val="21"/>
                      <w:highlight w:val="none"/>
                      <w:lang w:val="en-US" w:eastAsia="zh-CN" w:bidi="ar-SA"/>
                    </w:rPr>
                  </w:pPr>
                  <w:r>
                    <w:rPr>
                      <w:rFonts w:hint="eastAsia"/>
                      <w:bCs/>
                      <w:color w:val="000000"/>
                      <w:szCs w:val="21"/>
                      <w:highlight w:val="none"/>
                      <w:lang w:val="en-US" w:eastAsia="zh-CN"/>
                    </w:rPr>
                    <w:t>10</w:t>
                  </w:r>
                </w:p>
              </w:tc>
              <w:tc>
                <w:tcPr>
                  <w:tcW w:w="282" w:type="pct"/>
                  <w:tcBorders>
                    <w:tl2br w:val="nil"/>
                    <w:tr2bl w:val="nil"/>
                  </w:tcBorders>
                  <w:noWrap w:val="0"/>
                  <w:vAlign w:val="center"/>
                </w:tcPr>
                <w:p w14:paraId="3AFDD94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bCs/>
                      <w:color w:val="000000"/>
                      <w:kern w:val="2"/>
                      <w:sz w:val="21"/>
                      <w:szCs w:val="21"/>
                      <w:highlight w:val="none"/>
                      <w:lang w:val="en-US" w:eastAsia="zh-CN" w:bidi="ar-SA"/>
                    </w:rPr>
                  </w:pPr>
                  <w:r>
                    <w:rPr>
                      <w:rFonts w:hint="eastAsia" w:eastAsia="宋体"/>
                      <w:bCs/>
                      <w:color w:val="000000"/>
                      <w:szCs w:val="21"/>
                      <w:highlight w:val="none"/>
                      <w:lang w:val="en-US" w:eastAsia="zh-CN"/>
                    </w:rPr>
                    <w:t>0.4</w:t>
                  </w:r>
                </w:p>
              </w:tc>
              <w:tc>
                <w:tcPr>
                  <w:tcW w:w="292" w:type="pct"/>
                  <w:vMerge w:val="restart"/>
                  <w:tcBorders>
                    <w:tl2br w:val="nil"/>
                    <w:tr2bl w:val="nil"/>
                  </w:tcBorders>
                  <w:noWrap w:val="0"/>
                  <w:vAlign w:val="center"/>
                </w:tcPr>
                <w:p w14:paraId="1C61260E">
                  <w:pPr>
                    <w:keepNext w:val="0"/>
                    <w:keepLines w:val="0"/>
                    <w:pageBreakBefore w:val="0"/>
                    <w:kinsoku/>
                    <w:wordWrap/>
                    <w:overflowPunct/>
                    <w:topLinePunct w:val="0"/>
                    <w:autoSpaceDE/>
                    <w:autoSpaceDN/>
                    <w:bidi w:val="0"/>
                    <w:adjustRightInd w:val="0"/>
                    <w:snapToGrid w:val="0"/>
                    <w:ind w:firstLine="0"/>
                    <w:jc w:val="center"/>
                    <w:textAlignment w:val="auto"/>
                    <w:rPr>
                      <w:bCs/>
                      <w:color w:val="000000"/>
                      <w:szCs w:val="21"/>
                    </w:rPr>
                  </w:pPr>
                  <w:r>
                    <w:rPr>
                      <w:bCs/>
                      <w:color w:val="000000"/>
                      <w:szCs w:val="21"/>
                    </w:rPr>
                    <w:t>1</w:t>
                  </w:r>
                </w:p>
              </w:tc>
              <w:tc>
                <w:tcPr>
                  <w:tcW w:w="339" w:type="pct"/>
                  <w:vMerge w:val="restart"/>
                  <w:tcBorders>
                    <w:tl2br w:val="nil"/>
                    <w:tr2bl w:val="nil"/>
                  </w:tcBorders>
                  <w:noWrap w:val="0"/>
                  <w:vAlign w:val="center"/>
                </w:tcPr>
                <w:p w14:paraId="3450BABF">
                  <w:pPr>
                    <w:keepNext w:val="0"/>
                    <w:keepLines w:val="0"/>
                    <w:pageBreakBefore w:val="0"/>
                    <w:kinsoku/>
                    <w:wordWrap/>
                    <w:overflowPunct/>
                    <w:topLinePunct w:val="0"/>
                    <w:autoSpaceDE/>
                    <w:autoSpaceDN/>
                    <w:bidi w:val="0"/>
                    <w:adjustRightInd w:val="0"/>
                    <w:snapToGrid w:val="0"/>
                    <w:ind w:firstLine="0"/>
                    <w:jc w:val="center"/>
                    <w:textAlignment w:val="auto"/>
                    <w:rPr>
                      <w:bCs/>
                      <w:color w:val="000000"/>
                      <w:szCs w:val="21"/>
                    </w:rPr>
                  </w:pPr>
                  <w:r>
                    <w:rPr>
                      <w:bCs/>
                      <w:color w:val="000000"/>
                      <w:szCs w:val="21"/>
                    </w:rPr>
                    <w:t>1</w:t>
                  </w:r>
                </w:p>
              </w:tc>
            </w:tr>
            <w:tr w14:paraId="6977CC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278" w:type="pct"/>
                  <w:tcBorders>
                    <w:tl2br w:val="nil"/>
                    <w:tr2bl w:val="nil"/>
                  </w:tcBorders>
                  <w:noWrap w:val="0"/>
                  <w:vAlign w:val="center"/>
                </w:tcPr>
                <w:p w14:paraId="7065591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pacing w:val="-14"/>
                      <w:szCs w:val="21"/>
                      <w:lang w:val="en-US" w:eastAsia="zh-CN"/>
                    </w:rPr>
                  </w:pPr>
                  <w:r>
                    <w:rPr>
                      <w:rFonts w:hint="eastAsia"/>
                      <w:color w:val="000000"/>
                      <w:spacing w:val="-14"/>
                      <w:szCs w:val="21"/>
                      <w:lang w:val="en-US" w:eastAsia="zh-CN"/>
                    </w:rPr>
                    <w:t>2#</w:t>
                  </w:r>
                </w:p>
              </w:tc>
              <w:tc>
                <w:tcPr>
                  <w:tcW w:w="377" w:type="pct"/>
                  <w:tcBorders>
                    <w:tl2br w:val="nil"/>
                    <w:tr2bl w:val="nil"/>
                  </w:tcBorders>
                  <w:noWrap w:val="0"/>
                  <w:vAlign w:val="center"/>
                </w:tcPr>
                <w:p w14:paraId="53B9A92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spacing w:val="-14"/>
                      <w:kern w:val="2"/>
                      <w:sz w:val="21"/>
                      <w:szCs w:val="21"/>
                      <w:lang w:val="en-US" w:eastAsia="zh-CN" w:bidi="ar-SA"/>
                    </w:rPr>
                  </w:pPr>
                  <w:r>
                    <w:rPr>
                      <w:rFonts w:hint="eastAsia"/>
                      <w:color w:val="000000"/>
                      <w:spacing w:val="-14"/>
                      <w:szCs w:val="21"/>
                      <w:lang w:val="en-US" w:eastAsia="zh-CN"/>
                    </w:rPr>
                    <w:t>非甲烷总烃</w:t>
                  </w:r>
                </w:p>
              </w:tc>
              <w:tc>
                <w:tcPr>
                  <w:tcW w:w="328" w:type="pct"/>
                  <w:tcBorders>
                    <w:tl2br w:val="nil"/>
                    <w:tr2bl w:val="nil"/>
                  </w:tcBorders>
                  <w:noWrap w:val="0"/>
                  <w:vAlign w:val="center"/>
                </w:tcPr>
                <w:p w14:paraId="19EEF3F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kern w:val="2"/>
                      <w:sz w:val="21"/>
                      <w:szCs w:val="21"/>
                      <w:lang w:val="en-US" w:eastAsia="zh-CN" w:bidi="ar-SA"/>
                    </w:rPr>
                  </w:pPr>
                  <w:r>
                    <w:rPr>
                      <w:rFonts w:hint="eastAsia"/>
                      <w:bCs/>
                      <w:color w:val="000000"/>
                      <w:kern w:val="2"/>
                      <w:sz w:val="21"/>
                      <w:szCs w:val="21"/>
                      <w:lang w:val="en-US" w:eastAsia="zh-CN" w:bidi="ar-SA"/>
                    </w:rPr>
                    <w:t>25000</w:t>
                  </w:r>
                </w:p>
              </w:tc>
              <w:tc>
                <w:tcPr>
                  <w:tcW w:w="421" w:type="pct"/>
                  <w:tcBorders>
                    <w:tl2br w:val="nil"/>
                    <w:tr2bl w:val="nil"/>
                  </w:tcBorders>
                  <w:noWrap w:val="0"/>
                  <w:vAlign w:val="center"/>
                </w:tcPr>
                <w:p w14:paraId="75D48D48">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Cs w:val="21"/>
                      <w:highlight w:val="none"/>
                      <w:lang w:val="en-US" w:eastAsia="zh-CN"/>
                    </w:rPr>
                    <w:t>0.4969</w:t>
                  </w:r>
                </w:p>
              </w:tc>
              <w:tc>
                <w:tcPr>
                  <w:tcW w:w="515" w:type="pct"/>
                  <w:tcBorders>
                    <w:tl2br w:val="nil"/>
                    <w:tr2bl w:val="nil"/>
                  </w:tcBorders>
                  <w:noWrap w:val="0"/>
                  <w:vAlign w:val="center"/>
                </w:tcPr>
                <w:p w14:paraId="3C84F023">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szCs w:val="21"/>
                      <w:highlight w:val="none"/>
                      <w:lang w:val="en-US" w:eastAsia="zh-CN"/>
                    </w:rPr>
                    <w:t>0.01241</w:t>
                  </w:r>
                </w:p>
              </w:tc>
              <w:tc>
                <w:tcPr>
                  <w:tcW w:w="575" w:type="pct"/>
                  <w:tcBorders>
                    <w:tl2br w:val="nil"/>
                    <w:tr2bl w:val="nil"/>
                  </w:tcBorders>
                  <w:noWrap w:val="0"/>
                  <w:vAlign w:val="center"/>
                </w:tcPr>
                <w:p w14:paraId="4DE5D98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Cs/>
                      <w:color w:val="000000"/>
                      <w:kern w:val="2"/>
                      <w:sz w:val="21"/>
                      <w:szCs w:val="21"/>
                      <w:highlight w:val="none"/>
                      <w:lang w:val="en-US" w:eastAsia="zh-CN" w:bidi="ar-SA"/>
                    </w:rPr>
                  </w:pPr>
                  <w:r>
                    <w:rPr>
                      <w:rFonts w:hint="eastAsia"/>
                      <w:bCs/>
                      <w:color w:val="000000"/>
                      <w:szCs w:val="21"/>
                      <w:highlight w:val="none"/>
                      <w:lang w:val="en-US" w:eastAsia="zh-CN"/>
                    </w:rPr>
                    <w:t>二级活性炭吸附装置</w:t>
                  </w:r>
                </w:p>
              </w:tc>
              <w:tc>
                <w:tcPr>
                  <w:tcW w:w="280" w:type="pct"/>
                  <w:tcBorders>
                    <w:tl2br w:val="nil"/>
                    <w:tr2bl w:val="nil"/>
                  </w:tcBorders>
                  <w:noWrap w:val="0"/>
                  <w:vAlign w:val="center"/>
                </w:tcPr>
                <w:p w14:paraId="6FEB4B2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spacing w:val="-20"/>
                      <w:kern w:val="2"/>
                      <w:sz w:val="21"/>
                      <w:szCs w:val="21"/>
                      <w:lang w:val="en-US" w:eastAsia="zh-CN" w:bidi="ar-SA"/>
                    </w:rPr>
                  </w:pPr>
                  <w:r>
                    <w:rPr>
                      <w:rFonts w:hint="eastAsia"/>
                      <w:color w:val="000000"/>
                      <w:spacing w:val="-20"/>
                      <w:kern w:val="2"/>
                      <w:sz w:val="21"/>
                      <w:szCs w:val="21"/>
                      <w:lang w:val="en-US" w:eastAsia="zh-CN" w:bidi="ar-SA"/>
                    </w:rPr>
                    <w:t>0</w:t>
                  </w:r>
                </w:p>
              </w:tc>
              <w:tc>
                <w:tcPr>
                  <w:tcW w:w="435" w:type="pct"/>
                  <w:tcBorders>
                    <w:tl2br w:val="nil"/>
                    <w:tr2bl w:val="nil"/>
                  </w:tcBorders>
                  <w:noWrap w:val="0"/>
                  <w:vAlign w:val="center"/>
                </w:tcPr>
                <w:p w14:paraId="30AF7C0A">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kern w:val="2"/>
                      <w:sz w:val="21"/>
                      <w:szCs w:val="21"/>
                      <w:highlight w:val="none"/>
                      <w:lang w:val="en-US" w:eastAsia="zh-CN" w:bidi="ar-SA"/>
                    </w:rPr>
                    <w:t>0.4969</w:t>
                  </w:r>
                </w:p>
              </w:tc>
              <w:tc>
                <w:tcPr>
                  <w:tcW w:w="529" w:type="pct"/>
                  <w:tcBorders>
                    <w:tl2br w:val="nil"/>
                    <w:tr2bl w:val="nil"/>
                  </w:tcBorders>
                  <w:noWrap w:val="0"/>
                  <w:vAlign w:val="center"/>
                </w:tcPr>
                <w:p w14:paraId="404B6E7C">
                  <w:pPr>
                    <w:keepNext w:val="0"/>
                    <w:keepLines w:val="0"/>
                    <w:widowControl/>
                    <w:suppressLineNumbers w:val="0"/>
                    <w:jc w:val="center"/>
                    <w:textAlignment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bCs/>
                      <w:color w:val="000000"/>
                      <w:kern w:val="2"/>
                      <w:sz w:val="21"/>
                      <w:szCs w:val="21"/>
                      <w:highlight w:val="none"/>
                      <w:lang w:val="en-US" w:eastAsia="zh-CN" w:bidi="ar-SA"/>
                    </w:rPr>
                    <w:t>0.01242</w:t>
                  </w:r>
                </w:p>
              </w:tc>
              <w:tc>
                <w:tcPr>
                  <w:tcW w:w="343" w:type="pct"/>
                  <w:tcBorders>
                    <w:tl2br w:val="nil"/>
                    <w:tr2bl w:val="nil"/>
                  </w:tcBorders>
                  <w:noWrap w:val="0"/>
                  <w:vAlign w:val="center"/>
                </w:tcPr>
                <w:p w14:paraId="586D1E8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kern w:val="2"/>
                      <w:sz w:val="21"/>
                      <w:szCs w:val="21"/>
                      <w:highlight w:val="none"/>
                      <w:lang w:val="en-US" w:eastAsia="zh-CN" w:bidi="ar-SA"/>
                    </w:rPr>
                  </w:pPr>
                  <w:r>
                    <w:rPr>
                      <w:rFonts w:hint="eastAsia"/>
                      <w:bCs/>
                      <w:color w:val="000000"/>
                      <w:szCs w:val="21"/>
                      <w:highlight w:val="none"/>
                      <w:lang w:val="en-US" w:eastAsia="zh-CN"/>
                    </w:rPr>
                    <w:t>50</w:t>
                  </w:r>
                </w:p>
              </w:tc>
              <w:tc>
                <w:tcPr>
                  <w:tcW w:w="282" w:type="pct"/>
                  <w:tcBorders>
                    <w:tl2br w:val="nil"/>
                    <w:tr2bl w:val="nil"/>
                  </w:tcBorders>
                  <w:noWrap w:val="0"/>
                  <w:vAlign w:val="center"/>
                </w:tcPr>
                <w:p w14:paraId="150BD29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2.0</w:t>
                  </w:r>
                </w:p>
              </w:tc>
              <w:tc>
                <w:tcPr>
                  <w:tcW w:w="292" w:type="pct"/>
                  <w:vMerge w:val="continue"/>
                  <w:tcBorders>
                    <w:tl2br w:val="nil"/>
                    <w:tr2bl w:val="nil"/>
                  </w:tcBorders>
                  <w:noWrap w:val="0"/>
                  <w:vAlign w:val="center"/>
                </w:tcPr>
                <w:p w14:paraId="2E417935">
                  <w:pPr>
                    <w:keepNext w:val="0"/>
                    <w:keepLines w:val="0"/>
                    <w:pageBreakBefore w:val="0"/>
                    <w:kinsoku/>
                    <w:wordWrap/>
                    <w:overflowPunct/>
                    <w:topLinePunct w:val="0"/>
                    <w:autoSpaceDE/>
                    <w:autoSpaceDN/>
                    <w:bidi w:val="0"/>
                    <w:adjustRightInd w:val="0"/>
                    <w:snapToGrid w:val="0"/>
                    <w:ind w:firstLine="0"/>
                    <w:jc w:val="center"/>
                    <w:textAlignment w:val="auto"/>
                    <w:rPr>
                      <w:bCs/>
                      <w:color w:val="000000"/>
                      <w:szCs w:val="21"/>
                    </w:rPr>
                  </w:pPr>
                </w:p>
              </w:tc>
              <w:tc>
                <w:tcPr>
                  <w:tcW w:w="339" w:type="pct"/>
                  <w:vMerge w:val="continue"/>
                  <w:tcBorders>
                    <w:tl2br w:val="nil"/>
                    <w:tr2bl w:val="nil"/>
                  </w:tcBorders>
                  <w:noWrap w:val="0"/>
                  <w:vAlign w:val="center"/>
                </w:tcPr>
                <w:p w14:paraId="3585FAF2">
                  <w:pPr>
                    <w:keepNext w:val="0"/>
                    <w:keepLines w:val="0"/>
                    <w:pageBreakBefore w:val="0"/>
                    <w:kinsoku/>
                    <w:wordWrap/>
                    <w:overflowPunct/>
                    <w:topLinePunct w:val="0"/>
                    <w:autoSpaceDE/>
                    <w:autoSpaceDN/>
                    <w:bidi w:val="0"/>
                    <w:adjustRightInd w:val="0"/>
                    <w:snapToGrid w:val="0"/>
                    <w:ind w:firstLine="0"/>
                    <w:jc w:val="center"/>
                    <w:textAlignment w:val="auto"/>
                    <w:rPr>
                      <w:bCs/>
                      <w:color w:val="000000"/>
                      <w:szCs w:val="21"/>
                    </w:rPr>
                  </w:pPr>
                </w:p>
              </w:tc>
            </w:tr>
          </w:tbl>
          <w:p w14:paraId="347AC42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
                <w:bCs/>
                <w:color w:val="000000"/>
                <w:sz w:val="21"/>
                <w:szCs w:val="21"/>
                <w:highlight w:val="none"/>
              </w:rPr>
            </w:pPr>
            <w:r>
              <w:rPr>
                <w:rFonts w:hint="eastAsia"/>
                <w:b/>
                <w:bCs/>
                <w:color w:val="000000"/>
                <w:sz w:val="21"/>
                <w:szCs w:val="21"/>
                <w:highlight w:val="none"/>
              </w:rPr>
              <w:t>表4-</w:t>
            </w:r>
            <w:r>
              <w:rPr>
                <w:rFonts w:hint="eastAsia"/>
                <w:b/>
                <w:bCs/>
                <w:color w:val="000000"/>
                <w:sz w:val="21"/>
                <w:szCs w:val="21"/>
                <w:highlight w:val="none"/>
                <w:lang w:val="en-US" w:eastAsia="zh-CN"/>
              </w:rPr>
              <w:t>4</w:t>
            </w:r>
            <w:r>
              <w:rPr>
                <w:rFonts w:hint="eastAsia"/>
                <w:b/>
                <w:bCs/>
                <w:color w:val="000000"/>
                <w:sz w:val="21"/>
                <w:szCs w:val="21"/>
                <w:highlight w:val="none"/>
              </w:rPr>
              <w:t xml:space="preserve"> 本项目无组织废气产生及排放情况一览表</w:t>
            </w:r>
          </w:p>
          <w:tbl>
            <w:tblPr>
              <w:tblStyle w:val="20"/>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150"/>
              <w:gridCol w:w="1313"/>
              <w:gridCol w:w="1104"/>
              <w:gridCol w:w="1096"/>
              <w:gridCol w:w="1262"/>
              <w:gridCol w:w="1034"/>
              <w:gridCol w:w="1078"/>
              <w:gridCol w:w="1064"/>
              <w:gridCol w:w="1018"/>
              <w:gridCol w:w="1110"/>
            </w:tblGrid>
            <w:tr w14:paraId="2469A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2" w:type="pct"/>
                  <w:vMerge w:val="restart"/>
                  <w:tcBorders>
                    <w:tl2br w:val="nil"/>
                    <w:tr2bl w:val="nil"/>
                  </w:tcBorders>
                  <w:noWrap w:val="0"/>
                  <w:vAlign w:val="center"/>
                </w:tcPr>
                <w:p w14:paraId="299F62BC">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污染源位置</w:t>
                  </w:r>
                </w:p>
              </w:tc>
              <w:tc>
                <w:tcPr>
                  <w:tcW w:w="476" w:type="pct"/>
                  <w:vMerge w:val="restart"/>
                  <w:tcBorders>
                    <w:tl2br w:val="nil"/>
                    <w:tr2bl w:val="nil"/>
                  </w:tcBorders>
                  <w:noWrap w:val="0"/>
                  <w:vAlign w:val="center"/>
                </w:tcPr>
                <w:p w14:paraId="1D7A3CB8">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污染工序</w:t>
                  </w:r>
                </w:p>
              </w:tc>
              <w:tc>
                <w:tcPr>
                  <w:tcW w:w="544" w:type="pct"/>
                  <w:vMerge w:val="restart"/>
                  <w:tcBorders>
                    <w:tl2br w:val="nil"/>
                    <w:tr2bl w:val="nil"/>
                  </w:tcBorders>
                  <w:noWrap w:val="0"/>
                  <w:vAlign w:val="center"/>
                </w:tcPr>
                <w:p w14:paraId="0005D597">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污染物名称</w:t>
                  </w:r>
                </w:p>
              </w:tc>
              <w:tc>
                <w:tcPr>
                  <w:tcW w:w="912" w:type="pct"/>
                  <w:gridSpan w:val="2"/>
                  <w:tcBorders>
                    <w:tl2br w:val="nil"/>
                    <w:tr2bl w:val="nil"/>
                  </w:tcBorders>
                  <w:noWrap w:val="0"/>
                  <w:vAlign w:val="center"/>
                </w:tcPr>
                <w:p w14:paraId="672ED741">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产生情况</w:t>
                  </w:r>
                </w:p>
              </w:tc>
              <w:tc>
                <w:tcPr>
                  <w:tcW w:w="523" w:type="pct"/>
                  <w:vMerge w:val="restart"/>
                  <w:tcBorders>
                    <w:tl2br w:val="nil"/>
                    <w:tr2bl w:val="nil"/>
                  </w:tcBorders>
                  <w:noWrap w:val="0"/>
                  <w:vAlign w:val="center"/>
                </w:tcPr>
                <w:p w14:paraId="396AC158">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治理措施</w:t>
                  </w:r>
                </w:p>
              </w:tc>
              <w:tc>
                <w:tcPr>
                  <w:tcW w:w="875" w:type="pct"/>
                  <w:gridSpan w:val="2"/>
                  <w:tcBorders>
                    <w:tl2br w:val="nil"/>
                    <w:tr2bl w:val="nil"/>
                  </w:tcBorders>
                  <w:noWrap w:val="0"/>
                  <w:vAlign w:val="center"/>
                </w:tcPr>
                <w:p w14:paraId="2957E373">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排放情况</w:t>
                  </w:r>
                </w:p>
              </w:tc>
              <w:tc>
                <w:tcPr>
                  <w:tcW w:w="441" w:type="pct"/>
                  <w:vMerge w:val="restart"/>
                  <w:tcBorders>
                    <w:tl2br w:val="nil"/>
                    <w:tr2bl w:val="nil"/>
                  </w:tcBorders>
                  <w:noWrap w:val="0"/>
                  <w:vAlign w:val="center"/>
                </w:tcPr>
                <w:p w14:paraId="75F2B25D">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highlight w:val="none"/>
                    </w:rPr>
                  </w:pPr>
                  <w:r>
                    <w:rPr>
                      <w:rFonts w:hint="eastAsia"/>
                      <w:b/>
                      <w:bCs/>
                      <w:snapToGrid w:val="0"/>
                      <w:color w:val="000000"/>
                      <w:spacing w:val="-6"/>
                      <w:szCs w:val="21"/>
                      <w:highlight w:val="none"/>
                    </w:rPr>
                    <w:t>面源面积</w:t>
                  </w:r>
                </w:p>
                <w:p w14:paraId="692C2E35">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highlight w:val="none"/>
                    </w:rPr>
                  </w:pPr>
                  <w:r>
                    <w:rPr>
                      <w:rFonts w:hint="eastAsia"/>
                      <w:b/>
                      <w:bCs/>
                      <w:snapToGrid w:val="0"/>
                      <w:color w:val="000000"/>
                      <w:spacing w:val="-6"/>
                      <w:szCs w:val="21"/>
                      <w:highlight w:val="none"/>
                      <w:lang w:eastAsia="zh-CN"/>
                    </w:rPr>
                    <w:t>(</w:t>
                  </w:r>
                  <w:r>
                    <w:rPr>
                      <w:b/>
                      <w:bCs/>
                      <w:snapToGrid w:val="0"/>
                      <w:color w:val="000000"/>
                      <w:spacing w:val="-6"/>
                      <w:szCs w:val="21"/>
                      <w:highlight w:val="none"/>
                    </w:rPr>
                    <w:t>m</w:t>
                  </w:r>
                  <w:r>
                    <w:rPr>
                      <w:b/>
                      <w:bCs/>
                      <w:snapToGrid w:val="0"/>
                      <w:color w:val="000000"/>
                      <w:spacing w:val="-6"/>
                      <w:szCs w:val="21"/>
                      <w:highlight w:val="none"/>
                      <w:vertAlign w:val="superscript"/>
                    </w:rPr>
                    <w:t>2</w:t>
                  </w:r>
                  <w:r>
                    <w:rPr>
                      <w:rFonts w:hint="eastAsia"/>
                      <w:b/>
                      <w:bCs/>
                      <w:snapToGrid w:val="0"/>
                      <w:color w:val="000000"/>
                      <w:spacing w:val="-6"/>
                      <w:szCs w:val="21"/>
                      <w:highlight w:val="none"/>
                      <w:vertAlign w:val="baseline"/>
                      <w:lang w:eastAsia="zh-CN"/>
                    </w:rPr>
                    <w:t>)</w:t>
                  </w:r>
                </w:p>
              </w:tc>
              <w:tc>
                <w:tcPr>
                  <w:tcW w:w="422" w:type="pct"/>
                  <w:vMerge w:val="restart"/>
                  <w:tcBorders>
                    <w:tl2br w:val="nil"/>
                    <w:tr2bl w:val="nil"/>
                  </w:tcBorders>
                  <w:noWrap w:val="0"/>
                  <w:vAlign w:val="center"/>
                </w:tcPr>
                <w:p w14:paraId="65F5D4F8">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highlight w:val="none"/>
                    </w:rPr>
                  </w:pPr>
                  <w:r>
                    <w:rPr>
                      <w:rFonts w:hint="eastAsia"/>
                      <w:b/>
                      <w:bCs/>
                      <w:snapToGrid w:val="0"/>
                      <w:color w:val="000000"/>
                      <w:spacing w:val="-6"/>
                      <w:szCs w:val="21"/>
                      <w:highlight w:val="none"/>
                    </w:rPr>
                    <w:t>面源高度</w:t>
                  </w:r>
                </w:p>
                <w:p w14:paraId="31542BC1">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highlight w:val="yellow"/>
                    </w:rPr>
                  </w:pPr>
                  <w:r>
                    <w:rPr>
                      <w:rFonts w:hint="eastAsia"/>
                      <w:b/>
                      <w:bCs/>
                      <w:snapToGrid w:val="0"/>
                      <w:color w:val="000000"/>
                      <w:spacing w:val="-6"/>
                      <w:szCs w:val="21"/>
                      <w:highlight w:val="none"/>
                      <w:lang w:eastAsia="zh-CN"/>
                    </w:rPr>
                    <w:t>(</w:t>
                  </w:r>
                  <w:r>
                    <w:rPr>
                      <w:b/>
                      <w:bCs/>
                      <w:snapToGrid w:val="0"/>
                      <w:color w:val="000000"/>
                      <w:spacing w:val="-6"/>
                      <w:szCs w:val="21"/>
                      <w:highlight w:val="none"/>
                    </w:rPr>
                    <w:t>m</w:t>
                  </w:r>
                  <w:r>
                    <w:rPr>
                      <w:rFonts w:hint="eastAsia"/>
                      <w:b/>
                      <w:bCs/>
                      <w:snapToGrid w:val="0"/>
                      <w:color w:val="000000"/>
                      <w:spacing w:val="-6"/>
                      <w:szCs w:val="21"/>
                      <w:highlight w:val="none"/>
                      <w:lang w:eastAsia="zh-CN"/>
                    </w:rPr>
                    <w:t>)</w:t>
                  </w:r>
                </w:p>
              </w:tc>
              <w:tc>
                <w:tcPr>
                  <w:tcW w:w="460" w:type="pct"/>
                  <w:vMerge w:val="restart"/>
                  <w:tcBorders>
                    <w:tl2br w:val="nil"/>
                    <w:tr2bl w:val="nil"/>
                  </w:tcBorders>
                  <w:noWrap w:val="0"/>
                  <w:vAlign w:val="center"/>
                </w:tcPr>
                <w:p w14:paraId="27E24228">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pacing w:val="-20"/>
                      <w:szCs w:val="21"/>
                    </w:rPr>
                  </w:pPr>
                  <w:r>
                    <w:rPr>
                      <w:rFonts w:hint="eastAsia"/>
                      <w:b/>
                      <w:bCs/>
                      <w:color w:val="000000"/>
                      <w:spacing w:val="-20"/>
                      <w:szCs w:val="21"/>
                    </w:rPr>
                    <w:t>排放时间</w:t>
                  </w:r>
                </w:p>
                <w:p w14:paraId="306114A3">
                  <w:pPr>
                    <w:keepNext w:val="0"/>
                    <w:keepLines w:val="0"/>
                    <w:pageBreakBefore w:val="0"/>
                    <w:kinsoku/>
                    <w:wordWrap/>
                    <w:overflowPunct/>
                    <w:topLinePunct w:val="0"/>
                    <w:autoSpaceDE/>
                    <w:autoSpaceDN/>
                    <w:bidi w:val="0"/>
                    <w:adjustRightInd w:val="0"/>
                    <w:snapToGrid w:val="0"/>
                    <w:ind w:firstLine="0"/>
                    <w:jc w:val="center"/>
                    <w:textAlignment w:val="auto"/>
                    <w:rPr>
                      <w:b/>
                      <w:bCs/>
                      <w:color w:val="000000"/>
                      <w:spacing w:val="-20"/>
                      <w:szCs w:val="21"/>
                    </w:rPr>
                  </w:pPr>
                  <w:r>
                    <w:rPr>
                      <w:b/>
                      <w:bCs/>
                      <w:color w:val="000000"/>
                      <w:spacing w:val="-20"/>
                      <w:szCs w:val="21"/>
                    </w:rPr>
                    <w:t>h</w:t>
                  </w:r>
                </w:p>
              </w:tc>
            </w:tr>
            <w:tr w14:paraId="03C0A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2" w:type="pct"/>
                  <w:vMerge w:val="continue"/>
                  <w:tcBorders>
                    <w:tl2br w:val="nil"/>
                    <w:tr2bl w:val="nil"/>
                  </w:tcBorders>
                  <w:noWrap w:val="0"/>
                  <w:vAlign w:val="center"/>
                </w:tcPr>
                <w:p w14:paraId="4C985130">
                  <w:pPr>
                    <w:keepNext w:val="0"/>
                    <w:keepLines w:val="0"/>
                    <w:pageBreakBefore w:val="0"/>
                    <w:widowControl/>
                    <w:kinsoku/>
                    <w:wordWrap/>
                    <w:overflowPunct/>
                    <w:topLinePunct w:val="0"/>
                    <w:autoSpaceDE/>
                    <w:autoSpaceDN/>
                    <w:bidi w:val="0"/>
                    <w:adjustRightInd w:val="0"/>
                    <w:snapToGrid w:val="0"/>
                    <w:ind w:firstLine="0"/>
                    <w:jc w:val="center"/>
                    <w:textAlignment w:val="auto"/>
                    <w:rPr>
                      <w:b/>
                      <w:bCs/>
                      <w:snapToGrid w:val="0"/>
                      <w:color w:val="000000"/>
                      <w:spacing w:val="-6"/>
                      <w:szCs w:val="21"/>
                    </w:rPr>
                  </w:pPr>
                </w:p>
              </w:tc>
              <w:tc>
                <w:tcPr>
                  <w:tcW w:w="476" w:type="pct"/>
                  <w:vMerge w:val="continue"/>
                  <w:tcBorders>
                    <w:tl2br w:val="nil"/>
                    <w:tr2bl w:val="nil"/>
                  </w:tcBorders>
                  <w:noWrap w:val="0"/>
                  <w:vAlign w:val="center"/>
                </w:tcPr>
                <w:p w14:paraId="145BC2B4">
                  <w:pPr>
                    <w:keepNext w:val="0"/>
                    <w:keepLines w:val="0"/>
                    <w:pageBreakBefore w:val="0"/>
                    <w:widowControl/>
                    <w:kinsoku/>
                    <w:wordWrap/>
                    <w:overflowPunct/>
                    <w:topLinePunct w:val="0"/>
                    <w:autoSpaceDE/>
                    <w:autoSpaceDN/>
                    <w:bidi w:val="0"/>
                    <w:adjustRightInd w:val="0"/>
                    <w:snapToGrid w:val="0"/>
                    <w:ind w:firstLine="0"/>
                    <w:jc w:val="center"/>
                    <w:textAlignment w:val="auto"/>
                    <w:rPr>
                      <w:b/>
                      <w:bCs/>
                      <w:snapToGrid w:val="0"/>
                      <w:color w:val="000000"/>
                      <w:spacing w:val="-6"/>
                      <w:szCs w:val="21"/>
                    </w:rPr>
                  </w:pPr>
                </w:p>
              </w:tc>
              <w:tc>
                <w:tcPr>
                  <w:tcW w:w="544" w:type="pct"/>
                  <w:vMerge w:val="continue"/>
                  <w:tcBorders>
                    <w:tl2br w:val="nil"/>
                    <w:tr2bl w:val="nil"/>
                  </w:tcBorders>
                  <w:noWrap w:val="0"/>
                  <w:vAlign w:val="center"/>
                </w:tcPr>
                <w:p w14:paraId="119896E4">
                  <w:pPr>
                    <w:keepNext w:val="0"/>
                    <w:keepLines w:val="0"/>
                    <w:pageBreakBefore w:val="0"/>
                    <w:widowControl/>
                    <w:kinsoku/>
                    <w:wordWrap/>
                    <w:overflowPunct/>
                    <w:topLinePunct w:val="0"/>
                    <w:autoSpaceDE/>
                    <w:autoSpaceDN/>
                    <w:bidi w:val="0"/>
                    <w:adjustRightInd w:val="0"/>
                    <w:snapToGrid w:val="0"/>
                    <w:ind w:firstLine="0"/>
                    <w:jc w:val="center"/>
                    <w:textAlignment w:val="auto"/>
                    <w:rPr>
                      <w:b/>
                      <w:bCs/>
                      <w:snapToGrid w:val="0"/>
                      <w:color w:val="000000"/>
                      <w:spacing w:val="-6"/>
                      <w:szCs w:val="21"/>
                    </w:rPr>
                  </w:pPr>
                </w:p>
              </w:tc>
              <w:tc>
                <w:tcPr>
                  <w:tcW w:w="457" w:type="pct"/>
                  <w:tcBorders>
                    <w:tl2br w:val="nil"/>
                    <w:tr2bl w:val="nil"/>
                  </w:tcBorders>
                  <w:noWrap w:val="0"/>
                  <w:vAlign w:val="center"/>
                </w:tcPr>
                <w:p w14:paraId="11C2CC74">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速率</w:t>
                  </w:r>
                  <w:r>
                    <w:rPr>
                      <w:b/>
                      <w:bCs/>
                      <w:snapToGrid w:val="0"/>
                      <w:color w:val="000000"/>
                      <w:spacing w:val="-6"/>
                      <w:szCs w:val="21"/>
                    </w:rPr>
                    <w:t>kg/h</w:t>
                  </w:r>
                </w:p>
              </w:tc>
              <w:tc>
                <w:tcPr>
                  <w:tcW w:w="454" w:type="pct"/>
                  <w:tcBorders>
                    <w:tl2br w:val="nil"/>
                    <w:tr2bl w:val="nil"/>
                  </w:tcBorders>
                  <w:noWrap w:val="0"/>
                  <w:vAlign w:val="center"/>
                </w:tcPr>
                <w:p w14:paraId="1C8E3E00">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产生量</w:t>
                  </w:r>
                  <w:r>
                    <w:rPr>
                      <w:b/>
                      <w:bCs/>
                      <w:snapToGrid w:val="0"/>
                      <w:color w:val="000000"/>
                      <w:spacing w:val="-6"/>
                      <w:szCs w:val="21"/>
                    </w:rPr>
                    <w:t>t/a</w:t>
                  </w:r>
                </w:p>
              </w:tc>
              <w:tc>
                <w:tcPr>
                  <w:tcW w:w="523" w:type="pct"/>
                  <w:vMerge w:val="continue"/>
                  <w:tcBorders>
                    <w:tl2br w:val="nil"/>
                    <w:tr2bl w:val="nil"/>
                  </w:tcBorders>
                  <w:noWrap w:val="0"/>
                  <w:vAlign w:val="center"/>
                </w:tcPr>
                <w:p w14:paraId="3E2FAC1E">
                  <w:pPr>
                    <w:keepNext w:val="0"/>
                    <w:keepLines w:val="0"/>
                    <w:pageBreakBefore w:val="0"/>
                    <w:widowControl/>
                    <w:kinsoku/>
                    <w:wordWrap/>
                    <w:overflowPunct/>
                    <w:topLinePunct w:val="0"/>
                    <w:autoSpaceDE/>
                    <w:autoSpaceDN/>
                    <w:bidi w:val="0"/>
                    <w:adjustRightInd w:val="0"/>
                    <w:snapToGrid w:val="0"/>
                    <w:ind w:firstLine="0"/>
                    <w:jc w:val="center"/>
                    <w:textAlignment w:val="auto"/>
                    <w:rPr>
                      <w:b/>
                      <w:bCs/>
                      <w:snapToGrid w:val="0"/>
                      <w:color w:val="000000"/>
                      <w:spacing w:val="-6"/>
                      <w:szCs w:val="21"/>
                    </w:rPr>
                  </w:pPr>
                </w:p>
              </w:tc>
              <w:tc>
                <w:tcPr>
                  <w:tcW w:w="428" w:type="pct"/>
                  <w:tcBorders>
                    <w:tl2br w:val="nil"/>
                    <w:tr2bl w:val="nil"/>
                  </w:tcBorders>
                  <w:noWrap w:val="0"/>
                  <w:vAlign w:val="center"/>
                </w:tcPr>
                <w:p w14:paraId="1FAAC63F">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速率</w:t>
                  </w:r>
                  <w:r>
                    <w:rPr>
                      <w:b/>
                      <w:bCs/>
                      <w:snapToGrid w:val="0"/>
                      <w:color w:val="000000"/>
                      <w:spacing w:val="-6"/>
                      <w:szCs w:val="21"/>
                    </w:rPr>
                    <w:t>kg/h</w:t>
                  </w:r>
                </w:p>
              </w:tc>
              <w:tc>
                <w:tcPr>
                  <w:tcW w:w="447" w:type="pct"/>
                  <w:tcBorders>
                    <w:tl2br w:val="nil"/>
                    <w:tr2bl w:val="nil"/>
                  </w:tcBorders>
                  <w:noWrap w:val="0"/>
                  <w:vAlign w:val="center"/>
                </w:tcPr>
                <w:p w14:paraId="70EEEC1C">
                  <w:pPr>
                    <w:keepNext w:val="0"/>
                    <w:keepLines w:val="0"/>
                    <w:pageBreakBefore w:val="0"/>
                    <w:kinsoku/>
                    <w:wordWrap/>
                    <w:overflowPunct/>
                    <w:topLinePunct w:val="0"/>
                    <w:autoSpaceDE/>
                    <w:autoSpaceDN/>
                    <w:bidi w:val="0"/>
                    <w:adjustRightInd w:val="0"/>
                    <w:snapToGrid w:val="0"/>
                    <w:ind w:firstLine="0"/>
                    <w:jc w:val="center"/>
                    <w:textAlignment w:val="auto"/>
                    <w:rPr>
                      <w:b/>
                      <w:bCs/>
                      <w:snapToGrid w:val="0"/>
                      <w:color w:val="000000"/>
                      <w:spacing w:val="-6"/>
                      <w:szCs w:val="21"/>
                    </w:rPr>
                  </w:pPr>
                  <w:r>
                    <w:rPr>
                      <w:rFonts w:hint="eastAsia"/>
                      <w:b/>
                      <w:bCs/>
                      <w:snapToGrid w:val="0"/>
                      <w:color w:val="000000"/>
                      <w:spacing w:val="-6"/>
                      <w:szCs w:val="21"/>
                    </w:rPr>
                    <w:t>排放量</w:t>
                  </w:r>
                  <w:r>
                    <w:rPr>
                      <w:b/>
                      <w:bCs/>
                      <w:snapToGrid w:val="0"/>
                      <w:color w:val="000000"/>
                      <w:spacing w:val="-6"/>
                      <w:szCs w:val="21"/>
                    </w:rPr>
                    <w:t>t/a</w:t>
                  </w:r>
                </w:p>
              </w:tc>
              <w:tc>
                <w:tcPr>
                  <w:tcW w:w="441" w:type="pct"/>
                  <w:vMerge w:val="continue"/>
                  <w:tcBorders>
                    <w:tl2br w:val="nil"/>
                    <w:tr2bl w:val="nil"/>
                  </w:tcBorders>
                  <w:noWrap w:val="0"/>
                  <w:vAlign w:val="center"/>
                </w:tcPr>
                <w:p w14:paraId="46353B9C">
                  <w:pPr>
                    <w:keepNext w:val="0"/>
                    <w:keepLines w:val="0"/>
                    <w:pageBreakBefore w:val="0"/>
                    <w:widowControl/>
                    <w:kinsoku/>
                    <w:wordWrap/>
                    <w:overflowPunct/>
                    <w:topLinePunct w:val="0"/>
                    <w:autoSpaceDE/>
                    <w:autoSpaceDN/>
                    <w:bidi w:val="0"/>
                    <w:adjustRightInd w:val="0"/>
                    <w:snapToGrid w:val="0"/>
                    <w:ind w:firstLine="0"/>
                    <w:jc w:val="center"/>
                    <w:textAlignment w:val="auto"/>
                    <w:rPr>
                      <w:b/>
                      <w:bCs/>
                      <w:snapToGrid w:val="0"/>
                      <w:color w:val="000000"/>
                      <w:spacing w:val="-6"/>
                      <w:szCs w:val="21"/>
                    </w:rPr>
                  </w:pPr>
                </w:p>
              </w:tc>
              <w:tc>
                <w:tcPr>
                  <w:tcW w:w="422" w:type="pct"/>
                  <w:vMerge w:val="continue"/>
                  <w:tcBorders>
                    <w:tl2br w:val="nil"/>
                    <w:tr2bl w:val="nil"/>
                  </w:tcBorders>
                  <w:noWrap w:val="0"/>
                  <w:vAlign w:val="center"/>
                </w:tcPr>
                <w:p w14:paraId="7A849382">
                  <w:pPr>
                    <w:keepNext w:val="0"/>
                    <w:keepLines w:val="0"/>
                    <w:pageBreakBefore w:val="0"/>
                    <w:widowControl/>
                    <w:kinsoku/>
                    <w:wordWrap/>
                    <w:overflowPunct/>
                    <w:topLinePunct w:val="0"/>
                    <w:autoSpaceDE/>
                    <w:autoSpaceDN/>
                    <w:bidi w:val="0"/>
                    <w:adjustRightInd w:val="0"/>
                    <w:snapToGrid w:val="0"/>
                    <w:ind w:firstLine="0"/>
                    <w:jc w:val="center"/>
                    <w:textAlignment w:val="auto"/>
                    <w:rPr>
                      <w:b/>
                      <w:bCs/>
                      <w:snapToGrid w:val="0"/>
                      <w:color w:val="000000"/>
                      <w:spacing w:val="-6"/>
                      <w:szCs w:val="21"/>
                    </w:rPr>
                  </w:pPr>
                </w:p>
              </w:tc>
              <w:tc>
                <w:tcPr>
                  <w:tcW w:w="460" w:type="pct"/>
                  <w:vMerge w:val="continue"/>
                  <w:tcBorders>
                    <w:tl2br w:val="nil"/>
                    <w:tr2bl w:val="nil"/>
                  </w:tcBorders>
                  <w:noWrap w:val="0"/>
                  <w:vAlign w:val="center"/>
                </w:tcPr>
                <w:p w14:paraId="4A2B0844">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pacing w:val="-20"/>
                      <w:szCs w:val="21"/>
                    </w:rPr>
                  </w:pPr>
                </w:p>
              </w:tc>
            </w:tr>
            <w:tr w14:paraId="04F00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2" w:type="pct"/>
                  <w:vMerge w:val="restart"/>
                  <w:tcBorders>
                    <w:tl2br w:val="nil"/>
                    <w:tr2bl w:val="nil"/>
                  </w:tcBorders>
                  <w:noWrap w:val="0"/>
                  <w:vAlign w:val="center"/>
                </w:tcPr>
                <w:p w14:paraId="35663C3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pacing w:val="-14"/>
                      <w:szCs w:val="21"/>
                      <w:lang w:val="en-US" w:eastAsia="zh-CN"/>
                    </w:rPr>
                  </w:pPr>
                  <w:r>
                    <w:rPr>
                      <w:rFonts w:hint="eastAsia"/>
                      <w:color w:val="000000"/>
                      <w:spacing w:val="-6"/>
                      <w:szCs w:val="21"/>
                      <w:lang w:val="en-US" w:eastAsia="zh-CN"/>
                    </w:rPr>
                    <w:t>车间</w:t>
                  </w:r>
                </w:p>
              </w:tc>
              <w:tc>
                <w:tcPr>
                  <w:tcW w:w="476" w:type="pct"/>
                  <w:vMerge w:val="restart"/>
                  <w:tcBorders>
                    <w:tl2br w:val="nil"/>
                    <w:tr2bl w:val="nil"/>
                  </w:tcBorders>
                  <w:noWrap w:val="0"/>
                  <w:vAlign w:val="center"/>
                </w:tcPr>
                <w:p w14:paraId="47FFD631">
                  <w:pPr>
                    <w:keepNext w:val="0"/>
                    <w:keepLines w:val="0"/>
                    <w:pageBreakBefore w:val="0"/>
                    <w:kinsoku/>
                    <w:wordWrap/>
                    <w:overflowPunct/>
                    <w:topLinePunct w:val="0"/>
                    <w:autoSpaceDE/>
                    <w:autoSpaceDN/>
                    <w:bidi w:val="0"/>
                    <w:adjustRightInd w:val="0"/>
                    <w:snapToGrid w:val="0"/>
                    <w:ind w:firstLine="0"/>
                    <w:jc w:val="center"/>
                    <w:textAlignment w:val="auto"/>
                    <w:rPr>
                      <w:color w:val="000000"/>
                      <w:spacing w:val="-6"/>
                      <w:szCs w:val="21"/>
                    </w:rPr>
                  </w:pPr>
                  <w:r>
                    <w:rPr>
                      <w:rFonts w:hint="eastAsia"/>
                      <w:color w:val="000000"/>
                      <w:spacing w:val="-6"/>
                      <w:szCs w:val="21"/>
                    </w:rPr>
                    <w:t>集气设备未捕集</w:t>
                  </w:r>
                </w:p>
              </w:tc>
              <w:tc>
                <w:tcPr>
                  <w:tcW w:w="544" w:type="pct"/>
                  <w:tcBorders>
                    <w:tl2br w:val="nil"/>
                    <w:tr2bl w:val="nil"/>
                  </w:tcBorders>
                  <w:noWrap w:val="0"/>
                  <w:vAlign w:val="center"/>
                </w:tcPr>
                <w:p w14:paraId="677AF59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szCs w:val="21"/>
                      <w:lang w:val="en-US" w:eastAsia="zh-CN"/>
                    </w:rPr>
                  </w:pPr>
                  <w:r>
                    <w:rPr>
                      <w:rFonts w:hint="eastAsia"/>
                      <w:b w:val="0"/>
                      <w:bCs w:val="0"/>
                      <w:color w:val="000000"/>
                      <w:szCs w:val="21"/>
                      <w:lang w:val="en-US" w:eastAsia="zh-CN"/>
                    </w:rPr>
                    <w:t>颗粒物</w:t>
                  </w:r>
                </w:p>
              </w:tc>
              <w:tc>
                <w:tcPr>
                  <w:tcW w:w="457" w:type="pct"/>
                  <w:tcBorders>
                    <w:tl2br w:val="nil"/>
                    <w:tr2bl w:val="nil"/>
                  </w:tcBorders>
                  <w:noWrap w:val="0"/>
                  <w:vAlign w:val="center"/>
                </w:tcPr>
                <w:p w14:paraId="4F4AE26F">
                  <w:pPr>
                    <w:keepNext w:val="0"/>
                    <w:keepLines w:val="0"/>
                    <w:widowControl/>
                    <w:suppressLineNumbers w:val="0"/>
                    <w:jc w:val="center"/>
                    <w:textAlignment w:val="center"/>
                    <w:rPr>
                      <w:rFonts w:hint="default" w:ascii="Times New Roman" w:hAnsi="Times New Roman" w:eastAsia="宋体" w:cs="Times New Roman"/>
                      <w:snapToGrid w:val="0"/>
                      <w:color w:val="000000"/>
                      <w:spacing w:val="-6"/>
                      <w:kern w:val="2"/>
                      <w:sz w:val="21"/>
                      <w:szCs w:val="21"/>
                      <w:highlight w:val="none"/>
                      <w:lang w:val="en-US" w:eastAsia="zh-CN" w:bidi="ar-SA"/>
                    </w:rPr>
                  </w:pPr>
                  <w:r>
                    <w:rPr>
                      <w:rFonts w:hint="eastAsia" w:cs="Times New Roman"/>
                      <w:snapToGrid w:val="0"/>
                      <w:color w:val="000000"/>
                      <w:spacing w:val="-6"/>
                      <w:kern w:val="2"/>
                      <w:sz w:val="21"/>
                      <w:szCs w:val="21"/>
                      <w:highlight w:val="none"/>
                      <w:lang w:val="en-US" w:eastAsia="zh-CN" w:bidi="ar-SA"/>
                    </w:rPr>
                    <w:t>0.004043</w:t>
                  </w:r>
                </w:p>
              </w:tc>
              <w:tc>
                <w:tcPr>
                  <w:tcW w:w="454" w:type="pct"/>
                  <w:tcBorders>
                    <w:tl2br w:val="nil"/>
                    <w:tr2bl w:val="nil"/>
                  </w:tcBorders>
                  <w:noWrap w:val="0"/>
                  <w:vAlign w:val="center"/>
                </w:tcPr>
                <w:p w14:paraId="4097EBD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0.00841</w:t>
                  </w:r>
                </w:p>
              </w:tc>
              <w:tc>
                <w:tcPr>
                  <w:tcW w:w="523" w:type="pct"/>
                  <w:vMerge w:val="restart"/>
                  <w:tcBorders>
                    <w:tl2br w:val="nil"/>
                    <w:tr2bl w:val="nil"/>
                  </w:tcBorders>
                  <w:noWrap w:val="0"/>
                  <w:vAlign w:val="center"/>
                </w:tcPr>
                <w:p w14:paraId="4897691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snapToGrid w:val="0"/>
                      <w:color w:val="000000"/>
                      <w:spacing w:val="-6"/>
                      <w:kern w:val="2"/>
                      <w:sz w:val="21"/>
                      <w:szCs w:val="21"/>
                      <w:highlight w:val="none"/>
                      <w:lang w:val="en-US" w:eastAsia="zh-CN" w:bidi="ar-SA"/>
                    </w:rPr>
                  </w:pPr>
                  <w:r>
                    <w:rPr>
                      <w:rFonts w:hint="eastAsia" w:ascii="Times New Roman" w:hAnsi="Times New Roman" w:eastAsia="宋体" w:cs="Times New Roman"/>
                      <w:snapToGrid w:val="0"/>
                      <w:color w:val="000000"/>
                      <w:spacing w:val="-6"/>
                      <w:kern w:val="2"/>
                      <w:sz w:val="21"/>
                      <w:szCs w:val="21"/>
                      <w:highlight w:val="none"/>
                      <w:lang w:val="en-US" w:eastAsia="zh-CN" w:bidi="ar-SA"/>
                    </w:rPr>
                    <w:t>加强车间通风</w:t>
                  </w:r>
                </w:p>
              </w:tc>
              <w:tc>
                <w:tcPr>
                  <w:tcW w:w="428" w:type="pct"/>
                  <w:tcBorders>
                    <w:tl2br w:val="nil"/>
                    <w:tr2bl w:val="nil"/>
                  </w:tcBorders>
                  <w:noWrap w:val="0"/>
                  <w:vAlign w:val="center"/>
                </w:tcPr>
                <w:p w14:paraId="61EFE9CC">
                  <w:pPr>
                    <w:keepNext w:val="0"/>
                    <w:keepLines w:val="0"/>
                    <w:widowControl/>
                    <w:suppressLineNumbers w:val="0"/>
                    <w:jc w:val="center"/>
                    <w:textAlignment w:val="center"/>
                    <w:rPr>
                      <w:rFonts w:hint="default" w:ascii="Times New Roman" w:hAnsi="Times New Roman" w:eastAsia="宋体" w:cs="Times New Roman"/>
                      <w:snapToGrid w:val="0"/>
                      <w:color w:val="000000"/>
                      <w:spacing w:val="-6"/>
                      <w:kern w:val="2"/>
                      <w:sz w:val="21"/>
                      <w:szCs w:val="21"/>
                      <w:highlight w:val="none"/>
                      <w:lang w:val="en-US" w:eastAsia="zh-CN" w:bidi="ar-SA"/>
                    </w:rPr>
                  </w:pPr>
                  <w:r>
                    <w:rPr>
                      <w:rFonts w:hint="eastAsia" w:cs="Times New Roman"/>
                      <w:snapToGrid w:val="0"/>
                      <w:color w:val="000000"/>
                      <w:spacing w:val="-6"/>
                      <w:kern w:val="2"/>
                      <w:sz w:val="21"/>
                      <w:szCs w:val="21"/>
                      <w:highlight w:val="none"/>
                      <w:lang w:val="en-US" w:eastAsia="zh-CN" w:bidi="ar-SA"/>
                    </w:rPr>
                    <w:t>0.004043</w:t>
                  </w:r>
                </w:p>
              </w:tc>
              <w:tc>
                <w:tcPr>
                  <w:tcW w:w="447" w:type="pct"/>
                  <w:tcBorders>
                    <w:tl2br w:val="nil"/>
                    <w:tr2bl w:val="nil"/>
                  </w:tcBorders>
                  <w:noWrap w:val="0"/>
                  <w:vAlign w:val="center"/>
                </w:tcPr>
                <w:p w14:paraId="0113C50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0.00841</w:t>
                  </w:r>
                </w:p>
              </w:tc>
              <w:tc>
                <w:tcPr>
                  <w:tcW w:w="441" w:type="pct"/>
                  <w:vMerge w:val="restart"/>
                  <w:tcBorders>
                    <w:tl2br w:val="nil"/>
                    <w:tr2bl w:val="nil"/>
                  </w:tcBorders>
                  <w:noWrap w:val="0"/>
                  <w:vAlign w:val="center"/>
                </w:tcPr>
                <w:p w14:paraId="7F53068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napToGrid w:val="0"/>
                      <w:color w:val="000000"/>
                      <w:spacing w:val="-6"/>
                      <w:szCs w:val="21"/>
                      <w:lang w:val="en-US" w:eastAsia="zh-CN"/>
                    </w:rPr>
                  </w:pPr>
                  <w:r>
                    <w:rPr>
                      <w:rFonts w:hint="eastAsia"/>
                      <w:snapToGrid w:val="0"/>
                      <w:color w:val="000000"/>
                      <w:spacing w:val="-6"/>
                      <w:szCs w:val="21"/>
                      <w:lang w:val="en-US" w:eastAsia="zh-CN"/>
                    </w:rPr>
                    <w:t>1200</w:t>
                  </w:r>
                </w:p>
              </w:tc>
              <w:tc>
                <w:tcPr>
                  <w:tcW w:w="422" w:type="pct"/>
                  <w:vMerge w:val="restart"/>
                  <w:tcBorders>
                    <w:tl2br w:val="nil"/>
                    <w:tr2bl w:val="nil"/>
                  </w:tcBorders>
                  <w:noWrap w:val="0"/>
                  <w:vAlign w:val="center"/>
                </w:tcPr>
                <w:p w14:paraId="58BDBB3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napToGrid w:val="0"/>
                      <w:color w:val="000000"/>
                      <w:spacing w:val="-6"/>
                      <w:szCs w:val="21"/>
                      <w:lang w:val="en-US" w:eastAsia="zh-CN"/>
                    </w:rPr>
                  </w:pPr>
                  <w:r>
                    <w:rPr>
                      <w:rFonts w:hint="eastAsia" w:eastAsia="宋体"/>
                      <w:snapToGrid w:val="0"/>
                      <w:color w:val="000000"/>
                      <w:spacing w:val="-6"/>
                      <w:szCs w:val="21"/>
                      <w:lang w:val="en-US" w:eastAsia="zh-CN"/>
                    </w:rPr>
                    <w:t>5</w:t>
                  </w:r>
                </w:p>
              </w:tc>
              <w:tc>
                <w:tcPr>
                  <w:tcW w:w="460" w:type="pct"/>
                  <w:vMerge w:val="restart"/>
                  <w:tcBorders>
                    <w:tl2br w:val="nil"/>
                    <w:tr2bl w:val="nil"/>
                  </w:tcBorders>
                  <w:noWrap w:val="0"/>
                  <w:vAlign w:val="center"/>
                </w:tcPr>
                <w:p w14:paraId="338F67C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napToGrid w:val="0"/>
                      <w:color w:val="000000"/>
                      <w:spacing w:val="-6"/>
                      <w:szCs w:val="21"/>
                      <w:lang w:val="en-US" w:eastAsia="zh-CN"/>
                    </w:rPr>
                  </w:pPr>
                  <w:r>
                    <w:rPr>
                      <w:rFonts w:hint="eastAsia"/>
                      <w:snapToGrid w:val="0"/>
                      <w:color w:val="000000"/>
                      <w:spacing w:val="-6"/>
                      <w:szCs w:val="21"/>
                      <w:lang w:val="en-US" w:eastAsia="zh-CN"/>
                    </w:rPr>
                    <w:t>2080</w:t>
                  </w:r>
                </w:p>
              </w:tc>
            </w:tr>
            <w:tr w14:paraId="31CE2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42" w:type="pct"/>
                  <w:vMerge w:val="continue"/>
                  <w:tcBorders>
                    <w:tl2br w:val="nil"/>
                    <w:tr2bl w:val="nil"/>
                  </w:tcBorders>
                  <w:noWrap w:val="0"/>
                  <w:vAlign w:val="center"/>
                </w:tcPr>
                <w:p w14:paraId="1755D58D">
                  <w:pPr>
                    <w:keepNext w:val="0"/>
                    <w:keepLines w:val="0"/>
                    <w:pageBreakBefore w:val="0"/>
                    <w:kinsoku/>
                    <w:wordWrap/>
                    <w:overflowPunct/>
                    <w:topLinePunct w:val="0"/>
                    <w:autoSpaceDE/>
                    <w:autoSpaceDN/>
                    <w:bidi w:val="0"/>
                    <w:adjustRightInd w:val="0"/>
                    <w:snapToGrid w:val="0"/>
                    <w:ind w:firstLine="0"/>
                    <w:jc w:val="center"/>
                    <w:textAlignment w:val="auto"/>
                    <w:rPr>
                      <w:color w:val="000000"/>
                      <w:spacing w:val="-14"/>
                      <w:szCs w:val="21"/>
                    </w:rPr>
                  </w:pPr>
                </w:p>
              </w:tc>
              <w:tc>
                <w:tcPr>
                  <w:tcW w:w="476" w:type="pct"/>
                  <w:vMerge w:val="continue"/>
                  <w:tcBorders>
                    <w:tl2br w:val="nil"/>
                    <w:tr2bl w:val="nil"/>
                  </w:tcBorders>
                  <w:noWrap w:val="0"/>
                  <w:vAlign w:val="center"/>
                </w:tcPr>
                <w:p w14:paraId="3C7A0135">
                  <w:pPr>
                    <w:keepNext w:val="0"/>
                    <w:keepLines w:val="0"/>
                    <w:pageBreakBefore w:val="0"/>
                    <w:kinsoku/>
                    <w:wordWrap/>
                    <w:overflowPunct/>
                    <w:topLinePunct w:val="0"/>
                    <w:autoSpaceDE/>
                    <w:autoSpaceDN/>
                    <w:bidi w:val="0"/>
                    <w:adjustRightInd w:val="0"/>
                    <w:snapToGrid w:val="0"/>
                    <w:ind w:firstLine="0"/>
                    <w:jc w:val="center"/>
                    <w:textAlignment w:val="auto"/>
                    <w:rPr>
                      <w:color w:val="000000"/>
                      <w:spacing w:val="-6"/>
                      <w:szCs w:val="21"/>
                    </w:rPr>
                  </w:pPr>
                </w:p>
              </w:tc>
              <w:tc>
                <w:tcPr>
                  <w:tcW w:w="544" w:type="pct"/>
                  <w:tcBorders>
                    <w:tl2br w:val="nil"/>
                    <w:tr2bl w:val="nil"/>
                  </w:tcBorders>
                  <w:noWrap w:val="0"/>
                  <w:vAlign w:val="center"/>
                </w:tcPr>
                <w:p w14:paraId="50E49B7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非甲烷总烃</w:t>
                  </w:r>
                </w:p>
              </w:tc>
              <w:tc>
                <w:tcPr>
                  <w:tcW w:w="457" w:type="pct"/>
                  <w:tcBorders>
                    <w:tl2br w:val="nil"/>
                    <w:tr2bl w:val="nil"/>
                  </w:tcBorders>
                  <w:shd w:val="clear" w:color="auto" w:fill="auto"/>
                  <w:noWrap w:val="0"/>
                  <w:vAlign w:val="center"/>
                </w:tcPr>
                <w:p w14:paraId="192DD057">
                  <w:pPr>
                    <w:keepNext w:val="0"/>
                    <w:keepLines w:val="0"/>
                    <w:widowControl/>
                    <w:suppressLineNumbers w:val="0"/>
                    <w:jc w:val="center"/>
                    <w:textAlignment w:val="center"/>
                    <w:rPr>
                      <w:rFonts w:hint="default" w:ascii="Times New Roman" w:hAnsi="Times New Roman" w:eastAsia="宋体" w:cs="Times New Roman"/>
                      <w:snapToGrid w:val="0"/>
                      <w:color w:val="000000"/>
                      <w:spacing w:val="-6"/>
                      <w:kern w:val="2"/>
                      <w:sz w:val="21"/>
                      <w:szCs w:val="21"/>
                      <w:highlight w:val="none"/>
                      <w:lang w:val="en-US" w:eastAsia="zh-CN" w:bidi="ar-SA"/>
                    </w:rPr>
                  </w:pPr>
                  <w:r>
                    <w:rPr>
                      <w:rFonts w:hint="eastAsia" w:cs="Times New Roman"/>
                      <w:snapToGrid w:val="0"/>
                      <w:color w:val="000000"/>
                      <w:spacing w:val="-6"/>
                      <w:kern w:val="2"/>
                      <w:sz w:val="21"/>
                      <w:szCs w:val="21"/>
                      <w:highlight w:val="none"/>
                      <w:lang w:val="en-US" w:eastAsia="zh-CN" w:bidi="ar-SA"/>
                    </w:rPr>
                    <w:t>0.001242</w:t>
                  </w:r>
                </w:p>
              </w:tc>
              <w:tc>
                <w:tcPr>
                  <w:tcW w:w="454" w:type="pct"/>
                  <w:tcBorders>
                    <w:tl2br w:val="nil"/>
                    <w:tr2bl w:val="nil"/>
                  </w:tcBorders>
                  <w:shd w:val="clear" w:color="auto" w:fill="auto"/>
                  <w:noWrap w:val="0"/>
                  <w:vAlign w:val="center"/>
                </w:tcPr>
                <w:p w14:paraId="48BD2F3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0.002584</w:t>
                  </w:r>
                </w:p>
              </w:tc>
              <w:tc>
                <w:tcPr>
                  <w:tcW w:w="523" w:type="pct"/>
                  <w:vMerge w:val="continue"/>
                  <w:tcBorders>
                    <w:tl2br w:val="nil"/>
                    <w:tr2bl w:val="nil"/>
                  </w:tcBorders>
                  <w:noWrap w:val="0"/>
                  <w:vAlign w:val="center"/>
                </w:tcPr>
                <w:p w14:paraId="0FC83E2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snapToGrid w:val="0"/>
                      <w:color w:val="000000"/>
                      <w:spacing w:val="-6"/>
                      <w:kern w:val="2"/>
                      <w:sz w:val="21"/>
                      <w:szCs w:val="21"/>
                      <w:highlight w:val="none"/>
                      <w:lang w:val="en-US" w:eastAsia="zh-CN" w:bidi="ar-SA"/>
                    </w:rPr>
                  </w:pPr>
                </w:p>
              </w:tc>
              <w:tc>
                <w:tcPr>
                  <w:tcW w:w="428" w:type="pct"/>
                  <w:tcBorders>
                    <w:tl2br w:val="nil"/>
                    <w:tr2bl w:val="nil"/>
                  </w:tcBorders>
                  <w:shd w:val="clear" w:color="auto" w:fill="auto"/>
                  <w:noWrap w:val="0"/>
                  <w:vAlign w:val="center"/>
                </w:tcPr>
                <w:p w14:paraId="379ACD25">
                  <w:pPr>
                    <w:keepNext w:val="0"/>
                    <w:keepLines w:val="0"/>
                    <w:widowControl/>
                    <w:suppressLineNumbers w:val="0"/>
                    <w:jc w:val="center"/>
                    <w:textAlignment w:val="center"/>
                    <w:rPr>
                      <w:rFonts w:hint="default" w:ascii="Times New Roman" w:hAnsi="Times New Roman" w:eastAsia="宋体" w:cs="Times New Roman"/>
                      <w:snapToGrid w:val="0"/>
                      <w:color w:val="000000"/>
                      <w:spacing w:val="-6"/>
                      <w:kern w:val="2"/>
                      <w:sz w:val="21"/>
                      <w:szCs w:val="21"/>
                      <w:highlight w:val="none"/>
                      <w:lang w:val="en-US" w:eastAsia="zh-CN" w:bidi="ar-SA"/>
                    </w:rPr>
                  </w:pPr>
                  <w:r>
                    <w:rPr>
                      <w:rFonts w:hint="eastAsia" w:cs="Times New Roman"/>
                      <w:snapToGrid w:val="0"/>
                      <w:color w:val="000000"/>
                      <w:spacing w:val="-6"/>
                      <w:kern w:val="2"/>
                      <w:sz w:val="21"/>
                      <w:szCs w:val="21"/>
                      <w:highlight w:val="none"/>
                      <w:lang w:val="en-US" w:eastAsia="zh-CN" w:bidi="ar-SA"/>
                    </w:rPr>
                    <w:t>0.001242</w:t>
                  </w:r>
                </w:p>
              </w:tc>
              <w:tc>
                <w:tcPr>
                  <w:tcW w:w="447" w:type="pct"/>
                  <w:tcBorders>
                    <w:tl2br w:val="nil"/>
                    <w:tr2bl w:val="nil"/>
                  </w:tcBorders>
                  <w:shd w:val="clear" w:color="auto" w:fill="auto"/>
                  <w:noWrap w:val="0"/>
                  <w:vAlign w:val="center"/>
                </w:tcPr>
                <w:p w14:paraId="567C5ED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000000"/>
                      <w:kern w:val="2"/>
                      <w:sz w:val="21"/>
                      <w:szCs w:val="21"/>
                      <w:lang w:val="en-US" w:eastAsia="zh-CN" w:bidi="ar-SA"/>
                    </w:rPr>
                  </w:pPr>
                  <w:r>
                    <w:rPr>
                      <w:rFonts w:hint="eastAsia" w:cs="Times New Roman"/>
                      <w:b w:val="0"/>
                      <w:bCs w:val="0"/>
                      <w:color w:val="000000"/>
                      <w:kern w:val="2"/>
                      <w:sz w:val="21"/>
                      <w:szCs w:val="21"/>
                      <w:lang w:val="en-US" w:eastAsia="zh-CN" w:bidi="ar-SA"/>
                    </w:rPr>
                    <w:t>0.002584</w:t>
                  </w:r>
                </w:p>
              </w:tc>
              <w:tc>
                <w:tcPr>
                  <w:tcW w:w="441" w:type="pct"/>
                  <w:vMerge w:val="continue"/>
                  <w:tcBorders>
                    <w:tl2br w:val="nil"/>
                    <w:tr2bl w:val="nil"/>
                  </w:tcBorders>
                  <w:noWrap w:val="0"/>
                  <w:vAlign w:val="center"/>
                </w:tcPr>
                <w:p w14:paraId="73C8828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napToGrid w:val="0"/>
                      <w:color w:val="000000"/>
                      <w:spacing w:val="-6"/>
                      <w:szCs w:val="21"/>
                      <w:lang w:val="en-US" w:eastAsia="zh-CN"/>
                    </w:rPr>
                  </w:pPr>
                </w:p>
              </w:tc>
              <w:tc>
                <w:tcPr>
                  <w:tcW w:w="422" w:type="pct"/>
                  <w:vMerge w:val="continue"/>
                  <w:tcBorders>
                    <w:tl2br w:val="nil"/>
                    <w:tr2bl w:val="nil"/>
                  </w:tcBorders>
                  <w:noWrap w:val="0"/>
                  <w:vAlign w:val="center"/>
                </w:tcPr>
                <w:p w14:paraId="3FB043BD">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snapToGrid w:val="0"/>
                      <w:color w:val="000000"/>
                      <w:spacing w:val="-6"/>
                      <w:szCs w:val="21"/>
                      <w:lang w:val="en-US" w:eastAsia="zh-CN"/>
                    </w:rPr>
                  </w:pPr>
                </w:p>
              </w:tc>
              <w:tc>
                <w:tcPr>
                  <w:tcW w:w="460" w:type="pct"/>
                  <w:vMerge w:val="continue"/>
                  <w:tcBorders>
                    <w:tl2br w:val="nil"/>
                    <w:tr2bl w:val="nil"/>
                  </w:tcBorders>
                  <w:noWrap w:val="0"/>
                  <w:vAlign w:val="center"/>
                </w:tcPr>
                <w:p w14:paraId="4BD4D16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snapToGrid w:val="0"/>
                      <w:color w:val="000000"/>
                      <w:spacing w:val="-6"/>
                      <w:szCs w:val="21"/>
                      <w:lang w:val="en-US" w:eastAsia="zh-CN"/>
                    </w:rPr>
                  </w:pPr>
                </w:p>
              </w:tc>
            </w:tr>
          </w:tbl>
          <w:p w14:paraId="63E6A8D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b/>
                <w:bCs/>
                <w:color w:val="000000"/>
                <w:sz w:val="21"/>
                <w:szCs w:val="21"/>
              </w:rPr>
            </w:pPr>
            <w:r>
              <w:rPr>
                <w:rFonts w:hint="eastAsia"/>
                <w:b/>
                <w:bCs/>
                <w:color w:val="000000"/>
                <w:sz w:val="21"/>
                <w:szCs w:val="21"/>
              </w:rPr>
              <w:t>表4-</w:t>
            </w:r>
            <w:r>
              <w:rPr>
                <w:rFonts w:hint="eastAsia"/>
                <w:b/>
                <w:bCs/>
                <w:color w:val="000000"/>
                <w:sz w:val="21"/>
                <w:szCs w:val="21"/>
                <w:lang w:val="en-US" w:eastAsia="zh-CN"/>
              </w:rPr>
              <w:t>5</w:t>
            </w:r>
            <w:r>
              <w:rPr>
                <w:rFonts w:hint="eastAsia"/>
                <w:b/>
                <w:bCs/>
                <w:color w:val="000000"/>
                <w:sz w:val="21"/>
                <w:szCs w:val="21"/>
              </w:rPr>
              <w:t xml:space="preserve"> 本项目有组织废气排放口基本情况表</w:t>
            </w:r>
          </w:p>
          <w:tbl>
            <w:tblPr>
              <w:tblStyle w:val="2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655"/>
              <w:gridCol w:w="1328"/>
              <w:gridCol w:w="1312"/>
              <w:gridCol w:w="1275"/>
              <w:gridCol w:w="1063"/>
              <w:gridCol w:w="1137"/>
              <w:gridCol w:w="1000"/>
              <w:gridCol w:w="1088"/>
              <w:gridCol w:w="1095"/>
            </w:tblGrid>
            <w:tr w14:paraId="7A2A2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vMerge w:val="restart"/>
                  <w:tcBorders>
                    <w:tl2br w:val="nil"/>
                    <w:tr2bl w:val="nil"/>
                  </w:tcBorders>
                  <w:noWrap w:val="0"/>
                  <w:vAlign w:val="center"/>
                </w:tcPr>
                <w:p w14:paraId="766AC8A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b/>
                      <w:bCs/>
                      <w:color w:val="000000"/>
                      <w:sz w:val="21"/>
                      <w:szCs w:val="21"/>
                    </w:rPr>
                    <w:t>排放口编号及名称</w:t>
                  </w:r>
                </w:p>
              </w:tc>
              <w:tc>
                <w:tcPr>
                  <w:tcW w:w="1655" w:type="dxa"/>
                  <w:vMerge w:val="restart"/>
                  <w:tcBorders>
                    <w:tl2br w:val="nil"/>
                    <w:tr2bl w:val="nil"/>
                  </w:tcBorders>
                  <w:noWrap w:val="0"/>
                  <w:vAlign w:val="center"/>
                </w:tcPr>
                <w:p w14:paraId="793ED72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b/>
                      <w:bCs/>
                      <w:color w:val="000000"/>
                      <w:sz w:val="21"/>
                      <w:szCs w:val="21"/>
                    </w:rPr>
                    <w:t>污染物种类</w:t>
                  </w:r>
                </w:p>
              </w:tc>
              <w:tc>
                <w:tcPr>
                  <w:tcW w:w="2640" w:type="dxa"/>
                  <w:gridSpan w:val="2"/>
                  <w:tcBorders>
                    <w:tl2br w:val="nil"/>
                    <w:tr2bl w:val="nil"/>
                  </w:tcBorders>
                  <w:noWrap w:val="0"/>
                  <w:vAlign w:val="center"/>
                </w:tcPr>
                <w:p w14:paraId="2AC8892C">
                  <w:pPr>
                    <w:pStyle w:val="8"/>
                    <w:pBdr>
                      <w:bottom w:val="none" w:color="auto" w:sz="0" w:space="0"/>
                    </w:pBdr>
                    <w:jc w:val="center"/>
                    <w:rPr>
                      <w:rFonts w:hint="eastAsia"/>
                      <w:color w:val="000000"/>
                      <w:sz w:val="21"/>
                      <w:szCs w:val="21"/>
                      <w:highlight w:val="none"/>
                      <w:vertAlign w:val="baseline"/>
                    </w:rPr>
                  </w:pPr>
                  <w:r>
                    <w:rPr>
                      <w:rFonts w:hint="eastAsia"/>
                      <w:b/>
                      <w:bCs/>
                      <w:color w:val="000000"/>
                      <w:sz w:val="21"/>
                      <w:szCs w:val="21"/>
                      <w:highlight w:val="none"/>
                    </w:rPr>
                    <w:t>排放口地理坐标</w:t>
                  </w:r>
                  <w:r>
                    <w:rPr>
                      <w:rFonts w:hint="eastAsia"/>
                      <w:b/>
                      <w:bCs/>
                      <w:color w:val="000000"/>
                      <w:sz w:val="21"/>
                      <w:szCs w:val="21"/>
                      <w:highlight w:val="none"/>
                      <w:lang w:eastAsia="zh-CN"/>
                    </w:rPr>
                    <w:t>（</w:t>
                  </w:r>
                  <w:r>
                    <w:rPr>
                      <w:rFonts w:hint="eastAsia"/>
                      <w:b/>
                      <w:bCs/>
                      <w:color w:val="000000"/>
                      <w:sz w:val="21"/>
                      <w:szCs w:val="21"/>
                      <w:highlight w:val="none"/>
                      <w:lang w:val="en-US" w:eastAsia="zh-CN"/>
                    </w:rPr>
                    <w:t>°</w:t>
                  </w:r>
                  <w:r>
                    <w:rPr>
                      <w:rFonts w:hint="eastAsia"/>
                      <w:b/>
                      <w:bCs/>
                      <w:color w:val="000000"/>
                      <w:sz w:val="21"/>
                      <w:szCs w:val="21"/>
                      <w:highlight w:val="none"/>
                      <w:lang w:eastAsia="zh-CN"/>
                    </w:rPr>
                    <w:t>）</w:t>
                  </w:r>
                </w:p>
              </w:tc>
              <w:tc>
                <w:tcPr>
                  <w:tcW w:w="1275" w:type="dxa"/>
                  <w:vMerge w:val="restart"/>
                  <w:tcBorders>
                    <w:tl2br w:val="nil"/>
                    <w:tr2bl w:val="nil"/>
                  </w:tcBorders>
                  <w:noWrap w:val="0"/>
                  <w:vAlign w:val="center"/>
                </w:tcPr>
                <w:p w14:paraId="23DEC16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b/>
                      <w:bCs/>
                      <w:color w:val="000000"/>
                      <w:sz w:val="21"/>
                      <w:szCs w:val="21"/>
                    </w:rPr>
                    <w:t>排放口类型</w:t>
                  </w:r>
                </w:p>
              </w:tc>
              <w:tc>
                <w:tcPr>
                  <w:tcW w:w="1063" w:type="dxa"/>
                  <w:vMerge w:val="restart"/>
                  <w:tcBorders>
                    <w:tl2br w:val="nil"/>
                    <w:tr2bl w:val="nil"/>
                  </w:tcBorders>
                  <w:noWrap w:val="0"/>
                  <w:vAlign w:val="center"/>
                </w:tcPr>
                <w:p w14:paraId="207F3B3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highlight w:val="none"/>
                      <w:lang w:val="en-US" w:eastAsia="zh-CN" w:bidi="ar-SA"/>
                    </w:rPr>
                  </w:pPr>
                  <w:r>
                    <w:rPr>
                      <w:rFonts w:hint="eastAsia"/>
                      <w:b/>
                      <w:bCs/>
                      <w:color w:val="000000"/>
                      <w:sz w:val="21"/>
                      <w:szCs w:val="21"/>
                      <w:highlight w:val="none"/>
                    </w:rPr>
                    <w:t>排气筒高度</w:t>
                  </w:r>
                  <w:r>
                    <w:rPr>
                      <w:b/>
                      <w:bCs/>
                      <w:color w:val="000000"/>
                      <w:sz w:val="21"/>
                      <w:szCs w:val="21"/>
                      <w:highlight w:val="none"/>
                    </w:rPr>
                    <w:t>m</w:t>
                  </w:r>
                </w:p>
              </w:tc>
              <w:tc>
                <w:tcPr>
                  <w:tcW w:w="1137" w:type="dxa"/>
                  <w:vMerge w:val="restart"/>
                  <w:tcBorders>
                    <w:tl2br w:val="nil"/>
                    <w:tr2bl w:val="nil"/>
                  </w:tcBorders>
                  <w:noWrap w:val="0"/>
                  <w:vAlign w:val="center"/>
                </w:tcPr>
                <w:p w14:paraId="5C2EF79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color w:val="000000"/>
                      <w:kern w:val="0"/>
                      <w:sz w:val="21"/>
                      <w:szCs w:val="21"/>
                      <w:lang w:val="en-US" w:eastAsia="zh-CN" w:bidi="ar-SA"/>
                    </w:rPr>
                  </w:pPr>
                  <w:r>
                    <w:rPr>
                      <w:rFonts w:hint="eastAsia"/>
                      <w:b/>
                      <w:color w:val="000000"/>
                      <w:kern w:val="0"/>
                      <w:sz w:val="21"/>
                      <w:szCs w:val="21"/>
                    </w:rPr>
                    <w:t>烟气流量</w:t>
                  </w:r>
                  <w:r>
                    <w:rPr>
                      <w:b/>
                      <w:color w:val="000000"/>
                      <w:kern w:val="0"/>
                      <w:sz w:val="21"/>
                      <w:szCs w:val="21"/>
                    </w:rPr>
                    <w:t>m</w:t>
                  </w:r>
                  <w:r>
                    <w:rPr>
                      <w:b/>
                      <w:color w:val="000000"/>
                      <w:kern w:val="0"/>
                      <w:sz w:val="21"/>
                      <w:szCs w:val="21"/>
                      <w:vertAlign w:val="superscript"/>
                    </w:rPr>
                    <w:t>3</w:t>
                  </w:r>
                  <w:r>
                    <w:rPr>
                      <w:b/>
                      <w:color w:val="000000"/>
                      <w:kern w:val="0"/>
                      <w:sz w:val="21"/>
                      <w:szCs w:val="21"/>
                    </w:rPr>
                    <w:t>/h</w:t>
                  </w:r>
                </w:p>
              </w:tc>
              <w:tc>
                <w:tcPr>
                  <w:tcW w:w="1000" w:type="dxa"/>
                  <w:vMerge w:val="restart"/>
                  <w:tcBorders>
                    <w:tl2br w:val="nil"/>
                    <w:tr2bl w:val="nil"/>
                  </w:tcBorders>
                  <w:noWrap w:val="0"/>
                  <w:vAlign w:val="center"/>
                </w:tcPr>
                <w:p w14:paraId="2EA5067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b/>
                      <w:bCs/>
                      <w:color w:val="000000"/>
                      <w:spacing w:val="-12"/>
                      <w:sz w:val="21"/>
                      <w:szCs w:val="21"/>
                    </w:rPr>
                    <w:t>排气筒内径</w:t>
                  </w:r>
                  <w:r>
                    <w:rPr>
                      <w:b/>
                      <w:bCs/>
                      <w:color w:val="000000"/>
                      <w:sz w:val="21"/>
                      <w:szCs w:val="21"/>
                    </w:rPr>
                    <w:t>m</w:t>
                  </w:r>
                </w:p>
              </w:tc>
              <w:tc>
                <w:tcPr>
                  <w:tcW w:w="1088" w:type="dxa"/>
                  <w:vMerge w:val="restart"/>
                  <w:tcBorders>
                    <w:tl2br w:val="nil"/>
                    <w:tr2bl w:val="nil"/>
                  </w:tcBorders>
                  <w:noWrap w:val="0"/>
                  <w:vAlign w:val="center"/>
                </w:tcPr>
                <w:p w14:paraId="5F88F81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b/>
                      <w:bCs/>
                      <w:color w:val="000000"/>
                      <w:sz w:val="21"/>
                      <w:szCs w:val="21"/>
                    </w:rPr>
                    <w:t>烟气温度</w:t>
                  </w:r>
                  <w:r>
                    <w:rPr>
                      <w:rFonts w:hint="eastAsia" w:ascii="宋体" w:hAnsi="宋体" w:cs="宋体"/>
                      <w:b/>
                      <w:bCs/>
                      <w:color w:val="000000"/>
                      <w:sz w:val="21"/>
                      <w:szCs w:val="21"/>
                    </w:rPr>
                    <w:t>℃</w:t>
                  </w:r>
                </w:p>
              </w:tc>
              <w:tc>
                <w:tcPr>
                  <w:tcW w:w="1095" w:type="dxa"/>
                  <w:vMerge w:val="restart"/>
                  <w:tcBorders>
                    <w:tl2br w:val="nil"/>
                    <w:tr2bl w:val="nil"/>
                  </w:tcBorders>
                  <w:noWrap w:val="0"/>
                  <w:vAlign w:val="center"/>
                </w:tcPr>
                <w:p w14:paraId="10FD46C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bCs/>
                      <w:color w:val="000000"/>
                      <w:kern w:val="2"/>
                      <w:sz w:val="21"/>
                      <w:szCs w:val="21"/>
                      <w:lang w:val="en-US" w:eastAsia="zh-CN" w:bidi="ar-SA"/>
                    </w:rPr>
                  </w:pPr>
                  <w:r>
                    <w:rPr>
                      <w:rFonts w:hint="eastAsia"/>
                      <w:b/>
                      <w:color w:val="000000"/>
                      <w:kern w:val="0"/>
                      <w:sz w:val="21"/>
                      <w:szCs w:val="21"/>
                    </w:rPr>
                    <w:t>排放时数</w:t>
                  </w:r>
                  <w:r>
                    <w:rPr>
                      <w:b/>
                      <w:color w:val="000000"/>
                      <w:kern w:val="0"/>
                      <w:sz w:val="21"/>
                      <w:szCs w:val="21"/>
                    </w:rPr>
                    <w:t>h</w:t>
                  </w:r>
                </w:p>
              </w:tc>
            </w:tr>
            <w:tr w14:paraId="0A92A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vMerge w:val="continue"/>
                  <w:tcBorders>
                    <w:tl2br w:val="nil"/>
                    <w:tr2bl w:val="nil"/>
                  </w:tcBorders>
                  <w:noWrap w:val="0"/>
                  <w:vAlign w:val="center"/>
                </w:tcPr>
                <w:p w14:paraId="2B6F96E3">
                  <w:pPr>
                    <w:pStyle w:val="8"/>
                    <w:pBdr>
                      <w:bottom w:val="none" w:color="auto" w:sz="0" w:space="0"/>
                    </w:pBdr>
                    <w:jc w:val="center"/>
                    <w:rPr>
                      <w:color w:val="000000"/>
                      <w:sz w:val="21"/>
                      <w:szCs w:val="21"/>
                    </w:rPr>
                  </w:pPr>
                </w:p>
              </w:tc>
              <w:tc>
                <w:tcPr>
                  <w:tcW w:w="1655" w:type="dxa"/>
                  <w:vMerge w:val="continue"/>
                  <w:tcBorders>
                    <w:tl2br w:val="nil"/>
                    <w:tr2bl w:val="nil"/>
                  </w:tcBorders>
                  <w:noWrap w:val="0"/>
                  <w:vAlign w:val="center"/>
                </w:tcPr>
                <w:p w14:paraId="725338CF">
                  <w:pPr>
                    <w:pStyle w:val="8"/>
                    <w:pBdr>
                      <w:bottom w:val="none" w:color="auto" w:sz="0" w:space="0"/>
                    </w:pBdr>
                    <w:jc w:val="center"/>
                    <w:rPr>
                      <w:color w:val="000000"/>
                      <w:sz w:val="21"/>
                      <w:szCs w:val="21"/>
                    </w:rPr>
                  </w:pPr>
                </w:p>
              </w:tc>
              <w:tc>
                <w:tcPr>
                  <w:tcW w:w="1328" w:type="dxa"/>
                  <w:tcBorders>
                    <w:tl2br w:val="nil"/>
                    <w:tr2bl w:val="nil"/>
                  </w:tcBorders>
                  <w:noWrap w:val="0"/>
                  <w:vAlign w:val="center"/>
                </w:tcPr>
                <w:p w14:paraId="4262B13C">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color w:val="000000"/>
                      <w:kern w:val="0"/>
                      <w:sz w:val="21"/>
                      <w:szCs w:val="21"/>
                      <w:highlight w:val="none"/>
                      <w:lang w:val="en-US" w:eastAsia="zh-CN" w:bidi="ar-SA"/>
                    </w:rPr>
                  </w:pPr>
                  <w:r>
                    <w:rPr>
                      <w:rFonts w:hint="eastAsia"/>
                      <w:b/>
                      <w:color w:val="000000"/>
                      <w:kern w:val="0"/>
                      <w:sz w:val="21"/>
                      <w:szCs w:val="21"/>
                      <w:highlight w:val="none"/>
                    </w:rPr>
                    <w:t>经度</w:t>
                  </w:r>
                </w:p>
              </w:tc>
              <w:tc>
                <w:tcPr>
                  <w:tcW w:w="1312" w:type="dxa"/>
                  <w:tcBorders>
                    <w:tl2br w:val="nil"/>
                    <w:tr2bl w:val="nil"/>
                  </w:tcBorders>
                  <w:noWrap w:val="0"/>
                  <w:vAlign w:val="center"/>
                </w:tcPr>
                <w:p w14:paraId="780768F2">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b/>
                      <w:color w:val="000000"/>
                      <w:kern w:val="0"/>
                      <w:sz w:val="21"/>
                      <w:szCs w:val="21"/>
                      <w:highlight w:val="none"/>
                      <w:lang w:val="en-US" w:eastAsia="zh-CN" w:bidi="ar-SA"/>
                    </w:rPr>
                  </w:pPr>
                  <w:r>
                    <w:rPr>
                      <w:rFonts w:hint="eastAsia"/>
                      <w:b/>
                      <w:color w:val="000000"/>
                      <w:kern w:val="0"/>
                      <w:sz w:val="21"/>
                      <w:szCs w:val="21"/>
                      <w:highlight w:val="none"/>
                    </w:rPr>
                    <w:t>纬度</w:t>
                  </w:r>
                </w:p>
              </w:tc>
              <w:tc>
                <w:tcPr>
                  <w:tcW w:w="1275" w:type="dxa"/>
                  <w:vMerge w:val="continue"/>
                  <w:tcBorders>
                    <w:tl2br w:val="nil"/>
                    <w:tr2bl w:val="nil"/>
                  </w:tcBorders>
                  <w:noWrap w:val="0"/>
                  <w:vAlign w:val="center"/>
                </w:tcPr>
                <w:p w14:paraId="58A68AF7">
                  <w:pPr>
                    <w:pStyle w:val="8"/>
                    <w:pBdr>
                      <w:bottom w:val="none" w:color="auto" w:sz="0" w:space="0"/>
                    </w:pBdr>
                    <w:jc w:val="center"/>
                    <w:rPr>
                      <w:rFonts w:hint="eastAsia"/>
                      <w:color w:val="000000"/>
                      <w:sz w:val="21"/>
                      <w:szCs w:val="21"/>
                      <w:vertAlign w:val="baseline"/>
                    </w:rPr>
                  </w:pPr>
                </w:p>
              </w:tc>
              <w:tc>
                <w:tcPr>
                  <w:tcW w:w="1063" w:type="dxa"/>
                  <w:vMerge w:val="continue"/>
                  <w:tcBorders>
                    <w:tl2br w:val="nil"/>
                    <w:tr2bl w:val="nil"/>
                  </w:tcBorders>
                  <w:noWrap w:val="0"/>
                  <w:vAlign w:val="center"/>
                </w:tcPr>
                <w:p w14:paraId="1F376DF7">
                  <w:pPr>
                    <w:pStyle w:val="8"/>
                    <w:pBdr>
                      <w:bottom w:val="none" w:color="auto" w:sz="0" w:space="0"/>
                    </w:pBdr>
                    <w:jc w:val="center"/>
                    <w:rPr>
                      <w:rFonts w:hint="eastAsia"/>
                      <w:color w:val="000000"/>
                      <w:sz w:val="21"/>
                      <w:szCs w:val="21"/>
                      <w:vertAlign w:val="baseline"/>
                    </w:rPr>
                  </w:pPr>
                </w:p>
              </w:tc>
              <w:tc>
                <w:tcPr>
                  <w:tcW w:w="1137" w:type="dxa"/>
                  <w:vMerge w:val="continue"/>
                  <w:tcBorders>
                    <w:tl2br w:val="nil"/>
                    <w:tr2bl w:val="nil"/>
                  </w:tcBorders>
                  <w:noWrap w:val="0"/>
                  <w:vAlign w:val="center"/>
                </w:tcPr>
                <w:p w14:paraId="63A0631A">
                  <w:pPr>
                    <w:pStyle w:val="8"/>
                    <w:pBdr>
                      <w:bottom w:val="none" w:color="auto" w:sz="0" w:space="0"/>
                    </w:pBdr>
                    <w:jc w:val="center"/>
                    <w:rPr>
                      <w:rFonts w:hint="eastAsia"/>
                      <w:color w:val="000000"/>
                      <w:sz w:val="21"/>
                      <w:szCs w:val="21"/>
                      <w:vertAlign w:val="baseline"/>
                    </w:rPr>
                  </w:pPr>
                </w:p>
              </w:tc>
              <w:tc>
                <w:tcPr>
                  <w:tcW w:w="1000" w:type="dxa"/>
                  <w:vMerge w:val="continue"/>
                  <w:tcBorders>
                    <w:tl2br w:val="nil"/>
                    <w:tr2bl w:val="nil"/>
                  </w:tcBorders>
                  <w:noWrap w:val="0"/>
                  <w:vAlign w:val="center"/>
                </w:tcPr>
                <w:p w14:paraId="645470B8">
                  <w:pPr>
                    <w:pStyle w:val="8"/>
                    <w:pBdr>
                      <w:bottom w:val="none" w:color="auto" w:sz="0" w:space="0"/>
                    </w:pBdr>
                    <w:jc w:val="center"/>
                    <w:rPr>
                      <w:rFonts w:hint="eastAsia"/>
                      <w:color w:val="000000"/>
                      <w:sz w:val="21"/>
                      <w:szCs w:val="21"/>
                      <w:vertAlign w:val="baseline"/>
                    </w:rPr>
                  </w:pPr>
                </w:p>
              </w:tc>
              <w:tc>
                <w:tcPr>
                  <w:tcW w:w="1088" w:type="dxa"/>
                  <w:vMerge w:val="continue"/>
                  <w:tcBorders>
                    <w:tl2br w:val="nil"/>
                    <w:tr2bl w:val="nil"/>
                  </w:tcBorders>
                  <w:noWrap w:val="0"/>
                  <w:vAlign w:val="center"/>
                </w:tcPr>
                <w:p w14:paraId="6B82DAB5">
                  <w:pPr>
                    <w:pStyle w:val="8"/>
                    <w:pBdr>
                      <w:bottom w:val="none" w:color="auto" w:sz="0" w:space="0"/>
                    </w:pBdr>
                    <w:jc w:val="center"/>
                    <w:rPr>
                      <w:rFonts w:hint="eastAsia"/>
                      <w:color w:val="000000"/>
                      <w:sz w:val="21"/>
                      <w:szCs w:val="21"/>
                      <w:vertAlign w:val="baseline"/>
                    </w:rPr>
                  </w:pPr>
                </w:p>
              </w:tc>
              <w:tc>
                <w:tcPr>
                  <w:tcW w:w="1095" w:type="dxa"/>
                  <w:vMerge w:val="continue"/>
                  <w:tcBorders>
                    <w:tl2br w:val="nil"/>
                    <w:tr2bl w:val="nil"/>
                  </w:tcBorders>
                  <w:noWrap w:val="0"/>
                  <w:vAlign w:val="center"/>
                </w:tcPr>
                <w:p w14:paraId="01B9C58A">
                  <w:pPr>
                    <w:pStyle w:val="8"/>
                    <w:pBdr>
                      <w:bottom w:val="none" w:color="auto" w:sz="0" w:space="0"/>
                    </w:pBdr>
                    <w:jc w:val="center"/>
                    <w:rPr>
                      <w:rFonts w:hint="eastAsia"/>
                      <w:color w:val="000000"/>
                      <w:sz w:val="21"/>
                      <w:szCs w:val="21"/>
                      <w:vertAlign w:val="baseline"/>
                    </w:rPr>
                  </w:pPr>
                </w:p>
              </w:tc>
            </w:tr>
            <w:tr w14:paraId="11189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tcBorders>
                    <w:tl2br w:val="nil"/>
                    <w:tr2bl w:val="nil"/>
                  </w:tcBorders>
                  <w:noWrap w:val="0"/>
                  <w:vAlign w:val="center"/>
                </w:tcPr>
                <w:p w14:paraId="1724326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rPr>
                    <w:t>1#排气筒</w:t>
                  </w:r>
                </w:p>
              </w:tc>
              <w:tc>
                <w:tcPr>
                  <w:tcW w:w="1655" w:type="dxa"/>
                  <w:tcBorders>
                    <w:tl2br w:val="nil"/>
                    <w:tr2bl w:val="nil"/>
                  </w:tcBorders>
                  <w:noWrap w:val="0"/>
                  <w:vAlign w:val="center"/>
                </w:tcPr>
                <w:p w14:paraId="1C0CC17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1328" w:type="dxa"/>
                  <w:tcBorders>
                    <w:tl2br w:val="nil"/>
                    <w:tr2bl w:val="nil"/>
                  </w:tcBorders>
                  <w:noWrap w:val="0"/>
                  <w:vAlign w:val="center"/>
                </w:tcPr>
                <w:p w14:paraId="449D6513">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120.701244</w:t>
                  </w:r>
                </w:p>
              </w:tc>
              <w:tc>
                <w:tcPr>
                  <w:tcW w:w="1312" w:type="dxa"/>
                  <w:tcBorders>
                    <w:tl2br w:val="nil"/>
                    <w:tr2bl w:val="nil"/>
                  </w:tcBorders>
                  <w:noWrap w:val="0"/>
                  <w:vAlign w:val="center"/>
                </w:tcPr>
                <w:p w14:paraId="1BDD3DD1">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31.000480</w:t>
                  </w:r>
                </w:p>
              </w:tc>
              <w:tc>
                <w:tcPr>
                  <w:tcW w:w="1275" w:type="dxa"/>
                  <w:tcBorders>
                    <w:tl2br w:val="nil"/>
                    <w:tr2bl w:val="nil"/>
                  </w:tcBorders>
                  <w:noWrap w:val="0"/>
                  <w:vAlign w:val="center"/>
                </w:tcPr>
                <w:p w14:paraId="008E642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rPr>
                    <w:t>一般排放口</w:t>
                  </w:r>
                </w:p>
              </w:tc>
              <w:tc>
                <w:tcPr>
                  <w:tcW w:w="1063" w:type="dxa"/>
                  <w:tcBorders>
                    <w:tl2br w:val="nil"/>
                    <w:tr2bl w:val="nil"/>
                  </w:tcBorders>
                  <w:noWrap w:val="0"/>
                  <w:vAlign w:val="center"/>
                </w:tcPr>
                <w:p w14:paraId="0E73CE40">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15</w:t>
                  </w:r>
                </w:p>
              </w:tc>
              <w:tc>
                <w:tcPr>
                  <w:tcW w:w="1137" w:type="dxa"/>
                  <w:tcBorders>
                    <w:tl2br w:val="nil"/>
                    <w:tr2bl w:val="nil"/>
                  </w:tcBorders>
                  <w:noWrap w:val="0"/>
                  <w:vAlign w:val="center"/>
                </w:tcPr>
                <w:p w14:paraId="5C2A70C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pacing w:val="-20"/>
                      <w:kern w:val="2"/>
                      <w:sz w:val="21"/>
                      <w:szCs w:val="24"/>
                      <w:lang w:val="en-US" w:eastAsia="zh-CN" w:bidi="ar-SA"/>
                    </w:rPr>
                  </w:pPr>
                  <w:r>
                    <w:rPr>
                      <w:rFonts w:hint="eastAsia" w:cs="Times New Roman"/>
                      <w:color w:val="000000"/>
                      <w:spacing w:val="-20"/>
                      <w:kern w:val="2"/>
                      <w:sz w:val="21"/>
                      <w:szCs w:val="24"/>
                      <w:lang w:val="en-US" w:eastAsia="zh-CN" w:bidi="ar-SA"/>
                    </w:rPr>
                    <w:t>8000</w:t>
                  </w:r>
                </w:p>
              </w:tc>
              <w:tc>
                <w:tcPr>
                  <w:tcW w:w="1000" w:type="dxa"/>
                  <w:tcBorders>
                    <w:tl2br w:val="nil"/>
                    <w:tr2bl w:val="nil"/>
                  </w:tcBorders>
                  <w:noWrap w:val="0"/>
                  <w:vAlign w:val="center"/>
                </w:tcPr>
                <w:p w14:paraId="7085A7C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0.4</w:t>
                  </w:r>
                </w:p>
              </w:tc>
              <w:tc>
                <w:tcPr>
                  <w:tcW w:w="1088" w:type="dxa"/>
                  <w:tcBorders>
                    <w:tl2br w:val="nil"/>
                    <w:tr2bl w:val="nil"/>
                  </w:tcBorders>
                  <w:noWrap w:val="0"/>
                  <w:vAlign w:val="center"/>
                </w:tcPr>
                <w:p w14:paraId="06E078E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25</w:t>
                  </w:r>
                </w:p>
              </w:tc>
              <w:tc>
                <w:tcPr>
                  <w:tcW w:w="1095" w:type="dxa"/>
                  <w:tcBorders>
                    <w:tl2br w:val="nil"/>
                    <w:tr2bl w:val="nil"/>
                  </w:tcBorders>
                  <w:noWrap w:val="0"/>
                  <w:vAlign w:val="center"/>
                </w:tcPr>
                <w:p w14:paraId="15EAA4F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2080</w:t>
                  </w:r>
                </w:p>
              </w:tc>
            </w:tr>
            <w:tr w14:paraId="1FF90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16" w:type="dxa"/>
                  <w:tcBorders>
                    <w:tl2br w:val="nil"/>
                    <w:tr2bl w:val="nil"/>
                  </w:tcBorders>
                  <w:noWrap w:val="0"/>
                  <w:vAlign w:val="center"/>
                </w:tcPr>
                <w:p w14:paraId="1AB6FA3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szCs w:val="21"/>
                      <w:lang w:val="en-US" w:eastAsia="zh-CN"/>
                    </w:rPr>
                  </w:pPr>
                  <w:r>
                    <w:rPr>
                      <w:rFonts w:hint="eastAsia"/>
                      <w:color w:val="000000"/>
                      <w:szCs w:val="21"/>
                      <w:lang w:val="en-US" w:eastAsia="zh-CN"/>
                    </w:rPr>
                    <w:t>2#排气筒</w:t>
                  </w:r>
                </w:p>
              </w:tc>
              <w:tc>
                <w:tcPr>
                  <w:tcW w:w="1655" w:type="dxa"/>
                  <w:tcBorders>
                    <w:tl2br w:val="nil"/>
                    <w:tr2bl w:val="nil"/>
                  </w:tcBorders>
                  <w:noWrap w:val="0"/>
                  <w:vAlign w:val="center"/>
                </w:tcPr>
                <w:p w14:paraId="5538ABF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非甲烷总烃</w:t>
                  </w:r>
                </w:p>
              </w:tc>
              <w:tc>
                <w:tcPr>
                  <w:tcW w:w="1328" w:type="dxa"/>
                  <w:tcBorders>
                    <w:tl2br w:val="nil"/>
                    <w:tr2bl w:val="nil"/>
                  </w:tcBorders>
                  <w:noWrap w:val="0"/>
                  <w:vAlign w:val="center"/>
                </w:tcPr>
                <w:p w14:paraId="448579C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120.700887</w:t>
                  </w:r>
                </w:p>
              </w:tc>
              <w:tc>
                <w:tcPr>
                  <w:tcW w:w="1312" w:type="dxa"/>
                  <w:tcBorders>
                    <w:tl2br w:val="nil"/>
                    <w:tr2bl w:val="nil"/>
                  </w:tcBorders>
                  <w:noWrap w:val="0"/>
                  <w:vAlign w:val="center"/>
                </w:tcPr>
                <w:p w14:paraId="7DBCC35E">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cs="Times New Roman"/>
                      <w:color w:val="000000"/>
                      <w:kern w:val="0"/>
                      <w:sz w:val="21"/>
                      <w:szCs w:val="21"/>
                      <w:highlight w:val="none"/>
                      <w:lang w:val="en-US" w:eastAsia="zh-CN" w:bidi="ar-SA"/>
                    </w:rPr>
                    <w:t>31.000434</w:t>
                  </w:r>
                </w:p>
              </w:tc>
              <w:tc>
                <w:tcPr>
                  <w:tcW w:w="1275" w:type="dxa"/>
                  <w:tcBorders>
                    <w:tl2br w:val="nil"/>
                    <w:tr2bl w:val="nil"/>
                  </w:tcBorders>
                  <w:noWrap w:val="0"/>
                  <w:vAlign w:val="center"/>
                </w:tcPr>
                <w:p w14:paraId="7298D33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szCs w:val="21"/>
                      <w:lang w:val="en-US" w:eastAsia="zh-CN"/>
                    </w:rPr>
                  </w:pPr>
                  <w:r>
                    <w:rPr>
                      <w:rFonts w:hint="eastAsia"/>
                      <w:color w:val="000000"/>
                      <w:szCs w:val="21"/>
                      <w:lang w:val="en-US" w:eastAsia="zh-CN"/>
                    </w:rPr>
                    <w:t>一般排放口</w:t>
                  </w:r>
                </w:p>
              </w:tc>
              <w:tc>
                <w:tcPr>
                  <w:tcW w:w="1063" w:type="dxa"/>
                  <w:tcBorders>
                    <w:tl2br w:val="nil"/>
                    <w:tr2bl w:val="nil"/>
                  </w:tcBorders>
                  <w:noWrap w:val="0"/>
                  <w:vAlign w:val="center"/>
                </w:tcPr>
                <w:p w14:paraId="2913B184">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15</w:t>
                  </w:r>
                </w:p>
              </w:tc>
              <w:tc>
                <w:tcPr>
                  <w:tcW w:w="1137" w:type="dxa"/>
                  <w:tcBorders>
                    <w:tl2br w:val="nil"/>
                    <w:tr2bl w:val="nil"/>
                  </w:tcBorders>
                  <w:noWrap w:val="0"/>
                  <w:vAlign w:val="center"/>
                </w:tcPr>
                <w:p w14:paraId="6B9D92C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pacing w:val="-20"/>
                      <w:kern w:val="2"/>
                      <w:sz w:val="21"/>
                      <w:szCs w:val="24"/>
                      <w:lang w:val="en-US" w:eastAsia="zh-CN" w:bidi="ar-SA"/>
                    </w:rPr>
                  </w:pPr>
                  <w:r>
                    <w:rPr>
                      <w:rFonts w:hint="eastAsia" w:cs="Times New Roman"/>
                      <w:color w:val="000000"/>
                      <w:spacing w:val="-20"/>
                      <w:kern w:val="2"/>
                      <w:sz w:val="21"/>
                      <w:szCs w:val="24"/>
                      <w:lang w:val="en-US" w:eastAsia="zh-CN" w:bidi="ar-SA"/>
                    </w:rPr>
                    <w:t>25000</w:t>
                  </w:r>
                </w:p>
              </w:tc>
              <w:tc>
                <w:tcPr>
                  <w:tcW w:w="1000" w:type="dxa"/>
                  <w:tcBorders>
                    <w:tl2br w:val="nil"/>
                    <w:tr2bl w:val="nil"/>
                  </w:tcBorders>
                  <w:noWrap w:val="0"/>
                  <w:vAlign w:val="center"/>
                </w:tcPr>
                <w:p w14:paraId="29659F0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0.8</w:t>
                  </w:r>
                </w:p>
              </w:tc>
              <w:tc>
                <w:tcPr>
                  <w:tcW w:w="1088" w:type="dxa"/>
                  <w:tcBorders>
                    <w:tl2br w:val="nil"/>
                    <w:tr2bl w:val="nil"/>
                  </w:tcBorders>
                  <w:noWrap w:val="0"/>
                  <w:vAlign w:val="center"/>
                </w:tcPr>
                <w:p w14:paraId="735FAB5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25</w:t>
                  </w:r>
                </w:p>
              </w:tc>
              <w:tc>
                <w:tcPr>
                  <w:tcW w:w="1095" w:type="dxa"/>
                  <w:tcBorders>
                    <w:tl2br w:val="nil"/>
                    <w:tr2bl w:val="nil"/>
                  </w:tcBorders>
                  <w:noWrap w:val="0"/>
                  <w:vAlign w:val="center"/>
                </w:tcPr>
                <w:p w14:paraId="5532F53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2080</w:t>
                  </w:r>
                </w:p>
              </w:tc>
            </w:tr>
          </w:tbl>
          <w:p w14:paraId="4A6729CD">
            <w:pPr>
              <w:rPr>
                <w:color w:val="000000"/>
              </w:rPr>
            </w:pPr>
          </w:p>
        </w:tc>
      </w:tr>
    </w:tbl>
    <w:p w14:paraId="64A49FD7">
      <w:pPr>
        <w:tabs>
          <w:tab w:val="left" w:pos="1229"/>
        </w:tabs>
        <w:rPr>
          <w:rFonts w:hint="eastAsia" w:eastAsia="宋体"/>
          <w:lang w:eastAsia="zh-CN"/>
        </w:rPr>
        <w:sectPr>
          <w:pgSz w:w="16838" w:h="11906" w:orient="landscape"/>
          <w:pgMar w:top="1800" w:right="1440" w:bottom="1800" w:left="1440" w:header="851" w:footer="992" w:gutter="0"/>
          <w:pgNumType w:fmt="decimal"/>
          <w:cols w:space="425" w:num="1"/>
          <w:docGrid w:type="lines" w:linePitch="312" w:charSpace="0"/>
        </w:sectPr>
      </w:pP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3CF71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458" w:type="dxa"/>
            <w:noWrap w:val="0"/>
            <w:tcMar>
              <w:left w:w="28" w:type="dxa"/>
              <w:right w:w="28" w:type="dxa"/>
            </w:tcMar>
            <w:vAlign w:val="center"/>
          </w:tcPr>
          <w:p w14:paraId="412F2A7B">
            <w:pPr>
              <w:pStyle w:val="19"/>
              <w:adjustRightInd w:val="0"/>
              <w:snapToGrid w:val="0"/>
              <w:spacing w:before="0" w:beforeAutospacing="0" w:after="0" w:afterAutospacing="0"/>
              <w:jc w:val="center"/>
              <w:rPr>
                <w:rFonts w:hint="eastAsia" w:cs="宋体"/>
                <w:b/>
                <w:color w:val="auto"/>
                <w:kern w:val="2"/>
                <w:sz w:val="21"/>
                <w:szCs w:val="21"/>
              </w:rPr>
            </w:pPr>
          </w:p>
        </w:tc>
        <w:tc>
          <w:tcPr>
            <w:tcW w:w="8450" w:type="dxa"/>
            <w:noWrap w:val="0"/>
            <w:vAlign w:val="top"/>
          </w:tcPr>
          <w:p w14:paraId="657CBE6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000000"/>
                <w:sz w:val="24"/>
              </w:rPr>
            </w:pPr>
            <w:r>
              <w:rPr>
                <w:b/>
                <w:bCs/>
                <w:color w:val="000000"/>
                <w:sz w:val="24"/>
              </w:rPr>
              <w:t>1.2</w:t>
            </w:r>
            <w:r>
              <w:rPr>
                <w:rFonts w:hint="eastAsia"/>
                <w:b/>
                <w:bCs/>
                <w:color w:val="000000"/>
                <w:sz w:val="24"/>
              </w:rPr>
              <w:t>废气收集方案</w:t>
            </w:r>
          </w:p>
          <w:p w14:paraId="7766DC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根据《重点行业挥发性有机物综合治理方案》（环大气</w:t>
            </w:r>
            <w:r>
              <w:rPr>
                <w:rFonts w:hint="eastAsia" w:eastAsia="宋体"/>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2019</w:t>
            </w:r>
            <w:r>
              <w:rPr>
                <w:rFonts w:hint="eastAsia" w:eastAsia="宋体"/>
                <w:color w:val="000000" w:themeColor="text1"/>
                <w:sz w:val="24"/>
                <w:highlight w:val="none"/>
                <w:lang w:eastAsia="zh-CN"/>
                <w14:textFill>
                  <w14:solidFill>
                    <w14:schemeClr w14:val="tx1"/>
                  </w14:solidFill>
                </w14:textFill>
              </w:rPr>
              <w:t>〕</w:t>
            </w:r>
            <w:r>
              <w:rPr>
                <w:color w:val="000000" w:themeColor="text1"/>
                <w:sz w:val="24"/>
                <w:highlight w:val="none"/>
                <w14:textFill>
                  <w14:solidFill>
                    <w14:schemeClr w14:val="tx1"/>
                  </w14:solidFill>
                </w14:textFill>
              </w:rPr>
              <w:t>53</w:t>
            </w:r>
            <w:r>
              <w:rPr>
                <w:rFonts w:hint="eastAsia"/>
                <w:color w:val="000000" w:themeColor="text1"/>
                <w:sz w:val="24"/>
                <w:highlight w:val="none"/>
                <w14:textFill>
                  <w14:solidFill>
                    <w14:schemeClr w14:val="tx1"/>
                  </w14:solidFill>
                </w14:textFill>
              </w:rPr>
              <w:t>号）要求：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14:paraId="59C9F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本项目产生的废气通过集气罩收集，参照《排风罩的分类及技术条件》</w:t>
            </w:r>
            <w:r>
              <w:rPr>
                <w:rFonts w:hint="eastAsia"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GB/T16758-2008</w:t>
            </w:r>
            <w:r>
              <w:rPr>
                <w:rFonts w:hint="eastAsia"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中附录A公式A.2，按以下公式计算得出产污设备所需的风量如下</w:t>
            </w:r>
            <w:r>
              <w:rPr>
                <w:rFonts w:hint="eastAsia" w:eastAsia="宋体"/>
                <w:color w:val="000000" w:themeColor="text1"/>
                <w:sz w:val="24"/>
                <w:highlight w:val="none"/>
                <w:lang w:eastAsia="zh-CN"/>
                <w14:textFill>
                  <w14:solidFill>
                    <w14:schemeClr w14:val="tx1"/>
                  </w14:solidFill>
                </w14:textFill>
              </w:rPr>
              <w:t>：</w:t>
            </w:r>
          </w:p>
          <w:p w14:paraId="13EFB8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color w:val="000000" w:themeColor="text1"/>
                <w:sz w:val="24"/>
                <w:highlight w:val="none"/>
                <w:lang w:val="en-US" w:eastAsia="zh-CN"/>
                <w14:textFill>
                  <w14:solidFill>
                    <w14:schemeClr w14:val="tx1"/>
                  </w14:solidFill>
                </w14:textFill>
              </w:rPr>
            </w:pPr>
            <w:r>
              <w:rPr>
                <w:rFonts w:hint="eastAsia" w:ascii="Times New Roman" w:eastAsia="宋体"/>
                <w:color w:val="000000" w:themeColor="text1"/>
                <w:sz w:val="24"/>
                <w:highlight w:val="none"/>
                <w:lang w:val="en-US" w:eastAsia="zh-CN"/>
                <w14:textFill>
                  <w14:solidFill>
                    <w14:schemeClr w14:val="tx1"/>
                  </w14:solidFill>
                </w14:textFill>
              </w:rPr>
              <w:t>Q=3600*F*V</w:t>
            </w:r>
          </w:p>
          <w:p w14:paraId="06274A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highlight w:val="none"/>
                <w:lang w:eastAsia="zh-CN"/>
                <w14:textFill>
                  <w14:solidFill>
                    <w14:schemeClr w14:val="tx1"/>
                  </w14:solidFill>
                </w14:textFill>
              </w:rPr>
            </w:pPr>
            <w:r>
              <w:rPr>
                <w:rFonts w:hint="eastAsia" w:ascii="Times New Roman" w:eastAsia="宋体"/>
                <w:color w:val="000000" w:themeColor="text1"/>
                <w:sz w:val="24"/>
                <w:highlight w:val="none"/>
                <w:lang w:val="en-US" w:eastAsia="zh-CN"/>
                <w14:textFill>
                  <w14:solidFill>
                    <w14:schemeClr w14:val="tx1"/>
                  </w14:solidFill>
                </w14:textFill>
              </w:rPr>
              <w:t>Q—</w:t>
            </w:r>
            <w:r>
              <w:rPr>
                <w:rFonts w:hint="eastAsia"/>
                <w:color w:val="000000" w:themeColor="text1"/>
                <w:sz w:val="24"/>
                <w:highlight w:val="none"/>
                <w14:textFill>
                  <w14:solidFill>
                    <w14:schemeClr w14:val="tx1"/>
                  </w14:solidFill>
                </w14:textFill>
              </w:rPr>
              <w:t>排风罩的排风量，m</w:t>
            </w:r>
            <w:r>
              <w:rPr>
                <w:rFonts w:hint="eastAsia" w:ascii="Times New Roman" w:eastAsia="宋体"/>
                <w:color w:val="000000" w:themeColor="text1"/>
                <w:sz w:val="24"/>
                <w:highlight w:val="none"/>
                <w:vertAlign w:val="superscript"/>
                <w:lang w:val="en-US" w:eastAsia="zh-CN"/>
                <w14:textFill>
                  <w14:solidFill>
                    <w14:schemeClr w14:val="tx1"/>
                  </w14:solidFill>
                </w14:textFill>
              </w:rPr>
              <w:t>3</w:t>
            </w:r>
            <w:r>
              <w:rPr>
                <w:rFonts w:hint="eastAsia" w:ascii="Times New Roman" w:eastAsia="宋体"/>
                <w:color w:val="000000" w:themeColor="text1"/>
                <w:sz w:val="24"/>
                <w:highlight w:val="none"/>
                <w:lang w:val="en-US" w:eastAsia="zh-CN"/>
                <w14:textFill>
                  <w14:solidFill>
                    <w14:schemeClr w14:val="tx1"/>
                  </w14:solidFill>
                </w14:textFill>
              </w:rPr>
              <w:t>/</w:t>
            </w:r>
            <w:r>
              <w:rPr>
                <w:rFonts w:hint="eastAsia"/>
                <w:color w:val="000000" w:themeColor="text1"/>
                <w:sz w:val="24"/>
                <w:highlight w:val="none"/>
                <w14:textFill>
                  <w14:solidFill>
                    <w14:schemeClr w14:val="tx1"/>
                  </w14:solidFill>
                </w14:textFill>
              </w:rPr>
              <w:t>h</w:t>
            </w:r>
            <w:r>
              <w:rPr>
                <w:rFonts w:hint="eastAsia" w:eastAsia="宋体"/>
                <w:color w:val="000000" w:themeColor="text1"/>
                <w:sz w:val="24"/>
                <w:highlight w:val="none"/>
                <w:lang w:eastAsia="zh-CN"/>
                <w14:textFill>
                  <w14:solidFill>
                    <w14:schemeClr w14:val="tx1"/>
                  </w14:solidFill>
                </w14:textFill>
              </w:rPr>
              <w:t>；</w:t>
            </w:r>
          </w:p>
          <w:p w14:paraId="2DBF8C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F</w:t>
            </w:r>
            <w:r>
              <w:rPr>
                <w:rFonts w:hint="eastAsia"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排风罩罩口面积</w:t>
            </w:r>
            <w:r>
              <w:rPr>
                <w:rFonts w:hint="eastAsia"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m</w:t>
            </w:r>
            <w:r>
              <w:rPr>
                <w:rFonts w:hint="eastAsia" w:ascii="Times New Roman" w:eastAsia="宋体"/>
                <w:color w:val="000000" w:themeColor="text1"/>
                <w:sz w:val="24"/>
                <w:highlight w:val="none"/>
                <w:vertAlign w:val="superscript"/>
                <w:lang w:val="en-US" w:eastAsia="zh-CN"/>
                <w14:textFill>
                  <w14:solidFill>
                    <w14:schemeClr w14:val="tx1"/>
                  </w14:solidFill>
                </w14:textFill>
              </w:rPr>
              <w:t>2</w:t>
            </w:r>
            <w:r>
              <w:rPr>
                <w:rFonts w:hint="eastAsia" w:eastAsia="宋体"/>
                <w:color w:val="000000" w:themeColor="text1"/>
                <w:sz w:val="24"/>
                <w:highlight w:val="none"/>
                <w:lang w:eastAsia="zh-CN"/>
                <w14:textFill>
                  <w14:solidFill>
                    <w14:schemeClr w14:val="tx1"/>
                  </w14:solidFill>
                </w14:textFill>
              </w:rPr>
              <w:t>）；</w:t>
            </w:r>
          </w:p>
          <w:p w14:paraId="4D0FF0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highlight w:val="none"/>
                <w14:textFill>
                  <w14:solidFill>
                    <w14:schemeClr w14:val="tx1"/>
                  </w14:solidFill>
                </w14:textFill>
              </w:rPr>
            </w:pPr>
            <w:r>
              <w:rPr>
                <w:rFonts w:hint="eastAsia" w:ascii="Times New Roman" w:eastAsia="宋体"/>
                <w:color w:val="000000" w:themeColor="text1"/>
                <w:sz w:val="24"/>
                <w:highlight w:val="none"/>
                <w:lang w:val="en-US" w:eastAsia="zh-CN"/>
                <w14:textFill>
                  <w14:solidFill>
                    <w14:schemeClr w14:val="tx1"/>
                  </w14:solidFill>
                </w14:textFill>
              </w:rPr>
              <w:t>V—</w:t>
            </w:r>
            <w:r>
              <w:rPr>
                <w:rFonts w:hint="eastAsia"/>
                <w:color w:val="000000" w:themeColor="text1"/>
                <w:sz w:val="24"/>
                <w:highlight w:val="none"/>
                <w14:textFill>
                  <w14:solidFill>
                    <w14:schemeClr w14:val="tx1"/>
                  </w14:solidFill>
                </w14:textFill>
              </w:rPr>
              <w:t>排风罩罩口平均速度</w:t>
            </w:r>
            <w:r>
              <w:rPr>
                <w:rFonts w:hint="eastAsia"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m/s</w:t>
            </w:r>
            <w:r>
              <w:rPr>
                <w:rFonts w:hint="eastAsia" w:eastAsia="宋体"/>
                <w:color w:val="000000" w:themeColor="text1"/>
                <w:sz w:val="24"/>
                <w:highlight w:val="none"/>
                <w:lang w:eastAsia="zh-CN"/>
                <w14:textFill>
                  <w14:solidFill>
                    <w14:schemeClr w14:val="tx1"/>
                  </w14:solidFill>
                </w14:textFill>
              </w:rPr>
              <w:t>）</w:t>
            </w:r>
            <w:r>
              <w:rPr>
                <w:rFonts w:hint="eastAsia"/>
                <w:color w:val="000000" w:themeColor="text1"/>
                <w:sz w:val="24"/>
                <w:highlight w:val="none"/>
                <w14:textFill>
                  <w14:solidFill>
                    <w14:schemeClr w14:val="tx1"/>
                  </w14:solidFill>
                </w14:textFill>
              </w:rPr>
              <w:t>。</w:t>
            </w:r>
          </w:p>
          <w:p w14:paraId="1D4CE2AC">
            <w:pPr>
              <w:spacing w:line="360" w:lineRule="auto"/>
              <w:ind w:firstLine="482" w:firstLineChars="200"/>
              <w:jc w:val="both"/>
              <w:rPr>
                <w:rFonts w:hint="eastAsia"/>
                <w:b w:val="0"/>
                <w:bCs w:val="0"/>
                <w:color w:val="auto"/>
                <w:sz w:val="24"/>
                <w:highlight w:val="none"/>
                <w:lang w:val="en-US" w:eastAsia="zh-CN"/>
              </w:rPr>
            </w:pPr>
            <w:r>
              <w:rPr>
                <w:rFonts w:hint="eastAsia"/>
                <w:b/>
                <w:color w:val="000000"/>
                <w:sz w:val="24"/>
                <w:highlight w:val="none"/>
                <w:lang w:val="en-US" w:eastAsia="zh-CN"/>
              </w:rPr>
              <w:t>1#</w:t>
            </w:r>
            <w:r>
              <w:rPr>
                <w:rFonts w:hint="eastAsia"/>
                <w:b/>
                <w:color w:val="000000"/>
                <w:sz w:val="24"/>
                <w:highlight w:val="none"/>
              </w:rPr>
              <w:t>排气筒排风量：</w:t>
            </w:r>
            <w:r>
              <w:rPr>
                <w:rFonts w:hint="eastAsia"/>
                <w:b w:val="0"/>
                <w:bCs w:val="0"/>
                <w:color w:val="auto"/>
                <w:sz w:val="24"/>
                <w:highlight w:val="none"/>
                <w:lang w:val="en-US" w:eastAsia="zh-CN"/>
              </w:rPr>
              <w:t>本项目设20台磨抛机，</w:t>
            </w:r>
            <w:r>
              <w:rPr>
                <w:rFonts w:hint="eastAsia"/>
                <w:color w:val="000000"/>
                <w:sz w:val="24"/>
                <w:highlight w:val="none"/>
              </w:rPr>
              <w:t>在其上方设置集气罩，集气罩尺寸为0.</w:t>
            </w:r>
            <w:r>
              <w:rPr>
                <w:rFonts w:hint="eastAsia"/>
                <w:color w:val="000000"/>
                <w:sz w:val="24"/>
                <w:highlight w:val="none"/>
                <w:lang w:val="en-US" w:eastAsia="zh-CN"/>
              </w:rPr>
              <w:t>4</w:t>
            </w:r>
            <w:r>
              <w:rPr>
                <w:color w:val="000000"/>
                <w:sz w:val="24"/>
                <w:highlight w:val="none"/>
              </w:rPr>
              <w:t>m*0.</w:t>
            </w:r>
            <w:r>
              <w:rPr>
                <w:rFonts w:hint="eastAsia"/>
                <w:color w:val="000000"/>
                <w:sz w:val="24"/>
                <w:highlight w:val="none"/>
                <w:lang w:val="en-US" w:eastAsia="zh-CN"/>
              </w:rPr>
              <w:t>4</w:t>
            </w:r>
            <w:r>
              <w:rPr>
                <w:rFonts w:hint="eastAsia"/>
                <w:color w:val="000000"/>
                <w:sz w:val="24"/>
                <w:highlight w:val="none"/>
              </w:rPr>
              <w:t>m，为矩形上部伞形罩，在设备上方20</w:t>
            </w:r>
            <w:r>
              <w:rPr>
                <w:color w:val="000000"/>
                <w:sz w:val="24"/>
                <w:highlight w:val="none"/>
              </w:rPr>
              <w:t>cm</w:t>
            </w:r>
            <w:r>
              <w:rPr>
                <w:rFonts w:hint="eastAsia"/>
                <w:color w:val="000000"/>
                <w:sz w:val="24"/>
                <w:highlight w:val="none"/>
              </w:rPr>
              <w:t>处，控制风速</w:t>
            </w:r>
            <w:r>
              <w:rPr>
                <w:rFonts w:hint="eastAsia"/>
                <w:color w:val="000000"/>
                <w:sz w:val="24"/>
                <w:highlight w:val="none"/>
                <w:lang w:val="en-US" w:eastAsia="zh-CN"/>
              </w:rPr>
              <w:t>0.6</w:t>
            </w:r>
            <w:r>
              <w:rPr>
                <w:color w:val="000000"/>
                <w:sz w:val="24"/>
                <w:highlight w:val="none"/>
              </w:rPr>
              <w:t>m/s</w:t>
            </w:r>
            <w:r>
              <w:rPr>
                <w:rFonts w:hint="eastAsia"/>
                <w:color w:val="000000"/>
                <w:sz w:val="24"/>
                <w:highlight w:val="none"/>
              </w:rPr>
              <w:t>，则经计算本项目每个集气罩风量为</w:t>
            </w:r>
            <w:r>
              <w:rPr>
                <w:rFonts w:hint="eastAsia"/>
                <w:color w:val="000000"/>
                <w:sz w:val="24"/>
                <w:highlight w:val="none"/>
                <w:lang w:val="en-US" w:eastAsia="zh-CN"/>
              </w:rPr>
              <w:t>345.6</w:t>
            </w:r>
            <w:r>
              <w:rPr>
                <w:color w:val="000000"/>
                <w:sz w:val="24"/>
                <w:highlight w:val="none"/>
              </w:rPr>
              <w:t>m</w:t>
            </w:r>
            <w:r>
              <w:rPr>
                <w:color w:val="000000"/>
                <w:sz w:val="24"/>
                <w:highlight w:val="none"/>
                <w:vertAlign w:val="superscript"/>
              </w:rPr>
              <w:t>3</w:t>
            </w:r>
            <w:r>
              <w:rPr>
                <w:color w:val="000000"/>
                <w:sz w:val="24"/>
                <w:highlight w:val="none"/>
              </w:rPr>
              <w:t>/h</w:t>
            </w:r>
            <w:r>
              <w:rPr>
                <w:rFonts w:hint="eastAsia"/>
                <w:color w:val="000000"/>
                <w:sz w:val="24"/>
                <w:highlight w:val="none"/>
              </w:rPr>
              <w:t>。本项目风机总风量不能低于</w:t>
            </w:r>
            <w:r>
              <w:rPr>
                <w:rFonts w:hint="eastAsia"/>
                <w:color w:val="000000"/>
                <w:sz w:val="24"/>
                <w:highlight w:val="none"/>
                <w:lang w:val="en-US" w:eastAsia="zh-CN"/>
              </w:rPr>
              <w:t>6912</w:t>
            </w:r>
            <w:r>
              <w:rPr>
                <w:color w:val="000000"/>
                <w:sz w:val="24"/>
                <w:highlight w:val="none"/>
              </w:rPr>
              <w:t>m</w:t>
            </w:r>
            <w:r>
              <w:rPr>
                <w:color w:val="000000"/>
                <w:sz w:val="24"/>
                <w:highlight w:val="none"/>
                <w:vertAlign w:val="superscript"/>
              </w:rPr>
              <w:t>3</w:t>
            </w:r>
            <w:r>
              <w:rPr>
                <w:color w:val="000000"/>
                <w:sz w:val="24"/>
                <w:highlight w:val="none"/>
              </w:rPr>
              <w:t>/h</w:t>
            </w:r>
            <w:r>
              <w:rPr>
                <w:rFonts w:hint="eastAsia"/>
                <w:color w:val="000000"/>
                <w:sz w:val="24"/>
                <w:highlight w:val="none"/>
              </w:rPr>
              <w:t>，</w:t>
            </w:r>
            <w:r>
              <w:rPr>
                <w:rFonts w:hint="eastAsia"/>
                <w:b w:val="0"/>
                <w:bCs w:val="0"/>
                <w:color w:val="auto"/>
                <w:sz w:val="24"/>
                <w:highlight w:val="none"/>
                <w:lang w:val="en-US" w:eastAsia="zh-CN"/>
              </w:rPr>
              <w:t>考虑风量损失，本项目1#排气筒风机总风量为8000m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/h，在此基础上废气收集效率可以达到90%。</w:t>
            </w:r>
          </w:p>
          <w:p w14:paraId="18DF87C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color w:val="000000"/>
                <w:sz w:val="24"/>
                <w:highlight w:val="none"/>
              </w:rPr>
            </w:pPr>
            <w:r>
              <w:rPr>
                <w:rFonts w:hint="eastAsia"/>
                <w:b/>
                <w:bCs/>
                <w:color w:val="auto"/>
                <w:sz w:val="24"/>
                <w:highlight w:val="none"/>
                <w:lang w:val="en-US" w:eastAsia="zh-CN"/>
              </w:rPr>
              <w:t>2#排气筒风量：</w:t>
            </w:r>
            <w:r>
              <w:rPr>
                <w:rFonts w:hint="eastAsia"/>
                <w:color w:val="000000"/>
                <w:sz w:val="24"/>
                <w:highlight w:val="none"/>
              </w:rPr>
              <w:t>本项目设</w:t>
            </w:r>
            <w:r>
              <w:rPr>
                <w:rFonts w:hint="eastAsia"/>
                <w:color w:val="000000"/>
                <w:sz w:val="24"/>
                <w:highlight w:val="none"/>
                <w:lang w:val="en-US" w:eastAsia="zh-CN"/>
              </w:rPr>
              <w:t>塑柄制柄机15台、挤塑机10台、封装机40台，</w:t>
            </w:r>
            <w:r>
              <w:rPr>
                <w:rFonts w:hint="eastAsia"/>
                <w:b w:val="0"/>
                <w:bCs w:val="0"/>
                <w:color w:val="auto"/>
                <w:sz w:val="24"/>
                <w:highlight w:val="none"/>
                <w:lang w:val="en-US" w:eastAsia="zh-CN"/>
              </w:rPr>
              <w:t>在其上方设置集气罩，集气罩尺寸为0.4m*0.4m，为矩形上部伞形罩，在设备上方20cm处，控制风速0.6m/s，则经计算本项目每个集气罩风量为345.6m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/h。本项目风机总风量不能低于22464m</w:t>
            </w:r>
            <w:r>
              <w:rPr>
                <w:rFonts w:hint="eastAsia"/>
                <w:b w:val="0"/>
                <w:bCs w:val="0"/>
                <w:color w:val="auto"/>
                <w:sz w:val="24"/>
                <w:highlight w:val="none"/>
                <w:vertAlign w:val="superscript"/>
                <w:lang w:val="en-US" w:eastAsia="zh-CN"/>
              </w:rPr>
              <w:t>3</w:t>
            </w:r>
            <w:r>
              <w:rPr>
                <w:rFonts w:hint="eastAsia"/>
                <w:b w:val="0"/>
                <w:bCs w:val="0"/>
                <w:color w:val="auto"/>
                <w:sz w:val="24"/>
                <w:highlight w:val="none"/>
                <w:lang w:val="en-US" w:eastAsia="zh-CN"/>
              </w:rPr>
              <w:t>/h，</w:t>
            </w:r>
            <w:r>
              <w:rPr>
                <w:rFonts w:hint="eastAsia"/>
                <w:color w:val="000000"/>
                <w:sz w:val="24"/>
                <w:highlight w:val="none"/>
              </w:rPr>
              <w:t>考虑风量损失，本项目</w:t>
            </w:r>
            <w:r>
              <w:rPr>
                <w:rFonts w:hint="eastAsia"/>
                <w:color w:val="000000"/>
                <w:sz w:val="24"/>
                <w:highlight w:val="none"/>
                <w:lang w:val="en-US" w:eastAsia="zh-CN"/>
              </w:rPr>
              <w:t>2#</w:t>
            </w:r>
            <w:r>
              <w:rPr>
                <w:rFonts w:hint="eastAsia"/>
                <w:color w:val="000000"/>
                <w:sz w:val="24"/>
                <w:highlight w:val="none"/>
              </w:rPr>
              <w:t>排气筒风机总风量为</w:t>
            </w:r>
            <w:r>
              <w:rPr>
                <w:rFonts w:hint="eastAsia"/>
                <w:color w:val="000000"/>
                <w:sz w:val="24"/>
                <w:highlight w:val="none"/>
                <w:lang w:val="en-US" w:eastAsia="zh-CN"/>
              </w:rPr>
              <w:t>25000</w:t>
            </w:r>
            <w:r>
              <w:rPr>
                <w:color w:val="000000"/>
                <w:sz w:val="24"/>
                <w:highlight w:val="none"/>
              </w:rPr>
              <w:t>m</w:t>
            </w:r>
            <w:r>
              <w:rPr>
                <w:color w:val="000000"/>
                <w:sz w:val="24"/>
                <w:highlight w:val="none"/>
                <w:vertAlign w:val="superscript"/>
              </w:rPr>
              <w:t>3</w:t>
            </w:r>
            <w:r>
              <w:rPr>
                <w:color w:val="000000"/>
                <w:sz w:val="24"/>
                <w:highlight w:val="none"/>
              </w:rPr>
              <w:t>/h</w:t>
            </w:r>
            <w:r>
              <w:rPr>
                <w:rFonts w:hint="eastAsia"/>
                <w:color w:val="000000"/>
                <w:sz w:val="24"/>
                <w:highlight w:val="none"/>
              </w:rPr>
              <w:t>，在此基础上废气收集效率可以达到</w:t>
            </w:r>
            <w:r>
              <w:rPr>
                <w:color w:val="000000"/>
                <w:sz w:val="24"/>
                <w:highlight w:val="none"/>
              </w:rPr>
              <w:t>9</w:t>
            </w:r>
            <w:r>
              <w:rPr>
                <w:rFonts w:hint="eastAsia"/>
                <w:color w:val="000000"/>
                <w:sz w:val="24"/>
                <w:highlight w:val="none"/>
                <w:lang w:val="en-US" w:eastAsia="zh-CN"/>
              </w:rPr>
              <w:t>0</w:t>
            </w:r>
            <w:r>
              <w:rPr>
                <w:color w:val="000000"/>
                <w:sz w:val="24"/>
                <w:highlight w:val="none"/>
              </w:rPr>
              <w:t>%</w:t>
            </w:r>
            <w:r>
              <w:rPr>
                <w:rFonts w:hint="eastAsia"/>
                <w:color w:val="000000"/>
                <w:sz w:val="24"/>
                <w:highlight w:val="none"/>
              </w:rPr>
              <w:t>。</w:t>
            </w:r>
          </w:p>
          <w:p w14:paraId="1045EFE9">
            <w:pPr>
              <w:spacing w:line="360" w:lineRule="auto"/>
              <w:jc w:val="center"/>
              <w:rPr>
                <w:rFonts w:hint="eastAsia"/>
                <w:b w:val="0"/>
                <w:bCs w:val="0"/>
                <w:color w:val="auto"/>
                <w:sz w:val="24"/>
                <w:highlight w:val="yellow"/>
                <w:lang w:val="en-US" w:eastAsia="zh-CN"/>
              </w:rPr>
            </w:pPr>
            <w:r>
              <w:drawing>
                <wp:inline distT="0" distB="0" distL="114300" distR="114300">
                  <wp:extent cx="5227955" cy="2230755"/>
                  <wp:effectExtent l="0" t="0" r="10795" b="1714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8"/>
                          <a:stretch>
                            <a:fillRect/>
                          </a:stretch>
                        </pic:blipFill>
                        <pic:spPr>
                          <a:xfrm>
                            <a:off x="0" y="0"/>
                            <a:ext cx="5227955" cy="2230755"/>
                          </a:xfrm>
                          <a:prstGeom prst="rect">
                            <a:avLst/>
                          </a:prstGeom>
                          <a:noFill/>
                          <a:ln>
                            <a:noFill/>
                          </a:ln>
                        </pic:spPr>
                      </pic:pic>
                    </a:graphicData>
                  </a:graphic>
                </wp:inline>
              </w:drawing>
            </w:r>
          </w:p>
          <w:p w14:paraId="6AC88C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sz w:val="24"/>
                <w:highlight w:val="none"/>
              </w:rPr>
            </w:pPr>
            <w:r>
              <w:rPr>
                <w:rFonts w:hint="eastAsia"/>
                <w:b/>
                <w:bCs/>
                <w:color w:val="000000"/>
                <w:sz w:val="21"/>
                <w:szCs w:val="21"/>
                <w:highlight w:val="none"/>
              </w:rPr>
              <w:t>图4</w:t>
            </w:r>
            <w:r>
              <w:rPr>
                <w:b/>
                <w:bCs/>
                <w:color w:val="000000"/>
                <w:sz w:val="21"/>
                <w:szCs w:val="21"/>
                <w:highlight w:val="none"/>
              </w:rPr>
              <w:t xml:space="preserve">-1 </w:t>
            </w:r>
            <w:r>
              <w:rPr>
                <w:rFonts w:hint="eastAsia"/>
                <w:b/>
                <w:bCs/>
                <w:color w:val="000000"/>
                <w:sz w:val="21"/>
                <w:szCs w:val="21"/>
                <w:highlight w:val="none"/>
              </w:rPr>
              <w:t>本项目废气</w:t>
            </w:r>
            <w:r>
              <w:rPr>
                <w:rFonts w:hint="eastAsia" w:hAnsi="宋体"/>
                <w:b/>
                <w:bCs/>
                <w:color w:val="000000"/>
                <w:sz w:val="21"/>
                <w:szCs w:val="21"/>
                <w:highlight w:val="none"/>
              </w:rPr>
              <w:t>收集图</w:t>
            </w:r>
          </w:p>
          <w:p w14:paraId="5CC3F95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sz w:val="24"/>
                <w:highlight w:val="none"/>
              </w:rPr>
            </w:pPr>
            <w:r>
              <w:rPr>
                <w:rFonts w:hint="eastAsia"/>
                <w:b/>
                <w:bCs/>
                <w:sz w:val="24"/>
                <w:highlight w:val="none"/>
              </w:rPr>
              <w:t>1.</w:t>
            </w:r>
            <w:r>
              <w:rPr>
                <w:b/>
                <w:bCs/>
                <w:sz w:val="24"/>
                <w:highlight w:val="none"/>
              </w:rPr>
              <w:t>3</w:t>
            </w:r>
            <w:r>
              <w:rPr>
                <w:rFonts w:hint="eastAsia"/>
                <w:b/>
                <w:bCs/>
                <w:sz w:val="24"/>
                <w:highlight w:val="none"/>
              </w:rPr>
              <w:t>废气处理措施</w:t>
            </w:r>
          </w:p>
          <w:p w14:paraId="64ECC7D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（1）布袋除尘装置</w:t>
            </w:r>
          </w:p>
          <w:p w14:paraId="5A4B574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经排气管排出。滤袋上的积灰用气体逆洗法去除，清除下来的粉尘下到灰斗，经双层卸灰阀排到输灰装置。滤袋上的积灰也可以采用喷吹脉冲气流的方法去除，从而达到清灰的目的，清除下来的粉尘由排灰装置排走。</w:t>
            </w:r>
          </w:p>
          <w:p w14:paraId="211B0A33">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rPr>
                <w:b/>
                <w:color w:val="auto"/>
                <w:kern w:val="0"/>
                <w:szCs w:val="21"/>
              </w:rPr>
            </w:pPr>
            <w:r>
              <w:rPr>
                <w:color w:val="auto"/>
                <w:sz w:val="24"/>
                <w:lang w:bidi="ar"/>
              </w:rPr>
              <w:t>参数设置：</w:t>
            </w:r>
          </w:p>
          <w:p w14:paraId="6DF2248A">
            <w:pPr>
              <w:keepNext w:val="0"/>
              <w:keepLines w:val="0"/>
              <w:pageBreakBefore w:val="0"/>
              <w:widowControl w:val="0"/>
              <w:kinsoku/>
              <w:wordWrap/>
              <w:overflowPunct/>
              <w:topLinePunct w:val="0"/>
              <w:autoSpaceDE w:val="0"/>
              <w:autoSpaceDN w:val="0"/>
              <w:bidi w:val="0"/>
              <w:adjustRightInd/>
              <w:snapToGrid/>
              <w:ind w:firstLine="422" w:firstLineChars="200"/>
              <w:jc w:val="center"/>
              <w:textAlignment w:val="auto"/>
              <w:rPr>
                <w:rFonts w:hint="default" w:ascii="Times New Roman" w:hAnsi="Times New Roman" w:eastAsia="宋体" w:cs="Times New Roman"/>
                <w:b/>
                <w:bCs/>
                <w:vertAlign w:val="baseline"/>
                <w:lang w:val="en-US" w:eastAsia="zh-CN"/>
              </w:rPr>
            </w:pPr>
            <w:r>
              <w:rPr>
                <w:b/>
                <w:color w:val="auto"/>
                <w:kern w:val="0"/>
                <w:szCs w:val="21"/>
              </w:rPr>
              <w:t>表4-</w:t>
            </w:r>
            <w:r>
              <w:rPr>
                <w:rFonts w:hint="eastAsia"/>
                <w:b/>
                <w:color w:val="auto"/>
                <w:kern w:val="0"/>
                <w:szCs w:val="21"/>
                <w:lang w:val="en-US" w:eastAsia="zh-CN"/>
              </w:rPr>
              <w:t>6 布袋除尘器</w:t>
            </w:r>
            <w:r>
              <w:rPr>
                <w:b/>
                <w:color w:val="auto"/>
                <w:kern w:val="0"/>
                <w:szCs w:val="21"/>
              </w:rPr>
              <w:t>主要</w:t>
            </w:r>
            <w:r>
              <w:rPr>
                <w:rFonts w:hint="eastAsia"/>
                <w:b/>
                <w:color w:val="auto"/>
                <w:kern w:val="0"/>
                <w:szCs w:val="21"/>
                <w:lang w:val="en-US" w:eastAsia="zh-CN"/>
              </w:rPr>
              <w:t>参数表</w:t>
            </w:r>
          </w:p>
          <w:tbl>
            <w:tblPr>
              <w:tblStyle w:val="2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82"/>
              <w:gridCol w:w="3280"/>
            </w:tblGrid>
            <w:tr w14:paraId="4E8B5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359D2B37">
                  <w:pPr>
                    <w:rPr>
                      <w:rFonts w:hint="default" w:ascii="Times New Roman" w:hAnsi="Times New Roman" w:eastAsia="宋体" w:cs="Times New Roman"/>
                      <w:b/>
                      <w:bCs/>
                      <w:vertAlign w:val="baseline"/>
                      <w:lang w:val="en-US" w:eastAsia="zh-CN"/>
                    </w:rPr>
                  </w:pPr>
                  <w:r>
                    <w:rPr>
                      <w:rFonts w:hint="eastAsia" w:cs="Times New Roman"/>
                      <w:b/>
                      <w:bCs/>
                      <w:vertAlign w:val="baseline"/>
                      <w:lang w:val="en-US" w:eastAsia="zh-CN"/>
                    </w:rPr>
                    <w:t>序号</w:t>
                  </w:r>
                </w:p>
              </w:tc>
              <w:tc>
                <w:tcPr>
                  <w:tcW w:w="2600" w:type="pct"/>
                  <w:tcBorders>
                    <w:tl2br w:val="nil"/>
                    <w:tr2bl w:val="nil"/>
                  </w:tcBorders>
                  <w:vAlign w:val="center"/>
                </w:tcPr>
                <w:p w14:paraId="1B6EF9AC">
                  <w:pPr>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指标</w:t>
                  </w:r>
                </w:p>
              </w:tc>
              <w:tc>
                <w:tcPr>
                  <w:tcW w:w="1991" w:type="pct"/>
                  <w:tcBorders>
                    <w:tl2br w:val="nil"/>
                    <w:tr2bl w:val="nil"/>
                  </w:tcBorders>
                  <w:vAlign w:val="center"/>
                </w:tcPr>
                <w:p w14:paraId="5C664295">
                  <w:pPr>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数据</w:t>
                  </w:r>
                </w:p>
              </w:tc>
            </w:tr>
            <w:tr w14:paraId="7DB4C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118B75AC">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600" w:type="pct"/>
                  <w:tcBorders>
                    <w:tl2br w:val="nil"/>
                    <w:tr2bl w:val="nil"/>
                  </w:tcBorders>
                  <w:vAlign w:val="center"/>
                </w:tcPr>
                <w:p w14:paraId="7E3AF47B">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处理风量</w:t>
                  </w:r>
                </w:p>
              </w:tc>
              <w:tc>
                <w:tcPr>
                  <w:tcW w:w="1991" w:type="pct"/>
                  <w:tcBorders>
                    <w:tl2br w:val="nil"/>
                    <w:tr2bl w:val="nil"/>
                  </w:tcBorders>
                  <w:vAlign w:val="center"/>
                </w:tcPr>
                <w:p w14:paraId="561FEF9F">
                  <w:pPr>
                    <w:jc w:val="center"/>
                    <w:rPr>
                      <w:rFonts w:hint="default" w:ascii="Times New Roman" w:hAnsi="Times New Roman" w:eastAsia="宋体" w:cs="Times New Roman"/>
                      <w:vertAlign w:val="baseline"/>
                      <w:lang w:val="en-US" w:eastAsia="zh-CN"/>
                    </w:rPr>
                  </w:pPr>
                  <w:r>
                    <w:rPr>
                      <w:rFonts w:hint="eastAsia" w:cs="Times New Roman"/>
                      <w:vertAlign w:val="baseline"/>
                      <w:lang w:val="en-US" w:eastAsia="zh-CN"/>
                    </w:rPr>
                    <w:t>8000m³/h</w:t>
                  </w:r>
                </w:p>
              </w:tc>
            </w:tr>
            <w:tr w14:paraId="17E02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57D80D1C">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2600" w:type="pct"/>
                  <w:tcBorders>
                    <w:tl2br w:val="nil"/>
                    <w:tr2bl w:val="nil"/>
                  </w:tcBorders>
                  <w:vAlign w:val="center"/>
                </w:tcPr>
                <w:p w14:paraId="7166B38B">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设计效率</w:t>
                  </w:r>
                </w:p>
              </w:tc>
              <w:tc>
                <w:tcPr>
                  <w:tcW w:w="1991" w:type="pct"/>
                  <w:tcBorders>
                    <w:tl2br w:val="nil"/>
                    <w:tr2bl w:val="nil"/>
                  </w:tcBorders>
                  <w:vAlign w:val="center"/>
                </w:tcPr>
                <w:p w14:paraId="68C1EE32">
                  <w:pPr>
                    <w:jc w:val="center"/>
                    <w:rPr>
                      <w:rFonts w:hint="default" w:ascii="Times New Roman" w:hAnsi="Times New Roman" w:eastAsia="宋体" w:cs="Times New Roman"/>
                      <w:vertAlign w:val="baseline"/>
                      <w:lang w:val="en-US" w:eastAsia="zh-CN"/>
                    </w:rPr>
                  </w:pPr>
                  <w:r>
                    <w:rPr>
                      <w:rFonts w:hint="eastAsia" w:ascii="Times New Roman" w:hAnsi="Times New Roman" w:eastAsia="宋体" w:cs="Times New Roman"/>
                      <w:vertAlign w:val="baseline"/>
                      <w:lang w:val="en-US" w:eastAsia="zh-CN"/>
                    </w:rPr>
                    <w:t>95</w:t>
                  </w:r>
                  <w:r>
                    <w:rPr>
                      <w:rFonts w:hint="default" w:ascii="Times New Roman" w:hAnsi="Times New Roman" w:eastAsia="宋体" w:cs="Times New Roman"/>
                      <w:vertAlign w:val="baseline"/>
                      <w:lang w:val="en-US" w:eastAsia="zh-CN"/>
                    </w:rPr>
                    <w:t>％</w:t>
                  </w:r>
                </w:p>
              </w:tc>
            </w:tr>
            <w:tr w14:paraId="7DA7F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07" w:type="pct"/>
                  <w:tcBorders>
                    <w:tl2br w:val="nil"/>
                    <w:tr2bl w:val="nil"/>
                  </w:tcBorders>
                  <w:vAlign w:val="center"/>
                </w:tcPr>
                <w:p w14:paraId="0B333051">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2600" w:type="pct"/>
                  <w:tcBorders>
                    <w:tl2br w:val="nil"/>
                    <w:tr2bl w:val="nil"/>
                  </w:tcBorders>
                  <w:vAlign w:val="center"/>
                </w:tcPr>
                <w:p w14:paraId="60038C6D">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入口温度</w:t>
                  </w:r>
                </w:p>
              </w:tc>
              <w:tc>
                <w:tcPr>
                  <w:tcW w:w="1991" w:type="pct"/>
                  <w:tcBorders>
                    <w:tl2br w:val="nil"/>
                    <w:tr2bl w:val="nil"/>
                  </w:tcBorders>
                  <w:vAlign w:val="center"/>
                </w:tcPr>
                <w:p w14:paraId="343F02E8">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&lt;138℃</w:t>
                  </w:r>
                </w:p>
              </w:tc>
            </w:tr>
            <w:tr w14:paraId="7ABA9E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7ECDD632">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2600" w:type="pct"/>
                  <w:tcBorders>
                    <w:tl2br w:val="nil"/>
                    <w:tr2bl w:val="nil"/>
                  </w:tcBorders>
                  <w:vAlign w:val="center"/>
                </w:tcPr>
                <w:p w14:paraId="20A5F357">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入口粉尘浓度</w:t>
                  </w:r>
                </w:p>
              </w:tc>
              <w:tc>
                <w:tcPr>
                  <w:tcW w:w="1991" w:type="pct"/>
                  <w:tcBorders>
                    <w:tl2br w:val="nil"/>
                    <w:tr2bl w:val="nil"/>
                  </w:tcBorders>
                  <w:vAlign w:val="center"/>
                </w:tcPr>
                <w:p w14:paraId="5D7D842F">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&lt;39g/Nm</w:t>
                  </w:r>
                  <w:r>
                    <w:rPr>
                      <w:rFonts w:hint="default" w:ascii="Times New Roman" w:hAnsi="Times New Roman" w:eastAsia="宋体" w:cs="Times New Roman"/>
                      <w:vertAlign w:val="superscript"/>
                    </w:rPr>
                    <w:t>3</w:t>
                  </w:r>
                </w:p>
              </w:tc>
            </w:tr>
            <w:tr w14:paraId="6513A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7F719255">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2600" w:type="pct"/>
                  <w:tcBorders>
                    <w:tl2br w:val="nil"/>
                    <w:tr2bl w:val="nil"/>
                  </w:tcBorders>
                  <w:vAlign w:val="center"/>
                </w:tcPr>
                <w:p w14:paraId="43A1184A">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设备阻力</w:t>
                  </w:r>
                </w:p>
              </w:tc>
              <w:tc>
                <w:tcPr>
                  <w:tcW w:w="1991" w:type="pct"/>
                  <w:tcBorders>
                    <w:tl2br w:val="nil"/>
                    <w:tr2bl w:val="nil"/>
                  </w:tcBorders>
                  <w:vAlign w:val="center"/>
                </w:tcPr>
                <w:p w14:paraId="4744985F">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&lt;1500Pa</w:t>
                  </w:r>
                </w:p>
              </w:tc>
            </w:tr>
            <w:tr w14:paraId="65AC5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014FE2D0">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w:t>
                  </w:r>
                </w:p>
              </w:tc>
              <w:tc>
                <w:tcPr>
                  <w:tcW w:w="2600" w:type="pct"/>
                  <w:tcBorders>
                    <w:tl2br w:val="nil"/>
                    <w:tr2bl w:val="nil"/>
                  </w:tcBorders>
                  <w:vAlign w:val="center"/>
                </w:tcPr>
                <w:p w14:paraId="187011FE">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过滤速度</w:t>
                  </w:r>
                </w:p>
              </w:tc>
              <w:tc>
                <w:tcPr>
                  <w:tcW w:w="1991" w:type="pct"/>
                  <w:tcBorders>
                    <w:tl2br w:val="nil"/>
                    <w:tr2bl w:val="nil"/>
                  </w:tcBorders>
                  <w:vAlign w:val="center"/>
                </w:tcPr>
                <w:p w14:paraId="66F7AA23">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&lt;1m/min</w:t>
                  </w:r>
                </w:p>
              </w:tc>
            </w:tr>
            <w:tr w14:paraId="2998B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0A39EDDC">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7</w:t>
                  </w:r>
                </w:p>
              </w:tc>
              <w:tc>
                <w:tcPr>
                  <w:tcW w:w="2600" w:type="pct"/>
                  <w:tcBorders>
                    <w:tl2br w:val="nil"/>
                    <w:tr2bl w:val="nil"/>
                  </w:tcBorders>
                  <w:vAlign w:val="center"/>
                </w:tcPr>
                <w:p w14:paraId="0F29ED43">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滤袋允许连续使用温度</w:t>
                  </w:r>
                </w:p>
              </w:tc>
              <w:tc>
                <w:tcPr>
                  <w:tcW w:w="1991" w:type="pct"/>
                  <w:tcBorders>
                    <w:tl2br w:val="nil"/>
                    <w:tr2bl w:val="nil"/>
                  </w:tcBorders>
                  <w:vAlign w:val="center"/>
                </w:tcPr>
                <w:p w14:paraId="1F82462F">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&lt;190℃</w:t>
                  </w:r>
                </w:p>
              </w:tc>
            </w:tr>
            <w:tr w14:paraId="0A419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140ECE06">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8</w:t>
                  </w:r>
                </w:p>
              </w:tc>
              <w:tc>
                <w:tcPr>
                  <w:tcW w:w="2600" w:type="pct"/>
                  <w:tcBorders>
                    <w:tl2br w:val="nil"/>
                    <w:tr2bl w:val="nil"/>
                  </w:tcBorders>
                  <w:vAlign w:val="center"/>
                </w:tcPr>
                <w:p w14:paraId="5ED0B5ED">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滤袋材质</w:t>
                  </w:r>
                </w:p>
              </w:tc>
              <w:tc>
                <w:tcPr>
                  <w:tcW w:w="1991" w:type="pct"/>
                  <w:tcBorders>
                    <w:tl2br w:val="nil"/>
                    <w:tr2bl w:val="nil"/>
                  </w:tcBorders>
                  <w:vAlign w:val="center"/>
                </w:tcPr>
                <w:p w14:paraId="5526575C">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PPS</w:t>
                  </w:r>
                </w:p>
              </w:tc>
            </w:tr>
            <w:tr w14:paraId="057C1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66D1752E">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9</w:t>
                  </w:r>
                </w:p>
              </w:tc>
              <w:tc>
                <w:tcPr>
                  <w:tcW w:w="2600" w:type="pct"/>
                  <w:tcBorders>
                    <w:tl2br w:val="nil"/>
                    <w:tr2bl w:val="nil"/>
                  </w:tcBorders>
                  <w:vAlign w:val="center"/>
                </w:tcPr>
                <w:p w14:paraId="6AC2BE5B">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滤袋寿命</w:t>
                  </w:r>
                </w:p>
              </w:tc>
              <w:tc>
                <w:tcPr>
                  <w:tcW w:w="1991" w:type="pct"/>
                  <w:tcBorders>
                    <w:tl2br w:val="nil"/>
                    <w:tr2bl w:val="nil"/>
                  </w:tcBorders>
                  <w:vAlign w:val="center"/>
                </w:tcPr>
                <w:p w14:paraId="0A86EC31">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3000h</w:t>
                  </w:r>
                </w:p>
              </w:tc>
            </w:tr>
            <w:tr w14:paraId="11675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3782276D">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w:t>
                  </w:r>
                </w:p>
              </w:tc>
              <w:tc>
                <w:tcPr>
                  <w:tcW w:w="2600" w:type="pct"/>
                  <w:tcBorders>
                    <w:tl2br w:val="nil"/>
                    <w:tr2bl w:val="nil"/>
                  </w:tcBorders>
                  <w:vAlign w:val="center"/>
                </w:tcPr>
                <w:p w14:paraId="00045AB9">
                  <w:pPr>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外壳材质</w:t>
                  </w:r>
                </w:p>
              </w:tc>
              <w:tc>
                <w:tcPr>
                  <w:tcW w:w="1991" w:type="pct"/>
                  <w:tcBorders>
                    <w:tl2br w:val="nil"/>
                    <w:tr2bl w:val="nil"/>
                  </w:tcBorders>
                  <w:vAlign w:val="center"/>
                </w:tcPr>
                <w:p w14:paraId="3220D3ED">
                  <w:pPr>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rPr>
                    <w:t>岩棉/彩钢板</w:t>
                  </w:r>
                </w:p>
              </w:tc>
            </w:tr>
            <w:tr w14:paraId="1ACA1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14:paraId="5F34B8FF">
                  <w:pPr>
                    <w:jc w:val="center"/>
                    <w:rPr>
                      <w:rFonts w:hint="default" w:ascii="Times New Roman" w:hAnsi="Times New Roman" w:eastAsia="宋体" w:cs="Times New Roman"/>
                      <w:vertAlign w:val="baseline"/>
                      <w:lang w:val="en-US" w:eastAsia="zh-CN"/>
                    </w:rPr>
                  </w:pPr>
                  <w:r>
                    <w:rPr>
                      <w:rFonts w:hint="eastAsia" w:cs="Times New Roman"/>
                      <w:vertAlign w:val="baseline"/>
                      <w:lang w:val="en-US" w:eastAsia="zh-CN"/>
                    </w:rPr>
                    <w:t>11</w:t>
                  </w:r>
                </w:p>
              </w:tc>
              <w:tc>
                <w:tcPr>
                  <w:tcW w:w="2600" w:type="pct"/>
                  <w:tcBorders>
                    <w:tl2br w:val="nil"/>
                    <w:tr2bl w:val="nil"/>
                  </w:tcBorders>
                  <w:vAlign w:val="center"/>
                </w:tcPr>
                <w:p w14:paraId="219C80C1">
                  <w:pPr>
                    <w:jc w:val="center"/>
                    <w:rPr>
                      <w:rFonts w:hint="default" w:ascii="Times New Roman" w:hAnsi="Times New Roman" w:eastAsia="宋体" w:cs="Times New Roman"/>
                      <w:vertAlign w:val="baseline"/>
                      <w:lang w:val="en-US" w:eastAsia="zh-CN"/>
                    </w:rPr>
                  </w:pPr>
                  <w:r>
                    <w:rPr>
                      <w:rFonts w:hint="eastAsia" w:cs="Times New Roman"/>
                      <w:vertAlign w:val="baseline"/>
                      <w:lang w:val="en-US" w:eastAsia="zh-CN"/>
                    </w:rPr>
                    <w:t>其他</w:t>
                  </w:r>
                </w:p>
              </w:tc>
              <w:tc>
                <w:tcPr>
                  <w:tcW w:w="1991" w:type="pct"/>
                  <w:tcBorders>
                    <w:tl2br w:val="nil"/>
                    <w:tr2bl w:val="nil"/>
                  </w:tcBorders>
                  <w:vAlign w:val="center"/>
                </w:tcPr>
                <w:p w14:paraId="5328EAD8">
                  <w:pPr>
                    <w:jc w:val="center"/>
                    <w:rPr>
                      <w:rFonts w:hint="default" w:ascii="Times New Roman" w:hAnsi="Times New Roman" w:eastAsia="宋体" w:cs="Times New Roman"/>
                      <w:vertAlign w:val="baseline"/>
                      <w:lang w:val="en-US" w:eastAsia="zh-CN"/>
                    </w:rPr>
                  </w:pPr>
                  <w:r>
                    <w:rPr>
                      <w:rFonts w:hint="eastAsia" w:cs="Times New Roman"/>
                      <w:vertAlign w:val="baseline"/>
                      <w:lang w:val="en-US" w:eastAsia="zh-CN"/>
                    </w:rPr>
                    <w:t>配备泄爆片</w:t>
                  </w:r>
                </w:p>
              </w:tc>
            </w:tr>
          </w:tbl>
          <w:p w14:paraId="0CE5726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rPr>
            </w:pPr>
            <w:r>
              <w:rPr>
                <w:rFonts w:hint="eastAsia"/>
                <w:color w:val="000000"/>
                <w:sz w:val="24"/>
              </w:rPr>
              <w:t>（</w:t>
            </w:r>
            <w:r>
              <w:rPr>
                <w:rFonts w:hint="eastAsia"/>
                <w:color w:val="000000"/>
                <w:sz w:val="24"/>
                <w:lang w:val="en-US" w:eastAsia="zh-CN"/>
              </w:rPr>
              <w:t>2</w:t>
            </w:r>
            <w:r>
              <w:rPr>
                <w:rFonts w:hint="eastAsia"/>
                <w:color w:val="000000"/>
                <w:sz w:val="24"/>
              </w:rPr>
              <w:t>）活性炭吸附装置</w:t>
            </w:r>
          </w:p>
          <w:p w14:paraId="7C171A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rPr>
            </w:pPr>
            <w:r>
              <w:rPr>
                <w:rFonts w:hint="eastAsia"/>
                <w:color w:val="000000"/>
                <w:sz w:val="24"/>
              </w:rPr>
              <w:t>活性炭吸附装置处理有机废气的原理是在一定的温度和压力下，当活性炭与有机废气接触时，有机废气吸附于活性炭的细孔中。气、固相开始接触时，对有机废气中的甲苯、二甲苯、苯乙烯及丙酮等有机物的吸附是主要过程，在活性炭的众多微孔中分为大中小三种孔，只有微小孔是吸附的主力军，活性炭具有微晶结构，微晶排列完全不规则，晶体中有微孔（半径小于</w:t>
            </w:r>
            <w:r>
              <w:rPr>
                <w:color w:val="000000"/>
                <w:sz w:val="24"/>
              </w:rPr>
              <w:t>20</w:t>
            </w:r>
            <w:r>
              <w:rPr>
                <w:rFonts w:hint="eastAsia"/>
                <w:color w:val="000000"/>
                <w:sz w:val="24"/>
              </w:rPr>
              <w:t>〔埃〕＝</w:t>
            </w:r>
            <w:r>
              <w:rPr>
                <w:color w:val="000000"/>
                <w:sz w:val="24"/>
              </w:rPr>
              <w:t>10-10m</w:t>
            </w:r>
            <w:r>
              <w:rPr>
                <w:rFonts w:hint="eastAsia"/>
                <w:color w:val="000000"/>
                <w:sz w:val="24"/>
              </w:rPr>
              <w:t>）、过渡孔（半径</w:t>
            </w:r>
            <w:r>
              <w:rPr>
                <w:color w:val="000000"/>
                <w:sz w:val="24"/>
              </w:rPr>
              <w:t>20</w:t>
            </w:r>
            <w:r>
              <w:rPr>
                <w:rFonts w:hint="eastAsia"/>
                <w:color w:val="000000"/>
                <w:sz w:val="24"/>
              </w:rPr>
              <w:t>～</w:t>
            </w:r>
            <w:r>
              <w:rPr>
                <w:color w:val="000000"/>
                <w:sz w:val="24"/>
              </w:rPr>
              <w:t>1000</w:t>
            </w:r>
            <w:r>
              <w:rPr>
                <w:rFonts w:hint="eastAsia"/>
                <w:color w:val="000000"/>
                <w:sz w:val="24"/>
              </w:rPr>
              <w:t>）、大孔（半径</w:t>
            </w:r>
            <w:r>
              <w:rPr>
                <w:color w:val="000000"/>
                <w:sz w:val="24"/>
              </w:rPr>
              <w:t>1000</w:t>
            </w:r>
            <w:r>
              <w:rPr>
                <w:rFonts w:hint="eastAsia"/>
                <w:color w:val="000000"/>
                <w:sz w:val="24"/>
              </w:rPr>
              <w:t>～</w:t>
            </w:r>
            <w:r>
              <w:rPr>
                <w:color w:val="000000"/>
                <w:sz w:val="24"/>
              </w:rPr>
              <w:t>100000</w:t>
            </w:r>
            <w:r>
              <w:rPr>
                <w:rFonts w:hint="eastAsia"/>
                <w:color w:val="000000"/>
                <w:sz w:val="24"/>
              </w:rPr>
              <w:t>），使它具有很大的内表面，比表面积为</w:t>
            </w:r>
            <w:r>
              <w:rPr>
                <w:color w:val="000000"/>
                <w:sz w:val="24"/>
              </w:rPr>
              <w:t>500</w:t>
            </w:r>
            <w:r>
              <w:rPr>
                <w:rFonts w:hint="eastAsia"/>
                <w:color w:val="000000"/>
                <w:sz w:val="24"/>
              </w:rPr>
              <w:t>～</w:t>
            </w:r>
            <w:r>
              <w:rPr>
                <w:color w:val="000000"/>
                <w:sz w:val="24"/>
              </w:rPr>
              <w:t>1700m</w:t>
            </w:r>
            <w:r>
              <w:rPr>
                <w:color w:val="000000"/>
                <w:sz w:val="24"/>
                <w:vertAlign w:val="superscript"/>
              </w:rPr>
              <w:t>2</w:t>
            </w:r>
            <w:r>
              <w:rPr>
                <w:color w:val="000000"/>
                <w:sz w:val="24"/>
              </w:rPr>
              <w:t>/g</w:t>
            </w:r>
            <w:r>
              <w:rPr>
                <w:rFonts w:hint="eastAsia"/>
                <w:color w:val="000000"/>
                <w:sz w:val="24"/>
              </w:rPr>
              <w:t>。这决定了活性炭具有良好的吸附性，可以吸附废水和废气中的金属离子、有害气体、有机污染物、色素等。工业上应用活性炭还要求机械强度大、耐磨性能好，它的结构力求稳定，吸附所需能量小，以有利于再生。活性炭用于油脂、饮料、食品、饮用水的脱色、脱味，气体分离、溶剂回收和空气调节，用作催化剂载体和防毒面具的吸附剂。随着时间的延长，活性炭细孔中吸附质浓度的不断增大，吸附速度会不断减慢，直到活性炭达到饱和状态。此时，吸附速度和解吸速度达到动态平衡，气、固相之间的传递相等。活性炭在这时需要进行解吸脱附再生。</w:t>
            </w:r>
          </w:p>
          <w:p w14:paraId="3E9A84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rPr>
            </w:pPr>
            <w:r>
              <w:rPr>
                <w:rFonts w:hint="eastAsia"/>
                <w:color w:val="000000"/>
                <w:sz w:val="24"/>
              </w:rPr>
              <w:t>利用活性炭多微孔的吸附特性吸附有机废气是一种最有效的工业处理手段。活性炭吸附床采用新型活性炭，该活性炭比表面积和孔隙率大，吸附能力强，具有较好的机械强度、化学稳定性和热稳定性。有机废气通过吸附床，与活性炭接触，废气中的有机污染物被吸附在活性炭表面，从而从气流中脱离出来，达到净化效果。从活性炭吸附床排出的气流已达排放标准，可直接排放。</w:t>
            </w:r>
          </w:p>
          <w:p w14:paraId="505F6573">
            <w:pPr>
              <w:keepNext w:val="0"/>
              <w:keepLines w:val="0"/>
              <w:pageBreakBefore w:val="0"/>
              <w:widowControl w:val="0"/>
              <w:kinsoku/>
              <w:wordWrap/>
              <w:overflowPunct/>
              <w:topLinePunct w:val="0"/>
              <w:autoSpaceDE w:val="0"/>
              <w:autoSpaceDN w:val="0"/>
              <w:bidi w:val="0"/>
              <w:adjustRightInd/>
              <w:snapToGrid/>
              <w:ind w:firstLine="0"/>
              <w:jc w:val="center"/>
              <w:textAlignment w:val="auto"/>
              <w:rPr>
                <w:b/>
                <w:color w:val="000000"/>
                <w:kern w:val="0"/>
                <w:sz w:val="21"/>
                <w:szCs w:val="21"/>
              </w:rPr>
            </w:pPr>
            <w:r>
              <w:rPr>
                <w:rFonts w:hint="eastAsia"/>
                <w:b/>
                <w:color w:val="000000"/>
                <w:kern w:val="0"/>
                <w:sz w:val="21"/>
                <w:szCs w:val="21"/>
              </w:rPr>
              <w:t>表4</w:t>
            </w:r>
            <w:r>
              <w:rPr>
                <w:b/>
                <w:color w:val="000000"/>
                <w:kern w:val="0"/>
                <w:sz w:val="21"/>
                <w:szCs w:val="21"/>
              </w:rPr>
              <w:t>-</w:t>
            </w:r>
            <w:r>
              <w:rPr>
                <w:rFonts w:hint="eastAsia"/>
                <w:b/>
                <w:color w:val="000000"/>
                <w:kern w:val="0"/>
                <w:sz w:val="21"/>
                <w:szCs w:val="21"/>
                <w:lang w:val="en-US" w:eastAsia="zh-CN"/>
              </w:rPr>
              <w:t>7</w:t>
            </w:r>
            <w:r>
              <w:rPr>
                <w:rFonts w:hint="eastAsia"/>
                <w:b/>
                <w:color w:val="000000"/>
                <w:kern w:val="0"/>
                <w:sz w:val="21"/>
                <w:szCs w:val="21"/>
              </w:rPr>
              <w:t xml:space="preserve"> 活性炭吸附装置的主要技术参数</w:t>
            </w:r>
          </w:p>
          <w:tbl>
            <w:tblPr>
              <w:tblStyle w:val="2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2675"/>
              <w:gridCol w:w="4448"/>
            </w:tblGrid>
            <w:tr w14:paraId="745CF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vMerge w:val="restart"/>
                  <w:tcBorders>
                    <w:tl2br w:val="nil"/>
                    <w:tr2bl w:val="nil"/>
                  </w:tcBorders>
                  <w:noWrap w:val="0"/>
                  <w:vAlign w:val="center"/>
                </w:tcPr>
                <w:p w14:paraId="328664D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kern w:val="2"/>
                      <w:sz w:val="21"/>
                    </w:rPr>
                  </w:pPr>
                  <w:r>
                    <w:rPr>
                      <w:rFonts w:hint="eastAsia"/>
                      <w:b/>
                      <w:color w:val="000000"/>
                      <w:kern w:val="2"/>
                      <w:sz w:val="21"/>
                    </w:rPr>
                    <w:t>序号</w:t>
                  </w:r>
                </w:p>
              </w:tc>
              <w:tc>
                <w:tcPr>
                  <w:tcW w:w="2675" w:type="dxa"/>
                  <w:vMerge w:val="restart"/>
                  <w:tcBorders>
                    <w:tl2br w:val="nil"/>
                    <w:tr2bl w:val="nil"/>
                  </w:tcBorders>
                  <w:noWrap w:val="0"/>
                  <w:vAlign w:val="center"/>
                </w:tcPr>
                <w:p w14:paraId="79A61E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kern w:val="2"/>
                      <w:sz w:val="21"/>
                    </w:rPr>
                  </w:pPr>
                  <w:r>
                    <w:rPr>
                      <w:rFonts w:hint="eastAsia"/>
                      <w:b/>
                      <w:color w:val="000000"/>
                      <w:kern w:val="2"/>
                      <w:sz w:val="21"/>
                    </w:rPr>
                    <w:t>名称</w:t>
                  </w:r>
                </w:p>
              </w:tc>
              <w:tc>
                <w:tcPr>
                  <w:tcW w:w="4448" w:type="dxa"/>
                  <w:tcBorders>
                    <w:tl2br w:val="nil"/>
                    <w:tr2bl w:val="nil"/>
                  </w:tcBorders>
                  <w:noWrap w:val="0"/>
                  <w:vAlign w:val="center"/>
                </w:tcPr>
                <w:p w14:paraId="0B1709A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kern w:val="2"/>
                      <w:sz w:val="21"/>
                    </w:rPr>
                  </w:pPr>
                  <w:r>
                    <w:rPr>
                      <w:rFonts w:hint="eastAsia"/>
                      <w:b/>
                      <w:color w:val="000000"/>
                      <w:kern w:val="2"/>
                      <w:sz w:val="21"/>
                    </w:rPr>
                    <w:t>参数指标</w:t>
                  </w:r>
                </w:p>
              </w:tc>
            </w:tr>
            <w:tr w14:paraId="408D3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vMerge w:val="continue"/>
                  <w:tcBorders>
                    <w:tl2br w:val="nil"/>
                    <w:tr2bl w:val="nil"/>
                  </w:tcBorders>
                  <w:noWrap w:val="0"/>
                  <w:vAlign w:val="center"/>
                </w:tcPr>
                <w:p w14:paraId="06165D5A">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kern w:val="2"/>
                      <w:sz w:val="21"/>
                    </w:rPr>
                  </w:pPr>
                </w:p>
              </w:tc>
              <w:tc>
                <w:tcPr>
                  <w:tcW w:w="2675" w:type="dxa"/>
                  <w:vMerge w:val="continue"/>
                  <w:tcBorders>
                    <w:tl2br w:val="nil"/>
                    <w:tr2bl w:val="nil"/>
                  </w:tcBorders>
                  <w:noWrap w:val="0"/>
                  <w:vAlign w:val="center"/>
                </w:tcPr>
                <w:p w14:paraId="0B985FB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kern w:val="2"/>
                      <w:sz w:val="21"/>
                    </w:rPr>
                  </w:pPr>
                </w:p>
              </w:tc>
              <w:tc>
                <w:tcPr>
                  <w:tcW w:w="4448" w:type="dxa"/>
                  <w:tcBorders>
                    <w:tl2br w:val="nil"/>
                    <w:tr2bl w:val="nil"/>
                  </w:tcBorders>
                  <w:noWrap w:val="0"/>
                  <w:vAlign w:val="center"/>
                </w:tcPr>
                <w:p w14:paraId="328B594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kern w:val="2"/>
                      <w:sz w:val="21"/>
                    </w:rPr>
                  </w:pPr>
                  <w:r>
                    <w:rPr>
                      <w:rFonts w:hint="eastAsia"/>
                      <w:b/>
                      <w:color w:val="000000"/>
                      <w:kern w:val="2"/>
                      <w:sz w:val="21"/>
                    </w:rPr>
                    <w:t>二级活性炭吸附装置</w:t>
                  </w:r>
                </w:p>
              </w:tc>
            </w:tr>
            <w:tr w14:paraId="5AA55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2F49CD6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1</w:t>
                  </w:r>
                </w:p>
              </w:tc>
              <w:tc>
                <w:tcPr>
                  <w:tcW w:w="2675" w:type="dxa"/>
                  <w:tcBorders>
                    <w:tl2br w:val="nil"/>
                    <w:tr2bl w:val="nil"/>
                  </w:tcBorders>
                  <w:noWrap w:val="0"/>
                  <w:vAlign w:val="center"/>
                </w:tcPr>
                <w:p w14:paraId="73F03C4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额定处理风量</w:t>
                  </w:r>
                </w:p>
              </w:tc>
              <w:tc>
                <w:tcPr>
                  <w:tcW w:w="4448" w:type="dxa"/>
                  <w:tcBorders>
                    <w:tl2br w:val="nil"/>
                    <w:tr2bl w:val="nil"/>
                  </w:tcBorders>
                  <w:noWrap w:val="0"/>
                  <w:vAlign w:val="center"/>
                </w:tcPr>
                <w:p w14:paraId="17EB8EA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highlight w:val="none"/>
                      <w:lang w:val="en-US" w:eastAsia="zh-CN"/>
                    </w:rPr>
                    <w:t>25000</w:t>
                  </w:r>
                  <w:r>
                    <w:rPr>
                      <w:color w:val="000000"/>
                      <w:szCs w:val="21"/>
                      <w:highlight w:val="none"/>
                    </w:rPr>
                    <w:t>m</w:t>
                  </w:r>
                  <w:r>
                    <w:rPr>
                      <w:color w:val="000000"/>
                      <w:szCs w:val="21"/>
                      <w:highlight w:val="none"/>
                      <w:vertAlign w:val="superscript"/>
                    </w:rPr>
                    <w:t>3</w:t>
                  </w:r>
                  <w:r>
                    <w:rPr>
                      <w:color w:val="000000"/>
                      <w:szCs w:val="21"/>
                      <w:highlight w:val="none"/>
                    </w:rPr>
                    <w:t>/h</w:t>
                  </w:r>
                </w:p>
              </w:tc>
            </w:tr>
            <w:tr w14:paraId="6FC3B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402A1EB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2</w:t>
                  </w:r>
                </w:p>
              </w:tc>
              <w:tc>
                <w:tcPr>
                  <w:tcW w:w="2675" w:type="dxa"/>
                  <w:tcBorders>
                    <w:tl2br w:val="nil"/>
                    <w:tr2bl w:val="nil"/>
                  </w:tcBorders>
                  <w:noWrap w:val="0"/>
                  <w:vAlign w:val="center"/>
                </w:tcPr>
                <w:p w14:paraId="367B78D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废气进口温度</w:t>
                  </w:r>
                </w:p>
              </w:tc>
              <w:tc>
                <w:tcPr>
                  <w:tcW w:w="4448" w:type="dxa"/>
                  <w:tcBorders>
                    <w:tl2br w:val="nil"/>
                    <w:tr2bl w:val="nil"/>
                  </w:tcBorders>
                  <w:noWrap w:val="0"/>
                  <w:vAlign w:val="center"/>
                </w:tcPr>
                <w:p w14:paraId="091002A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color w:val="000000"/>
                      <w:szCs w:val="21"/>
                    </w:rPr>
                    <w:t>≤25</w:t>
                  </w:r>
                  <w:r>
                    <w:rPr>
                      <w:rFonts w:hint="eastAsia" w:ascii="宋体" w:hAnsi="宋体" w:cs="宋体"/>
                      <w:color w:val="000000"/>
                      <w:szCs w:val="21"/>
                    </w:rPr>
                    <w:t>℃</w:t>
                  </w:r>
                </w:p>
              </w:tc>
            </w:tr>
            <w:tr w14:paraId="63846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41AC3E45">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3</w:t>
                  </w:r>
                </w:p>
              </w:tc>
              <w:tc>
                <w:tcPr>
                  <w:tcW w:w="2675" w:type="dxa"/>
                  <w:tcBorders>
                    <w:tl2br w:val="nil"/>
                    <w:tr2bl w:val="nil"/>
                  </w:tcBorders>
                  <w:noWrap w:val="0"/>
                  <w:vAlign w:val="center"/>
                </w:tcPr>
                <w:p w14:paraId="24D08D0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填充活性炭类型</w:t>
                  </w:r>
                </w:p>
              </w:tc>
              <w:tc>
                <w:tcPr>
                  <w:tcW w:w="4448" w:type="dxa"/>
                  <w:tcBorders>
                    <w:tl2br w:val="nil"/>
                    <w:tr2bl w:val="nil"/>
                  </w:tcBorders>
                  <w:noWrap w:val="0"/>
                  <w:vAlign w:val="center"/>
                </w:tcPr>
                <w:p w14:paraId="70B9D9F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颗粒状活性炭</w:t>
                  </w:r>
                </w:p>
              </w:tc>
            </w:tr>
            <w:tr w14:paraId="787F0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245AC7C7">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4</w:t>
                  </w:r>
                </w:p>
              </w:tc>
              <w:tc>
                <w:tcPr>
                  <w:tcW w:w="2675" w:type="dxa"/>
                  <w:tcBorders>
                    <w:tl2br w:val="nil"/>
                    <w:tr2bl w:val="nil"/>
                  </w:tcBorders>
                  <w:noWrap w:val="0"/>
                  <w:vAlign w:val="center"/>
                </w:tcPr>
                <w:p w14:paraId="244C6E7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活性炭比表面积</w:t>
                  </w:r>
                </w:p>
              </w:tc>
              <w:tc>
                <w:tcPr>
                  <w:tcW w:w="4448" w:type="dxa"/>
                  <w:tcBorders>
                    <w:tl2br w:val="nil"/>
                    <w:tr2bl w:val="nil"/>
                  </w:tcBorders>
                  <w:noWrap w:val="0"/>
                  <w:vAlign w:val="center"/>
                </w:tcPr>
                <w:p w14:paraId="0F55205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color w:val="000000"/>
                      <w:szCs w:val="21"/>
                    </w:rPr>
                    <w:t>800~1200m</w:t>
                  </w:r>
                  <w:r>
                    <w:rPr>
                      <w:color w:val="000000"/>
                      <w:szCs w:val="21"/>
                      <w:vertAlign w:val="superscript"/>
                    </w:rPr>
                    <w:t>2</w:t>
                  </w:r>
                  <w:r>
                    <w:rPr>
                      <w:color w:val="000000"/>
                      <w:szCs w:val="21"/>
                    </w:rPr>
                    <w:t>/g</w:t>
                  </w:r>
                </w:p>
              </w:tc>
            </w:tr>
            <w:tr w14:paraId="07E135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2AC6A651">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5</w:t>
                  </w:r>
                </w:p>
              </w:tc>
              <w:tc>
                <w:tcPr>
                  <w:tcW w:w="2675" w:type="dxa"/>
                  <w:tcBorders>
                    <w:tl2br w:val="nil"/>
                    <w:tr2bl w:val="nil"/>
                  </w:tcBorders>
                  <w:noWrap w:val="0"/>
                  <w:vAlign w:val="center"/>
                </w:tcPr>
                <w:p w14:paraId="75E3682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空箱过滤风速</w:t>
                  </w:r>
                </w:p>
              </w:tc>
              <w:tc>
                <w:tcPr>
                  <w:tcW w:w="4448" w:type="dxa"/>
                  <w:tcBorders>
                    <w:tl2br w:val="nil"/>
                    <w:tr2bl w:val="nil"/>
                  </w:tcBorders>
                  <w:noWrap w:val="0"/>
                  <w:vAlign w:val="center"/>
                </w:tcPr>
                <w:p w14:paraId="4E690FF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0.</w:t>
                  </w:r>
                  <w:r>
                    <w:rPr>
                      <w:rFonts w:hint="eastAsia"/>
                      <w:color w:val="000000"/>
                      <w:szCs w:val="21"/>
                      <w:highlight w:val="none"/>
                    </w:rPr>
                    <w:t>56</w:t>
                  </w:r>
                  <w:r>
                    <w:rPr>
                      <w:color w:val="000000"/>
                      <w:szCs w:val="21"/>
                      <w:highlight w:val="none"/>
                    </w:rPr>
                    <w:t>m/s</w:t>
                  </w:r>
                </w:p>
              </w:tc>
            </w:tr>
            <w:tr w14:paraId="2954F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59DB2153">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6</w:t>
                  </w:r>
                </w:p>
              </w:tc>
              <w:tc>
                <w:tcPr>
                  <w:tcW w:w="2675" w:type="dxa"/>
                  <w:tcBorders>
                    <w:tl2br w:val="nil"/>
                    <w:tr2bl w:val="nil"/>
                  </w:tcBorders>
                  <w:noWrap w:val="0"/>
                  <w:vAlign w:val="center"/>
                </w:tcPr>
                <w:p w14:paraId="2980E38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截面积</w:t>
                  </w:r>
                </w:p>
              </w:tc>
              <w:tc>
                <w:tcPr>
                  <w:tcW w:w="4448" w:type="dxa"/>
                  <w:tcBorders>
                    <w:tl2br w:val="nil"/>
                    <w:tr2bl w:val="nil"/>
                  </w:tcBorders>
                  <w:noWrap w:val="0"/>
                  <w:vAlign w:val="center"/>
                </w:tcPr>
                <w:p w14:paraId="60B317E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vertAlign w:val="superscript"/>
                    </w:rPr>
                  </w:pPr>
                  <w:r>
                    <w:rPr>
                      <w:rFonts w:hint="eastAsia"/>
                      <w:color w:val="000000"/>
                      <w:szCs w:val="21"/>
                      <w:highlight w:val="none"/>
                    </w:rPr>
                    <w:t>1.5</w:t>
                  </w:r>
                  <w:r>
                    <w:rPr>
                      <w:color w:val="000000"/>
                      <w:szCs w:val="21"/>
                      <w:highlight w:val="none"/>
                    </w:rPr>
                    <w:t>m</w:t>
                  </w:r>
                  <w:r>
                    <w:rPr>
                      <w:color w:val="000000"/>
                      <w:szCs w:val="21"/>
                      <w:highlight w:val="none"/>
                      <w:vertAlign w:val="superscript"/>
                    </w:rPr>
                    <w:t>2</w:t>
                  </w:r>
                </w:p>
              </w:tc>
            </w:tr>
            <w:tr w14:paraId="1B19C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28A12C1E">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color w:val="000000"/>
                      <w:kern w:val="2"/>
                      <w:sz w:val="21"/>
                    </w:rPr>
                    <w:t>7</w:t>
                  </w:r>
                </w:p>
              </w:tc>
              <w:tc>
                <w:tcPr>
                  <w:tcW w:w="2675" w:type="dxa"/>
                  <w:tcBorders>
                    <w:tl2br w:val="nil"/>
                    <w:tr2bl w:val="nil"/>
                  </w:tcBorders>
                  <w:noWrap w:val="0"/>
                  <w:vAlign w:val="center"/>
                </w:tcPr>
                <w:p w14:paraId="6DCE376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过滤层数</w:t>
                  </w:r>
                </w:p>
              </w:tc>
              <w:tc>
                <w:tcPr>
                  <w:tcW w:w="4448" w:type="dxa"/>
                  <w:tcBorders>
                    <w:tl2br w:val="nil"/>
                    <w:tr2bl w:val="nil"/>
                  </w:tcBorders>
                  <w:noWrap w:val="0"/>
                  <w:vAlign w:val="center"/>
                </w:tcPr>
                <w:p w14:paraId="1513571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color w:val="000000"/>
                      <w:szCs w:val="21"/>
                    </w:rPr>
                    <w:t>2</w:t>
                  </w:r>
                </w:p>
              </w:tc>
            </w:tr>
            <w:tr w14:paraId="0AC308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188952A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rFonts w:hint="eastAsia"/>
                      <w:color w:val="000000"/>
                      <w:kern w:val="2"/>
                      <w:sz w:val="21"/>
                    </w:rPr>
                    <w:t>8</w:t>
                  </w:r>
                </w:p>
              </w:tc>
              <w:tc>
                <w:tcPr>
                  <w:tcW w:w="2675" w:type="dxa"/>
                  <w:tcBorders>
                    <w:tl2br w:val="nil"/>
                    <w:tr2bl w:val="nil"/>
                  </w:tcBorders>
                  <w:noWrap w:val="0"/>
                  <w:vAlign w:val="center"/>
                </w:tcPr>
                <w:p w14:paraId="4231D36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设备运行阻力</w:t>
                  </w:r>
                </w:p>
              </w:tc>
              <w:tc>
                <w:tcPr>
                  <w:tcW w:w="4448" w:type="dxa"/>
                  <w:tcBorders>
                    <w:tl2br w:val="nil"/>
                    <w:tr2bl w:val="nil"/>
                  </w:tcBorders>
                  <w:noWrap w:val="0"/>
                  <w:vAlign w:val="center"/>
                </w:tcPr>
                <w:p w14:paraId="1B135D1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color w:val="000000"/>
                      <w:szCs w:val="21"/>
                    </w:rPr>
                    <w:t>≤2000Pa</w:t>
                  </w:r>
                </w:p>
              </w:tc>
            </w:tr>
            <w:tr w14:paraId="57439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45191C2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rFonts w:hint="eastAsia"/>
                      <w:color w:val="000000"/>
                      <w:kern w:val="2"/>
                      <w:sz w:val="21"/>
                    </w:rPr>
                    <w:t>9</w:t>
                  </w:r>
                </w:p>
              </w:tc>
              <w:tc>
                <w:tcPr>
                  <w:tcW w:w="2675" w:type="dxa"/>
                  <w:tcBorders>
                    <w:tl2br w:val="nil"/>
                    <w:tr2bl w:val="nil"/>
                  </w:tcBorders>
                  <w:noWrap w:val="0"/>
                  <w:vAlign w:val="center"/>
                </w:tcPr>
                <w:p w14:paraId="2B1926E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活性炭更换条件</w:t>
                  </w:r>
                </w:p>
              </w:tc>
              <w:tc>
                <w:tcPr>
                  <w:tcW w:w="4448" w:type="dxa"/>
                  <w:tcBorders>
                    <w:tl2br w:val="nil"/>
                    <w:tr2bl w:val="nil"/>
                  </w:tcBorders>
                  <w:noWrap w:val="0"/>
                  <w:vAlign w:val="center"/>
                </w:tcPr>
                <w:p w14:paraId="4EA6471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lang w:eastAsia="zh-CN"/>
                    </w:rPr>
                    <w:t>&gt;</w:t>
                  </w:r>
                  <w:r>
                    <w:rPr>
                      <w:color w:val="000000"/>
                      <w:szCs w:val="21"/>
                    </w:rPr>
                    <w:t>2000Pa</w:t>
                  </w:r>
                </w:p>
              </w:tc>
            </w:tr>
            <w:tr w14:paraId="6F687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002F9FCC">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rFonts w:hint="eastAsia"/>
                      <w:color w:val="000000"/>
                      <w:kern w:val="2"/>
                      <w:sz w:val="21"/>
                    </w:rPr>
                    <w:t>10</w:t>
                  </w:r>
                </w:p>
              </w:tc>
              <w:tc>
                <w:tcPr>
                  <w:tcW w:w="2675" w:type="dxa"/>
                  <w:tcBorders>
                    <w:tl2br w:val="nil"/>
                    <w:tr2bl w:val="nil"/>
                  </w:tcBorders>
                  <w:noWrap w:val="0"/>
                  <w:vAlign w:val="center"/>
                </w:tcPr>
                <w:p w14:paraId="55C534E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活性炭装填量</w:t>
                  </w:r>
                </w:p>
              </w:tc>
              <w:tc>
                <w:tcPr>
                  <w:tcW w:w="4448" w:type="dxa"/>
                  <w:tcBorders>
                    <w:tl2br w:val="nil"/>
                    <w:tr2bl w:val="nil"/>
                  </w:tcBorders>
                  <w:noWrap w:val="0"/>
                  <w:vAlign w:val="center"/>
                </w:tcPr>
                <w:p w14:paraId="58F4C54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yellow"/>
                    </w:rPr>
                  </w:pPr>
                  <w:r>
                    <w:rPr>
                      <w:rFonts w:hint="eastAsia"/>
                      <w:color w:val="000000"/>
                      <w:szCs w:val="21"/>
                      <w:highlight w:val="none"/>
                      <w:lang w:val="en-US" w:eastAsia="zh-CN"/>
                    </w:rPr>
                    <w:t>265</w:t>
                  </w:r>
                  <w:r>
                    <w:rPr>
                      <w:color w:val="000000"/>
                      <w:szCs w:val="21"/>
                      <w:highlight w:val="none"/>
                    </w:rPr>
                    <w:t>kg</w:t>
                  </w:r>
                </w:p>
              </w:tc>
            </w:tr>
            <w:tr w14:paraId="23BF6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3" w:type="dxa"/>
                  <w:tcBorders>
                    <w:tl2br w:val="nil"/>
                    <w:tr2bl w:val="nil"/>
                  </w:tcBorders>
                  <w:noWrap w:val="0"/>
                  <w:vAlign w:val="center"/>
                </w:tcPr>
                <w:p w14:paraId="5CC8A430">
                  <w:pPr>
                    <w:pStyle w:val="30"/>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000000"/>
                      <w:kern w:val="2"/>
                      <w:sz w:val="21"/>
                    </w:rPr>
                  </w:pPr>
                  <w:r>
                    <w:rPr>
                      <w:rFonts w:hint="eastAsia"/>
                      <w:color w:val="000000"/>
                      <w:kern w:val="2"/>
                      <w:sz w:val="21"/>
                    </w:rPr>
                    <w:t>1</w:t>
                  </w:r>
                  <w:r>
                    <w:rPr>
                      <w:color w:val="000000"/>
                      <w:kern w:val="2"/>
                      <w:sz w:val="21"/>
                    </w:rPr>
                    <w:t>1</w:t>
                  </w:r>
                </w:p>
              </w:tc>
              <w:tc>
                <w:tcPr>
                  <w:tcW w:w="2675" w:type="dxa"/>
                  <w:tcBorders>
                    <w:tl2br w:val="nil"/>
                    <w:tr2bl w:val="nil"/>
                  </w:tcBorders>
                  <w:noWrap w:val="0"/>
                  <w:vAlign w:val="center"/>
                </w:tcPr>
                <w:p w14:paraId="02BAB55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碘值</w:t>
                  </w:r>
                </w:p>
              </w:tc>
              <w:tc>
                <w:tcPr>
                  <w:tcW w:w="4448" w:type="dxa"/>
                  <w:tcBorders>
                    <w:tl2br w:val="nil"/>
                    <w:tr2bl w:val="nil"/>
                  </w:tcBorders>
                  <w:noWrap w:val="0"/>
                  <w:vAlign w:val="center"/>
                </w:tcPr>
                <w:p w14:paraId="47DCBB3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≥8</w:t>
                  </w:r>
                  <w:r>
                    <w:rPr>
                      <w:color w:val="000000"/>
                      <w:szCs w:val="21"/>
                    </w:rPr>
                    <w:t>00mg/g</w:t>
                  </w:r>
                </w:p>
              </w:tc>
            </w:tr>
          </w:tbl>
          <w:p w14:paraId="359C80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rPr>
            </w:pPr>
            <w:r>
              <w:rPr>
                <w:rFonts w:hint="eastAsia"/>
                <w:color w:val="000000"/>
                <w:sz w:val="24"/>
              </w:rPr>
              <w:t>根据《省生态环境厅关于将排污单位活性炭使用更换纳入排污许可管理的通知》中涉活性炭吸附排污单位的活性炭更换周期计算公式：</w:t>
            </w:r>
          </w:p>
          <w:p w14:paraId="70F50F5B">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color w:val="000000"/>
                <w:sz w:val="24"/>
                <w:szCs w:val="16"/>
              </w:rPr>
            </w:pPr>
            <w:r>
              <w:rPr>
                <w:color w:val="000000"/>
                <w:sz w:val="24"/>
                <w:szCs w:val="16"/>
              </w:rPr>
              <w:t>T=m×s÷</w:t>
            </w:r>
            <w:r>
              <w:rPr>
                <w:rFonts w:hint="eastAsia"/>
                <w:color w:val="000000"/>
                <w:sz w:val="24"/>
                <w:szCs w:val="16"/>
                <w:lang w:eastAsia="zh-CN"/>
              </w:rPr>
              <w:t>(</w:t>
            </w:r>
            <w:r>
              <w:rPr>
                <w:color w:val="000000"/>
                <w:sz w:val="24"/>
                <w:szCs w:val="16"/>
              </w:rPr>
              <w:t>c×10</w:t>
            </w:r>
            <w:r>
              <w:rPr>
                <w:color w:val="000000"/>
                <w:sz w:val="24"/>
                <w:szCs w:val="16"/>
                <w:vertAlign w:val="superscript"/>
              </w:rPr>
              <w:t>-6</w:t>
            </w:r>
            <w:r>
              <w:rPr>
                <w:color w:val="000000"/>
                <w:sz w:val="24"/>
                <w:szCs w:val="16"/>
              </w:rPr>
              <w:t>×Q×t</w:t>
            </w:r>
            <w:r>
              <w:rPr>
                <w:rFonts w:hint="eastAsia"/>
                <w:color w:val="000000"/>
                <w:sz w:val="24"/>
                <w:szCs w:val="16"/>
                <w:lang w:eastAsia="zh-CN"/>
              </w:rPr>
              <w:t>)</w:t>
            </w:r>
          </w:p>
          <w:p w14:paraId="225E0F1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rPr>
            </w:pPr>
            <w:r>
              <w:rPr>
                <w:rFonts w:hint="eastAsia"/>
                <w:color w:val="000000"/>
                <w:sz w:val="24"/>
                <w:szCs w:val="16"/>
              </w:rPr>
              <w:t>式中：</w:t>
            </w:r>
          </w:p>
          <w:p w14:paraId="2F81E06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rPr>
            </w:pPr>
            <w:r>
              <w:rPr>
                <w:color w:val="000000"/>
                <w:sz w:val="24"/>
                <w:szCs w:val="16"/>
              </w:rPr>
              <w:t>T—更换周期，天；</w:t>
            </w:r>
          </w:p>
          <w:p w14:paraId="7720CCF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rPr>
            </w:pPr>
            <w:r>
              <w:rPr>
                <w:color w:val="000000"/>
                <w:sz w:val="24"/>
                <w:szCs w:val="16"/>
              </w:rPr>
              <w:t>m—活性炭的用量，kg；</w:t>
            </w:r>
          </w:p>
          <w:p w14:paraId="663DD0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rPr>
            </w:pPr>
            <w:r>
              <w:rPr>
                <w:color w:val="000000"/>
                <w:sz w:val="24"/>
                <w:szCs w:val="16"/>
              </w:rPr>
              <w:t>s—动态吸附量，%；（一般取值10%）</w:t>
            </w:r>
          </w:p>
          <w:p w14:paraId="6C7B78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rPr>
            </w:pPr>
            <w:r>
              <w:rPr>
                <w:color w:val="000000"/>
                <w:sz w:val="24"/>
                <w:szCs w:val="16"/>
              </w:rPr>
              <w:t>c—活性炭削减的VOCs浓度，mg/m</w:t>
            </w:r>
            <w:r>
              <w:rPr>
                <w:color w:val="000000"/>
                <w:sz w:val="24"/>
                <w:szCs w:val="16"/>
                <w:vertAlign w:val="superscript"/>
              </w:rPr>
              <w:t>3</w:t>
            </w:r>
            <w:r>
              <w:rPr>
                <w:color w:val="000000"/>
                <w:sz w:val="24"/>
                <w:szCs w:val="16"/>
              </w:rPr>
              <w:t>；</w:t>
            </w:r>
          </w:p>
          <w:p w14:paraId="17B1AD5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rPr>
            </w:pPr>
            <w:r>
              <w:rPr>
                <w:color w:val="000000"/>
                <w:sz w:val="24"/>
                <w:szCs w:val="16"/>
              </w:rPr>
              <w:t>Q—风量，单位m</w:t>
            </w:r>
            <w:r>
              <w:rPr>
                <w:color w:val="000000"/>
                <w:sz w:val="24"/>
                <w:szCs w:val="16"/>
                <w:vertAlign w:val="superscript"/>
              </w:rPr>
              <w:t>3</w:t>
            </w:r>
            <w:r>
              <w:rPr>
                <w:color w:val="000000"/>
                <w:sz w:val="24"/>
                <w:szCs w:val="16"/>
              </w:rPr>
              <w:t>/h；</w:t>
            </w:r>
          </w:p>
          <w:p w14:paraId="388DF4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szCs w:val="16"/>
                <w:highlight w:val="none"/>
              </w:rPr>
            </w:pPr>
            <w:r>
              <w:rPr>
                <w:color w:val="000000"/>
                <w:sz w:val="24"/>
                <w:szCs w:val="16"/>
              </w:rPr>
              <w:t>t—运行</w:t>
            </w:r>
            <w:r>
              <w:rPr>
                <w:color w:val="000000"/>
                <w:sz w:val="24"/>
                <w:szCs w:val="16"/>
                <w:highlight w:val="none"/>
              </w:rPr>
              <w:t>时间，单位h/d。</w:t>
            </w:r>
          </w:p>
          <w:p w14:paraId="4AE393EB">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highlight w:val="none"/>
              </w:rPr>
            </w:pPr>
            <w:r>
              <w:rPr>
                <w:rFonts w:hint="eastAsia"/>
                <w:b/>
                <w:bCs/>
                <w:color w:val="000000"/>
                <w:sz w:val="21"/>
                <w:szCs w:val="21"/>
                <w:highlight w:val="none"/>
              </w:rPr>
              <w:t>表</w:t>
            </w:r>
            <w:r>
              <w:rPr>
                <w:b/>
                <w:bCs/>
                <w:color w:val="000000"/>
                <w:sz w:val="21"/>
                <w:szCs w:val="21"/>
                <w:highlight w:val="none"/>
              </w:rPr>
              <w:t>4-</w:t>
            </w:r>
            <w:r>
              <w:rPr>
                <w:rFonts w:hint="eastAsia"/>
                <w:b/>
                <w:bCs/>
                <w:color w:val="000000"/>
                <w:sz w:val="21"/>
                <w:szCs w:val="21"/>
                <w:highlight w:val="none"/>
                <w:lang w:val="en-US" w:eastAsia="zh-CN"/>
              </w:rPr>
              <w:t>8</w:t>
            </w:r>
            <w:r>
              <w:rPr>
                <w:rFonts w:hint="eastAsia"/>
                <w:b/>
                <w:bCs/>
                <w:color w:val="000000"/>
                <w:sz w:val="21"/>
                <w:szCs w:val="21"/>
                <w:highlight w:val="none"/>
              </w:rPr>
              <w:t xml:space="preserve"> 本项目活性炭更换周期计算表</w:t>
            </w:r>
          </w:p>
          <w:tbl>
            <w:tblPr>
              <w:tblStyle w:val="20"/>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054"/>
              <w:gridCol w:w="1184"/>
              <w:gridCol w:w="1837"/>
              <w:gridCol w:w="1124"/>
              <w:gridCol w:w="1319"/>
              <w:gridCol w:w="866"/>
            </w:tblGrid>
            <w:tr w14:paraId="5937A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tcBorders>
                    <w:tl2br w:val="nil"/>
                    <w:tr2bl w:val="nil"/>
                  </w:tcBorders>
                  <w:noWrap w:val="0"/>
                  <w:vAlign w:val="center"/>
                </w:tcPr>
                <w:p w14:paraId="40652FC1">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编号</w:t>
                  </w:r>
                </w:p>
              </w:tc>
              <w:tc>
                <w:tcPr>
                  <w:tcW w:w="641" w:type="pct"/>
                  <w:tcBorders>
                    <w:tl2br w:val="nil"/>
                    <w:tr2bl w:val="nil"/>
                  </w:tcBorders>
                  <w:noWrap w:val="0"/>
                  <w:vAlign w:val="center"/>
                </w:tcPr>
                <w:p w14:paraId="2D703A10">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活性炭用量（kg）</w:t>
                  </w:r>
                </w:p>
              </w:tc>
              <w:tc>
                <w:tcPr>
                  <w:tcW w:w="719" w:type="pct"/>
                  <w:tcBorders>
                    <w:tl2br w:val="nil"/>
                    <w:tr2bl w:val="nil"/>
                  </w:tcBorders>
                  <w:noWrap w:val="0"/>
                  <w:vAlign w:val="center"/>
                </w:tcPr>
                <w:p w14:paraId="536CE954">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动态吸附量（%）</w:t>
                  </w:r>
                </w:p>
              </w:tc>
              <w:tc>
                <w:tcPr>
                  <w:tcW w:w="1116" w:type="pct"/>
                  <w:tcBorders>
                    <w:tl2br w:val="nil"/>
                    <w:tr2bl w:val="nil"/>
                  </w:tcBorders>
                  <w:noWrap w:val="0"/>
                  <w:vAlign w:val="center"/>
                </w:tcPr>
                <w:p w14:paraId="54877AA6">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活性炭削减的废气浓度（mg/m</w:t>
                  </w:r>
                  <w:r>
                    <w:rPr>
                      <w:rFonts w:hint="eastAsia"/>
                      <w:b/>
                      <w:color w:val="000000"/>
                      <w:kern w:val="2"/>
                      <w:highlight w:val="none"/>
                      <w:vertAlign w:val="superscript"/>
                    </w:rPr>
                    <w:t>3</w:t>
                  </w:r>
                  <w:r>
                    <w:rPr>
                      <w:rFonts w:hint="eastAsia"/>
                      <w:b/>
                      <w:color w:val="000000"/>
                      <w:kern w:val="2"/>
                      <w:highlight w:val="none"/>
                    </w:rPr>
                    <w:t>）</w:t>
                  </w:r>
                </w:p>
              </w:tc>
              <w:tc>
                <w:tcPr>
                  <w:tcW w:w="683" w:type="pct"/>
                  <w:tcBorders>
                    <w:tl2br w:val="nil"/>
                    <w:tr2bl w:val="nil"/>
                  </w:tcBorders>
                  <w:noWrap w:val="0"/>
                  <w:vAlign w:val="center"/>
                </w:tcPr>
                <w:p w14:paraId="2F4E035D">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风量（m</w:t>
                  </w:r>
                  <w:r>
                    <w:rPr>
                      <w:rFonts w:hint="eastAsia"/>
                      <w:b/>
                      <w:color w:val="000000"/>
                      <w:kern w:val="2"/>
                      <w:highlight w:val="none"/>
                      <w:vertAlign w:val="superscript"/>
                    </w:rPr>
                    <w:t>3</w:t>
                  </w:r>
                  <w:r>
                    <w:rPr>
                      <w:rFonts w:hint="eastAsia"/>
                      <w:b/>
                      <w:color w:val="000000"/>
                      <w:kern w:val="2"/>
                      <w:highlight w:val="none"/>
                    </w:rPr>
                    <w:t>/h）</w:t>
                  </w:r>
                </w:p>
              </w:tc>
              <w:tc>
                <w:tcPr>
                  <w:tcW w:w="801" w:type="pct"/>
                  <w:tcBorders>
                    <w:tl2br w:val="nil"/>
                    <w:tr2bl w:val="nil"/>
                  </w:tcBorders>
                  <w:noWrap w:val="0"/>
                  <w:vAlign w:val="center"/>
                </w:tcPr>
                <w:p w14:paraId="58EFFE9A">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运行时间（h/d）</w:t>
                  </w:r>
                </w:p>
              </w:tc>
              <w:tc>
                <w:tcPr>
                  <w:tcW w:w="526" w:type="pct"/>
                  <w:tcBorders>
                    <w:tl2br w:val="nil"/>
                    <w:tr2bl w:val="nil"/>
                  </w:tcBorders>
                  <w:noWrap w:val="0"/>
                  <w:vAlign w:val="center"/>
                </w:tcPr>
                <w:p w14:paraId="56FFCE0E">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b/>
                      <w:color w:val="000000"/>
                      <w:kern w:val="2"/>
                      <w:highlight w:val="none"/>
                    </w:rPr>
                  </w:pPr>
                  <w:r>
                    <w:rPr>
                      <w:rFonts w:hint="eastAsia"/>
                      <w:b/>
                      <w:color w:val="000000"/>
                      <w:kern w:val="2"/>
                      <w:highlight w:val="none"/>
                    </w:rPr>
                    <w:t>更换周期（d）</w:t>
                  </w:r>
                </w:p>
              </w:tc>
            </w:tr>
            <w:tr w14:paraId="17D05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tcBorders>
                    <w:tl2br w:val="nil"/>
                    <w:tr2bl w:val="nil"/>
                  </w:tcBorders>
                  <w:noWrap w:val="0"/>
                  <w:vAlign w:val="center"/>
                </w:tcPr>
                <w:p w14:paraId="6C769F4D">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2#</w:t>
                  </w:r>
                </w:p>
              </w:tc>
              <w:tc>
                <w:tcPr>
                  <w:tcW w:w="641" w:type="pct"/>
                  <w:tcBorders>
                    <w:tl2br w:val="nil"/>
                    <w:tr2bl w:val="nil"/>
                  </w:tcBorders>
                  <w:noWrap w:val="0"/>
                  <w:vAlign w:val="center"/>
                </w:tcPr>
                <w:p w14:paraId="7DC4F2D4">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81</w:t>
                  </w:r>
                </w:p>
              </w:tc>
              <w:tc>
                <w:tcPr>
                  <w:tcW w:w="719" w:type="pct"/>
                  <w:tcBorders>
                    <w:tl2br w:val="nil"/>
                    <w:tr2bl w:val="nil"/>
                  </w:tcBorders>
                  <w:noWrap w:val="0"/>
                  <w:vAlign w:val="center"/>
                </w:tcPr>
                <w:p w14:paraId="718294F6">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10</w:t>
                  </w:r>
                </w:p>
              </w:tc>
              <w:tc>
                <w:tcPr>
                  <w:tcW w:w="1116" w:type="pct"/>
                  <w:tcBorders>
                    <w:tl2br w:val="nil"/>
                    <w:tr2bl w:val="nil"/>
                  </w:tcBorders>
                  <w:noWrap w:val="0"/>
                  <w:vAlign w:val="center"/>
                </w:tcPr>
                <w:p w14:paraId="20C610B4">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0.45219</w:t>
                  </w:r>
                </w:p>
              </w:tc>
              <w:tc>
                <w:tcPr>
                  <w:tcW w:w="683" w:type="pct"/>
                  <w:tcBorders>
                    <w:tl2br w:val="nil"/>
                    <w:tr2bl w:val="nil"/>
                  </w:tcBorders>
                  <w:noWrap w:val="0"/>
                  <w:vAlign w:val="center"/>
                </w:tcPr>
                <w:p w14:paraId="189B8500">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25000</w:t>
                  </w:r>
                </w:p>
              </w:tc>
              <w:tc>
                <w:tcPr>
                  <w:tcW w:w="801" w:type="pct"/>
                  <w:tcBorders>
                    <w:tl2br w:val="nil"/>
                    <w:tr2bl w:val="nil"/>
                  </w:tcBorders>
                  <w:noWrap w:val="0"/>
                  <w:vAlign w:val="center"/>
                </w:tcPr>
                <w:p w14:paraId="7F661A10">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8</w:t>
                  </w:r>
                </w:p>
              </w:tc>
              <w:tc>
                <w:tcPr>
                  <w:tcW w:w="526" w:type="pct"/>
                  <w:tcBorders>
                    <w:tl2br w:val="nil"/>
                    <w:tr2bl w:val="nil"/>
                  </w:tcBorders>
                  <w:noWrap w:val="0"/>
                  <w:vAlign w:val="center"/>
                </w:tcPr>
                <w:p w14:paraId="61E14035">
                  <w:pPr>
                    <w:pStyle w:val="31"/>
                    <w:keepNext w:val="0"/>
                    <w:keepLines w:val="0"/>
                    <w:pageBreakBefore w:val="0"/>
                    <w:widowControl w:val="0"/>
                    <w:kinsoku/>
                    <w:wordWrap/>
                    <w:overflowPunct/>
                    <w:topLinePunct w:val="0"/>
                    <w:autoSpaceDE/>
                    <w:autoSpaceDN/>
                    <w:bidi w:val="0"/>
                    <w:adjustRightInd w:val="0"/>
                    <w:snapToGrid w:val="0"/>
                    <w:spacing w:before="0"/>
                    <w:ind w:firstLine="0"/>
                    <w:jc w:val="center"/>
                    <w:textAlignment w:val="auto"/>
                    <w:rPr>
                      <w:rFonts w:hint="default" w:eastAsia="宋体"/>
                      <w:color w:val="000000"/>
                      <w:kern w:val="2"/>
                      <w:highlight w:val="none"/>
                      <w:lang w:val="en-US" w:eastAsia="zh-CN"/>
                    </w:rPr>
                  </w:pPr>
                  <w:r>
                    <w:rPr>
                      <w:rFonts w:hint="eastAsia"/>
                      <w:color w:val="000000"/>
                      <w:kern w:val="2"/>
                      <w:highlight w:val="none"/>
                      <w:lang w:val="en-US" w:eastAsia="zh-CN"/>
                    </w:rPr>
                    <w:t>90</w:t>
                  </w:r>
                </w:p>
              </w:tc>
            </w:tr>
          </w:tbl>
          <w:p w14:paraId="24B8A0FF">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eastAsia"/>
                <w:color w:val="000000"/>
                <w:sz w:val="24"/>
                <w:highlight w:val="none"/>
                <w:lang w:val="en-US" w:eastAsia="zh-CN"/>
              </w:rPr>
            </w:pPr>
            <w:r>
              <w:rPr>
                <w:rFonts w:hint="eastAsia"/>
                <w:color w:val="000000"/>
                <w:sz w:val="24"/>
                <w:highlight w:val="none"/>
                <w:lang w:val="en-US" w:eastAsia="zh-CN"/>
              </w:rPr>
              <w:t>根据</w:t>
            </w:r>
            <w:r>
              <w:rPr>
                <w:rFonts w:hint="eastAsia"/>
                <w:color w:val="000000"/>
                <w:sz w:val="24"/>
                <w:highlight w:val="none"/>
              </w:rPr>
              <w:t>上述公式计算</w:t>
            </w:r>
            <w:r>
              <w:rPr>
                <w:rFonts w:hint="eastAsia"/>
                <w:color w:val="000000"/>
                <w:sz w:val="24"/>
                <w:highlight w:val="none"/>
                <w:lang w:val="en-US" w:eastAsia="zh-CN"/>
              </w:rPr>
              <w:t>所得</w:t>
            </w:r>
            <w:r>
              <w:rPr>
                <w:rFonts w:hint="eastAsia"/>
                <w:color w:val="000000"/>
                <w:sz w:val="24"/>
                <w:highlight w:val="none"/>
              </w:rPr>
              <w:t>排气筒活性炭更换周期</w:t>
            </w:r>
            <w:r>
              <w:rPr>
                <w:rFonts w:hint="eastAsia"/>
                <w:color w:val="000000"/>
                <w:sz w:val="24"/>
                <w:highlight w:val="none"/>
                <w:lang w:val="en-US" w:eastAsia="zh-CN"/>
              </w:rPr>
              <w:t>及《省生态环境厅关于深入开展涉VOCs治理重点工作核查的通知》（苏环办〔2022〕218号）中“活性炭更换周期一般不应超过累计运行500小时或3个月”。本项目活性炭每年更换约3次，则本项目活性炭年用量为0.243t/a。</w:t>
            </w:r>
          </w:p>
          <w:p w14:paraId="1E87038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000000"/>
                <w:sz w:val="24"/>
              </w:rPr>
            </w:pPr>
            <w:r>
              <w:rPr>
                <w:rFonts w:hint="eastAsia"/>
                <w:b/>
                <w:bCs/>
                <w:color w:val="000000"/>
                <w:sz w:val="24"/>
              </w:rPr>
              <w:t>1.4技术经济可行性论证</w:t>
            </w:r>
          </w:p>
          <w:p w14:paraId="700836E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bCs/>
                <w:color w:val="000000"/>
                <w:sz w:val="24"/>
              </w:rPr>
            </w:pPr>
            <w:r>
              <w:rPr>
                <w:bCs/>
                <w:color w:val="000000"/>
                <w:sz w:val="24"/>
              </w:rPr>
              <w:t>（1）本项目活性炭吸附装置与《吸附法工业有机废气治理工程技术规范》（HJ 2026-2013）的符合性分析</w:t>
            </w:r>
            <w:r>
              <w:rPr>
                <w:rFonts w:hint="eastAsia"/>
                <w:bCs/>
                <w:color w:val="000000"/>
                <w:sz w:val="24"/>
              </w:rPr>
              <w:t>。</w:t>
            </w:r>
          </w:p>
          <w:p w14:paraId="158A0145">
            <w:pPr>
              <w:keepNext w:val="0"/>
              <w:keepLines w:val="0"/>
              <w:pageBreakBefore w:val="0"/>
              <w:widowControl w:val="0"/>
              <w:kinsoku/>
              <w:wordWrap/>
              <w:overflowPunct/>
              <w:topLinePunct w:val="0"/>
              <w:autoSpaceDE w:val="0"/>
              <w:autoSpaceDN w:val="0"/>
              <w:bidi w:val="0"/>
              <w:adjustRightInd w:val="0"/>
              <w:snapToGrid w:val="0"/>
              <w:ind w:firstLine="0"/>
              <w:jc w:val="center"/>
              <w:textAlignment w:val="auto"/>
              <w:rPr>
                <w:b/>
                <w:color w:val="000000"/>
                <w:kern w:val="0"/>
                <w:sz w:val="21"/>
                <w:szCs w:val="21"/>
              </w:rPr>
            </w:pPr>
            <w:r>
              <w:rPr>
                <w:rFonts w:hint="eastAsia"/>
                <w:b/>
                <w:color w:val="000000"/>
                <w:kern w:val="0"/>
                <w:sz w:val="21"/>
                <w:szCs w:val="21"/>
              </w:rPr>
              <w:t>表4-</w:t>
            </w:r>
            <w:r>
              <w:rPr>
                <w:rFonts w:hint="eastAsia"/>
                <w:b/>
                <w:color w:val="000000"/>
                <w:kern w:val="0"/>
                <w:sz w:val="21"/>
                <w:szCs w:val="21"/>
                <w:lang w:val="en-US" w:eastAsia="zh-CN"/>
              </w:rPr>
              <w:t>9</w:t>
            </w:r>
            <w:r>
              <w:rPr>
                <w:rFonts w:hint="eastAsia"/>
                <w:b/>
                <w:color w:val="000000"/>
                <w:kern w:val="0"/>
                <w:sz w:val="21"/>
                <w:szCs w:val="21"/>
              </w:rPr>
              <w:t xml:space="preserve"> 与《吸附法工业有机废气治理工程技术规范》相符性分析</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3769"/>
              <w:gridCol w:w="2862"/>
              <w:gridCol w:w="926"/>
            </w:tblGrid>
            <w:tr w14:paraId="29DA9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3AC46396">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序号</w:t>
                  </w:r>
                </w:p>
              </w:tc>
              <w:tc>
                <w:tcPr>
                  <w:tcW w:w="2288" w:type="pct"/>
                  <w:tcBorders>
                    <w:tl2br w:val="nil"/>
                    <w:tr2bl w:val="nil"/>
                  </w:tcBorders>
                  <w:noWrap w:val="0"/>
                  <w:vAlign w:val="center"/>
                </w:tcPr>
                <w:p w14:paraId="54E825BA">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规范要求</w:t>
                  </w:r>
                </w:p>
              </w:tc>
              <w:tc>
                <w:tcPr>
                  <w:tcW w:w="1737" w:type="pct"/>
                  <w:tcBorders>
                    <w:tl2br w:val="nil"/>
                    <w:tr2bl w:val="nil"/>
                  </w:tcBorders>
                  <w:noWrap w:val="0"/>
                  <w:vAlign w:val="center"/>
                </w:tcPr>
                <w:p w14:paraId="73C9C3C2">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本项目情况</w:t>
                  </w:r>
                </w:p>
              </w:tc>
              <w:tc>
                <w:tcPr>
                  <w:tcW w:w="562" w:type="pct"/>
                  <w:tcBorders>
                    <w:tl2br w:val="nil"/>
                    <w:tr2bl w:val="nil"/>
                  </w:tcBorders>
                  <w:noWrap w:val="0"/>
                  <w:vAlign w:val="center"/>
                </w:tcPr>
                <w:p w14:paraId="7F5A2E7D">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相符性</w:t>
                  </w:r>
                </w:p>
              </w:tc>
            </w:tr>
            <w:tr w14:paraId="0F727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04CC4278">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1</w:t>
                  </w:r>
                </w:p>
              </w:tc>
              <w:tc>
                <w:tcPr>
                  <w:tcW w:w="2288" w:type="pct"/>
                  <w:tcBorders>
                    <w:tl2br w:val="nil"/>
                    <w:tr2bl w:val="nil"/>
                  </w:tcBorders>
                  <w:noWrap w:val="0"/>
                  <w:vAlign w:val="center"/>
                </w:tcPr>
                <w:p w14:paraId="3DF2CA45">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吸附装置的净化效率不低于</w:t>
                  </w:r>
                  <w:r>
                    <w:rPr>
                      <w:color w:val="000000"/>
                      <w:szCs w:val="21"/>
                    </w:rPr>
                    <w:t>90%</w:t>
                  </w:r>
                </w:p>
              </w:tc>
              <w:tc>
                <w:tcPr>
                  <w:tcW w:w="1737" w:type="pct"/>
                  <w:tcBorders>
                    <w:tl2br w:val="nil"/>
                    <w:tr2bl w:val="nil"/>
                  </w:tcBorders>
                  <w:noWrap w:val="0"/>
                  <w:vAlign w:val="center"/>
                </w:tcPr>
                <w:p w14:paraId="64A5F073">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s="宋体"/>
                      <w:color w:val="000000"/>
                      <w:kern w:val="0"/>
                      <w:szCs w:val="21"/>
                    </w:rPr>
                    <w:t>在严格执行监管措施，设施稳定运行的情况下，对有机废气的去除率可达</w:t>
                  </w:r>
                  <w:r>
                    <w:rPr>
                      <w:rFonts w:hint="eastAsia"/>
                      <w:color w:val="000000"/>
                      <w:kern w:val="0"/>
                      <w:szCs w:val="21"/>
                      <w:lang w:val="en-US" w:eastAsia="zh-CN"/>
                    </w:rPr>
                    <w:t>90</w:t>
                  </w:r>
                  <w:r>
                    <w:rPr>
                      <w:color w:val="000000"/>
                      <w:kern w:val="0"/>
                      <w:szCs w:val="21"/>
                    </w:rPr>
                    <w:t>%</w:t>
                  </w:r>
                </w:p>
              </w:tc>
              <w:tc>
                <w:tcPr>
                  <w:tcW w:w="562" w:type="pct"/>
                  <w:tcBorders>
                    <w:tl2br w:val="nil"/>
                    <w:tr2bl w:val="nil"/>
                  </w:tcBorders>
                  <w:noWrap w:val="0"/>
                  <w:vAlign w:val="center"/>
                </w:tcPr>
                <w:p w14:paraId="5BCF3B27">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r w14:paraId="06B5E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5856B3B6">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2</w:t>
                  </w:r>
                </w:p>
              </w:tc>
              <w:tc>
                <w:tcPr>
                  <w:tcW w:w="2288" w:type="pct"/>
                  <w:tcBorders>
                    <w:tl2br w:val="nil"/>
                    <w:tr2bl w:val="nil"/>
                  </w:tcBorders>
                  <w:noWrap w:val="0"/>
                  <w:vAlign w:val="center"/>
                </w:tcPr>
                <w:p w14:paraId="5D6EAE65">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szCs w:val="21"/>
                    </w:rPr>
                  </w:pPr>
                  <w:r>
                    <w:rPr>
                      <w:rFonts w:hint="eastAsia" w:cs="宋体"/>
                      <w:color w:val="000000"/>
                      <w:kern w:val="0"/>
                      <w:szCs w:val="21"/>
                    </w:rPr>
                    <w:t>当废气中含有颗粒物含量超过</w:t>
                  </w:r>
                  <w:r>
                    <w:rPr>
                      <w:color w:val="000000"/>
                      <w:kern w:val="0"/>
                      <w:szCs w:val="21"/>
                    </w:rPr>
                    <w:t>1mg/m</w:t>
                  </w:r>
                  <w:r>
                    <w:rPr>
                      <w:color w:val="000000"/>
                      <w:kern w:val="0"/>
                      <w:szCs w:val="21"/>
                      <w:vertAlign w:val="superscript"/>
                    </w:rPr>
                    <w:t>3</w:t>
                  </w:r>
                  <w:r>
                    <w:rPr>
                      <w:rFonts w:hint="eastAsia" w:cs="宋体"/>
                      <w:color w:val="000000"/>
                      <w:kern w:val="0"/>
                      <w:szCs w:val="21"/>
                    </w:rPr>
                    <w:t>时，应先采用过滤或洗涤等方式进行预处理</w:t>
                  </w:r>
                </w:p>
              </w:tc>
              <w:tc>
                <w:tcPr>
                  <w:tcW w:w="1737" w:type="pct"/>
                  <w:tcBorders>
                    <w:tl2br w:val="nil"/>
                    <w:tr2bl w:val="nil"/>
                  </w:tcBorders>
                  <w:noWrap w:val="0"/>
                  <w:vAlign w:val="center"/>
                </w:tcPr>
                <w:p w14:paraId="51FA41EC">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s="宋体"/>
                      <w:color w:val="000000"/>
                      <w:kern w:val="0"/>
                      <w:szCs w:val="21"/>
                      <w:highlight w:val="none"/>
                    </w:rPr>
                    <w:t>本项目</w:t>
                  </w:r>
                  <w:r>
                    <w:rPr>
                      <w:rFonts w:hint="eastAsia" w:cs="宋体"/>
                      <w:color w:val="000000"/>
                      <w:kern w:val="0"/>
                      <w:szCs w:val="21"/>
                      <w:highlight w:val="none"/>
                      <w:lang w:val="en-US" w:eastAsia="zh-CN"/>
                    </w:rPr>
                    <w:t>该工段无颗粒物产生。</w:t>
                  </w:r>
                </w:p>
              </w:tc>
              <w:tc>
                <w:tcPr>
                  <w:tcW w:w="562" w:type="pct"/>
                  <w:tcBorders>
                    <w:tl2br w:val="nil"/>
                    <w:tr2bl w:val="nil"/>
                  </w:tcBorders>
                  <w:noWrap w:val="0"/>
                  <w:vAlign w:val="center"/>
                </w:tcPr>
                <w:p w14:paraId="6D200D01">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highlight w:val="none"/>
                    </w:rPr>
                    <w:t>相符</w:t>
                  </w:r>
                </w:p>
              </w:tc>
            </w:tr>
            <w:tr w14:paraId="7F1A82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5DEF5ACD">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3</w:t>
                  </w:r>
                </w:p>
              </w:tc>
              <w:tc>
                <w:tcPr>
                  <w:tcW w:w="2288" w:type="pct"/>
                  <w:tcBorders>
                    <w:tl2br w:val="nil"/>
                    <w:tr2bl w:val="nil"/>
                  </w:tcBorders>
                  <w:noWrap w:val="0"/>
                  <w:vAlign w:val="center"/>
                </w:tcPr>
                <w:p w14:paraId="4703FC18">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kern w:val="0"/>
                      <w:szCs w:val="21"/>
                    </w:rPr>
                  </w:pPr>
                  <w:r>
                    <w:rPr>
                      <w:rFonts w:hint="eastAsia" w:cs="宋体"/>
                      <w:color w:val="000000"/>
                      <w:kern w:val="0"/>
                      <w:szCs w:val="21"/>
                    </w:rPr>
                    <w:t>过滤装置两端应设置压差计，当过滤器的阻力超过规定值时应及时清理或更换过滤材料</w:t>
                  </w:r>
                </w:p>
              </w:tc>
              <w:tc>
                <w:tcPr>
                  <w:tcW w:w="1737" w:type="pct"/>
                  <w:tcBorders>
                    <w:tl2br w:val="nil"/>
                    <w:tr2bl w:val="nil"/>
                  </w:tcBorders>
                  <w:noWrap w:val="0"/>
                  <w:vAlign w:val="center"/>
                </w:tcPr>
                <w:p w14:paraId="22963D58">
                  <w:pPr>
                    <w:keepNext w:val="0"/>
                    <w:keepLines w:val="0"/>
                    <w:pageBreakBefore w:val="0"/>
                    <w:kinsoku/>
                    <w:wordWrap/>
                    <w:overflowPunct/>
                    <w:topLinePunct w:val="0"/>
                    <w:bidi w:val="0"/>
                    <w:adjustRightInd w:val="0"/>
                    <w:snapToGrid w:val="0"/>
                    <w:ind w:firstLine="0"/>
                    <w:jc w:val="center"/>
                    <w:textAlignment w:val="auto"/>
                    <w:rPr>
                      <w:color w:val="000000"/>
                      <w:kern w:val="0"/>
                      <w:szCs w:val="21"/>
                    </w:rPr>
                  </w:pPr>
                  <w:r>
                    <w:rPr>
                      <w:rFonts w:hint="eastAsia" w:cs="宋体"/>
                      <w:color w:val="000000"/>
                      <w:kern w:val="0"/>
                      <w:szCs w:val="21"/>
                    </w:rPr>
                    <w:t>本项目活性炭过滤装置两端设置压差计</w:t>
                  </w:r>
                </w:p>
              </w:tc>
              <w:tc>
                <w:tcPr>
                  <w:tcW w:w="562" w:type="pct"/>
                  <w:tcBorders>
                    <w:tl2br w:val="nil"/>
                    <w:tr2bl w:val="nil"/>
                  </w:tcBorders>
                  <w:noWrap w:val="0"/>
                  <w:vAlign w:val="center"/>
                </w:tcPr>
                <w:p w14:paraId="165B1100">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r w14:paraId="7110B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0F1FCE55">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4</w:t>
                  </w:r>
                </w:p>
              </w:tc>
              <w:tc>
                <w:tcPr>
                  <w:tcW w:w="2288" w:type="pct"/>
                  <w:tcBorders>
                    <w:tl2br w:val="nil"/>
                    <w:tr2bl w:val="nil"/>
                  </w:tcBorders>
                  <w:noWrap w:val="0"/>
                  <w:vAlign w:val="center"/>
                </w:tcPr>
                <w:p w14:paraId="089A59AB">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kern w:val="0"/>
                      <w:szCs w:val="21"/>
                    </w:rPr>
                  </w:pPr>
                  <w:r>
                    <w:rPr>
                      <w:rFonts w:hint="eastAsia"/>
                      <w:color w:val="000000"/>
                      <w:szCs w:val="21"/>
                    </w:rPr>
                    <w:t>采用颗粒状吸附剂时，气体流速宜低于0.6</w:t>
                  </w:r>
                  <w:r>
                    <w:rPr>
                      <w:color w:val="000000"/>
                      <w:szCs w:val="21"/>
                    </w:rPr>
                    <w:t>m/s</w:t>
                  </w:r>
                </w:p>
              </w:tc>
              <w:tc>
                <w:tcPr>
                  <w:tcW w:w="1737" w:type="pct"/>
                  <w:tcBorders>
                    <w:tl2br w:val="nil"/>
                    <w:tr2bl w:val="nil"/>
                  </w:tcBorders>
                  <w:noWrap w:val="0"/>
                  <w:vAlign w:val="center"/>
                </w:tcPr>
                <w:p w14:paraId="01CE0B05">
                  <w:pPr>
                    <w:keepNext w:val="0"/>
                    <w:keepLines w:val="0"/>
                    <w:pageBreakBefore w:val="0"/>
                    <w:kinsoku/>
                    <w:wordWrap/>
                    <w:overflowPunct/>
                    <w:topLinePunct w:val="0"/>
                    <w:bidi w:val="0"/>
                    <w:adjustRightInd w:val="0"/>
                    <w:snapToGrid w:val="0"/>
                    <w:ind w:firstLine="0"/>
                    <w:jc w:val="center"/>
                    <w:textAlignment w:val="auto"/>
                    <w:rPr>
                      <w:color w:val="000000"/>
                      <w:kern w:val="0"/>
                      <w:szCs w:val="21"/>
                      <w:highlight w:val="none"/>
                    </w:rPr>
                  </w:pPr>
                  <w:r>
                    <w:rPr>
                      <w:rFonts w:hint="eastAsia"/>
                      <w:color w:val="000000"/>
                      <w:szCs w:val="21"/>
                      <w:highlight w:val="none"/>
                    </w:rPr>
                    <w:t>本项目活性炭吸附装置气体流速均低于0.6</w:t>
                  </w:r>
                  <w:r>
                    <w:rPr>
                      <w:color w:val="000000"/>
                      <w:szCs w:val="21"/>
                      <w:highlight w:val="none"/>
                    </w:rPr>
                    <w:t>m/s</w:t>
                  </w:r>
                </w:p>
              </w:tc>
              <w:tc>
                <w:tcPr>
                  <w:tcW w:w="562" w:type="pct"/>
                  <w:tcBorders>
                    <w:tl2br w:val="nil"/>
                    <w:tr2bl w:val="nil"/>
                  </w:tcBorders>
                  <w:noWrap w:val="0"/>
                  <w:vAlign w:val="center"/>
                </w:tcPr>
                <w:p w14:paraId="4CCAA7E2">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r w14:paraId="4715C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78008724">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5</w:t>
                  </w:r>
                </w:p>
              </w:tc>
              <w:tc>
                <w:tcPr>
                  <w:tcW w:w="2288" w:type="pct"/>
                  <w:tcBorders>
                    <w:tl2br w:val="nil"/>
                    <w:tr2bl w:val="nil"/>
                  </w:tcBorders>
                  <w:noWrap w:val="0"/>
                  <w:vAlign w:val="center"/>
                </w:tcPr>
                <w:p w14:paraId="20D3389D">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kern w:val="0"/>
                      <w:szCs w:val="21"/>
                    </w:rPr>
                  </w:pPr>
                  <w:r>
                    <w:rPr>
                      <w:rFonts w:hint="eastAsia" w:cs="宋体"/>
                      <w:color w:val="000000"/>
                      <w:kern w:val="0"/>
                      <w:szCs w:val="21"/>
                    </w:rPr>
                    <w:t>过滤材料、吸附剂和催化剂的处理应符合固体废弃物处理与处置相关管理规定</w:t>
                  </w:r>
                </w:p>
              </w:tc>
              <w:tc>
                <w:tcPr>
                  <w:tcW w:w="1737" w:type="pct"/>
                  <w:tcBorders>
                    <w:tl2br w:val="nil"/>
                    <w:tr2bl w:val="nil"/>
                  </w:tcBorders>
                  <w:noWrap w:val="0"/>
                  <w:vAlign w:val="center"/>
                </w:tcPr>
                <w:p w14:paraId="5C00FE2D">
                  <w:pPr>
                    <w:keepNext w:val="0"/>
                    <w:keepLines w:val="0"/>
                    <w:pageBreakBefore w:val="0"/>
                    <w:kinsoku/>
                    <w:wordWrap/>
                    <w:overflowPunct/>
                    <w:topLinePunct w:val="0"/>
                    <w:bidi w:val="0"/>
                    <w:adjustRightInd w:val="0"/>
                    <w:snapToGrid w:val="0"/>
                    <w:ind w:firstLine="0"/>
                    <w:jc w:val="center"/>
                    <w:textAlignment w:val="auto"/>
                    <w:rPr>
                      <w:color w:val="000000"/>
                      <w:kern w:val="0"/>
                      <w:szCs w:val="21"/>
                    </w:rPr>
                  </w:pPr>
                  <w:r>
                    <w:rPr>
                      <w:rFonts w:hint="eastAsia"/>
                      <w:color w:val="000000"/>
                      <w:szCs w:val="21"/>
                    </w:rPr>
                    <w:t>废活性炭委托危废单位处置</w:t>
                  </w:r>
                </w:p>
              </w:tc>
              <w:tc>
                <w:tcPr>
                  <w:tcW w:w="562" w:type="pct"/>
                  <w:tcBorders>
                    <w:tl2br w:val="nil"/>
                    <w:tr2bl w:val="nil"/>
                  </w:tcBorders>
                  <w:noWrap w:val="0"/>
                  <w:vAlign w:val="center"/>
                </w:tcPr>
                <w:p w14:paraId="63A03F92">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r w14:paraId="14FD6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61E02963">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6</w:t>
                  </w:r>
                </w:p>
              </w:tc>
              <w:tc>
                <w:tcPr>
                  <w:tcW w:w="2288" w:type="pct"/>
                  <w:tcBorders>
                    <w:tl2br w:val="nil"/>
                    <w:tr2bl w:val="nil"/>
                  </w:tcBorders>
                  <w:noWrap w:val="0"/>
                  <w:vAlign w:val="center"/>
                </w:tcPr>
                <w:p w14:paraId="55BDC4D6">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kern w:val="0"/>
                      <w:szCs w:val="21"/>
                    </w:rPr>
                  </w:pPr>
                  <w:r>
                    <w:rPr>
                      <w:rFonts w:hint="eastAsia" w:cs="宋体"/>
                      <w:color w:val="000000"/>
                      <w:kern w:val="0"/>
                      <w:szCs w:val="21"/>
                    </w:rPr>
                    <w:t>治理系统应有事故自动报警装置，并符合安全生产、事故防范的相关规定。</w:t>
                  </w:r>
                </w:p>
              </w:tc>
              <w:tc>
                <w:tcPr>
                  <w:tcW w:w="1737" w:type="pct"/>
                  <w:tcBorders>
                    <w:tl2br w:val="nil"/>
                    <w:tr2bl w:val="nil"/>
                  </w:tcBorders>
                  <w:noWrap w:val="0"/>
                  <w:vAlign w:val="center"/>
                </w:tcPr>
                <w:p w14:paraId="0EDD003D">
                  <w:pPr>
                    <w:keepNext w:val="0"/>
                    <w:keepLines w:val="0"/>
                    <w:pageBreakBefore w:val="0"/>
                    <w:kinsoku/>
                    <w:wordWrap/>
                    <w:overflowPunct/>
                    <w:topLinePunct w:val="0"/>
                    <w:bidi w:val="0"/>
                    <w:adjustRightInd w:val="0"/>
                    <w:snapToGrid w:val="0"/>
                    <w:ind w:firstLine="0"/>
                    <w:jc w:val="center"/>
                    <w:textAlignment w:val="auto"/>
                    <w:rPr>
                      <w:color w:val="000000"/>
                      <w:kern w:val="0"/>
                      <w:szCs w:val="21"/>
                    </w:rPr>
                  </w:pPr>
                  <w:r>
                    <w:rPr>
                      <w:rFonts w:hint="eastAsia" w:cs="宋体"/>
                      <w:color w:val="000000"/>
                      <w:kern w:val="0"/>
                      <w:szCs w:val="21"/>
                    </w:rPr>
                    <w:t>设置事故自动报警装置，符合安全生产事故防范的相关规定</w:t>
                  </w:r>
                </w:p>
              </w:tc>
              <w:tc>
                <w:tcPr>
                  <w:tcW w:w="562" w:type="pct"/>
                  <w:tcBorders>
                    <w:tl2br w:val="nil"/>
                    <w:tr2bl w:val="nil"/>
                  </w:tcBorders>
                  <w:noWrap w:val="0"/>
                  <w:vAlign w:val="center"/>
                </w:tcPr>
                <w:p w14:paraId="3ADD068D">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r w14:paraId="56B8A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75CCB363">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7</w:t>
                  </w:r>
                </w:p>
              </w:tc>
              <w:tc>
                <w:tcPr>
                  <w:tcW w:w="2288" w:type="pct"/>
                  <w:tcBorders>
                    <w:tl2br w:val="nil"/>
                    <w:tr2bl w:val="nil"/>
                  </w:tcBorders>
                  <w:noWrap w:val="0"/>
                  <w:vAlign w:val="center"/>
                </w:tcPr>
                <w:p w14:paraId="4346E31A">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kern w:val="0"/>
                      <w:szCs w:val="21"/>
                    </w:rPr>
                  </w:pPr>
                  <w:r>
                    <w:rPr>
                      <w:rFonts w:hint="eastAsia" w:cs="宋体"/>
                      <w:color w:val="000000"/>
                      <w:kern w:val="0"/>
                      <w:szCs w:val="21"/>
                    </w:rPr>
                    <w:t>治理设备应设置永久性采样口，采样口的设置应符合</w:t>
                  </w:r>
                  <w:r>
                    <w:rPr>
                      <w:color w:val="000000"/>
                      <w:kern w:val="0"/>
                      <w:szCs w:val="21"/>
                    </w:rPr>
                    <w:t>HJ/T1</w:t>
                  </w:r>
                  <w:r>
                    <w:rPr>
                      <w:rFonts w:hint="eastAsia" w:cs="宋体"/>
                      <w:color w:val="000000"/>
                      <w:kern w:val="0"/>
                      <w:szCs w:val="21"/>
                    </w:rPr>
                    <w:t>的要求，采样频次和检测项目应根据工艺控制要求确定</w:t>
                  </w:r>
                </w:p>
              </w:tc>
              <w:tc>
                <w:tcPr>
                  <w:tcW w:w="1737" w:type="pct"/>
                  <w:tcBorders>
                    <w:tl2br w:val="nil"/>
                    <w:tr2bl w:val="nil"/>
                  </w:tcBorders>
                  <w:noWrap w:val="0"/>
                  <w:vAlign w:val="center"/>
                </w:tcPr>
                <w:p w14:paraId="1146FD65">
                  <w:pPr>
                    <w:keepNext w:val="0"/>
                    <w:keepLines w:val="0"/>
                    <w:pageBreakBefore w:val="0"/>
                    <w:kinsoku/>
                    <w:wordWrap/>
                    <w:overflowPunct/>
                    <w:topLinePunct w:val="0"/>
                    <w:bidi w:val="0"/>
                    <w:adjustRightInd w:val="0"/>
                    <w:snapToGrid w:val="0"/>
                    <w:ind w:firstLine="0"/>
                    <w:jc w:val="center"/>
                    <w:textAlignment w:val="auto"/>
                    <w:rPr>
                      <w:color w:val="000000"/>
                      <w:kern w:val="0"/>
                      <w:szCs w:val="21"/>
                    </w:rPr>
                  </w:pPr>
                  <w:r>
                    <w:rPr>
                      <w:rFonts w:hint="eastAsia" w:cs="宋体"/>
                      <w:color w:val="000000"/>
                      <w:kern w:val="0"/>
                      <w:szCs w:val="21"/>
                    </w:rPr>
                    <w:t>活性炭吸附塔设置有窗口和人孔，方便检修、清洗、填充材料的取出和装入</w:t>
                  </w:r>
                </w:p>
              </w:tc>
              <w:tc>
                <w:tcPr>
                  <w:tcW w:w="562" w:type="pct"/>
                  <w:tcBorders>
                    <w:tl2br w:val="nil"/>
                    <w:tr2bl w:val="nil"/>
                  </w:tcBorders>
                  <w:noWrap w:val="0"/>
                  <w:vAlign w:val="center"/>
                </w:tcPr>
                <w:p w14:paraId="4EF31366">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r w14:paraId="61CB1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1" w:type="pct"/>
                  <w:tcBorders>
                    <w:tl2br w:val="nil"/>
                    <w:tr2bl w:val="nil"/>
                  </w:tcBorders>
                  <w:noWrap w:val="0"/>
                  <w:vAlign w:val="center"/>
                </w:tcPr>
                <w:p w14:paraId="7077F34C">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r>
                    <w:rPr>
                      <w:rFonts w:hint="eastAsia"/>
                      <w:color w:val="000000"/>
                      <w:szCs w:val="21"/>
                    </w:rPr>
                    <w:t>8</w:t>
                  </w:r>
                </w:p>
              </w:tc>
              <w:tc>
                <w:tcPr>
                  <w:tcW w:w="2288" w:type="pct"/>
                  <w:tcBorders>
                    <w:tl2br w:val="nil"/>
                    <w:tr2bl w:val="nil"/>
                  </w:tcBorders>
                  <w:noWrap w:val="0"/>
                  <w:vAlign w:val="center"/>
                </w:tcPr>
                <w:p w14:paraId="6A840335">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kern w:val="0"/>
                      <w:szCs w:val="21"/>
                    </w:rPr>
                  </w:pPr>
                  <w:r>
                    <w:rPr>
                      <w:rFonts w:hint="eastAsia" w:cs="宋体"/>
                      <w:color w:val="000000"/>
                      <w:kern w:val="0"/>
                      <w:szCs w:val="21"/>
                    </w:rPr>
                    <w:t>治理工程应先于产生废气的生产工艺设备开启，后于生产工艺设备停机，并实现连锁控制</w:t>
                  </w:r>
                </w:p>
              </w:tc>
              <w:tc>
                <w:tcPr>
                  <w:tcW w:w="1737" w:type="pct"/>
                  <w:tcBorders>
                    <w:tl2br w:val="nil"/>
                    <w:tr2bl w:val="nil"/>
                  </w:tcBorders>
                  <w:noWrap w:val="0"/>
                  <w:vAlign w:val="center"/>
                </w:tcPr>
                <w:p w14:paraId="5585CC4D">
                  <w:pPr>
                    <w:keepNext w:val="0"/>
                    <w:keepLines w:val="0"/>
                    <w:pageBreakBefore w:val="0"/>
                    <w:kinsoku/>
                    <w:wordWrap/>
                    <w:overflowPunct/>
                    <w:topLinePunct w:val="0"/>
                    <w:bidi w:val="0"/>
                    <w:adjustRightInd w:val="0"/>
                    <w:snapToGrid w:val="0"/>
                    <w:ind w:firstLine="0"/>
                    <w:jc w:val="center"/>
                    <w:textAlignment w:val="auto"/>
                    <w:rPr>
                      <w:color w:val="000000"/>
                      <w:kern w:val="0"/>
                      <w:szCs w:val="21"/>
                    </w:rPr>
                  </w:pPr>
                  <w:r>
                    <w:rPr>
                      <w:rFonts w:hint="eastAsia" w:cs="宋体"/>
                      <w:color w:val="000000"/>
                      <w:kern w:val="0"/>
                      <w:szCs w:val="21"/>
                    </w:rPr>
                    <w:t>废气治理措施与生产设备设置联动控制系统，保证治理工程先于产生废气的生产工艺设备开启，后于生产工艺设备停机</w:t>
                  </w:r>
                </w:p>
              </w:tc>
              <w:tc>
                <w:tcPr>
                  <w:tcW w:w="562" w:type="pct"/>
                  <w:tcBorders>
                    <w:tl2br w:val="nil"/>
                    <w:tr2bl w:val="nil"/>
                  </w:tcBorders>
                  <w:noWrap w:val="0"/>
                  <w:vAlign w:val="center"/>
                </w:tcPr>
                <w:p w14:paraId="75C12286">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rPr>
                    <w:t>相符</w:t>
                  </w:r>
                </w:p>
              </w:tc>
            </w:tr>
          </w:tbl>
          <w:p w14:paraId="215E4DBA">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bCs/>
                <w:color w:val="000000"/>
                <w:sz w:val="24"/>
              </w:rPr>
            </w:pPr>
            <w:r>
              <w:rPr>
                <w:rFonts w:hint="eastAsia"/>
                <w:bCs/>
                <w:color w:val="000000"/>
                <w:sz w:val="24"/>
              </w:rPr>
              <w:t>（</w:t>
            </w:r>
            <w:r>
              <w:rPr>
                <w:rFonts w:hint="eastAsia"/>
                <w:bCs/>
                <w:color w:val="000000"/>
                <w:sz w:val="24"/>
                <w:lang w:val="en-US" w:eastAsia="zh-CN"/>
              </w:rPr>
              <w:t>2</w:t>
            </w:r>
            <w:r>
              <w:rPr>
                <w:rFonts w:hint="eastAsia"/>
                <w:bCs/>
                <w:color w:val="000000"/>
                <w:sz w:val="24"/>
              </w:rPr>
              <w:t>）技术可行性及运行稳定性分析</w:t>
            </w:r>
          </w:p>
          <w:p w14:paraId="622E6ACC">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bCs/>
                <w:color w:val="000000"/>
                <w:sz w:val="24"/>
              </w:rPr>
            </w:pPr>
            <w:r>
              <w:rPr>
                <w:rFonts w:hint="eastAsia"/>
                <w:bCs/>
                <w:color w:val="000000"/>
                <w:sz w:val="24"/>
              </w:rPr>
              <w:t>根据《排污许可证申请与核发技术规范</w:t>
            </w:r>
            <w:r>
              <w:rPr>
                <w:rFonts w:hint="eastAsia"/>
                <w:bCs/>
                <w:color w:val="000000"/>
                <w:sz w:val="24"/>
                <w:lang w:val="en-US" w:eastAsia="zh-CN"/>
              </w:rPr>
              <w:t xml:space="preserve"> </w:t>
            </w:r>
            <w:r>
              <w:rPr>
                <w:rFonts w:hint="eastAsia"/>
                <w:bCs/>
                <w:color w:val="000000"/>
                <w:sz w:val="24"/>
              </w:rPr>
              <w:t>总则》（HJ942</w:t>
            </w:r>
            <w:r>
              <w:rPr>
                <w:rFonts w:hint="eastAsia"/>
                <w:bCs/>
                <w:color w:val="000000"/>
                <w:sz w:val="24"/>
                <w:lang w:val="en-US" w:eastAsia="zh-CN"/>
              </w:rPr>
              <w:t>-</w:t>
            </w:r>
            <w:r>
              <w:rPr>
                <w:rFonts w:hint="eastAsia"/>
                <w:bCs/>
                <w:color w:val="000000"/>
                <w:sz w:val="24"/>
              </w:rPr>
              <w:t>2018）中针对废气处理的可行技术为：废气污染治理设施工艺包括除尘设施（袋式除尘器、电除尘器、电袋复合除尘器、其他）、脱硫设施（干法、半干法、湿法、其他）、脱硝设施（低氮燃烧、SCR、SNCR、其他）、有机废气收集治理设施（焚烧、吸附、催化分解、其他）、恶臭治理设施（水洗、吸收、氧化、活性炭吸附、过滤、其他）、其他废气收集处理设施（活性炭吸附、生物滤塔、洗涤、吸收、燃烧、氧化、过滤、其他）等。</w:t>
            </w:r>
          </w:p>
          <w:p w14:paraId="065A436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宋体" w:cs="宋体"/>
                <w:color w:val="000000"/>
                <w:kern w:val="0"/>
                <w:sz w:val="24"/>
                <w:highlight w:val="none"/>
              </w:rPr>
            </w:pPr>
            <w:r>
              <w:rPr>
                <w:rFonts w:hint="eastAsia"/>
                <w:bCs/>
                <w:color w:val="000000"/>
                <w:sz w:val="24"/>
                <w:highlight w:val="none"/>
              </w:rPr>
              <w:t>本项目采用</w:t>
            </w:r>
            <w:r>
              <w:rPr>
                <w:rFonts w:hint="eastAsia"/>
                <w:bCs/>
                <w:color w:val="000000"/>
                <w:sz w:val="24"/>
                <w:highlight w:val="none"/>
                <w:lang w:val="en-US" w:eastAsia="zh-CN"/>
              </w:rPr>
              <w:t>布袋除尘装置</w:t>
            </w:r>
            <w:r>
              <w:rPr>
                <w:rFonts w:hint="eastAsia"/>
                <w:bCs/>
                <w:color w:val="000000"/>
                <w:sz w:val="24"/>
                <w:highlight w:val="none"/>
                <w:lang w:eastAsia="zh-CN"/>
              </w:rPr>
              <w:t>、</w:t>
            </w:r>
            <w:r>
              <w:rPr>
                <w:rFonts w:hint="eastAsia"/>
                <w:bCs/>
                <w:color w:val="000000"/>
                <w:sz w:val="24"/>
                <w:highlight w:val="none"/>
              </w:rPr>
              <w:t>二级活性炭吸附</w:t>
            </w:r>
            <w:r>
              <w:rPr>
                <w:rFonts w:hint="eastAsia"/>
                <w:bCs/>
                <w:color w:val="000000"/>
                <w:sz w:val="24"/>
                <w:highlight w:val="none"/>
                <w:lang w:val="en-US" w:eastAsia="zh-CN"/>
              </w:rPr>
              <w:t>装置处理有机废气</w:t>
            </w:r>
            <w:r>
              <w:rPr>
                <w:rFonts w:hint="eastAsia"/>
                <w:bCs/>
                <w:color w:val="000000"/>
                <w:sz w:val="24"/>
                <w:highlight w:val="none"/>
              </w:rPr>
              <w:t>，符合《排污许可证申请与核发技术规范</w:t>
            </w:r>
            <w:r>
              <w:rPr>
                <w:rFonts w:hint="eastAsia"/>
                <w:bCs/>
                <w:color w:val="000000"/>
                <w:sz w:val="24"/>
                <w:highlight w:val="none"/>
                <w:lang w:val="en-US" w:eastAsia="zh-CN"/>
              </w:rPr>
              <w:t xml:space="preserve"> </w:t>
            </w:r>
            <w:r>
              <w:rPr>
                <w:rFonts w:hint="eastAsia"/>
                <w:bCs/>
                <w:color w:val="000000"/>
                <w:sz w:val="24"/>
                <w:highlight w:val="none"/>
              </w:rPr>
              <w:t>总则》（HJ942-2018）中要求的可行技术，且设备运行稳定，产生的废活性炭</w:t>
            </w:r>
            <w:r>
              <w:rPr>
                <w:rFonts w:hint="eastAsia" w:hAnsi="宋体"/>
                <w:color w:val="000000"/>
                <w:sz w:val="24"/>
                <w:highlight w:val="none"/>
              </w:rPr>
              <w:t>作为危废处理</w:t>
            </w:r>
            <w:r>
              <w:rPr>
                <w:rFonts w:hint="eastAsia"/>
                <w:bCs/>
                <w:color w:val="000000"/>
                <w:sz w:val="24"/>
                <w:highlight w:val="none"/>
              </w:rPr>
              <w:t>。故本项目废气处理工艺可行。</w:t>
            </w:r>
          </w:p>
          <w:p w14:paraId="3C57832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000000"/>
                <w:sz w:val="24"/>
                <w:highlight w:val="none"/>
              </w:rPr>
            </w:pPr>
            <w:r>
              <w:rPr>
                <w:rFonts w:hint="eastAsia"/>
                <w:b/>
                <w:bCs/>
                <w:color w:val="000000"/>
                <w:sz w:val="24"/>
                <w:highlight w:val="none"/>
              </w:rPr>
              <w:t>1.5大气污染源监测计划</w:t>
            </w:r>
          </w:p>
          <w:p w14:paraId="384E0BC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000000"/>
                <w:sz w:val="24"/>
                <w:highlight w:val="none"/>
              </w:rPr>
            </w:pPr>
            <w:r>
              <w:rPr>
                <w:rFonts w:hint="eastAsia"/>
                <w:color w:val="000000"/>
                <w:sz w:val="24"/>
                <w:highlight w:val="none"/>
              </w:rPr>
              <w:t>根据</w:t>
            </w:r>
            <w:r>
              <w:rPr>
                <w:rFonts w:hint="eastAsia"/>
                <w:color w:val="000000"/>
                <w:sz w:val="24"/>
                <w:highlight w:val="none"/>
                <w:lang w:eastAsia="zh-CN"/>
              </w:rPr>
              <w:t>《排污单位自行监测技术指南 总则》(HJ 819-2017)</w:t>
            </w:r>
            <w:r>
              <w:rPr>
                <w:rFonts w:hint="eastAsia"/>
                <w:color w:val="000000"/>
                <w:sz w:val="24"/>
                <w:highlight w:val="none"/>
              </w:rPr>
              <w:t>，污染源监测以排污单位自行监测为主，运营期具体监测计划见下表。企业应成立相应部门，定期完成自行监测任务，若企业不具备监测条件，可委托有资质的环境监测单位进行监测。根据监测结果编写自行监测年度报告并上报当地环境保护主管部门。</w:t>
            </w:r>
          </w:p>
          <w:p w14:paraId="59089EC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sz w:val="21"/>
                <w:szCs w:val="21"/>
                <w:highlight w:val="none"/>
              </w:rPr>
            </w:pPr>
            <w:r>
              <w:rPr>
                <w:rFonts w:hint="eastAsia"/>
                <w:b/>
                <w:color w:val="000000"/>
                <w:sz w:val="21"/>
                <w:szCs w:val="21"/>
                <w:highlight w:val="none"/>
              </w:rPr>
              <w:t>表4-</w:t>
            </w:r>
            <w:r>
              <w:rPr>
                <w:rFonts w:hint="eastAsia"/>
                <w:b/>
                <w:color w:val="000000"/>
                <w:sz w:val="21"/>
                <w:szCs w:val="21"/>
                <w:highlight w:val="none"/>
                <w:lang w:val="en-US" w:eastAsia="zh-CN"/>
              </w:rPr>
              <w:t>10</w:t>
            </w:r>
            <w:r>
              <w:rPr>
                <w:b/>
                <w:color w:val="000000"/>
                <w:sz w:val="21"/>
                <w:szCs w:val="21"/>
                <w:highlight w:val="none"/>
              </w:rPr>
              <w:t xml:space="preserve"> </w:t>
            </w:r>
            <w:r>
              <w:rPr>
                <w:rFonts w:hint="eastAsia"/>
                <w:b/>
                <w:color w:val="000000"/>
                <w:sz w:val="21"/>
                <w:szCs w:val="21"/>
                <w:highlight w:val="none"/>
              </w:rPr>
              <w:t>大气污染源监测计划表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603"/>
              <w:gridCol w:w="1644"/>
              <w:gridCol w:w="1303"/>
              <w:gridCol w:w="2521"/>
            </w:tblGrid>
            <w:tr w14:paraId="28954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tcBorders>
                    <w:tl2br w:val="nil"/>
                    <w:tr2bl w:val="nil"/>
                  </w:tcBorders>
                  <w:noWrap w:val="0"/>
                  <w:vAlign w:val="center"/>
                </w:tcPr>
                <w:p w14:paraId="2B6DC0B3">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highlight w:val="none"/>
                    </w:rPr>
                  </w:pPr>
                  <w:r>
                    <w:rPr>
                      <w:rFonts w:hint="eastAsia"/>
                      <w:b/>
                      <w:color w:val="000000"/>
                      <w:kern w:val="0"/>
                      <w:szCs w:val="21"/>
                      <w:highlight w:val="none"/>
                    </w:rPr>
                    <w:t>类别</w:t>
                  </w:r>
                </w:p>
              </w:tc>
              <w:tc>
                <w:tcPr>
                  <w:tcW w:w="973" w:type="pct"/>
                  <w:tcBorders>
                    <w:tl2br w:val="nil"/>
                    <w:tr2bl w:val="nil"/>
                  </w:tcBorders>
                  <w:noWrap w:val="0"/>
                  <w:vAlign w:val="center"/>
                </w:tcPr>
                <w:p w14:paraId="496C7C5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highlight w:val="none"/>
                    </w:rPr>
                  </w:pPr>
                  <w:r>
                    <w:rPr>
                      <w:rFonts w:hint="eastAsia"/>
                      <w:b/>
                      <w:color w:val="000000"/>
                      <w:kern w:val="0"/>
                      <w:szCs w:val="21"/>
                      <w:highlight w:val="none"/>
                    </w:rPr>
                    <w:t>监测位置</w:t>
                  </w:r>
                </w:p>
              </w:tc>
              <w:tc>
                <w:tcPr>
                  <w:tcW w:w="998" w:type="pct"/>
                  <w:tcBorders>
                    <w:tl2br w:val="nil"/>
                    <w:tr2bl w:val="nil"/>
                  </w:tcBorders>
                  <w:noWrap w:val="0"/>
                  <w:vAlign w:val="center"/>
                </w:tcPr>
                <w:p w14:paraId="7F283960">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highlight w:val="none"/>
                    </w:rPr>
                  </w:pPr>
                  <w:r>
                    <w:rPr>
                      <w:rFonts w:hint="eastAsia"/>
                      <w:b/>
                      <w:color w:val="000000"/>
                      <w:kern w:val="0"/>
                      <w:szCs w:val="21"/>
                      <w:highlight w:val="none"/>
                    </w:rPr>
                    <w:t>监测项目</w:t>
                  </w:r>
                </w:p>
              </w:tc>
              <w:tc>
                <w:tcPr>
                  <w:tcW w:w="791" w:type="pct"/>
                  <w:tcBorders>
                    <w:tl2br w:val="nil"/>
                    <w:tr2bl w:val="nil"/>
                  </w:tcBorders>
                  <w:noWrap w:val="0"/>
                  <w:vAlign w:val="center"/>
                </w:tcPr>
                <w:p w14:paraId="00A2DBD2">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highlight w:val="none"/>
                    </w:rPr>
                  </w:pPr>
                  <w:r>
                    <w:rPr>
                      <w:rFonts w:hint="eastAsia"/>
                      <w:b/>
                      <w:color w:val="000000"/>
                      <w:kern w:val="0"/>
                      <w:szCs w:val="21"/>
                      <w:highlight w:val="none"/>
                    </w:rPr>
                    <w:t>监测频次</w:t>
                  </w:r>
                </w:p>
              </w:tc>
              <w:tc>
                <w:tcPr>
                  <w:tcW w:w="1530" w:type="pct"/>
                  <w:tcBorders>
                    <w:tl2br w:val="nil"/>
                    <w:tr2bl w:val="nil"/>
                  </w:tcBorders>
                  <w:noWrap w:val="0"/>
                  <w:vAlign w:val="center"/>
                </w:tcPr>
                <w:p w14:paraId="2F9A91FF">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执行排放标准</w:t>
                  </w:r>
                </w:p>
              </w:tc>
            </w:tr>
            <w:tr w14:paraId="121FC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restart"/>
                  <w:tcBorders>
                    <w:tl2br w:val="nil"/>
                    <w:tr2bl w:val="nil"/>
                  </w:tcBorders>
                  <w:noWrap w:val="0"/>
                  <w:vAlign w:val="center"/>
                </w:tcPr>
                <w:p w14:paraId="52FEFCE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eastAsia="宋体"/>
                      <w:lang w:val="en-US" w:eastAsia="zh-CN"/>
                    </w:rPr>
                  </w:pPr>
                  <w:r>
                    <w:rPr>
                      <w:rFonts w:hint="eastAsia"/>
                      <w:color w:val="000000"/>
                      <w:kern w:val="0"/>
                      <w:szCs w:val="21"/>
                      <w:highlight w:val="none"/>
                    </w:rPr>
                    <w:t>废气</w:t>
                  </w:r>
                </w:p>
              </w:tc>
              <w:tc>
                <w:tcPr>
                  <w:tcW w:w="973" w:type="pct"/>
                  <w:tcBorders>
                    <w:tl2br w:val="nil"/>
                    <w:tr2bl w:val="nil"/>
                  </w:tcBorders>
                  <w:noWrap w:val="0"/>
                  <w:vAlign w:val="center"/>
                </w:tcPr>
                <w:p w14:paraId="540D8CD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1#排气筒</w:t>
                  </w:r>
                </w:p>
              </w:tc>
              <w:tc>
                <w:tcPr>
                  <w:tcW w:w="998" w:type="pct"/>
                  <w:tcBorders>
                    <w:tl2br w:val="nil"/>
                    <w:tr2bl w:val="nil"/>
                  </w:tcBorders>
                  <w:noWrap w:val="0"/>
                  <w:vAlign w:val="center"/>
                </w:tcPr>
                <w:p w14:paraId="0E776D83">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颗粒物</w:t>
                  </w:r>
                </w:p>
              </w:tc>
              <w:tc>
                <w:tcPr>
                  <w:tcW w:w="791" w:type="pct"/>
                  <w:tcBorders>
                    <w:tl2br w:val="nil"/>
                    <w:tr2bl w:val="nil"/>
                  </w:tcBorders>
                  <w:noWrap w:val="0"/>
                  <w:vAlign w:val="center"/>
                </w:tcPr>
                <w:p w14:paraId="084FE172">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r>
                    <w:rPr>
                      <w:rFonts w:hint="eastAsia"/>
                      <w:color w:val="000000"/>
                      <w:szCs w:val="21"/>
                      <w:highlight w:val="none"/>
                    </w:rPr>
                    <w:t>每年一次</w:t>
                  </w:r>
                </w:p>
              </w:tc>
              <w:tc>
                <w:tcPr>
                  <w:tcW w:w="1530" w:type="pct"/>
                  <w:tcBorders>
                    <w:tl2br w:val="nil"/>
                    <w:tr2bl w:val="nil"/>
                  </w:tcBorders>
                  <w:noWrap w:val="0"/>
                  <w:vAlign w:val="center"/>
                </w:tcPr>
                <w:p w14:paraId="338EF7AF">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r>
                    <w:rPr>
                      <w:rFonts w:hint="eastAsia"/>
                    </w:rPr>
                    <w:t>《大气污染物综合排放标准》（DB32/4041-2021）表</w:t>
                  </w:r>
                  <w:r>
                    <w:rPr>
                      <w:rFonts w:hint="eastAsia"/>
                      <w:lang w:val="en-US" w:eastAsia="zh-CN"/>
                    </w:rPr>
                    <w:t>1</w:t>
                  </w:r>
                  <w:r>
                    <w:rPr>
                      <w:rFonts w:hint="eastAsia"/>
                    </w:rPr>
                    <w:t>标准</w:t>
                  </w:r>
                </w:p>
              </w:tc>
            </w:tr>
            <w:tr w14:paraId="55CFE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vMerge w:val="continue"/>
                  <w:tcBorders>
                    <w:tl2br w:val="nil"/>
                    <w:tr2bl w:val="nil"/>
                  </w:tcBorders>
                  <w:noWrap w:val="0"/>
                  <w:vAlign w:val="center"/>
                </w:tcPr>
                <w:p w14:paraId="5AC9AA69">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lang w:val="en-US" w:eastAsia="zh-CN"/>
                    </w:rPr>
                  </w:pPr>
                </w:p>
              </w:tc>
              <w:tc>
                <w:tcPr>
                  <w:tcW w:w="973" w:type="pct"/>
                  <w:tcBorders>
                    <w:tl2br w:val="nil"/>
                    <w:tr2bl w:val="nil"/>
                  </w:tcBorders>
                  <w:noWrap w:val="0"/>
                  <w:vAlign w:val="center"/>
                </w:tcPr>
                <w:p w14:paraId="15E4168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lang w:val="en-US" w:eastAsia="zh-CN"/>
                    </w:rPr>
                  </w:pPr>
                  <w:r>
                    <w:rPr>
                      <w:rFonts w:hint="eastAsia"/>
                      <w:lang w:val="en-US" w:eastAsia="zh-CN"/>
                    </w:rPr>
                    <w:t>2#排气筒</w:t>
                  </w:r>
                </w:p>
              </w:tc>
              <w:tc>
                <w:tcPr>
                  <w:tcW w:w="998" w:type="pct"/>
                  <w:tcBorders>
                    <w:tl2br w:val="nil"/>
                    <w:tr2bl w:val="nil"/>
                  </w:tcBorders>
                  <w:noWrap w:val="0"/>
                  <w:vAlign w:val="center"/>
                </w:tcPr>
                <w:p w14:paraId="5885F967">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非甲烷总烃</w:t>
                  </w:r>
                </w:p>
              </w:tc>
              <w:tc>
                <w:tcPr>
                  <w:tcW w:w="791" w:type="pct"/>
                  <w:tcBorders>
                    <w:tl2br w:val="nil"/>
                    <w:tr2bl w:val="nil"/>
                  </w:tcBorders>
                  <w:noWrap w:val="0"/>
                  <w:vAlign w:val="center"/>
                </w:tcPr>
                <w:p w14:paraId="5B47DD0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每年一次</w:t>
                  </w:r>
                </w:p>
              </w:tc>
              <w:tc>
                <w:tcPr>
                  <w:tcW w:w="1530" w:type="pct"/>
                  <w:tcBorders>
                    <w:tl2br w:val="nil"/>
                    <w:tr2bl w:val="nil"/>
                  </w:tcBorders>
                  <w:noWrap w:val="0"/>
                  <w:vAlign w:val="center"/>
                </w:tcPr>
                <w:p w14:paraId="7875B8D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ascii="Times New Roman" w:hAnsi="Times New Roman" w:eastAsia="宋体" w:cs="Times New Roman"/>
                      <w:color w:val="auto"/>
                      <w:szCs w:val="21"/>
                      <w:lang w:eastAsia="zh-CN"/>
                    </w:rPr>
                    <w:t>《合成树脂工业污染物排放标准》（GB31572-2015，含2024年修改单）</w:t>
                  </w:r>
                  <w:r>
                    <w:rPr>
                      <w:rFonts w:hint="eastAsia" w:eastAsia="宋体" w:cs="Times New Roman"/>
                      <w:color w:val="auto"/>
                      <w:szCs w:val="21"/>
                      <w:lang w:val="en-US" w:eastAsia="zh-CN"/>
                    </w:rPr>
                    <w:t>表5标准</w:t>
                  </w:r>
                </w:p>
              </w:tc>
            </w:tr>
            <w:tr w14:paraId="22A3F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tcBorders>
                    <w:tl2br w:val="nil"/>
                    <w:tr2bl w:val="nil"/>
                  </w:tcBorders>
                  <w:noWrap w:val="0"/>
                  <w:vAlign w:val="center"/>
                </w:tcPr>
                <w:p w14:paraId="367261B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kern w:val="0"/>
                      <w:szCs w:val="21"/>
                      <w:highlight w:val="none"/>
                    </w:rPr>
                  </w:pPr>
                  <w:r>
                    <w:rPr>
                      <w:rFonts w:hint="eastAsia"/>
                      <w:lang w:val="en-US" w:eastAsia="zh-CN"/>
                    </w:rPr>
                    <w:t>废气（厂界无组织）</w:t>
                  </w:r>
                </w:p>
              </w:tc>
              <w:tc>
                <w:tcPr>
                  <w:tcW w:w="973" w:type="pct"/>
                  <w:tcBorders>
                    <w:tl2br w:val="nil"/>
                    <w:tr2bl w:val="nil"/>
                  </w:tcBorders>
                  <w:noWrap w:val="0"/>
                  <w:vAlign w:val="center"/>
                </w:tcPr>
                <w:p w14:paraId="3EB408A6">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厂界上风向1个点、下风向3个点</w:t>
                  </w:r>
                </w:p>
              </w:tc>
              <w:tc>
                <w:tcPr>
                  <w:tcW w:w="998" w:type="pct"/>
                  <w:tcBorders>
                    <w:tl2br w:val="nil"/>
                    <w:tr2bl w:val="nil"/>
                  </w:tcBorders>
                  <w:noWrap w:val="0"/>
                  <w:vAlign w:val="center"/>
                </w:tcPr>
                <w:p w14:paraId="76C97BA7">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eastAsia="宋体"/>
                      <w:color w:val="000000"/>
                      <w:szCs w:val="21"/>
                      <w:highlight w:val="none"/>
                      <w:lang w:val="en-US" w:eastAsia="zh-CN"/>
                    </w:rPr>
                    <w:t>颗粒物、非甲烷总烃</w:t>
                  </w:r>
                </w:p>
              </w:tc>
              <w:tc>
                <w:tcPr>
                  <w:tcW w:w="791" w:type="pct"/>
                  <w:tcBorders>
                    <w:tl2br w:val="nil"/>
                    <w:tr2bl w:val="nil"/>
                  </w:tcBorders>
                  <w:noWrap w:val="0"/>
                  <w:vAlign w:val="center"/>
                </w:tcPr>
                <w:p w14:paraId="4BFDCF98">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每年一次</w:t>
                  </w:r>
                </w:p>
              </w:tc>
              <w:tc>
                <w:tcPr>
                  <w:tcW w:w="1530" w:type="pct"/>
                  <w:tcBorders>
                    <w:tl2br w:val="nil"/>
                    <w:tr2bl w:val="nil"/>
                  </w:tcBorders>
                  <w:noWrap w:val="0"/>
                  <w:vAlign w:val="center"/>
                </w:tcPr>
                <w:p w14:paraId="4DC78AFB">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《大气污染物综合排放标准》（DB32/4041-2021）表3</w:t>
                  </w:r>
                </w:p>
              </w:tc>
            </w:tr>
            <w:tr w14:paraId="1AC5D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6" w:type="pct"/>
                  <w:tcBorders>
                    <w:tl2br w:val="nil"/>
                    <w:tr2bl w:val="nil"/>
                  </w:tcBorders>
                  <w:noWrap w:val="0"/>
                  <w:vAlign w:val="center"/>
                </w:tcPr>
                <w:p w14:paraId="00B2ACE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lang w:val="en-US" w:eastAsia="zh-CN"/>
                    </w:rPr>
                  </w:pPr>
                  <w:r>
                    <w:rPr>
                      <w:rFonts w:hint="eastAsia"/>
                      <w:lang w:val="en-US" w:eastAsia="zh-CN"/>
                    </w:rPr>
                    <w:t>废气（厂区内）</w:t>
                  </w:r>
                </w:p>
              </w:tc>
              <w:tc>
                <w:tcPr>
                  <w:tcW w:w="973" w:type="pct"/>
                  <w:tcBorders>
                    <w:tl2br w:val="nil"/>
                    <w:tr2bl w:val="nil"/>
                  </w:tcBorders>
                  <w:noWrap w:val="0"/>
                  <w:vAlign w:val="center"/>
                </w:tcPr>
                <w:p w14:paraId="69699754">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r>
                    <w:rPr>
                      <w:rFonts w:hint="eastAsia"/>
                      <w:color w:val="000000"/>
                      <w:szCs w:val="21"/>
                    </w:rPr>
                    <w:t>厂房门窗或通风口、其他开口（孔）等排气口外1m距离地面1.5m以上设置</w:t>
                  </w:r>
                  <w:r>
                    <w:rPr>
                      <w:rFonts w:hint="eastAsia"/>
                      <w:color w:val="000000"/>
                      <w:szCs w:val="21"/>
                      <w:lang w:val="en-US" w:eastAsia="zh-CN"/>
                    </w:rPr>
                    <w:t>监测点位</w:t>
                  </w:r>
                </w:p>
              </w:tc>
              <w:tc>
                <w:tcPr>
                  <w:tcW w:w="998" w:type="pct"/>
                  <w:tcBorders>
                    <w:tl2br w:val="nil"/>
                    <w:tr2bl w:val="nil"/>
                  </w:tcBorders>
                  <w:noWrap w:val="0"/>
                  <w:vAlign w:val="center"/>
                </w:tcPr>
                <w:p w14:paraId="48D4B912">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zCs w:val="21"/>
                      <w:highlight w:val="none"/>
                      <w:lang w:val="en-US" w:eastAsia="zh-CN"/>
                    </w:rPr>
                  </w:pPr>
                  <w:r>
                    <w:rPr>
                      <w:rFonts w:hint="eastAsia" w:eastAsia="宋体"/>
                      <w:color w:val="000000"/>
                      <w:szCs w:val="21"/>
                      <w:highlight w:val="none"/>
                      <w:lang w:val="en-US" w:eastAsia="zh-CN"/>
                    </w:rPr>
                    <w:t>非甲烷总烃</w:t>
                  </w:r>
                </w:p>
              </w:tc>
              <w:tc>
                <w:tcPr>
                  <w:tcW w:w="791" w:type="pct"/>
                  <w:tcBorders>
                    <w:tl2br w:val="nil"/>
                    <w:tr2bl w:val="nil"/>
                  </w:tcBorders>
                  <w:noWrap w:val="0"/>
                  <w:vAlign w:val="center"/>
                </w:tcPr>
                <w:p w14:paraId="6D54BC01">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r>
                    <w:rPr>
                      <w:rFonts w:hint="eastAsia"/>
                      <w:color w:val="000000"/>
                      <w:szCs w:val="21"/>
                      <w:highlight w:val="none"/>
                    </w:rPr>
                    <w:t>每年一次</w:t>
                  </w:r>
                </w:p>
              </w:tc>
              <w:tc>
                <w:tcPr>
                  <w:tcW w:w="1530" w:type="pct"/>
                  <w:tcBorders>
                    <w:tl2br w:val="nil"/>
                    <w:tr2bl w:val="nil"/>
                  </w:tcBorders>
                  <w:noWrap w:val="0"/>
                  <w:vAlign w:val="center"/>
                </w:tcPr>
                <w:p w14:paraId="1F31F18A">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r>
                    <w:rPr>
                      <w:rFonts w:hint="eastAsia"/>
                      <w:color w:val="000000"/>
                      <w:szCs w:val="21"/>
                      <w:highlight w:val="none"/>
                    </w:rPr>
                    <w:t>《挥发性有机物无组织排放控制标准》（GB37822-2019）附录A标准</w:t>
                  </w:r>
                </w:p>
              </w:tc>
            </w:tr>
          </w:tbl>
          <w:p w14:paraId="32044FE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color w:val="000000"/>
                <w:sz w:val="24"/>
              </w:rPr>
            </w:pPr>
            <w:r>
              <w:rPr>
                <w:b/>
                <w:color w:val="000000"/>
                <w:sz w:val="24"/>
              </w:rPr>
              <w:t>2</w:t>
            </w:r>
            <w:r>
              <w:rPr>
                <w:rFonts w:hint="eastAsia"/>
                <w:b/>
                <w:color w:val="000000"/>
                <w:sz w:val="24"/>
              </w:rPr>
              <w:t>、废水</w:t>
            </w:r>
          </w:p>
          <w:p w14:paraId="1E3AF2F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color w:val="000000"/>
                <w:sz w:val="24"/>
              </w:rPr>
            </w:pPr>
            <w:r>
              <w:rPr>
                <w:b/>
                <w:color w:val="000000"/>
                <w:sz w:val="24"/>
              </w:rPr>
              <w:t>2.1</w:t>
            </w:r>
            <w:r>
              <w:rPr>
                <w:rFonts w:hint="eastAsia"/>
                <w:b/>
                <w:color w:val="000000"/>
                <w:sz w:val="24"/>
              </w:rPr>
              <w:t>废水排放情况</w:t>
            </w:r>
          </w:p>
          <w:p w14:paraId="7DB040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1</w:t>
            </w:r>
            <w:r>
              <w:rPr>
                <w:rFonts w:hint="eastAsia" w:ascii="Times New Roman" w:hAnsi="Times New Roman" w:eastAsia="宋体" w:cs="Times New Roman"/>
                <w:color w:val="000000"/>
                <w:sz w:val="24"/>
                <w:highlight w:val="none"/>
                <w:lang w:eastAsia="zh-CN"/>
              </w:rPr>
              <w:t>）</w:t>
            </w:r>
            <w:r>
              <w:rPr>
                <w:rFonts w:hint="eastAsia" w:ascii="Times New Roman" w:hAnsi="Times New Roman" w:eastAsia="宋体" w:cs="Times New Roman"/>
                <w:color w:val="000000"/>
                <w:sz w:val="24"/>
                <w:highlight w:val="none"/>
                <w:lang w:val="en-US" w:eastAsia="zh-CN"/>
              </w:rPr>
              <w:t>生活污水</w:t>
            </w:r>
          </w:p>
          <w:p w14:paraId="3AB2A2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highlight w:val="none"/>
                <w:lang w:eastAsia="zh-CN"/>
              </w:rPr>
            </w:pPr>
            <w:r>
              <w:rPr>
                <w:rFonts w:hint="eastAsia" w:ascii="Times New Roman" w:hAnsi="Times New Roman" w:eastAsia="宋体" w:cs="Times New Roman"/>
                <w:color w:val="000000"/>
                <w:sz w:val="24"/>
                <w:highlight w:val="none"/>
                <w:lang w:eastAsia="zh-CN"/>
              </w:rPr>
              <w:t>本项目新增员工人数为</w:t>
            </w:r>
            <w:r>
              <w:rPr>
                <w:rFonts w:hint="eastAsia" w:cs="Times New Roman"/>
                <w:color w:val="000000"/>
                <w:sz w:val="24"/>
                <w:highlight w:val="none"/>
                <w:lang w:val="en-US" w:eastAsia="zh-CN"/>
              </w:rPr>
              <w:t>65</w:t>
            </w:r>
            <w:r>
              <w:rPr>
                <w:rFonts w:hint="eastAsia" w:ascii="Times New Roman" w:hAnsi="Times New Roman" w:eastAsia="宋体" w:cs="Times New Roman"/>
                <w:color w:val="000000"/>
                <w:sz w:val="24"/>
                <w:highlight w:val="none"/>
                <w:lang w:eastAsia="zh-CN"/>
              </w:rPr>
              <w:t>人，预计年工作</w:t>
            </w:r>
            <w:r>
              <w:rPr>
                <w:rFonts w:hint="eastAsia" w:cs="Times New Roman"/>
                <w:color w:val="000000"/>
                <w:sz w:val="24"/>
                <w:highlight w:val="none"/>
                <w:lang w:val="en-US" w:eastAsia="zh-CN"/>
              </w:rPr>
              <w:t>260</w:t>
            </w:r>
            <w:r>
              <w:rPr>
                <w:rFonts w:hint="eastAsia" w:ascii="Times New Roman" w:hAnsi="Times New Roman" w:eastAsia="宋体" w:cs="Times New Roman"/>
                <w:color w:val="000000"/>
                <w:sz w:val="24"/>
                <w:highlight w:val="none"/>
                <w:lang w:eastAsia="zh-CN"/>
              </w:rPr>
              <w:t>天，生活用水量按100L/人•日计算，则生活用水量为</w:t>
            </w:r>
            <w:r>
              <w:rPr>
                <w:rFonts w:hint="eastAsia" w:cs="Times New Roman"/>
                <w:color w:val="000000"/>
                <w:sz w:val="24"/>
                <w:highlight w:val="none"/>
                <w:lang w:val="en-US" w:eastAsia="zh-CN"/>
              </w:rPr>
              <w:t>1690</w:t>
            </w:r>
            <w:r>
              <w:rPr>
                <w:rFonts w:hint="eastAsia" w:ascii="Times New Roman" w:hAnsi="Times New Roman" w:eastAsia="宋体" w:cs="Times New Roman"/>
                <w:color w:val="000000"/>
                <w:sz w:val="24"/>
                <w:highlight w:val="none"/>
                <w:lang w:eastAsia="zh-CN"/>
              </w:rPr>
              <w:t>t/a，排污系数按80%计，则生活污水产生量约为</w:t>
            </w:r>
            <w:r>
              <w:rPr>
                <w:rFonts w:hint="eastAsia" w:cs="Times New Roman"/>
                <w:color w:val="000000"/>
                <w:sz w:val="24"/>
                <w:highlight w:val="none"/>
                <w:lang w:val="en-US" w:eastAsia="zh-CN"/>
              </w:rPr>
              <w:t>1352</w:t>
            </w:r>
            <w:r>
              <w:rPr>
                <w:rFonts w:hint="eastAsia" w:ascii="Times New Roman" w:hAnsi="Times New Roman" w:eastAsia="宋体" w:cs="Times New Roman"/>
                <w:color w:val="000000"/>
                <w:sz w:val="24"/>
                <w:highlight w:val="none"/>
                <w:lang w:eastAsia="zh-CN"/>
              </w:rPr>
              <w:t>t/a。生活污水</w:t>
            </w:r>
            <w:r>
              <w:rPr>
                <w:rFonts w:hint="eastAsia" w:cs="Times New Roman"/>
                <w:color w:val="000000"/>
                <w:sz w:val="24"/>
                <w:highlight w:val="none"/>
                <w:lang w:val="en-US" w:eastAsia="zh-CN"/>
              </w:rPr>
              <w:t>接管至</w:t>
            </w:r>
            <w:r>
              <w:rPr>
                <w:rFonts w:hint="eastAsia" w:ascii="Times New Roman" w:hAnsi="Times New Roman" w:eastAsia="宋体" w:cs="Times New Roman"/>
                <w:color w:val="000000"/>
                <w:sz w:val="24"/>
                <w:highlight w:val="none"/>
                <w:lang w:val="en-US" w:eastAsia="zh-CN"/>
              </w:rPr>
              <w:t>苏州汾湖水务发展有限公司（黎里工业再生水厂）处理，尾水排放至杜公漾</w:t>
            </w:r>
            <w:r>
              <w:rPr>
                <w:rFonts w:hint="eastAsia" w:ascii="Times New Roman" w:hAnsi="Times New Roman" w:eastAsia="宋体" w:cs="Times New Roman"/>
                <w:color w:val="000000"/>
                <w:sz w:val="24"/>
                <w:highlight w:val="none"/>
                <w:lang w:eastAsia="zh-CN"/>
              </w:rPr>
              <w:t>。</w:t>
            </w:r>
          </w:p>
          <w:p w14:paraId="1E2C26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000000"/>
                <w:sz w:val="24"/>
                <w:highlight w:val="none"/>
                <w:lang w:val="en-US" w:eastAsia="zh-CN"/>
              </w:rPr>
            </w:pPr>
            <w:r>
              <w:rPr>
                <w:rFonts w:hint="eastAsia" w:ascii="Times New Roman" w:hAnsi="Times New Roman" w:eastAsia="宋体" w:cs="Times New Roman"/>
                <w:color w:val="000000"/>
                <w:kern w:val="2"/>
                <w:sz w:val="24"/>
                <w:szCs w:val="24"/>
                <w:lang w:val="en-US" w:eastAsia="zh-CN" w:bidi="ar-SA"/>
              </w:rPr>
              <w:t>（2）</w:t>
            </w:r>
            <w:r>
              <w:rPr>
                <w:rFonts w:hint="eastAsia" w:cs="Times New Roman"/>
                <w:color w:val="000000"/>
                <w:sz w:val="24"/>
                <w:highlight w:val="none"/>
                <w:lang w:val="en-US" w:eastAsia="zh-CN"/>
              </w:rPr>
              <w:t>生产废水</w:t>
            </w:r>
          </w:p>
          <w:p w14:paraId="13F532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清洗废水</w:t>
            </w:r>
          </w:p>
          <w:p w14:paraId="11119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highlight w:val="none"/>
                <w:vertAlign w:val="baseline"/>
                <w:lang w:val="en-US" w:eastAsia="zh-CN"/>
              </w:rPr>
            </w:pPr>
            <w:r>
              <w:rPr>
                <w:rFonts w:hint="eastAsia" w:ascii="Times New Roman" w:hAnsi="Times New Roman" w:eastAsia="宋体" w:cs="Times New Roman"/>
                <w:color w:val="000000"/>
                <w:sz w:val="24"/>
                <w:highlight w:val="none"/>
                <w:lang w:val="en-US" w:eastAsia="zh-CN"/>
              </w:rPr>
              <w:t>本项目针灸针在进行正直检验前需要先进行清洗，根据企业提供资料，废水产量约为</w:t>
            </w:r>
            <w:r>
              <w:rPr>
                <w:rFonts w:hint="eastAsia" w:cs="Times New Roman"/>
                <w:color w:val="000000"/>
                <w:sz w:val="24"/>
                <w:highlight w:val="none"/>
                <w:lang w:val="en-US" w:eastAsia="zh-CN"/>
              </w:rPr>
              <w:t>0.2</w:t>
            </w:r>
            <w:r>
              <w:rPr>
                <w:rFonts w:hint="eastAsia" w:ascii="Times New Roman" w:hAnsi="Times New Roman" w:eastAsia="宋体" w:cs="Times New Roman"/>
                <w:color w:val="000000"/>
                <w:sz w:val="24"/>
                <w:highlight w:val="none"/>
                <w:lang w:val="en-US" w:eastAsia="zh-CN"/>
              </w:rPr>
              <w:t>t/d，年工作</w:t>
            </w:r>
            <w:r>
              <w:rPr>
                <w:rFonts w:hint="eastAsia" w:cs="Times New Roman"/>
                <w:color w:val="000000"/>
                <w:sz w:val="24"/>
                <w:highlight w:val="none"/>
                <w:lang w:val="en-US" w:eastAsia="zh-CN"/>
              </w:rPr>
              <w:t>260</w:t>
            </w:r>
            <w:r>
              <w:rPr>
                <w:rFonts w:hint="eastAsia" w:ascii="Times New Roman" w:hAnsi="Times New Roman" w:eastAsia="宋体" w:cs="Times New Roman"/>
                <w:color w:val="000000"/>
                <w:sz w:val="24"/>
                <w:highlight w:val="none"/>
                <w:lang w:val="en-US" w:eastAsia="zh-CN"/>
              </w:rPr>
              <w:t>天，因此，年处理废水量约为</w:t>
            </w:r>
            <w:r>
              <w:rPr>
                <w:rFonts w:hint="eastAsia" w:cs="Times New Roman"/>
                <w:color w:val="000000"/>
                <w:sz w:val="24"/>
                <w:highlight w:val="none"/>
                <w:lang w:val="en-US" w:eastAsia="zh-CN"/>
              </w:rPr>
              <w:t>52</w:t>
            </w:r>
            <w:r>
              <w:rPr>
                <w:rFonts w:hint="eastAsia" w:ascii="Times New Roman" w:hAnsi="Times New Roman" w:eastAsia="宋体" w:cs="Times New Roman"/>
                <w:color w:val="000000"/>
                <w:sz w:val="24"/>
                <w:highlight w:val="none"/>
                <w:lang w:val="en-US" w:eastAsia="zh-CN"/>
              </w:rPr>
              <w:t>t/a，</w:t>
            </w:r>
            <w:r>
              <w:rPr>
                <w:rFonts w:hint="eastAsia" w:cs="Times New Roman"/>
                <w:color w:val="000000"/>
                <w:sz w:val="24"/>
                <w:highlight w:val="none"/>
                <w:lang w:val="en-US" w:eastAsia="zh-CN"/>
              </w:rPr>
              <w:t>清洗</w:t>
            </w:r>
            <w:r>
              <w:rPr>
                <w:rFonts w:hint="eastAsia" w:ascii="Times New Roman" w:hAnsi="Times New Roman" w:eastAsia="宋体" w:cs="Times New Roman"/>
                <w:color w:val="000000"/>
                <w:sz w:val="24"/>
                <w:highlight w:val="none"/>
                <w:lang w:val="en-US" w:eastAsia="zh-CN"/>
              </w:rPr>
              <w:t>废水进入低温真空蒸发器处理后回用，不排放。</w:t>
            </w:r>
            <w:r>
              <w:rPr>
                <w:rFonts w:hint="eastAsia" w:ascii="Times New Roman" w:hAnsi="Times New Roman" w:eastAsia="宋体" w:cs="Times New Roman"/>
                <w:color w:val="000000"/>
                <w:sz w:val="24"/>
                <w:highlight w:val="none"/>
                <w:vertAlign w:val="baseline"/>
                <w:lang w:val="en-US" w:eastAsia="zh-CN"/>
              </w:rPr>
              <w:t>每天因蒸发和工件带出的损耗水量约0.</w:t>
            </w:r>
            <w:r>
              <w:rPr>
                <w:rFonts w:hint="eastAsia" w:cs="Times New Roman"/>
                <w:color w:val="000000"/>
                <w:sz w:val="24"/>
                <w:highlight w:val="none"/>
                <w:vertAlign w:val="baseline"/>
                <w:lang w:val="en-US" w:eastAsia="zh-CN"/>
              </w:rPr>
              <w:t>01</w:t>
            </w:r>
            <w:r>
              <w:rPr>
                <w:rFonts w:hint="eastAsia" w:ascii="Times New Roman" w:hAnsi="Times New Roman" w:eastAsia="宋体" w:cs="Times New Roman"/>
                <w:color w:val="000000"/>
                <w:sz w:val="24"/>
                <w:highlight w:val="none"/>
                <w:vertAlign w:val="baseline"/>
                <w:lang w:val="en-US" w:eastAsia="zh-CN"/>
              </w:rPr>
              <w:t>t/d，因此，每天补充水量0</w:t>
            </w:r>
            <w:r>
              <w:rPr>
                <w:rFonts w:hint="eastAsia" w:cs="Times New Roman"/>
                <w:color w:val="000000"/>
                <w:sz w:val="24"/>
                <w:highlight w:val="none"/>
                <w:vertAlign w:val="baseline"/>
                <w:lang w:val="en-US" w:eastAsia="zh-CN"/>
              </w:rPr>
              <w:t>.01</w:t>
            </w:r>
            <w:r>
              <w:rPr>
                <w:rFonts w:hint="eastAsia" w:ascii="Times New Roman" w:hAnsi="Times New Roman" w:eastAsia="宋体" w:cs="Times New Roman"/>
                <w:color w:val="000000"/>
                <w:sz w:val="24"/>
                <w:highlight w:val="none"/>
                <w:vertAlign w:val="baseline"/>
                <w:lang w:val="en-US" w:eastAsia="zh-CN"/>
              </w:rPr>
              <w:t>t，年补充水量</w:t>
            </w:r>
            <w:r>
              <w:rPr>
                <w:rFonts w:hint="eastAsia" w:cs="Times New Roman"/>
                <w:color w:val="000000"/>
                <w:sz w:val="24"/>
                <w:highlight w:val="none"/>
                <w:vertAlign w:val="baseline"/>
                <w:lang w:val="en-US" w:eastAsia="zh-CN"/>
              </w:rPr>
              <w:t>2.6</w:t>
            </w:r>
            <w:r>
              <w:rPr>
                <w:rFonts w:hint="eastAsia" w:ascii="Times New Roman" w:hAnsi="Times New Roman" w:eastAsia="宋体" w:cs="Times New Roman"/>
                <w:color w:val="000000"/>
                <w:sz w:val="24"/>
                <w:highlight w:val="none"/>
                <w:vertAlign w:val="baseline"/>
                <w:lang w:val="en-US" w:eastAsia="zh-CN"/>
              </w:rPr>
              <w:t>t/a。</w:t>
            </w:r>
          </w:p>
          <w:p w14:paraId="62FD27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000000"/>
                <w:sz w:val="24"/>
                <w:highlight w:val="none"/>
                <w:lang w:val="en-US" w:eastAsia="zh-CN"/>
              </w:rPr>
            </w:pPr>
            <w:r>
              <w:rPr>
                <w:rFonts w:hint="eastAsia" w:ascii="Times New Roman" w:hAnsi="Times New Roman" w:eastAsia="宋体" w:cs="Times New Roman"/>
                <w:color w:val="000000"/>
                <w:sz w:val="24"/>
                <w:highlight w:val="none"/>
                <w:vertAlign w:val="baseline"/>
                <w:lang w:val="en-US" w:eastAsia="zh-CN"/>
              </w:rPr>
              <w:t>根据企业提供资料，清洗废水中主要污染物为COD、SS</w:t>
            </w:r>
            <w:r>
              <w:rPr>
                <w:rFonts w:hint="eastAsia" w:cs="Times New Roman"/>
                <w:color w:val="000000"/>
                <w:sz w:val="24"/>
                <w:highlight w:val="none"/>
                <w:vertAlign w:val="baseline"/>
                <w:lang w:val="en-US" w:eastAsia="zh-CN"/>
              </w:rPr>
              <w:t>、pH、LAS</w:t>
            </w:r>
            <w:r>
              <w:rPr>
                <w:rFonts w:hint="eastAsia" w:ascii="Times New Roman" w:hAnsi="Times New Roman" w:eastAsia="宋体" w:cs="Times New Roman"/>
                <w:color w:val="000000"/>
                <w:sz w:val="24"/>
                <w:highlight w:val="none"/>
                <w:vertAlign w:val="baseline"/>
                <w:lang w:val="en-US" w:eastAsia="zh-CN"/>
              </w:rPr>
              <w:t>，产生浓度约为：COD50mg/L、SS50mg/L</w:t>
            </w:r>
            <w:r>
              <w:rPr>
                <w:rFonts w:hint="eastAsia" w:cs="Times New Roman"/>
                <w:color w:val="000000"/>
                <w:sz w:val="24"/>
                <w:highlight w:val="none"/>
                <w:vertAlign w:val="baseline"/>
                <w:lang w:val="en-US" w:eastAsia="zh-CN"/>
              </w:rPr>
              <w:t>、pH6~9、LAS1.23</w:t>
            </w:r>
            <w:r>
              <w:rPr>
                <w:rFonts w:hint="eastAsia" w:ascii="Times New Roman" w:hAnsi="Times New Roman" w:eastAsia="宋体" w:cs="Times New Roman"/>
                <w:color w:val="000000"/>
                <w:sz w:val="24"/>
                <w:highlight w:val="none"/>
                <w:vertAlign w:val="baseline"/>
                <w:lang w:val="en-US" w:eastAsia="zh-CN"/>
              </w:rPr>
              <w:t>mg/L。</w:t>
            </w:r>
          </w:p>
          <w:p w14:paraId="7313B434">
            <w:pPr>
              <w:pStyle w:val="5"/>
              <w:keepNext w:val="0"/>
              <w:keepLines w:val="0"/>
              <w:pageBreakBefore w:val="0"/>
              <w:widowControl/>
              <w:kinsoku/>
              <w:wordWrap/>
              <w:overflowPunct/>
              <w:topLinePunct w:val="0"/>
              <w:autoSpaceDE/>
              <w:autoSpaceDN/>
              <w:bidi w:val="0"/>
              <w:adjustRightInd/>
              <w:snapToGrid/>
              <w:spacing w:before="0" w:after="0" w:line="360" w:lineRule="auto"/>
              <w:ind w:right="0" w:firstLine="480" w:firstLineChars="200"/>
              <w:jc w:val="both"/>
              <w:textAlignment w:val="auto"/>
              <w:rPr>
                <w:rFonts w:hint="eastAsia"/>
              </w:rPr>
            </w:pPr>
            <w:r>
              <w:rPr>
                <w:rFonts w:hint="eastAsia" w:ascii="Times New Roman" w:hAnsi="Times New Roman" w:eastAsia="宋体" w:cs="Times New Roman"/>
                <w:color w:val="000000"/>
                <w:sz w:val="24"/>
                <w:highlight w:val="none"/>
                <w:lang w:eastAsia="zh-CN"/>
              </w:rPr>
              <w:t>本项目废水排放情况见表4-1</w:t>
            </w:r>
            <w:r>
              <w:rPr>
                <w:rFonts w:hint="eastAsia" w:ascii="Times New Roman" w:hAnsi="Times New Roman" w:eastAsia="宋体" w:cs="Times New Roman"/>
                <w:color w:val="000000"/>
                <w:sz w:val="24"/>
                <w:highlight w:val="none"/>
                <w:lang w:val="en-US" w:eastAsia="zh-CN"/>
              </w:rPr>
              <w:t>1</w:t>
            </w:r>
            <w:r>
              <w:rPr>
                <w:rFonts w:hint="eastAsia" w:ascii="Times New Roman" w:hAnsi="Times New Roman" w:eastAsia="宋体" w:cs="Times New Roman"/>
                <w:color w:val="000000"/>
                <w:sz w:val="24"/>
                <w:highlight w:val="none"/>
                <w:lang w:eastAsia="zh-CN"/>
              </w:rPr>
              <w:t>：</w:t>
            </w:r>
          </w:p>
          <w:p w14:paraId="4C13B8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color w:val="auto"/>
                <w:szCs w:val="21"/>
              </w:rPr>
            </w:pPr>
            <w:r>
              <w:rPr>
                <w:rFonts w:hint="eastAsia"/>
                <w:b/>
                <w:color w:val="auto"/>
                <w:szCs w:val="21"/>
              </w:rPr>
              <w:t>表4-1</w:t>
            </w:r>
            <w:r>
              <w:rPr>
                <w:rFonts w:hint="eastAsia"/>
                <w:b/>
                <w:color w:val="auto"/>
                <w:szCs w:val="21"/>
                <w:lang w:val="en-US" w:eastAsia="zh-CN"/>
              </w:rPr>
              <w:t xml:space="preserve">1 </w:t>
            </w:r>
            <w:r>
              <w:rPr>
                <w:rFonts w:hint="eastAsia"/>
                <w:b/>
                <w:color w:val="auto"/>
                <w:szCs w:val="21"/>
              </w:rPr>
              <w:t>水污染物产生情况表</w:t>
            </w:r>
          </w:p>
          <w:tbl>
            <w:tblPr>
              <w:tblStyle w:val="2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
              <w:gridCol w:w="688"/>
              <w:gridCol w:w="775"/>
              <w:gridCol w:w="725"/>
              <w:gridCol w:w="1048"/>
              <w:gridCol w:w="975"/>
              <w:gridCol w:w="737"/>
              <w:gridCol w:w="950"/>
              <w:gridCol w:w="1052"/>
              <w:gridCol w:w="891"/>
            </w:tblGrid>
            <w:tr w14:paraId="1533A6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restart"/>
                  <w:tcBorders>
                    <w:top w:val="single" w:color="auto" w:sz="12" w:space="0"/>
                    <w:left w:val="nil"/>
                    <w:bottom w:val="single" w:color="auto" w:sz="4" w:space="0"/>
                    <w:right w:val="single" w:color="auto" w:sz="4" w:space="0"/>
                  </w:tcBorders>
                  <w:noWrap w:val="0"/>
                  <w:vAlign w:val="center"/>
                </w:tcPr>
                <w:p w14:paraId="1417725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废水来源</w:t>
                  </w:r>
                </w:p>
              </w:tc>
              <w:tc>
                <w:tcPr>
                  <w:tcW w:w="688" w:type="dxa"/>
                  <w:vMerge w:val="restart"/>
                  <w:tcBorders>
                    <w:top w:val="single" w:color="auto" w:sz="12" w:space="0"/>
                    <w:left w:val="single" w:color="auto" w:sz="4" w:space="0"/>
                    <w:bottom w:val="single" w:color="auto" w:sz="4" w:space="0"/>
                    <w:right w:val="single" w:color="auto" w:sz="4" w:space="0"/>
                  </w:tcBorders>
                  <w:noWrap w:val="0"/>
                  <w:vAlign w:val="center"/>
                </w:tcPr>
                <w:p w14:paraId="5730251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废水量</w:t>
                  </w:r>
                  <w:r>
                    <w:rPr>
                      <w:b/>
                      <w:color w:val="auto"/>
                      <w:szCs w:val="21"/>
                    </w:rPr>
                    <w:t>t/a</w:t>
                  </w:r>
                </w:p>
              </w:tc>
              <w:tc>
                <w:tcPr>
                  <w:tcW w:w="2548" w:type="dxa"/>
                  <w:gridSpan w:val="3"/>
                  <w:tcBorders>
                    <w:top w:val="single" w:color="auto" w:sz="12" w:space="0"/>
                    <w:left w:val="single" w:color="auto" w:sz="4" w:space="0"/>
                    <w:bottom w:val="single" w:color="auto" w:sz="4" w:space="0"/>
                    <w:right w:val="single" w:color="auto" w:sz="4" w:space="0"/>
                  </w:tcBorders>
                  <w:noWrap w:val="0"/>
                  <w:vAlign w:val="center"/>
                </w:tcPr>
                <w:p w14:paraId="4A54066A">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产生情况</w:t>
                  </w:r>
                </w:p>
              </w:tc>
              <w:tc>
                <w:tcPr>
                  <w:tcW w:w="975" w:type="dxa"/>
                  <w:vMerge w:val="restart"/>
                  <w:tcBorders>
                    <w:top w:val="single" w:color="auto" w:sz="12" w:space="0"/>
                    <w:left w:val="single" w:color="auto" w:sz="4" w:space="0"/>
                    <w:right w:val="single" w:color="auto" w:sz="4" w:space="0"/>
                  </w:tcBorders>
                  <w:noWrap w:val="0"/>
                  <w:vAlign w:val="center"/>
                </w:tcPr>
                <w:p w14:paraId="28FE49E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治理措施</w:t>
                  </w:r>
                </w:p>
              </w:tc>
              <w:tc>
                <w:tcPr>
                  <w:tcW w:w="2739" w:type="dxa"/>
                  <w:gridSpan w:val="3"/>
                  <w:tcBorders>
                    <w:top w:val="single" w:color="auto" w:sz="12" w:space="0"/>
                    <w:left w:val="single" w:color="auto" w:sz="4" w:space="0"/>
                    <w:bottom w:val="single" w:color="auto" w:sz="4" w:space="0"/>
                    <w:right w:val="single" w:color="auto" w:sz="4" w:space="0"/>
                  </w:tcBorders>
                  <w:noWrap w:val="0"/>
                  <w:vAlign w:val="center"/>
                </w:tcPr>
                <w:p w14:paraId="1E33E5C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eastAsia="宋体"/>
                      <w:b/>
                      <w:color w:val="auto"/>
                      <w:szCs w:val="21"/>
                      <w:lang w:val="en-US" w:eastAsia="zh-CN"/>
                    </w:rPr>
                  </w:pPr>
                  <w:r>
                    <w:rPr>
                      <w:rFonts w:hint="eastAsia"/>
                      <w:b/>
                      <w:color w:val="auto"/>
                      <w:szCs w:val="21"/>
                      <w:lang w:val="en-US" w:eastAsia="zh-CN"/>
                    </w:rPr>
                    <w:t>排放情况</w:t>
                  </w:r>
                </w:p>
              </w:tc>
              <w:tc>
                <w:tcPr>
                  <w:tcW w:w="891" w:type="dxa"/>
                  <w:vMerge w:val="restart"/>
                  <w:tcBorders>
                    <w:top w:val="single" w:color="auto" w:sz="12" w:space="0"/>
                    <w:left w:val="single" w:color="auto" w:sz="4" w:space="0"/>
                    <w:bottom w:val="single" w:color="auto" w:sz="4" w:space="0"/>
                    <w:right w:val="nil"/>
                  </w:tcBorders>
                  <w:noWrap w:val="0"/>
                  <w:vAlign w:val="center"/>
                </w:tcPr>
                <w:p w14:paraId="3E5AC51A">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排放去向</w:t>
                  </w:r>
                </w:p>
              </w:tc>
            </w:tr>
            <w:tr w14:paraId="415139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continue"/>
                  <w:tcBorders>
                    <w:top w:val="single" w:color="auto" w:sz="4" w:space="0"/>
                    <w:left w:val="nil"/>
                    <w:bottom w:val="single" w:color="auto" w:sz="4" w:space="0"/>
                    <w:right w:val="single" w:color="auto" w:sz="4" w:space="0"/>
                  </w:tcBorders>
                  <w:noWrap w:val="0"/>
                  <w:vAlign w:val="center"/>
                </w:tcPr>
                <w:p w14:paraId="17220BC7">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14:paraId="2CD53C11">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6CA82483">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污染物名称</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4578026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浓度</w:t>
                  </w:r>
                </w:p>
                <w:p w14:paraId="675A1DF7">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b/>
                      <w:color w:val="auto"/>
                      <w:szCs w:val="21"/>
                    </w:rPr>
                    <w:t>mg/L</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5C52DE66">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产生量</w:t>
                  </w:r>
                  <w:r>
                    <w:rPr>
                      <w:b/>
                      <w:color w:val="auto"/>
                      <w:szCs w:val="21"/>
                    </w:rPr>
                    <w:t>t/a</w:t>
                  </w:r>
                </w:p>
              </w:tc>
              <w:tc>
                <w:tcPr>
                  <w:tcW w:w="975" w:type="dxa"/>
                  <w:vMerge w:val="continue"/>
                  <w:tcBorders>
                    <w:left w:val="single" w:color="auto" w:sz="4" w:space="0"/>
                    <w:bottom w:val="single" w:color="auto" w:sz="4" w:space="0"/>
                    <w:right w:val="single" w:color="auto" w:sz="4" w:space="0"/>
                  </w:tcBorders>
                  <w:noWrap w:val="0"/>
                  <w:vAlign w:val="center"/>
                </w:tcPr>
                <w:p w14:paraId="4460F736">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b/>
                      <w:color w:val="auto"/>
                      <w:szCs w:val="21"/>
                    </w:rPr>
                  </w:pPr>
                </w:p>
              </w:tc>
              <w:tc>
                <w:tcPr>
                  <w:tcW w:w="737" w:type="dxa"/>
                  <w:tcBorders>
                    <w:top w:val="single" w:color="auto" w:sz="4" w:space="0"/>
                    <w:left w:val="single" w:color="auto" w:sz="4" w:space="0"/>
                    <w:bottom w:val="single" w:color="auto" w:sz="4" w:space="0"/>
                    <w:right w:val="single" w:color="auto" w:sz="4" w:space="0"/>
                  </w:tcBorders>
                  <w:noWrap w:val="0"/>
                  <w:vAlign w:val="center"/>
                </w:tcPr>
                <w:p w14:paraId="45E8B943">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kern w:val="2"/>
                      <w:sz w:val="21"/>
                      <w:szCs w:val="21"/>
                      <w:lang w:val="en-US" w:eastAsia="zh-CN" w:bidi="ar-SA"/>
                    </w:rPr>
                  </w:pPr>
                  <w:r>
                    <w:rPr>
                      <w:rFonts w:hint="eastAsia"/>
                      <w:b/>
                      <w:color w:val="auto"/>
                      <w:szCs w:val="21"/>
                    </w:rPr>
                    <w:t>污染物名称</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E298A5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szCs w:val="21"/>
                    </w:rPr>
                  </w:pPr>
                  <w:r>
                    <w:rPr>
                      <w:rFonts w:hint="eastAsia"/>
                      <w:b/>
                      <w:color w:val="auto"/>
                      <w:szCs w:val="21"/>
                    </w:rPr>
                    <w:t>浓度</w:t>
                  </w:r>
                </w:p>
                <w:p w14:paraId="5630E49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kern w:val="2"/>
                      <w:sz w:val="21"/>
                      <w:szCs w:val="21"/>
                      <w:lang w:val="en-US" w:eastAsia="zh-CN" w:bidi="ar-SA"/>
                    </w:rPr>
                  </w:pPr>
                  <w:r>
                    <w:rPr>
                      <w:b/>
                      <w:color w:val="auto"/>
                      <w:szCs w:val="21"/>
                    </w:rPr>
                    <w:t>mg/L</w:t>
                  </w:r>
                </w:p>
              </w:tc>
              <w:tc>
                <w:tcPr>
                  <w:tcW w:w="1052" w:type="dxa"/>
                  <w:tcBorders>
                    <w:top w:val="single" w:color="auto" w:sz="4" w:space="0"/>
                    <w:left w:val="single" w:color="auto" w:sz="4" w:space="0"/>
                    <w:bottom w:val="single" w:color="auto" w:sz="4" w:space="0"/>
                    <w:right w:val="single" w:color="auto" w:sz="4" w:space="0"/>
                  </w:tcBorders>
                  <w:noWrap w:val="0"/>
                  <w:vAlign w:val="center"/>
                </w:tcPr>
                <w:p w14:paraId="1EEEE9BF">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b/>
                      <w:color w:val="auto"/>
                      <w:kern w:val="2"/>
                      <w:sz w:val="21"/>
                      <w:szCs w:val="21"/>
                      <w:lang w:val="en-US" w:eastAsia="zh-CN" w:bidi="ar-SA"/>
                    </w:rPr>
                  </w:pPr>
                  <w:r>
                    <w:rPr>
                      <w:rFonts w:hint="eastAsia"/>
                      <w:b/>
                      <w:color w:val="auto"/>
                      <w:szCs w:val="21"/>
                      <w:lang w:val="en-US" w:eastAsia="zh-CN"/>
                    </w:rPr>
                    <w:t>排放量</w:t>
                  </w:r>
                  <w:r>
                    <w:rPr>
                      <w:b/>
                      <w:color w:val="auto"/>
                      <w:szCs w:val="21"/>
                    </w:rPr>
                    <w:t>t/a</w:t>
                  </w:r>
                </w:p>
              </w:tc>
              <w:tc>
                <w:tcPr>
                  <w:tcW w:w="891" w:type="dxa"/>
                  <w:vMerge w:val="continue"/>
                  <w:tcBorders>
                    <w:top w:val="single" w:color="auto" w:sz="4" w:space="0"/>
                    <w:left w:val="single" w:color="auto" w:sz="4" w:space="0"/>
                    <w:bottom w:val="single" w:color="auto" w:sz="4" w:space="0"/>
                    <w:right w:val="nil"/>
                  </w:tcBorders>
                  <w:noWrap w:val="0"/>
                  <w:vAlign w:val="center"/>
                </w:tcPr>
                <w:p w14:paraId="10414413">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rPr>
                  </w:pPr>
                </w:p>
              </w:tc>
            </w:tr>
            <w:tr w14:paraId="5E10DC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restart"/>
                  <w:tcBorders>
                    <w:top w:val="single" w:color="auto" w:sz="4" w:space="0"/>
                    <w:left w:val="nil"/>
                    <w:bottom w:val="single" w:color="auto" w:sz="4" w:space="0"/>
                    <w:right w:val="single" w:color="auto" w:sz="4" w:space="0"/>
                  </w:tcBorders>
                  <w:noWrap w:val="0"/>
                  <w:vAlign w:val="center"/>
                </w:tcPr>
                <w:p w14:paraId="65F4ED8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rPr>
                  </w:pPr>
                  <w:r>
                    <w:rPr>
                      <w:rFonts w:hint="eastAsia"/>
                      <w:color w:val="auto"/>
                      <w:szCs w:val="21"/>
                    </w:rPr>
                    <w:t>生活污水</w:t>
                  </w:r>
                </w:p>
              </w:tc>
              <w:tc>
                <w:tcPr>
                  <w:tcW w:w="688" w:type="dxa"/>
                  <w:vMerge w:val="restart"/>
                  <w:tcBorders>
                    <w:top w:val="single" w:color="auto" w:sz="4" w:space="0"/>
                    <w:left w:val="single" w:color="auto" w:sz="4" w:space="0"/>
                    <w:bottom w:val="single" w:color="auto" w:sz="4" w:space="0"/>
                    <w:right w:val="single" w:color="auto" w:sz="4" w:space="0"/>
                  </w:tcBorders>
                  <w:noWrap w:val="0"/>
                  <w:vAlign w:val="center"/>
                </w:tcPr>
                <w:p w14:paraId="1AA5BB43">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szCs w:val="21"/>
                      <w:lang w:val="en-US" w:eastAsia="zh-CN"/>
                    </w:rPr>
                  </w:pPr>
                  <w:r>
                    <w:rPr>
                      <w:rFonts w:hint="eastAsia"/>
                      <w:color w:val="auto"/>
                      <w:szCs w:val="21"/>
                      <w:lang w:val="en-US" w:eastAsia="zh-CN"/>
                    </w:rPr>
                    <w:t>1352</w:t>
                  </w:r>
                </w:p>
              </w:tc>
              <w:tc>
                <w:tcPr>
                  <w:tcW w:w="775" w:type="dxa"/>
                  <w:tcBorders>
                    <w:top w:val="single" w:color="auto" w:sz="4" w:space="0"/>
                    <w:left w:val="single" w:color="auto" w:sz="4" w:space="0"/>
                    <w:bottom w:val="single" w:color="auto" w:sz="4" w:space="0"/>
                    <w:right w:val="single" w:color="auto" w:sz="4" w:space="0"/>
                  </w:tcBorders>
                  <w:noWrap w:val="0"/>
                  <w:vAlign w:val="center"/>
                </w:tcPr>
                <w:p w14:paraId="7B315F46">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rPr>
                  </w:pPr>
                  <w:r>
                    <w:rPr>
                      <w:color w:val="auto"/>
                      <w:szCs w:val="21"/>
                    </w:rPr>
                    <w:t>COD</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104003CB">
                  <w:pPr>
                    <w:adjustRightInd w:val="0"/>
                    <w:snapToGrid w:val="0"/>
                    <w:jc w:val="center"/>
                    <w:rPr>
                      <w:rFonts w:hint="default" w:eastAsia="宋体"/>
                      <w:color w:val="auto"/>
                      <w:szCs w:val="21"/>
                      <w:lang w:val="en-US" w:eastAsia="zh-CN"/>
                    </w:rPr>
                  </w:pPr>
                  <w:r>
                    <w:rPr>
                      <w:rFonts w:hint="eastAsia"/>
                      <w:color w:val="auto"/>
                      <w:szCs w:val="21"/>
                    </w:rPr>
                    <w:t>3</w:t>
                  </w:r>
                  <w:r>
                    <w:rPr>
                      <w:color w:val="auto"/>
                      <w:szCs w:val="21"/>
                    </w:rPr>
                    <w:t>00</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36568B0D">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0.4056</w:t>
                  </w:r>
                </w:p>
              </w:tc>
              <w:tc>
                <w:tcPr>
                  <w:tcW w:w="975" w:type="dxa"/>
                  <w:vMerge w:val="restart"/>
                  <w:tcBorders>
                    <w:top w:val="single" w:color="auto" w:sz="4" w:space="0"/>
                    <w:left w:val="single" w:color="auto" w:sz="4" w:space="0"/>
                    <w:right w:val="single" w:color="auto" w:sz="4" w:space="0"/>
                  </w:tcBorders>
                  <w:noWrap w:val="0"/>
                  <w:vAlign w:val="center"/>
                </w:tcPr>
                <w:p w14:paraId="51A4E23E">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r>
                    <w:rPr>
                      <w:rFonts w:hint="eastAsia"/>
                      <w:color w:val="auto"/>
                      <w:szCs w:val="21"/>
                    </w:rPr>
                    <w:t>/</w:t>
                  </w:r>
                </w:p>
              </w:tc>
              <w:tc>
                <w:tcPr>
                  <w:tcW w:w="737" w:type="dxa"/>
                  <w:tcBorders>
                    <w:top w:val="single" w:color="auto" w:sz="4" w:space="0"/>
                    <w:left w:val="single" w:color="auto" w:sz="4" w:space="0"/>
                    <w:right w:val="single" w:color="auto" w:sz="4" w:space="0"/>
                  </w:tcBorders>
                  <w:noWrap w:val="0"/>
                  <w:vAlign w:val="center"/>
                </w:tcPr>
                <w:p w14:paraId="160244BE">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kern w:val="2"/>
                      <w:sz w:val="21"/>
                      <w:szCs w:val="21"/>
                      <w:lang w:val="en-US" w:eastAsia="zh-CN" w:bidi="ar-SA"/>
                    </w:rPr>
                  </w:pPr>
                  <w:r>
                    <w:rPr>
                      <w:color w:val="auto"/>
                      <w:szCs w:val="21"/>
                    </w:rPr>
                    <w:t>COD</w:t>
                  </w:r>
                </w:p>
              </w:tc>
              <w:tc>
                <w:tcPr>
                  <w:tcW w:w="950" w:type="dxa"/>
                  <w:tcBorders>
                    <w:top w:val="single" w:color="auto" w:sz="4" w:space="0"/>
                    <w:left w:val="single" w:color="auto" w:sz="4" w:space="0"/>
                    <w:right w:val="single" w:color="auto" w:sz="4" w:space="0"/>
                  </w:tcBorders>
                  <w:noWrap w:val="0"/>
                  <w:vAlign w:val="center"/>
                </w:tcPr>
                <w:p w14:paraId="3BAB4F35">
                  <w:pPr>
                    <w:adjustRightInd w:val="0"/>
                    <w:snapToGrid w:val="0"/>
                    <w:jc w:val="center"/>
                    <w:rPr>
                      <w:rFonts w:hint="eastAsia" w:eastAsia="宋体"/>
                      <w:color w:val="auto"/>
                      <w:kern w:val="2"/>
                      <w:sz w:val="21"/>
                      <w:szCs w:val="21"/>
                      <w:lang w:val="en-US" w:eastAsia="zh-CN" w:bidi="ar-SA"/>
                    </w:rPr>
                  </w:pPr>
                  <w:r>
                    <w:rPr>
                      <w:rFonts w:hint="eastAsia"/>
                      <w:color w:val="auto"/>
                      <w:szCs w:val="21"/>
                    </w:rPr>
                    <w:t>3</w:t>
                  </w:r>
                  <w:r>
                    <w:rPr>
                      <w:color w:val="auto"/>
                      <w:szCs w:val="21"/>
                    </w:rPr>
                    <w:t>00</w:t>
                  </w:r>
                </w:p>
              </w:tc>
              <w:tc>
                <w:tcPr>
                  <w:tcW w:w="1052" w:type="dxa"/>
                  <w:tcBorders>
                    <w:top w:val="single" w:color="auto" w:sz="4" w:space="0"/>
                    <w:left w:val="single" w:color="auto" w:sz="4" w:space="0"/>
                    <w:right w:val="single" w:color="auto" w:sz="4" w:space="0"/>
                  </w:tcBorders>
                  <w:noWrap w:val="0"/>
                  <w:vAlign w:val="center"/>
                </w:tcPr>
                <w:p w14:paraId="6E0C9F4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0.4056</w:t>
                  </w:r>
                </w:p>
              </w:tc>
              <w:tc>
                <w:tcPr>
                  <w:tcW w:w="891" w:type="dxa"/>
                  <w:vMerge w:val="restart"/>
                  <w:tcBorders>
                    <w:top w:val="single" w:color="auto" w:sz="4" w:space="0"/>
                    <w:left w:val="single" w:color="auto" w:sz="4" w:space="0"/>
                    <w:right w:val="nil"/>
                  </w:tcBorders>
                  <w:noWrap w:val="0"/>
                  <w:vAlign w:val="center"/>
                </w:tcPr>
                <w:p w14:paraId="46EEF7C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eastAsia="宋体"/>
                      <w:color w:val="auto"/>
                      <w:szCs w:val="21"/>
                      <w:highlight w:val="none"/>
                      <w:lang w:eastAsia="zh-CN"/>
                    </w:rPr>
                  </w:pPr>
                  <w:r>
                    <w:rPr>
                      <w:rFonts w:hint="eastAsia"/>
                      <w:color w:val="auto"/>
                      <w:szCs w:val="21"/>
                      <w:highlight w:val="none"/>
                      <w:lang w:val="en-US" w:eastAsia="zh-CN"/>
                    </w:rPr>
                    <w:t>接管至</w:t>
                  </w:r>
                  <w:r>
                    <w:rPr>
                      <w:rFonts w:hint="eastAsia" w:ascii="Times New Roman" w:hAnsi="Times New Roman" w:eastAsia="宋体" w:cs="Times New Roman"/>
                      <w:color w:val="auto"/>
                      <w:szCs w:val="21"/>
                      <w:highlight w:val="none"/>
                      <w:lang w:val="ru-RU" w:eastAsia="zh-CN"/>
                    </w:rPr>
                    <w:t>苏州汾湖水务发展有限公司（黎里工业再生水厂）</w:t>
                  </w:r>
                  <w:r>
                    <w:rPr>
                      <w:rFonts w:hint="eastAsia"/>
                      <w:color w:val="auto"/>
                      <w:szCs w:val="21"/>
                      <w:highlight w:val="none"/>
                    </w:rPr>
                    <w:t>处理，尾水排入</w:t>
                  </w:r>
                  <w:r>
                    <w:rPr>
                      <w:rFonts w:hint="eastAsia"/>
                      <w:color w:val="auto"/>
                      <w:szCs w:val="21"/>
                      <w:highlight w:val="none"/>
                      <w:lang w:eastAsia="zh-CN"/>
                    </w:rPr>
                    <w:t>杜公漾</w:t>
                  </w:r>
                </w:p>
              </w:tc>
            </w:tr>
            <w:tr w14:paraId="1CCEA1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continue"/>
                  <w:tcBorders>
                    <w:top w:val="single" w:color="auto" w:sz="4" w:space="0"/>
                    <w:left w:val="nil"/>
                    <w:bottom w:val="single" w:color="auto" w:sz="4" w:space="0"/>
                    <w:right w:val="single" w:color="auto" w:sz="4" w:space="0"/>
                  </w:tcBorders>
                  <w:noWrap w:val="0"/>
                  <w:vAlign w:val="center"/>
                </w:tcPr>
                <w:p w14:paraId="3EBD8181">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14:paraId="40725A28">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46C82C7A">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rPr>
                  </w:pPr>
                  <w:r>
                    <w:rPr>
                      <w:color w:val="auto"/>
                      <w:szCs w:val="21"/>
                    </w:rPr>
                    <w:t>SS</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3B3A98E8">
                  <w:pPr>
                    <w:adjustRightInd w:val="0"/>
                    <w:snapToGrid w:val="0"/>
                    <w:jc w:val="center"/>
                    <w:rPr>
                      <w:rFonts w:hint="default" w:eastAsia="宋体"/>
                      <w:color w:val="auto"/>
                      <w:szCs w:val="21"/>
                      <w:lang w:val="en-US" w:eastAsia="zh-CN"/>
                    </w:rPr>
                  </w:pPr>
                  <w:r>
                    <w:rPr>
                      <w:rFonts w:hint="eastAsia"/>
                      <w:color w:val="auto"/>
                      <w:szCs w:val="21"/>
                    </w:rPr>
                    <w:t>2</w:t>
                  </w:r>
                  <w:r>
                    <w:rPr>
                      <w:color w:val="auto"/>
                      <w:szCs w:val="21"/>
                    </w:rPr>
                    <w:t>00</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25ACE454">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0.2704</w:t>
                  </w:r>
                </w:p>
              </w:tc>
              <w:tc>
                <w:tcPr>
                  <w:tcW w:w="975" w:type="dxa"/>
                  <w:vMerge w:val="continue"/>
                  <w:tcBorders>
                    <w:left w:val="single" w:color="auto" w:sz="4" w:space="0"/>
                    <w:right w:val="single" w:color="auto" w:sz="4" w:space="0"/>
                  </w:tcBorders>
                  <w:noWrap w:val="0"/>
                  <w:vAlign w:val="center"/>
                </w:tcPr>
                <w:p w14:paraId="3938150C">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37" w:type="dxa"/>
                  <w:tcBorders>
                    <w:left w:val="single" w:color="auto" w:sz="4" w:space="0"/>
                    <w:right w:val="single" w:color="auto" w:sz="4" w:space="0"/>
                  </w:tcBorders>
                  <w:noWrap w:val="0"/>
                  <w:vAlign w:val="center"/>
                </w:tcPr>
                <w:p w14:paraId="436FC2E5">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kern w:val="2"/>
                      <w:sz w:val="21"/>
                      <w:szCs w:val="21"/>
                      <w:lang w:val="en-US" w:eastAsia="zh-CN" w:bidi="ar-SA"/>
                    </w:rPr>
                  </w:pPr>
                  <w:r>
                    <w:rPr>
                      <w:color w:val="auto"/>
                      <w:szCs w:val="21"/>
                    </w:rPr>
                    <w:t>SS</w:t>
                  </w:r>
                </w:p>
              </w:tc>
              <w:tc>
                <w:tcPr>
                  <w:tcW w:w="950" w:type="dxa"/>
                  <w:tcBorders>
                    <w:left w:val="single" w:color="auto" w:sz="4" w:space="0"/>
                    <w:right w:val="single" w:color="auto" w:sz="4" w:space="0"/>
                  </w:tcBorders>
                  <w:noWrap w:val="0"/>
                  <w:vAlign w:val="center"/>
                </w:tcPr>
                <w:p w14:paraId="6D84989F">
                  <w:pPr>
                    <w:adjustRightInd w:val="0"/>
                    <w:snapToGrid w:val="0"/>
                    <w:jc w:val="center"/>
                    <w:rPr>
                      <w:rFonts w:hint="default" w:eastAsia="宋体"/>
                      <w:color w:val="auto"/>
                      <w:kern w:val="2"/>
                      <w:sz w:val="21"/>
                      <w:szCs w:val="21"/>
                      <w:lang w:val="en-US" w:eastAsia="zh-CN" w:bidi="ar-SA"/>
                    </w:rPr>
                  </w:pPr>
                  <w:r>
                    <w:rPr>
                      <w:rFonts w:hint="eastAsia"/>
                      <w:color w:val="auto"/>
                      <w:szCs w:val="21"/>
                    </w:rPr>
                    <w:t>2</w:t>
                  </w:r>
                  <w:r>
                    <w:rPr>
                      <w:color w:val="auto"/>
                      <w:szCs w:val="21"/>
                    </w:rPr>
                    <w:t>00</w:t>
                  </w:r>
                </w:p>
              </w:tc>
              <w:tc>
                <w:tcPr>
                  <w:tcW w:w="1052" w:type="dxa"/>
                  <w:tcBorders>
                    <w:left w:val="single" w:color="auto" w:sz="4" w:space="0"/>
                    <w:right w:val="single" w:color="auto" w:sz="4" w:space="0"/>
                  </w:tcBorders>
                  <w:noWrap w:val="0"/>
                  <w:vAlign w:val="center"/>
                </w:tcPr>
                <w:p w14:paraId="679BEF0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0.2704</w:t>
                  </w:r>
                </w:p>
              </w:tc>
              <w:tc>
                <w:tcPr>
                  <w:tcW w:w="891" w:type="dxa"/>
                  <w:vMerge w:val="continue"/>
                  <w:tcBorders>
                    <w:left w:val="single" w:color="auto" w:sz="4" w:space="0"/>
                    <w:right w:val="nil"/>
                  </w:tcBorders>
                  <w:noWrap w:val="0"/>
                  <w:vAlign w:val="center"/>
                </w:tcPr>
                <w:p w14:paraId="381B90B9">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r>
            <w:tr w14:paraId="7952FD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continue"/>
                  <w:tcBorders>
                    <w:top w:val="single" w:color="auto" w:sz="4" w:space="0"/>
                    <w:left w:val="nil"/>
                    <w:bottom w:val="single" w:color="auto" w:sz="4" w:space="0"/>
                    <w:right w:val="single" w:color="auto" w:sz="4" w:space="0"/>
                  </w:tcBorders>
                  <w:noWrap w:val="0"/>
                  <w:vAlign w:val="center"/>
                </w:tcPr>
                <w:p w14:paraId="723082CD">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14:paraId="54B246B5">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70825B6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rPr>
                  </w:pPr>
                  <w:r>
                    <w:rPr>
                      <w:color w:val="auto"/>
                      <w:szCs w:val="21"/>
                    </w:rPr>
                    <w:t>NH</w:t>
                  </w:r>
                  <w:r>
                    <w:rPr>
                      <w:color w:val="auto"/>
                      <w:szCs w:val="21"/>
                      <w:vertAlign w:val="subscript"/>
                    </w:rPr>
                    <w:t>3</w:t>
                  </w:r>
                  <w:r>
                    <w:rPr>
                      <w:color w:val="auto"/>
                      <w:szCs w:val="21"/>
                    </w:rPr>
                    <w:t>-N</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06DDB318">
                  <w:pPr>
                    <w:adjustRightInd w:val="0"/>
                    <w:snapToGrid w:val="0"/>
                    <w:jc w:val="center"/>
                    <w:rPr>
                      <w:rFonts w:hint="default" w:eastAsia="宋体"/>
                      <w:color w:val="auto"/>
                      <w:szCs w:val="21"/>
                      <w:lang w:val="en-US" w:eastAsia="zh-CN"/>
                    </w:rPr>
                  </w:pPr>
                  <w:r>
                    <w:rPr>
                      <w:color w:val="auto"/>
                      <w:szCs w:val="21"/>
                    </w:rPr>
                    <w:t>30</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0149FF32">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0.04056</w:t>
                  </w:r>
                </w:p>
              </w:tc>
              <w:tc>
                <w:tcPr>
                  <w:tcW w:w="975" w:type="dxa"/>
                  <w:vMerge w:val="continue"/>
                  <w:tcBorders>
                    <w:left w:val="single" w:color="auto" w:sz="4" w:space="0"/>
                    <w:right w:val="single" w:color="auto" w:sz="4" w:space="0"/>
                  </w:tcBorders>
                  <w:noWrap w:val="0"/>
                  <w:vAlign w:val="center"/>
                </w:tcPr>
                <w:p w14:paraId="74DB1A3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37" w:type="dxa"/>
                  <w:tcBorders>
                    <w:left w:val="single" w:color="auto" w:sz="4" w:space="0"/>
                    <w:right w:val="single" w:color="auto" w:sz="4" w:space="0"/>
                  </w:tcBorders>
                  <w:noWrap w:val="0"/>
                  <w:vAlign w:val="center"/>
                </w:tcPr>
                <w:p w14:paraId="657259F8">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kern w:val="2"/>
                      <w:sz w:val="21"/>
                      <w:szCs w:val="21"/>
                      <w:lang w:val="en-US" w:eastAsia="zh-CN" w:bidi="ar-SA"/>
                    </w:rPr>
                  </w:pPr>
                  <w:r>
                    <w:rPr>
                      <w:color w:val="auto"/>
                      <w:szCs w:val="21"/>
                    </w:rPr>
                    <w:t>NH</w:t>
                  </w:r>
                  <w:r>
                    <w:rPr>
                      <w:color w:val="auto"/>
                      <w:szCs w:val="21"/>
                      <w:vertAlign w:val="subscript"/>
                    </w:rPr>
                    <w:t>3</w:t>
                  </w:r>
                  <w:r>
                    <w:rPr>
                      <w:color w:val="auto"/>
                      <w:szCs w:val="21"/>
                    </w:rPr>
                    <w:t>-N</w:t>
                  </w:r>
                </w:p>
              </w:tc>
              <w:tc>
                <w:tcPr>
                  <w:tcW w:w="950" w:type="dxa"/>
                  <w:tcBorders>
                    <w:left w:val="single" w:color="auto" w:sz="4" w:space="0"/>
                    <w:right w:val="single" w:color="auto" w:sz="4" w:space="0"/>
                  </w:tcBorders>
                  <w:noWrap w:val="0"/>
                  <w:vAlign w:val="center"/>
                </w:tcPr>
                <w:p w14:paraId="404B977F">
                  <w:pPr>
                    <w:adjustRightInd w:val="0"/>
                    <w:snapToGrid w:val="0"/>
                    <w:jc w:val="center"/>
                    <w:rPr>
                      <w:rFonts w:hint="default" w:eastAsia="宋体"/>
                      <w:color w:val="auto"/>
                      <w:kern w:val="2"/>
                      <w:sz w:val="21"/>
                      <w:szCs w:val="21"/>
                      <w:lang w:val="en-US" w:eastAsia="zh-CN" w:bidi="ar-SA"/>
                    </w:rPr>
                  </w:pPr>
                  <w:r>
                    <w:rPr>
                      <w:color w:val="auto"/>
                      <w:szCs w:val="21"/>
                    </w:rPr>
                    <w:t>30</w:t>
                  </w:r>
                </w:p>
              </w:tc>
              <w:tc>
                <w:tcPr>
                  <w:tcW w:w="1052" w:type="dxa"/>
                  <w:tcBorders>
                    <w:left w:val="single" w:color="auto" w:sz="4" w:space="0"/>
                    <w:right w:val="single" w:color="auto" w:sz="4" w:space="0"/>
                  </w:tcBorders>
                  <w:noWrap w:val="0"/>
                  <w:vAlign w:val="center"/>
                </w:tcPr>
                <w:p w14:paraId="4BD0D1F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0.04056</w:t>
                  </w:r>
                </w:p>
              </w:tc>
              <w:tc>
                <w:tcPr>
                  <w:tcW w:w="891" w:type="dxa"/>
                  <w:vMerge w:val="continue"/>
                  <w:tcBorders>
                    <w:left w:val="single" w:color="auto" w:sz="4" w:space="0"/>
                    <w:right w:val="nil"/>
                  </w:tcBorders>
                  <w:noWrap w:val="0"/>
                  <w:vAlign w:val="center"/>
                </w:tcPr>
                <w:p w14:paraId="16D0B174">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r>
            <w:tr w14:paraId="112004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continue"/>
                  <w:tcBorders>
                    <w:top w:val="single" w:color="auto" w:sz="4" w:space="0"/>
                    <w:left w:val="nil"/>
                    <w:bottom w:val="single" w:color="auto" w:sz="4" w:space="0"/>
                    <w:right w:val="single" w:color="auto" w:sz="4" w:space="0"/>
                  </w:tcBorders>
                  <w:noWrap w:val="0"/>
                  <w:vAlign w:val="center"/>
                </w:tcPr>
                <w:p w14:paraId="18CCBB2B">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14:paraId="5A728AD2">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554BD90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rPr>
                  </w:pPr>
                  <w:r>
                    <w:rPr>
                      <w:color w:val="auto"/>
                      <w:szCs w:val="21"/>
                    </w:rPr>
                    <w:t>TP</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4B1E2109">
                  <w:pPr>
                    <w:adjustRightInd w:val="0"/>
                    <w:snapToGrid w:val="0"/>
                    <w:jc w:val="center"/>
                    <w:rPr>
                      <w:rFonts w:hint="eastAsia" w:eastAsia="宋体"/>
                      <w:color w:val="auto"/>
                      <w:szCs w:val="21"/>
                      <w:lang w:val="en-US" w:eastAsia="zh-CN"/>
                    </w:rPr>
                  </w:pPr>
                  <w:r>
                    <w:rPr>
                      <w:color w:val="auto"/>
                      <w:szCs w:val="21"/>
                    </w:rPr>
                    <w:t>3</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122DBEBE">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0.004056</w:t>
                  </w:r>
                </w:p>
              </w:tc>
              <w:tc>
                <w:tcPr>
                  <w:tcW w:w="975" w:type="dxa"/>
                  <w:vMerge w:val="continue"/>
                  <w:tcBorders>
                    <w:left w:val="single" w:color="auto" w:sz="4" w:space="0"/>
                    <w:right w:val="single" w:color="auto" w:sz="4" w:space="0"/>
                  </w:tcBorders>
                  <w:noWrap w:val="0"/>
                  <w:vAlign w:val="center"/>
                </w:tcPr>
                <w:p w14:paraId="0F1A6A5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37" w:type="dxa"/>
                  <w:tcBorders>
                    <w:left w:val="single" w:color="auto" w:sz="4" w:space="0"/>
                    <w:right w:val="single" w:color="auto" w:sz="4" w:space="0"/>
                  </w:tcBorders>
                  <w:noWrap w:val="0"/>
                  <w:vAlign w:val="center"/>
                </w:tcPr>
                <w:p w14:paraId="404720A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kern w:val="2"/>
                      <w:sz w:val="21"/>
                      <w:szCs w:val="21"/>
                      <w:lang w:val="en-US" w:eastAsia="zh-CN" w:bidi="ar-SA"/>
                    </w:rPr>
                  </w:pPr>
                  <w:r>
                    <w:rPr>
                      <w:color w:val="auto"/>
                      <w:szCs w:val="21"/>
                    </w:rPr>
                    <w:t>TP</w:t>
                  </w:r>
                </w:p>
              </w:tc>
              <w:tc>
                <w:tcPr>
                  <w:tcW w:w="950" w:type="dxa"/>
                  <w:tcBorders>
                    <w:left w:val="single" w:color="auto" w:sz="4" w:space="0"/>
                    <w:right w:val="single" w:color="auto" w:sz="4" w:space="0"/>
                  </w:tcBorders>
                  <w:noWrap w:val="0"/>
                  <w:vAlign w:val="center"/>
                </w:tcPr>
                <w:p w14:paraId="29927AB4">
                  <w:pPr>
                    <w:adjustRightInd w:val="0"/>
                    <w:snapToGrid w:val="0"/>
                    <w:jc w:val="center"/>
                    <w:rPr>
                      <w:rFonts w:hint="eastAsia" w:eastAsia="宋体"/>
                      <w:color w:val="auto"/>
                      <w:kern w:val="2"/>
                      <w:sz w:val="21"/>
                      <w:szCs w:val="21"/>
                      <w:lang w:val="en-US" w:eastAsia="zh-CN" w:bidi="ar-SA"/>
                    </w:rPr>
                  </w:pPr>
                  <w:r>
                    <w:rPr>
                      <w:color w:val="auto"/>
                      <w:szCs w:val="21"/>
                    </w:rPr>
                    <w:t>3</w:t>
                  </w:r>
                </w:p>
              </w:tc>
              <w:tc>
                <w:tcPr>
                  <w:tcW w:w="1052" w:type="dxa"/>
                  <w:tcBorders>
                    <w:left w:val="single" w:color="auto" w:sz="4" w:space="0"/>
                    <w:right w:val="single" w:color="auto" w:sz="4" w:space="0"/>
                  </w:tcBorders>
                  <w:noWrap w:val="0"/>
                  <w:vAlign w:val="center"/>
                </w:tcPr>
                <w:p w14:paraId="396C904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0.004056</w:t>
                  </w:r>
                </w:p>
              </w:tc>
              <w:tc>
                <w:tcPr>
                  <w:tcW w:w="891" w:type="dxa"/>
                  <w:vMerge w:val="continue"/>
                  <w:tcBorders>
                    <w:left w:val="single" w:color="auto" w:sz="4" w:space="0"/>
                    <w:right w:val="nil"/>
                  </w:tcBorders>
                  <w:noWrap w:val="0"/>
                  <w:vAlign w:val="center"/>
                </w:tcPr>
                <w:p w14:paraId="474031AF">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r>
            <w:tr w14:paraId="7C3B5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90" w:type="dxa"/>
                  <w:vMerge w:val="continue"/>
                  <w:tcBorders>
                    <w:top w:val="single" w:color="auto" w:sz="4" w:space="0"/>
                    <w:left w:val="nil"/>
                    <w:bottom w:val="single" w:color="auto" w:sz="4" w:space="0"/>
                    <w:right w:val="single" w:color="auto" w:sz="4" w:space="0"/>
                  </w:tcBorders>
                  <w:noWrap w:val="0"/>
                  <w:vAlign w:val="center"/>
                </w:tcPr>
                <w:p w14:paraId="758C7126">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688" w:type="dxa"/>
                  <w:vMerge w:val="continue"/>
                  <w:tcBorders>
                    <w:top w:val="single" w:color="auto" w:sz="4" w:space="0"/>
                    <w:left w:val="single" w:color="auto" w:sz="4" w:space="0"/>
                    <w:bottom w:val="single" w:color="auto" w:sz="4" w:space="0"/>
                    <w:right w:val="single" w:color="auto" w:sz="4" w:space="0"/>
                  </w:tcBorders>
                  <w:noWrap w:val="0"/>
                  <w:vAlign w:val="center"/>
                </w:tcPr>
                <w:p w14:paraId="6F33781D">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444BE40C">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rPr>
                  </w:pPr>
                  <w:r>
                    <w:rPr>
                      <w:rFonts w:hint="eastAsia"/>
                      <w:color w:val="auto"/>
                      <w:szCs w:val="21"/>
                    </w:rPr>
                    <w:t>TN</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3EF79047">
                  <w:pPr>
                    <w:adjustRightInd w:val="0"/>
                    <w:snapToGrid w:val="0"/>
                    <w:jc w:val="center"/>
                    <w:rPr>
                      <w:rFonts w:hint="default" w:eastAsia="宋体"/>
                      <w:color w:val="auto"/>
                      <w:szCs w:val="21"/>
                      <w:lang w:val="en-US" w:eastAsia="zh-CN"/>
                    </w:rPr>
                  </w:pPr>
                  <w:r>
                    <w:rPr>
                      <w:rFonts w:hint="eastAsia"/>
                      <w:color w:val="auto"/>
                      <w:szCs w:val="21"/>
                    </w:rPr>
                    <w:t>50</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1248810B">
                  <w:pPr>
                    <w:adjustRightInd w:val="0"/>
                    <w:snapToGrid w:val="0"/>
                    <w:jc w:val="center"/>
                    <w:rPr>
                      <w:rFonts w:hint="eastAsia" w:ascii="Times New Roman" w:hAnsi="Times New Roman" w:eastAsia="宋体" w:cs="Times New Roman"/>
                      <w:color w:val="auto"/>
                      <w:szCs w:val="21"/>
                      <w:lang w:val="en-US" w:eastAsia="zh-CN"/>
                    </w:rPr>
                  </w:pPr>
                  <w:r>
                    <w:rPr>
                      <w:rFonts w:hint="eastAsia"/>
                      <w:color w:val="auto"/>
                      <w:szCs w:val="21"/>
                      <w:lang w:val="en-US" w:eastAsia="zh-CN"/>
                    </w:rPr>
                    <w:t>0.0676</w:t>
                  </w:r>
                </w:p>
              </w:tc>
              <w:tc>
                <w:tcPr>
                  <w:tcW w:w="975" w:type="dxa"/>
                  <w:vMerge w:val="continue"/>
                  <w:tcBorders>
                    <w:left w:val="single" w:color="auto" w:sz="4" w:space="0"/>
                    <w:right w:val="single" w:color="auto" w:sz="4" w:space="0"/>
                  </w:tcBorders>
                  <w:noWrap w:val="0"/>
                  <w:vAlign w:val="center"/>
                </w:tcPr>
                <w:p w14:paraId="3F2B2B2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37" w:type="dxa"/>
                  <w:tcBorders>
                    <w:left w:val="single" w:color="auto" w:sz="4" w:space="0"/>
                    <w:right w:val="single" w:color="auto" w:sz="4" w:space="0"/>
                  </w:tcBorders>
                  <w:noWrap w:val="0"/>
                  <w:vAlign w:val="center"/>
                </w:tcPr>
                <w:p w14:paraId="5A7AAF6F">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kern w:val="2"/>
                      <w:sz w:val="21"/>
                      <w:szCs w:val="21"/>
                      <w:lang w:val="en-US" w:eastAsia="zh-CN" w:bidi="ar-SA"/>
                    </w:rPr>
                  </w:pPr>
                  <w:r>
                    <w:rPr>
                      <w:rFonts w:hint="eastAsia"/>
                      <w:color w:val="auto"/>
                      <w:szCs w:val="21"/>
                    </w:rPr>
                    <w:t>TN</w:t>
                  </w:r>
                </w:p>
              </w:tc>
              <w:tc>
                <w:tcPr>
                  <w:tcW w:w="950" w:type="dxa"/>
                  <w:tcBorders>
                    <w:left w:val="single" w:color="auto" w:sz="4" w:space="0"/>
                    <w:right w:val="single" w:color="auto" w:sz="4" w:space="0"/>
                  </w:tcBorders>
                  <w:noWrap w:val="0"/>
                  <w:vAlign w:val="center"/>
                </w:tcPr>
                <w:p w14:paraId="5E9D162D">
                  <w:pPr>
                    <w:adjustRightInd w:val="0"/>
                    <w:snapToGrid w:val="0"/>
                    <w:jc w:val="center"/>
                    <w:rPr>
                      <w:rFonts w:hint="default" w:eastAsia="宋体"/>
                      <w:color w:val="auto"/>
                      <w:kern w:val="2"/>
                      <w:sz w:val="21"/>
                      <w:szCs w:val="21"/>
                      <w:lang w:val="en-US" w:eastAsia="zh-CN" w:bidi="ar-SA"/>
                    </w:rPr>
                  </w:pPr>
                  <w:r>
                    <w:rPr>
                      <w:rFonts w:hint="eastAsia"/>
                      <w:color w:val="auto"/>
                      <w:szCs w:val="21"/>
                    </w:rPr>
                    <w:t>50</w:t>
                  </w:r>
                </w:p>
              </w:tc>
              <w:tc>
                <w:tcPr>
                  <w:tcW w:w="1052" w:type="dxa"/>
                  <w:tcBorders>
                    <w:left w:val="single" w:color="auto" w:sz="4" w:space="0"/>
                    <w:right w:val="single" w:color="auto" w:sz="4" w:space="0"/>
                  </w:tcBorders>
                  <w:noWrap w:val="0"/>
                  <w:vAlign w:val="center"/>
                </w:tcPr>
                <w:p w14:paraId="565A734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0.0676</w:t>
                  </w:r>
                </w:p>
              </w:tc>
              <w:tc>
                <w:tcPr>
                  <w:tcW w:w="891" w:type="dxa"/>
                  <w:vMerge w:val="continue"/>
                  <w:tcBorders>
                    <w:left w:val="single" w:color="auto" w:sz="4" w:space="0"/>
                    <w:right w:val="nil"/>
                  </w:tcBorders>
                  <w:noWrap w:val="0"/>
                  <w:vAlign w:val="center"/>
                </w:tcPr>
                <w:p w14:paraId="1BE9CCEC">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r>
            <w:tr w14:paraId="41AD47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390" w:type="dxa"/>
                  <w:vMerge w:val="restart"/>
                  <w:tcBorders>
                    <w:top w:val="single" w:color="auto" w:sz="4" w:space="0"/>
                    <w:left w:val="nil"/>
                    <w:right w:val="single" w:color="auto" w:sz="4" w:space="0"/>
                  </w:tcBorders>
                  <w:noWrap w:val="0"/>
                  <w:vAlign w:val="center"/>
                </w:tcPr>
                <w:p w14:paraId="739B0F70">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生产废水</w:t>
                  </w:r>
                </w:p>
              </w:tc>
              <w:tc>
                <w:tcPr>
                  <w:tcW w:w="688" w:type="dxa"/>
                  <w:vMerge w:val="restart"/>
                  <w:tcBorders>
                    <w:top w:val="single" w:color="auto" w:sz="4" w:space="0"/>
                    <w:left w:val="single" w:color="auto" w:sz="4" w:space="0"/>
                    <w:right w:val="single" w:color="auto" w:sz="4" w:space="0"/>
                  </w:tcBorders>
                  <w:noWrap w:val="0"/>
                  <w:vAlign w:val="center"/>
                </w:tcPr>
                <w:p w14:paraId="243AA2DD">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52</w:t>
                  </w:r>
                </w:p>
              </w:tc>
              <w:tc>
                <w:tcPr>
                  <w:tcW w:w="775" w:type="dxa"/>
                  <w:tcBorders>
                    <w:top w:val="single" w:color="auto" w:sz="4" w:space="0"/>
                    <w:left w:val="single" w:color="auto" w:sz="4" w:space="0"/>
                    <w:right w:val="single" w:color="auto" w:sz="4" w:space="0"/>
                  </w:tcBorders>
                  <w:noWrap w:val="0"/>
                  <w:vAlign w:val="center"/>
                </w:tcPr>
                <w:p w14:paraId="17C4ABB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kern w:val="2"/>
                      <w:sz w:val="21"/>
                      <w:szCs w:val="21"/>
                      <w:lang w:val="en-US" w:eastAsia="zh-CN" w:bidi="ar-SA"/>
                    </w:rPr>
                  </w:pPr>
                  <w:r>
                    <w:rPr>
                      <w:rFonts w:hint="eastAsia"/>
                      <w:color w:val="auto"/>
                      <w:szCs w:val="21"/>
                      <w:lang w:val="en-US" w:eastAsia="zh-CN"/>
                    </w:rPr>
                    <w:t>COD</w:t>
                  </w:r>
                </w:p>
              </w:tc>
              <w:tc>
                <w:tcPr>
                  <w:tcW w:w="725" w:type="dxa"/>
                  <w:tcBorders>
                    <w:top w:val="single" w:color="auto" w:sz="4" w:space="0"/>
                    <w:left w:val="single" w:color="auto" w:sz="4" w:space="0"/>
                    <w:right w:val="single" w:color="auto" w:sz="4" w:space="0"/>
                  </w:tcBorders>
                  <w:noWrap w:val="0"/>
                  <w:vAlign w:val="center"/>
                </w:tcPr>
                <w:p w14:paraId="67A55C36">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szCs w:val="21"/>
                      <w:lang w:val="en-US" w:eastAsia="zh-CN"/>
                    </w:rPr>
                  </w:pPr>
                  <w:r>
                    <w:rPr>
                      <w:rFonts w:hint="eastAsia"/>
                      <w:color w:val="auto"/>
                      <w:szCs w:val="21"/>
                      <w:lang w:val="en-US" w:eastAsia="zh-CN"/>
                    </w:rPr>
                    <w:t>112.5</w:t>
                  </w:r>
                </w:p>
              </w:tc>
              <w:tc>
                <w:tcPr>
                  <w:tcW w:w="1048" w:type="dxa"/>
                  <w:tcBorders>
                    <w:top w:val="single" w:color="auto" w:sz="4" w:space="0"/>
                    <w:left w:val="single" w:color="auto" w:sz="4" w:space="0"/>
                    <w:right w:val="single" w:color="auto" w:sz="4" w:space="0"/>
                  </w:tcBorders>
                  <w:noWrap w:val="0"/>
                  <w:vAlign w:val="center"/>
                </w:tcPr>
                <w:p w14:paraId="6857CB1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0.00585</w:t>
                  </w:r>
                </w:p>
              </w:tc>
              <w:tc>
                <w:tcPr>
                  <w:tcW w:w="975" w:type="dxa"/>
                  <w:vMerge w:val="restart"/>
                  <w:tcBorders>
                    <w:left w:val="single" w:color="auto" w:sz="4" w:space="0"/>
                    <w:right w:val="single" w:color="auto" w:sz="4" w:space="0"/>
                  </w:tcBorders>
                  <w:noWrap w:val="0"/>
                  <w:vAlign w:val="center"/>
                </w:tcPr>
                <w:p w14:paraId="0B469D1E">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szCs w:val="21"/>
                      <w:highlight w:val="none"/>
                      <w:lang w:val="en-US" w:eastAsia="zh-CN"/>
                    </w:rPr>
                  </w:pPr>
                  <w:r>
                    <w:rPr>
                      <w:rFonts w:hint="eastAsia" w:eastAsia="宋体"/>
                      <w:color w:val="auto"/>
                      <w:szCs w:val="21"/>
                      <w:highlight w:val="none"/>
                      <w:lang w:val="en-US" w:eastAsia="zh-CN"/>
                    </w:rPr>
                    <w:t>低温真空蒸发器</w:t>
                  </w:r>
                </w:p>
              </w:tc>
              <w:tc>
                <w:tcPr>
                  <w:tcW w:w="737" w:type="dxa"/>
                  <w:tcBorders>
                    <w:left w:val="single" w:color="auto" w:sz="4" w:space="0"/>
                    <w:right w:val="single" w:color="auto" w:sz="4" w:space="0"/>
                  </w:tcBorders>
                  <w:noWrap w:val="0"/>
                  <w:vAlign w:val="center"/>
                </w:tcPr>
                <w:p w14:paraId="587D0DD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kern w:val="2"/>
                      <w:sz w:val="21"/>
                      <w:szCs w:val="21"/>
                      <w:highlight w:val="none"/>
                      <w:lang w:val="en-US" w:eastAsia="zh-CN" w:bidi="ar-SA"/>
                    </w:rPr>
                  </w:pPr>
                  <w:r>
                    <w:rPr>
                      <w:rFonts w:hint="eastAsia"/>
                      <w:color w:val="auto"/>
                      <w:szCs w:val="21"/>
                      <w:highlight w:val="none"/>
                      <w:lang w:val="en-US" w:eastAsia="zh-CN"/>
                    </w:rPr>
                    <w:t>/</w:t>
                  </w:r>
                </w:p>
              </w:tc>
              <w:tc>
                <w:tcPr>
                  <w:tcW w:w="950" w:type="dxa"/>
                  <w:tcBorders>
                    <w:left w:val="single" w:color="auto" w:sz="4" w:space="0"/>
                    <w:right w:val="single" w:color="auto" w:sz="4" w:space="0"/>
                  </w:tcBorders>
                  <w:noWrap w:val="0"/>
                  <w:vAlign w:val="center"/>
                </w:tcPr>
                <w:p w14:paraId="3809FFCC">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kern w:val="2"/>
                      <w:sz w:val="21"/>
                      <w:szCs w:val="21"/>
                      <w:highlight w:val="none"/>
                      <w:lang w:val="en-US" w:eastAsia="zh-CN" w:bidi="ar-SA"/>
                    </w:rPr>
                  </w:pPr>
                  <w:r>
                    <w:rPr>
                      <w:rFonts w:hint="eastAsia"/>
                      <w:color w:val="auto"/>
                      <w:szCs w:val="21"/>
                      <w:highlight w:val="none"/>
                      <w:lang w:val="en-US" w:eastAsia="zh-CN"/>
                    </w:rPr>
                    <w:t>/</w:t>
                  </w:r>
                </w:p>
              </w:tc>
              <w:tc>
                <w:tcPr>
                  <w:tcW w:w="1052" w:type="dxa"/>
                  <w:tcBorders>
                    <w:left w:val="single" w:color="auto" w:sz="4" w:space="0"/>
                    <w:right w:val="single" w:color="auto" w:sz="4" w:space="0"/>
                  </w:tcBorders>
                  <w:noWrap w:val="0"/>
                  <w:vAlign w:val="center"/>
                </w:tcPr>
                <w:p w14:paraId="18282F1E">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w:t>
                  </w:r>
                </w:p>
              </w:tc>
              <w:tc>
                <w:tcPr>
                  <w:tcW w:w="891" w:type="dxa"/>
                  <w:vMerge w:val="restart"/>
                  <w:tcBorders>
                    <w:left w:val="single" w:color="auto" w:sz="4" w:space="0"/>
                    <w:right w:val="nil"/>
                  </w:tcBorders>
                  <w:noWrap w:val="0"/>
                  <w:vAlign w:val="center"/>
                </w:tcPr>
                <w:p w14:paraId="444FBAEF">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回用，不外排</w:t>
                  </w:r>
                </w:p>
              </w:tc>
            </w:tr>
            <w:tr w14:paraId="2CDC98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390" w:type="dxa"/>
                  <w:vMerge w:val="continue"/>
                  <w:tcBorders>
                    <w:left w:val="nil"/>
                    <w:right w:val="single" w:color="auto" w:sz="4" w:space="0"/>
                  </w:tcBorders>
                  <w:noWrap w:val="0"/>
                  <w:vAlign w:val="center"/>
                </w:tcPr>
                <w:p w14:paraId="4A509AA6">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yellow"/>
                      <w:lang w:val="en-US" w:eastAsia="zh-CN"/>
                    </w:rPr>
                  </w:pPr>
                </w:p>
              </w:tc>
              <w:tc>
                <w:tcPr>
                  <w:tcW w:w="688" w:type="dxa"/>
                  <w:vMerge w:val="continue"/>
                  <w:tcBorders>
                    <w:left w:val="single" w:color="auto" w:sz="4" w:space="0"/>
                    <w:right w:val="single" w:color="auto" w:sz="4" w:space="0"/>
                  </w:tcBorders>
                  <w:noWrap w:val="0"/>
                  <w:vAlign w:val="center"/>
                </w:tcPr>
                <w:p w14:paraId="3A675C4B">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19B52A6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lang w:val="en-US" w:eastAsia="zh-CN"/>
                    </w:rPr>
                  </w:pPr>
                  <w:r>
                    <w:rPr>
                      <w:rFonts w:hint="eastAsia"/>
                      <w:color w:val="auto"/>
                      <w:szCs w:val="21"/>
                      <w:lang w:val="en-US" w:eastAsia="zh-CN"/>
                    </w:rPr>
                    <w:t>SS</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7D59D95F">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szCs w:val="21"/>
                      <w:lang w:val="en-US" w:eastAsia="zh-CN"/>
                    </w:rPr>
                  </w:pPr>
                  <w:r>
                    <w:rPr>
                      <w:rFonts w:hint="eastAsia"/>
                      <w:color w:val="auto"/>
                      <w:szCs w:val="21"/>
                      <w:lang w:val="en-US" w:eastAsia="zh-CN"/>
                    </w:rPr>
                    <w:t>50</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5526AAB1">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0.0026</w:t>
                  </w:r>
                </w:p>
              </w:tc>
              <w:tc>
                <w:tcPr>
                  <w:tcW w:w="975" w:type="dxa"/>
                  <w:vMerge w:val="continue"/>
                  <w:tcBorders>
                    <w:left w:val="single" w:color="auto" w:sz="4" w:space="0"/>
                    <w:right w:val="single" w:color="auto" w:sz="4" w:space="0"/>
                  </w:tcBorders>
                  <w:noWrap w:val="0"/>
                  <w:vAlign w:val="center"/>
                </w:tcPr>
                <w:p w14:paraId="32916C62">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c>
                <w:tcPr>
                  <w:tcW w:w="737" w:type="dxa"/>
                  <w:tcBorders>
                    <w:left w:val="single" w:color="auto" w:sz="4" w:space="0"/>
                    <w:right w:val="single" w:color="auto" w:sz="4" w:space="0"/>
                  </w:tcBorders>
                  <w:noWrap w:val="0"/>
                  <w:vAlign w:val="center"/>
                </w:tcPr>
                <w:p w14:paraId="7A9C97FC">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w:t>
                  </w:r>
                </w:p>
              </w:tc>
              <w:tc>
                <w:tcPr>
                  <w:tcW w:w="950" w:type="dxa"/>
                  <w:tcBorders>
                    <w:left w:val="single" w:color="auto" w:sz="4" w:space="0"/>
                    <w:right w:val="single" w:color="auto" w:sz="4" w:space="0"/>
                  </w:tcBorders>
                  <w:noWrap w:val="0"/>
                  <w:vAlign w:val="center"/>
                </w:tcPr>
                <w:p w14:paraId="5695753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eastAsia="宋体"/>
                      <w:color w:val="auto"/>
                      <w:kern w:val="2"/>
                      <w:sz w:val="21"/>
                      <w:szCs w:val="21"/>
                      <w:highlight w:val="none"/>
                      <w:lang w:val="en-US" w:eastAsia="zh-CN" w:bidi="ar-SA"/>
                    </w:rPr>
                  </w:pPr>
                  <w:r>
                    <w:rPr>
                      <w:rFonts w:hint="eastAsia"/>
                      <w:color w:val="auto"/>
                      <w:szCs w:val="21"/>
                      <w:highlight w:val="none"/>
                      <w:lang w:val="en-US" w:eastAsia="zh-CN"/>
                    </w:rPr>
                    <w:t>/</w:t>
                  </w:r>
                </w:p>
              </w:tc>
              <w:tc>
                <w:tcPr>
                  <w:tcW w:w="1052" w:type="dxa"/>
                  <w:tcBorders>
                    <w:left w:val="single" w:color="auto" w:sz="4" w:space="0"/>
                    <w:right w:val="single" w:color="auto" w:sz="4" w:space="0"/>
                  </w:tcBorders>
                  <w:noWrap w:val="0"/>
                  <w:vAlign w:val="center"/>
                </w:tcPr>
                <w:p w14:paraId="400DDEED">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eastAsia="宋体"/>
                      <w:color w:val="auto"/>
                      <w:kern w:val="2"/>
                      <w:sz w:val="21"/>
                      <w:szCs w:val="21"/>
                      <w:highlight w:val="none"/>
                      <w:lang w:val="en-US" w:eastAsia="zh-CN" w:bidi="ar-SA"/>
                    </w:rPr>
                  </w:pPr>
                  <w:r>
                    <w:rPr>
                      <w:rFonts w:hint="eastAsia"/>
                      <w:color w:val="auto"/>
                      <w:szCs w:val="21"/>
                      <w:highlight w:val="none"/>
                      <w:lang w:val="en-US" w:eastAsia="zh-CN"/>
                    </w:rPr>
                    <w:t>/</w:t>
                  </w:r>
                </w:p>
              </w:tc>
              <w:tc>
                <w:tcPr>
                  <w:tcW w:w="891" w:type="dxa"/>
                  <w:vMerge w:val="continue"/>
                  <w:tcBorders>
                    <w:left w:val="single" w:color="auto" w:sz="4" w:space="0"/>
                    <w:right w:val="nil"/>
                  </w:tcBorders>
                  <w:noWrap w:val="0"/>
                  <w:vAlign w:val="center"/>
                </w:tcPr>
                <w:p w14:paraId="12BBB43F">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r>
            <w:tr w14:paraId="15DFD6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390" w:type="dxa"/>
                  <w:vMerge w:val="continue"/>
                  <w:tcBorders>
                    <w:left w:val="nil"/>
                    <w:right w:val="single" w:color="auto" w:sz="4" w:space="0"/>
                  </w:tcBorders>
                  <w:noWrap w:val="0"/>
                  <w:vAlign w:val="center"/>
                </w:tcPr>
                <w:p w14:paraId="06D6DF54">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yellow"/>
                      <w:lang w:val="en-US" w:eastAsia="zh-CN"/>
                    </w:rPr>
                  </w:pPr>
                </w:p>
              </w:tc>
              <w:tc>
                <w:tcPr>
                  <w:tcW w:w="688" w:type="dxa"/>
                  <w:vMerge w:val="continue"/>
                  <w:tcBorders>
                    <w:left w:val="single" w:color="auto" w:sz="4" w:space="0"/>
                    <w:right w:val="single" w:color="auto" w:sz="4" w:space="0"/>
                  </w:tcBorders>
                  <w:noWrap w:val="0"/>
                  <w:vAlign w:val="center"/>
                </w:tcPr>
                <w:p w14:paraId="7A0D6780">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bottom w:val="single" w:color="auto" w:sz="4" w:space="0"/>
                    <w:right w:val="single" w:color="auto" w:sz="4" w:space="0"/>
                  </w:tcBorders>
                  <w:noWrap w:val="0"/>
                  <w:vAlign w:val="center"/>
                </w:tcPr>
                <w:p w14:paraId="40A29F7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color w:val="auto"/>
                      <w:szCs w:val="21"/>
                      <w:lang w:val="en-US" w:eastAsia="zh-CN"/>
                    </w:rPr>
                  </w:pPr>
                  <w:r>
                    <w:rPr>
                      <w:rFonts w:hint="eastAsia"/>
                      <w:color w:val="auto"/>
                      <w:szCs w:val="21"/>
                      <w:lang w:val="en-US" w:eastAsia="zh-CN"/>
                    </w:rPr>
                    <w:t>pH</w:t>
                  </w:r>
                </w:p>
              </w:tc>
              <w:tc>
                <w:tcPr>
                  <w:tcW w:w="725" w:type="dxa"/>
                  <w:tcBorders>
                    <w:top w:val="single" w:color="auto" w:sz="4" w:space="0"/>
                    <w:left w:val="single" w:color="auto" w:sz="4" w:space="0"/>
                    <w:bottom w:val="single" w:color="auto" w:sz="4" w:space="0"/>
                    <w:right w:val="single" w:color="auto" w:sz="4" w:space="0"/>
                  </w:tcBorders>
                  <w:noWrap w:val="0"/>
                  <w:vAlign w:val="center"/>
                </w:tcPr>
                <w:p w14:paraId="526B48C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color w:val="auto"/>
                      <w:szCs w:val="21"/>
                      <w:lang w:val="en-US" w:eastAsia="zh-CN"/>
                    </w:rPr>
                  </w:pPr>
                  <w:r>
                    <w:rPr>
                      <w:rFonts w:hint="eastAsia"/>
                      <w:color w:val="auto"/>
                      <w:szCs w:val="21"/>
                      <w:lang w:val="en-US" w:eastAsia="zh-CN"/>
                    </w:rPr>
                    <w:t>6~9</w:t>
                  </w:r>
                </w:p>
              </w:tc>
              <w:tc>
                <w:tcPr>
                  <w:tcW w:w="1048" w:type="dxa"/>
                  <w:tcBorders>
                    <w:top w:val="single" w:color="auto" w:sz="4" w:space="0"/>
                    <w:left w:val="single" w:color="auto" w:sz="4" w:space="0"/>
                    <w:bottom w:val="single" w:color="auto" w:sz="4" w:space="0"/>
                    <w:right w:val="single" w:color="auto" w:sz="4" w:space="0"/>
                  </w:tcBorders>
                  <w:noWrap w:val="0"/>
                  <w:vAlign w:val="center"/>
                </w:tcPr>
                <w:p w14:paraId="07FF91A0">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cs="Times New Roman"/>
                      <w:color w:val="auto"/>
                      <w:szCs w:val="21"/>
                      <w:lang w:val="en-US" w:eastAsia="zh-CN"/>
                    </w:rPr>
                  </w:pPr>
                  <w:r>
                    <w:rPr>
                      <w:rFonts w:hint="eastAsia" w:cs="Times New Roman"/>
                      <w:color w:val="auto"/>
                      <w:szCs w:val="21"/>
                      <w:lang w:val="en-US" w:eastAsia="zh-CN"/>
                    </w:rPr>
                    <w:t>/</w:t>
                  </w:r>
                </w:p>
              </w:tc>
              <w:tc>
                <w:tcPr>
                  <w:tcW w:w="975" w:type="dxa"/>
                  <w:vMerge w:val="continue"/>
                  <w:tcBorders>
                    <w:left w:val="single" w:color="auto" w:sz="4" w:space="0"/>
                    <w:right w:val="single" w:color="auto" w:sz="4" w:space="0"/>
                  </w:tcBorders>
                  <w:noWrap w:val="0"/>
                  <w:vAlign w:val="center"/>
                </w:tcPr>
                <w:p w14:paraId="2F27B379">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c>
                <w:tcPr>
                  <w:tcW w:w="737" w:type="dxa"/>
                  <w:tcBorders>
                    <w:left w:val="single" w:color="auto" w:sz="4" w:space="0"/>
                    <w:right w:val="single" w:color="auto" w:sz="4" w:space="0"/>
                  </w:tcBorders>
                  <w:noWrap w:val="0"/>
                  <w:vAlign w:val="center"/>
                </w:tcPr>
                <w:p w14:paraId="361F0C1D">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none"/>
                      <w:lang w:val="en-US" w:eastAsia="zh-CN"/>
                    </w:rPr>
                  </w:pPr>
                  <w:r>
                    <w:rPr>
                      <w:rFonts w:hint="eastAsia"/>
                      <w:color w:val="auto"/>
                      <w:szCs w:val="21"/>
                      <w:highlight w:val="none"/>
                      <w:lang w:val="en-US" w:eastAsia="zh-CN"/>
                    </w:rPr>
                    <w:t>/</w:t>
                  </w:r>
                </w:p>
              </w:tc>
              <w:tc>
                <w:tcPr>
                  <w:tcW w:w="950" w:type="dxa"/>
                  <w:tcBorders>
                    <w:left w:val="single" w:color="auto" w:sz="4" w:space="0"/>
                    <w:right w:val="single" w:color="auto" w:sz="4" w:space="0"/>
                  </w:tcBorders>
                  <w:noWrap w:val="0"/>
                  <w:vAlign w:val="center"/>
                </w:tcPr>
                <w:p w14:paraId="61D855A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none"/>
                      <w:lang w:val="en-US" w:eastAsia="zh-CN"/>
                    </w:rPr>
                  </w:pPr>
                  <w:r>
                    <w:rPr>
                      <w:rFonts w:hint="eastAsia"/>
                      <w:color w:val="auto"/>
                      <w:szCs w:val="21"/>
                      <w:highlight w:val="none"/>
                      <w:lang w:val="en-US" w:eastAsia="zh-CN"/>
                    </w:rPr>
                    <w:t>/</w:t>
                  </w:r>
                </w:p>
              </w:tc>
              <w:tc>
                <w:tcPr>
                  <w:tcW w:w="1052" w:type="dxa"/>
                  <w:tcBorders>
                    <w:left w:val="single" w:color="auto" w:sz="4" w:space="0"/>
                    <w:right w:val="single" w:color="auto" w:sz="4" w:space="0"/>
                  </w:tcBorders>
                  <w:noWrap w:val="0"/>
                  <w:vAlign w:val="center"/>
                </w:tcPr>
                <w:p w14:paraId="0AA3C41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none"/>
                      <w:lang w:val="en-US" w:eastAsia="zh-CN"/>
                    </w:rPr>
                  </w:pPr>
                  <w:r>
                    <w:rPr>
                      <w:rFonts w:hint="eastAsia"/>
                      <w:color w:val="auto"/>
                      <w:szCs w:val="21"/>
                      <w:highlight w:val="none"/>
                      <w:lang w:val="en-US" w:eastAsia="zh-CN"/>
                    </w:rPr>
                    <w:t>/</w:t>
                  </w:r>
                </w:p>
              </w:tc>
              <w:tc>
                <w:tcPr>
                  <w:tcW w:w="891" w:type="dxa"/>
                  <w:vMerge w:val="continue"/>
                  <w:tcBorders>
                    <w:left w:val="single" w:color="auto" w:sz="4" w:space="0"/>
                    <w:right w:val="nil"/>
                  </w:tcBorders>
                  <w:noWrap w:val="0"/>
                  <w:vAlign w:val="center"/>
                </w:tcPr>
                <w:p w14:paraId="3AF5E89C">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r>
            <w:tr w14:paraId="4F031F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1" w:hRule="atLeast"/>
              </w:trPr>
              <w:tc>
                <w:tcPr>
                  <w:tcW w:w="390" w:type="dxa"/>
                  <w:vMerge w:val="continue"/>
                  <w:tcBorders>
                    <w:left w:val="nil"/>
                    <w:right w:val="single" w:color="auto" w:sz="4" w:space="0"/>
                  </w:tcBorders>
                  <w:noWrap w:val="0"/>
                  <w:vAlign w:val="center"/>
                </w:tcPr>
                <w:p w14:paraId="226F9250">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yellow"/>
                      <w:lang w:val="en-US" w:eastAsia="zh-CN"/>
                    </w:rPr>
                  </w:pPr>
                </w:p>
              </w:tc>
              <w:tc>
                <w:tcPr>
                  <w:tcW w:w="688" w:type="dxa"/>
                  <w:vMerge w:val="continue"/>
                  <w:tcBorders>
                    <w:left w:val="single" w:color="auto" w:sz="4" w:space="0"/>
                    <w:right w:val="single" w:color="auto" w:sz="4" w:space="0"/>
                  </w:tcBorders>
                  <w:noWrap w:val="0"/>
                  <w:vAlign w:val="center"/>
                </w:tcPr>
                <w:p w14:paraId="13E39ED0">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c>
                <w:tcPr>
                  <w:tcW w:w="775" w:type="dxa"/>
                  <w:tcBorders>
                    <w:top w:val="single" w:color="auto" w:sz="4" w:space="0"/>
                    <w:left w:val="single" w:color="auto" w:sz="4" w:space="0"/>
                    <w:right w:val="single" w:color="auto" w:sz="4" w:space="0"/>
                  </w:tcBorders>
                  <w:noWrap w:val="0"/>
                  <w:vAlign w:val="center"/>
                </w:tcPr>
                <w:p w14:paraId="5CC22DFB">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color w:val="auto"/>
                      <w:szCs w:val="21"/>
                      <w:lang w:val="en-US" w:eastAsia="zh-CN"/>
                    </w:rPr>
                  </w:pPr>
                  <w:r>
                    <w:rPr>
                      <w:rFonts w:hint="eastAsia"/>
                      <w:color w:val="auto"/>
                      <w:szCs w:val="21"/>
                      <w:lang w:val="en-US" w:eastAsia="zh-CN"/>
                    </w:rPr>
                    <w:t>LAS</w:t>
                  </w:r>
                </w:p>
              </w:tc>
              <w:tc>
                <w:tcPr>
                  <w:tcW w:w="725" w:type="dxa"/>
                  <w:tcBorders>
                    <w:top w:val="single" w:color="auto" w:sz="4" w:space="0"/>
                    <w:left w:val="single" w:color="auto" w:sz="4" w:space="0"/>
                    <w:right w:val="single" w:color="auto" w:sz="4" w:space="0"/>
                  </w:tcBorders>
                  <w:noWrap w:val="0"/>
                  <w:vAlign w:val="center"/>
                </w:tcPr>
                <w:p w14:paraId="6F183BB3">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color w:val="auto"/>
                      <w:szCs w:val="21"/>
                      <w:lang w:val="en-US" w:eastAsia="zh-CN"/>
                    </w:rPr>
                  </w:pPr>
                  <w:r>
                    <w:rPr>
                      <w:rFonts w:hint="eastAsia"/>
                      <w:color w:val="auto"/>
                      <w:szCs w:val="21"/>
                      <w:lang w:val="en-US" w:eastAsia="zh-CN"/>
                    </w:rPr>
                    <w:t>1.23</w:t>
                  </w:r>
                </w:p>
              </w:tc>
              <w:tc>
                <w:tcPr>
                  <w:tcW w:w="1048" w:type="dxa"/>
                  <w:tcBorders>
                    <w:top w:val="single" w:color="auto" w:sz="4" w:space="0"/>
                    <w:left w:val="single" w:color="auto" w:sz="4" w:space="0"/>
                    <w:right w:val="single" w:color="auto" w:sz="4" w:space="0"/>
                  </w:tcBorders>
                  <w:noWrap w:val="0"/>
                  <w:vAlign w:val="center"/>
                </w:tcPr>
                <w:p w14:paraId="05B5B4CF">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default" w:cs="Times New Roman"/>
                      <w:color w:val="auto"/>
                      <w:szCs w:val="21"/>
                      <w:lang w:val="en-US" w:eastAsia="zh-CN"/>
                    </w:rPr>
                  </w:pPr>
                  <w:r>
                    <w:rPr>
                      <w:rFonts w:hint="eastAsia" w:cs="Times New Roman"/>
                      <w:color w:val="auto"/>
                      <w:szCs w:val="21"/>
                      <w:lang w:val="en-US" w:eastAsia="zh-CN"/>
                    </w:rPr>
                    <w:t>0.000064</w:t>
                  </w:r>
                </w:p>
              </w:tc>
              <w:tc>
                <w:tcPr>
                  <w:tcW w:w="975" w:type="dxa"/>
                  <w:vMerge w:val="continue"/>
                  <w:tcBorders>
                    <w:left w:val="single" w:color="auto" w:sz="4" w:space="0"/>
                    <w:right w:val="single" w:color="auto" w:sz="4" w:space="0"/>
                  </w:tcBorders>
                  <w:noWrap w:val="0"/>
                  <w:vAlign w:val="center"/>
                </w:tcPr>
                <w:p w14:paraId="4016429D">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color w:val="auto"/>
                      <w:szCs w:val="21"/>
                      <w:highlight w:val="none"/>
                    </w:rPr>
                  </w:pPr>
                </w:p>
              </w:tc>
              <w:tc>
                <w:tcPr>
                  <w:tcW w:w="737" w:type="dxa"/>
                  <w:tcBorders>
                    <w:left w:val="single" w:color="auto" w:sz="4" w:space="0"/>
                    <w:right w:val="single" w:color="auto" w:sz="4" w:space="0"/>
                  </w:tcBorders>
                  <w:noWrap w:val="0"/>
                  <w:vAlign w:val="center"/>
                </w:tcPr>
                <w:p w14:paraId="1EE99CCF">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none"/>
                      <w:lang w:val="en-US" w:eastAsia="zh-CN"/>
                    </w:rPr>
                  </w:pPr>
                  <w:r>
                    <w:rPr>
                      <w:rFonts w:hint="eastAsia"/>
                      <w:color w:val="auto"/>
                      <w:szCs w:val="21"/>
                      <w:highlight w:val="none"/>
                      <w:lang w:val="en-US" w:eastAsia="zh-CN"/>
                    </w:rPr>
                    <w:t>/</w:t>
                  </w:r>
                </w:p>
              </w:tc>
              <w:tc>
                <w:tcPr>
                  <w:tcW w:w="950" w:type="dxa"/>
                  <w:tcBorders>
                    <w:left w:val="single" w:color="auto" w:sz="4" w:space="0"/>
                    <w:right w:val="single" w:color="auto" w:sz="4" w:space="0"/>
                  </w:tcBorders>
                  <w:noWrap w:val="0"/>
                  <w:vAlign w:val="center"/>
                </w:tcPr>
                <w:p w14:paraId="6C26DFCA">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none"/>
                      <w:lang w:val="en-US" w:eastAsia="zh-CN"/>
                    </w:rPr>
                  </w:pPr>
                  <w:r>
                    <w:rPr>
                      <w:rFonts w:hint="eastAsia"/>
                      <w:color w:val="auto"/>
                      <w:szCs w:val="21"/>
                      <w:highlight w:val="none"/>
                      <w:lang w:val="en-US" w:eastAsia="zh-CN"/>
                    </w:rPr>
                    <w:t>/</w:t>
                  </w:r>
                </w:p>
              </w:tc>
              <w:tc>
                <w:tcPr>
                  <w:tcW w:w="1052" w:type="dxa"/>
                  <w:tcBorders>
                    <w:left w:val="single" w:color="auto" w:sz="4" w:space="0"/>
                    <w:bottom w:val="single" w:color="auto" w:sz="4" w:space="0"/>
                    <w:right w:val="single" w:color="auto" w:sz="4" w:space="0"/>
                  </w:tcBorders>
                  <w:noWrap w:val="0"/>
                  <w:vAlign w:val="center"/>
                </w:tcPr>
                <w:p w14:paraId="687452C4">
                  <w:pPr>
                    <w:keepNext w:val="0"/>
                    <w:keepLines w:val="0"/>
                    <w:pageBreakBefore w:val="0"/>
                    <w:kinsoku/>
                    <w:wordWrap/>
                    <w:overflowPunct/>
                    <w:topLinePunct w:val="0"/>
                    <w:autoSpaceDE/>
                    <w:autoSpaceDN/>
                    <w:bidi w:val="0"/>
                    <w:adjustRightInd w:val="0"/>
                    <w:snapToGrid w:val="0"/>
                    <w:ind w:left="-105" w:leftChars="-50" w:right="-105" w:rightChars="-50"/>
                    <w:jc w:val="center"/>
                    <w:textAlignment w:val="auto"/>
                    <w:rPr>
                      <w:rFonts w:hint="eastAsia"/>
                      <w:color w:val="auto"/>
                      <w:szCs w:val="21"/>
                      <w:highlight w:val="none"/>
                      <w:lang w:val="en-US" w:eastAsia="zh-CN"/>
                    </w:rPr>
                  </w:pPr>
                  <w:r>
                    <w:rPr>
                      <w:rFonts w:hint="eastAsia"/>
                      <w:color w:val="auto"/>
                      <w:szCs w:val="21"/>
                      <w:highlight w:val="none"/>
                      <w:lang w:val="en-US" w:eastAsia="zh-CN"/>
                    </w:rPr>
                    <w:t>/</w:t>
                  </w:r>
                </w:p>
              </w:tc>
              <w:tc>
                <w:tcPr>
                  <w:tcW w:w="891" w:type="dxa"/>
                  <w:vMerge w:val="continue"/>
                  <w:tcBorders>
                    <w:left w:val="single" w:color="auto" w:sz="4" w:space="0"/>
                    <w:right w:val="nil"/>
                  </w:tcBorders>
                  <w:noWrap w:val="0"/>
                  <w:vAlign w:val="center"/>
                </w:tcPr>
                <w:p w14:paraId="21D30BA1">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color w:val="auto"/>
                      <w:szCs w:val="21"/>
                      <w:highlight w:val="yellow"/>
                    </w:rPr>
                  </w:pPr>
                </w:p>
              </w:tc>
            </w:tr>
          </w:tbl>
          <w:p w14:paraId="073097C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auto"/>
                <w:sz w:val="24"/>
              </w:rPr>
            </w:pPr>
            <w:r>
              <w:rPr>
                <w:rFonts w:hint="eastAsia"/>
                <w:b/>
                <w:bCs/>
                <w:color w:val="auto"/>
                <w:sz w:val="24"/>
              </w:rPr>
              <w:t>2.</w:t>
            </w:r>
            <w:r>
              <w:rPr>
                <w:rFonts w:hint="eastAsia"/>
                <w:b/>
                <w:bCs/>
                <w:color w:val="auto"/>
                <w:sz w:val="24"/>
                <w:lang w:val="en-US" w:eastAsia="zh-CN"/>
              </w:rPr>
              <w:t>2</w:t>
            </w:r>
            <w:r>
              <w:rPr>
                <w:rFonts w:hint="eastAsia"/>
                <w:b/>
                <w:bCs/>
                <w:color w:val="auto"/>
                <w:sz w:val="24"/>
              </w:rPr>
              <w:t>地表水环境影响分析</w:t>
            </w:r>
          </w:p>
          <w:p w14:paraId="2100A74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rPr>
              <w:t>本项目废水类别、污染物及污染治理设施情况见表4-1</w:t>
            </w:r>
            <w:r>
              <w:rPr>
                <w:rFonts w:hint="eastAsia"/>
                <w:color w:val="auto"/>
                <w:sz w:val="24"/>
                <w:lang w:val="en-US" w:eastAsia="zh-CN"/>
              </w:rPr>
              <w:t>2</w:t>
            </w:r>
            <w:r>
              <w:rPr>
                <w:rFonts w:hint="eastAsia"/>
                <w:color w:val="auto"/>
                <w:sz w:val="24"/>
              </w:rPr>
              <w:t>。</w:t>
            </w:r>
          </w:p>
          <w:p w14:paraId="3A2695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表4-1</w:t>
            </w:r>
            <w:r>
              <w:rPr>
                <w:rFonts w:hint="eastAsia"/>
                <w:b/>
                <w:color w:val="auto"/>
                <w:szCs w:val="21"/>
                <w:lang w:val="en-US" w:eastAsia="zh-CN"/>
              </w:rPr>
              <w:t xml:space="preserve">2 </w:t>
            </w:r>
            <w:r>
              <w:rPr>
                <w:rFonts w:hint="eastAsia"/>
                <w:b/>
                <w:color w:val="auto"/>
                <w:szCs w:val="21"/>
              </w:rPr>
              <w:t>废水类别、污染物及污染治理设施信息表</w:t>
            </w:r>
          </w:p>
          <w:tbl>
            <w:tblPr>
              <w:tblStyle w:val="20"/>
              <w:tblpPr w:leftFromText="180" w:rightFromText="180" w:vertAnchor="text" w:tblpXSpec="center" w:tblpY="1"/>
              <w:tblOverlap w:val="never"/>
              <w:tblW w:w="8338"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7"/>
              <w:gridCol w:w="488"/>
              <w:gridCol w:w="1019"/>
              <w:gridCol w:w="1029"/>
              <w:gridCol w:w="791"/>
              <w:gridCol w:w="436"/>
              <w:gridCol w:w="775"/>
              <w:gridCol w:w="600"/>
              <w:gridCol w:w="589"/>
              <w:gridCol w:w="681"/>
              <w:gridCol w:w="1503"/>
            </w:tblGrid>
            <w:tr w14:paraId="5ED1F31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427" w:type="dxa"/>
                  <w:vMerge w:val="restart"/>
                  <w:tcBorders>
                    <w:top w:val="single" w:color="auto" w:sz="12" w:space="0"/>
                    <w:left w:val="nil"/>
                    <w:bottom w:val="single" w:color="auto" w:sz="6" w:space="0"/>
                    <w:right w:val="single" w:color="auto" w:sz="6" w:space="0"/>
                  </w:tcBorders>
                  <w:noWrap w:val="0"/>
                  <w:vAlign w:val="center"/>
                </w:tcPr>
                <w:p w14:paraId="63340F73">
                  <w:pPr>
                    <w:jc w:val="center"/>
                    <w:rPr>
                      <w:b/>
                      <w:color w:val="auto"/>
                      <w:szCs w:val="21"/>
                    </w:rPr>
                  </w:pPr>
                  <w:r>
                    <w:rPr>
                      <w:rFonts w:hint="eastAsia"/>
                      <w:b/>
                      <w:color w:val="auto"/>
                      <w:szCs w:val="21"/>
                    </w:rPr>
                    <w:t>序号</w:t>
                  </w:r>
                </w:p>
              </w:tc>
              <w:tc>
                <w:tcPr>
                  <w:tcW w:w="488" w:type="dxa"/>
                  <w:vMerge w:val="restart"/>
                  <w:tcBorders>
                    <w:top w:val="single" w:color="auto" w:sz="12" w:space="0"/>
                    <w:left w:val="single" w:color="auto" w:sz="6" w:space="0"/>
                    <w:bottom w:val="single" w:color="auto" w:sz="6" w:space="0"/>
                    <w:right w:val="single" w:color="auto" w:sz="6" w:space="0"/>
                  </w:tcBorders>
                  <w:noWrap w:val="0"/>
                  <w:vAlign w:val="center"/>
                </w:tcPr>
                <w:p w14:paraId="0BECB643">
                  <w:pPr>
                    <w:jc w:val="center"/>
                    <w:rPr>
                      <w:b/>
                      <w:color w:val="auto"/>
                      <w:szCs w:val="21"/>
                    </w:rPr>
                  </w:pPr>
                  <w:r>
                    <w:rPr>
                      <w:rFonts w:hint="eastAsia"/>
                      <w:b/>
                      <w:color w:val="auto"/>
                      <w:szCs w:val="21"/>
                    </w:rPr>
                    <w:t>废水类别</w:t>
                  </w:r>
                </w:p>
              </w:tc>
              <w:tc>
                <w:tcPr>
                  <w:tcW w:w="1019" w:type="dxa"/>
                  <w:vMerge w:val="restart"/>
                  <w:tcBorders>
                    <w:top w:val="single" w:color="auto" w:sz="12" w:space="0"/>
                    <w:left w:val="single" w:color="auto" w:sz="6" w:space="0"/>
                    <w:bottom w:val="single" w:color="auto" w:sz="6" w:space="0"/>
                    <w:right w:val="single" w:color="auto" w:sz="6" w:space="0"/>
                  </w:tcBorders>
                  <w:noWrap w:val="0"/>
                  <w:vAlign w:val="center"/>
                </w:tcPr>
                <w:p w14:paraId="6DAC2218">
                  <w:pPr>
                    <w:jc w:val="center"/>
                    <w:rPr>
                      <w:b/>
                      <w:color w:val="auto"/>
                      <w:szCs w:val="21"/>
                    </w:rPr>
                  </w:pPr>
                  <w:r>
                    <w:rPr>
                      <w:rFonts w:hint="eastAsia"/>
                      <w:b/>
                      <w:color w:val="auto"/>
                      <w:szCs w:val="21"/>
                    </w:rPr>
                    <w:t>污染物种类</w:t>
                  </w:r>
                </w:p>
              </w:tc>
              <w:tc>
                <w:tcPr>
                  <w:tcW w:w="1029" w:type="dxa"/>
                  <w:vMerge w:val="restart"/>
                  <w:tcBorders>
                    <w:top w:val="single" w:color="auto" w:sz="12" w:space="0"/>
                    <w:left w:val="single" w:color="auto" w:sz="6" w:space="0"/>
                    <w:bottom w:val="single" w:color="auto" w:sz="6" w:space="0"/>
                    <w:right w:val="single" w:color="auto" w:sz="6" w:space="0"/>
                  </w:tcBorders>
                  <w:noWrap w:val="0"/>
                  <w:vAlign w:val="center"/>
                </w:tcPr>
                <w:p w14:paraId="6BA7C730">
                  <w:pPr>
                    <w:jc w:val="center"/>
                    <w:rPr>
                      <w:b/>
                      <w:color w:val="auto"/>
                      <w:szCs w:val="21"/>
                    </w:rPr>
                  </w:pPr>
                  <w:r>
                    <w:rPr>
                      <w:rFonts w:hint="eastAsia"/>
                      <w:b/>
                      <w:color w:val="auto"/>
                      <w:szCs w:val="21"/>
                    </w:rPr>
                    <w:t>排放去向</w:t>
                  </w:r>
                </w:p>
              </w:tc>
              <w:tc>
                <w:tcPr>
                  <w:tcW w:w="791" w:type="dxa"/>
                  <w:vMerge w:val="restart"/>
                  <w:tcBorders>
                    <w:top w:val="single" w:color="auto" w:sz="12" w:space="0"/>
                    <w:left w:val="single" w:color="auto" w:sz="6" w:space="0"/>
                    <w:bottom w:val="single" w:color="auto" w:sz="6" w:space="0"/>
                    <w:right w:val="single" w:color="auto" w:sz="6" w:space="0"/>
                  </w:tcBorders>
                  <w:noWrap w:val="0"/>
                  <w:vAlign w:val="center"/>
                </w:tcPr>
                <w:p w14:paraId="636B98B6">
                  <w:pPr>
                    <w:jc w:val="center"/>
                    <w:rPr>
                      <w:b/>
                      <w:color w:val="auto"/>
                      <w:szCs w:val="21"/>
                    </w:rPr>
                  </w:pPr>
                  <w:r>
                    <w:rPr>
                      <w:rFonts w:hint="eastAsia"/>
                      <w:b/>
                      <w:color w:val="auto"/>
                      <w:szCs w:val="21"/>
                    </w:rPr>
                    <w:t>排放</w:t>
                  </w:r>
                </w:p>
                <w:p w14:paraId="0B5892BF">
                  <w:pPr>
                    <w:jc w:val="center"/>
                    <w:rPr>
                      <w:b/>
                      <w:color w:val="auto"/>
                      <w:szCs w:val="21"/>
                    </w:rPr>
                  </w:pPr>
                  <w:r>
                    <w:rPr>
                      <w:rFonts w:hint="eastAsia"/>
                      <w:b/>
                      <w:color w:val="auto"/>
                      <w:szCs w:val="21"/>
                    </w:rPr>
                    <w:t>规律</w:t>
                  </w:r>
                </w:p>
              </w:tc>
              <w:tc>
                <w:tcPr>
                  <w:tcW w:w="1811" w:type="dxa"/>
                  <w:gridSpan w:val="3"/>
                  <w:tcBorders>
                    <w:top w:val="single" w:color="auto" w:sz="12" w:space="0"/>
                    <w:left w:val="single" w:color="auto" w:sz="6" w:space="0"/>
                    <w:bottom w:val="single" w:color="auto" w:sz="6" w:space="0"/>
                    <w:right w:val="single" w:color="auto" w:sz="6" w:space="0"/>
                  </w:tcBorders>
                  <w:noWrap w:val="0"/>
                  <w:vAlign w:val="center"/>
                </w:tcPr>
                <w:p w14:paraId="5912FD64">
                  <w:pPr>
                    <w:jc w:val="center"/>
                    <w:rPr>
                      <w:b/>
                      <w:color w:val="auto"/>
                      <w:szCs w:val="21"/>
                    </w:rPr>
                  </w:pPr>
                  <w:r>
                    <w:rPr>
                      <w:rFonts w:hint="eastAsia"/>
                      <w:b/>
                      <w:color w:val="auto"/>
                      <w:szCs w:val="21"/>
                    </w:rPr>
                    <w:t>污染治理设施</w:t>
                  </w:r>
                </w:p>
              </w:tc>
              <w:tc>
                <w:tcPr>
                  <w:tcW w:w="589" w:type="dxa"/>
                  <w:vMerge w:val="restart"/>
                  <w:tcBorders>
                    <w:top w:val="single" w:color="auto" w:sz="12" w:space="0"/>
                    <w:left w:val="single" w:color="auto" w:sz="6" w:space="0"/>
                    <w:bottom w:val="single" w:color="auto" w:sz="6" w:space="0"/>
                    <w:right w:val="single" w:color="auto" w:sz="6" w:space="0"/>
                  </w:tcBorders>
                  <w:noWrap w:val="0"/>
                  <w:vAlign w:val="center"/>
                </w:tcPr>
                <w:p w14:paraId="08893AB9">
                  <w:pPr>
                    <w:jc w:val="center"/>
                    <w:rPr>
                      <w:b/>
                      <w:color w:val="auto"/>
                      <w:szCs w:val="21"/>
                    </w:rPr>
                  </w:pPr>
                  <w:r>
                    <w:rPr>
                      <w:rFonts w:hint="eastAsia"/>
                      <w:b/>
                      <w:color w:val="auto"/>
                      <w:szCs w:val="21"/>
                    </w:rPr>
                    <w:t>排放口编号</w:t>
                  </w:r>
                </w:p>
              </w:tc>
              <w:tc>
                <w:tcPr>
                  <w:tcW w:w="681" w:type="dxa"/>
                  <w:vMerge w:val="restart"/>
                  <w:tcBorders>
                    <w:top w:val="single" w:color="auto" w:sz="12" w:space="0"/>
                    <w:left w:val="single" w:color="auto" w:sz="6" w:space="0"/>
                    <w:bottom w:val="single" w:color="auto" w:sz="6" w:space="0"/>
                    <w:right w:val="single" w:color="auto" w:sz="6" w:space="0"/>
                  </w:tcBorders>
                  <w:noWrap w:val="0"/>
                  <w:vAlign w:val="center"/>
                </w:tcPr>
                <w:p w14:paraId="529555A7">
                  <w:pPr>
                    <w:jc w:val="center"/>
                    <w:rPr>
                      <w:b/>
                      <w:color w:val="auto"/>
                      <w:szCs w:val="21"/>
                    </w:rPr>
                  </w:pPr>
                  <w:r>
                    <w:rPr>
                      <w:rFonts w:hint="eastAsia"/>
                      <w:b/>
                      <w:color w:val="auto"/>
                      <w:szCs w:val="21"/>
                    </w:rPr>
                    <w:t>排放口设置是否符合要求</w:t>
                  </w:r>
                </w:p>
              </w:tc>
              <w:tc>
                <w:tcPr>
                  <w:tcW w:w="1503" w:type="dxa"/>
                  <w:vMerge w:val="restart"/>
                  <w:tcBorders>
                    <w:top w:val="single" w:color="auto" w:sz="12" w:space="0"/>
                    <w:left w:val="single" w:color="auto" w:sz="6" w:space="0"/>
                    <w:bottom w:val="single" w:color="auto" w:sz="6" w:space="0"/>
                    <w:right w:val="nil"/>
                  </w:tcBorders>
                  <w:noWrap w:val="0"/>
                  <w:vAlign w:val="center"/>
                </w:tcPr>
                <w:p w14:paraId="0CD507C4">
                  <w:pPr>
                    <w:jc w:val="center"/>
                    <w:rPr>
                      <w:b/>
                      <w:color w:val="auto"/>
                      <w:szCs w:val="21"/>
                    </w:rPr>
                  </w:pPr>
                  <w:r>
                    <w:rPr>
                      <w:rFonts w:hint="eastAsia"/>
                      <w:b/>
                      <w:color w:val="auto"/>
                      <w:szCs w:val="21"/>
                    </w:rPr>
                    <w:t>排放口类型</w:t>
                  </w:r>
                </w:p>
              </w:tc>
            </w:tr>
            <w:tr w14:paraId="467E56D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vMerge w:val="continue"/>
                  <w:tcBorders>
                    <w:top w:val="single" w:color="auto" w:sz="6" w:space="0"/>
                    <w:left w:val="nil"/>
                    <w:bottom w:val="single" w:color="auto" w:sz="6" w:space="0"/>
                    <w:right w:val="single" w:color="auto" w:sz="6" w:space="0"/>
                  </w:tcBorders>
                  <w:noWrap w:val="0"/>
                  <w:vAlign w:val="center"/>
                </w:tcPr>
                <w:p w14:paraId="343B1102">
                  <w:pPr>
                    <w:widowControl/>
                    <w:jc w:val="left"/>
                    <w:rPr>
                      <w:color w:val="auto"/>
                      <w:szCs w:val="21"/>
                      <w:highlight w:val="yellow"/>
                    </w:rPr>
                  </w:pPr>
                </w:p>
              </w:tc>
              <w:tc>
                <w:tcPr>
                  <w:tcW w:w="488" w:type="dxa"/>
                  <w:vMerge w:val="continue"/>
                  <w:tcBorders>
                    <w:top w:val="single" w:color="auto" w:sz="6" w:space="0"/>
                    <w:left w:val="single" w:color="auto" w:sz="6" w:space="0"/>
                    <w:bottom w:val="single" w:color="auto" w:sz="6" w:space="0"/>
                    <w:right w:val="single" w:color="auto" w:sz="6" w:space="0"/>
                  </w:tcBorders>
                  <w:noWrap w:val="0"/>
                  <w:vAlign w:val="center"/>
                </w:tcPr>
                <w:p w14:paraId="19C59C47">
                  <w:pPr>
                    <w:widowControl/>
                    <w:jc w:val="left"/>
                    <w:rPr>
                      <w:color w:val="auto"/>
                      <w:szCs w:val="21"/>
                      <w:highlight w:val="yellow"/>
                    </w:rPr>
                  </w:pPr>
                </w:p>
              </w:tc>
              <w:tc>
                <w:tcPr>
                  <w:tcW w:w="1019" w:type="dxa"/>
                  <w:vMerge w:val="continue"/>
                  <w:tcBorders>
                    <w:top w:val="single" w:color="auto" w:sz="6" w:space="0"/>
                    <w:left w:val="single" w:color="auto" w:sz="6" w:space="0"/>
                    <w:bottom w:val="single" w:color="auto" w:sz="6" w:space="0"/>
                    <w:right w:val="single" w:color="auto" w:sz="6" w:space="0"/>
                  </w:tcBorders>
                  <w:noWrap w:val="0"/>
                  <w:vAlign w:val="center"/>
                </w:tcPr>
                <w:p w14:paraId="73E218AC">
                  <w:pPr>
                    <w:widowControl/>
                    <w:jc w:val="left"/>
                    <w:rPr>
                      <w:color w:val="auto"/>
                      <w:szCs w:val="21"/>
                      <w:highlight w:val="yellow"/>
                    </w:rPr>
                  </w:pPr>
                </w:p>
              </w:tc>
              <w:tc>
                <w:tcPr>
                  <w:tcW w:w="1029" w:type="dxa"/>
                  <w:vMerge w:val="continue"/>
                  <w:tcBorders>
                    <w:top w:val="single" w:color="auto" w:sz="6" w:space="0"/>
                    <w:left w:val="single" w:color="auto" w:sz="6" w:space="0"/>
                    <w:bottom w:val="single" w:color="auto" w:sz="6" w:space="0"/>
                    <w:right w:val="single" w:color="auto" w:sz="6" w:space="0"/>
                  </w:tcBorders>
                  <w:noWrap w:val="0"/>
                  <w:vAlign w:val="center"/>
                </w:tcPr>
                <w:p w14:paraId="3AF6EF84">
                  <w:pPr>
                    <w:widowControl/>
                    <w:jc w:val="left"/>
                    <w:rPr>
                      <w:color w:val="auto"/>
                      <w:szCs w:val="21"/>
                      <w:highlight w:val="yellow"/>
                    </w:rPr>
                  </w:pPr>
                </w:p>
              </w:tc>
              <w:tc>
                <w:tcPr>
                  <w:tcW w:w="791" w:type="dxa"/>
                  <w:vMerge w:val="continue"/>
                  <w:tcBorders>
                    <w:top w:val="single" w:color="auto" w:sz="6" w:space="0"/>
                    <w:left w:val="single" w:color="auto" w:sz="6" w:space="0"/>
                    <w:bottom w:val="single" w:color="auto" w:sz="6" w:space="0"/>
                    <w:right w:val="single" w:color="auto" w:sz="6" w:space="0"/>
                  </w:tcBorders>
                  <w:noWrap w:val="0"/>
                  <w:vAlign w:val="center"/>
                </w:tcPr>
                <w:p w14:paraId="282EFDC1">
                  <w:pPr>
                    <w:widowControl/>
                    <w:jc w:val="left"/>
                    <w:rPr>
                      <w:color w:val="auto"/>
                      <w:szCs w:val="21"/>
                    </w:rPr>
                  </w:pPr>
                </w:p>
              </w:tc>
              <w:tc>
                <w:tcPr>
                  <w:tcW w:w="436" w:type="dxa"/>
                  <w:tcBorders>
                    <w:top w:val="single" w:color="auto" w:sz="6" w:space="0"/>
                    <w:left w:val="single" w:color="auto" w:sz="6" w:space="0"/>
                    <w:bottom w:val="single" w:color="auto" w:sz="6" w:space="0"/>
                    <w:right w:val="single" w:color="auto" w:sz="6" w:space="0"/>
                  </w:tcBorders>
                  <w:noWrap w:val="0"/>
                  <w:vAlign w:val="center"/>
                </w:tcPr>
                <w:p w14:paraId="6878B572">
                  <w:pPr>
                    <w:jc w:val="center"/>
                    <w:rPr>
                      <w:b/>
                      <w:color w:val="auto"/>
                      <w:szCs w:val="21"/>
                    </w:rPr>
                  </w:pPr>
                  <w:r>
                    <w:rPr>
                      <w:rFonts w:hint="eastAsia"/>
                      <w:b/>
                      <w:color w:val="auto"/>
                      <w:szCs w:val="21"/>
                    </w:rPr>
                    <w:t>污染治理设施编号</w:t>
                  </w:r>
                </w:p>
              </w:tc>
              <w:tc>
                <w:tcPr>
                  <w:tcW w:w="775" w:type="dxa"/>
                  <w:tcBorders>
                    <w:top w:val="single" w:color="auto" w:sz="6" w:space="0"/>
                    <w:left w:val="single" w:color="auto" w:sz="6" w:space="0"/>
                    <w:bottom w:val="single" w:color="auto" w:sz="6" w:space="0"/>
                    <w:right w:val="single" w:color="auto" w:sz="6" w:space="0"/>
                  </w:tcBorders>
                  <w:noWrap w:val="0"/>
                  <w:vAlign w:val="center"/>
                </w:tcPr>
                <w:p w14:paraId="1CF16AC1">
                  <w:pPr>
                    <w:jc w:val="center"/>
                    <w:rPr>
                      <w:b/>
                      <w:color w:val="auto"/>
                      <w:szCs w:val="21"/>
                    </w:rPr>
                  </w:pPr>
                  <w:r>
                    <w:rPr>
                      <w:rFonts w:hint="eastAsia"/>
                      <w:b/>
                      <w:color w:val="auto"/>
                      <w:szCs w:val="21"/>
                    </w:rPr>
                    <w:t>污染治理设施名称</w:t>
                  </w:r>
                </w:p>
              </w:tc>
              <w:tc>
                <w:tcPr>
                  <w:tcW w:w="600" w:type="dxa"/>
                  <w:tcBorders>
                    <w:top w:val="single" w:color="auto" w:sz="6" w:space="0"/>
                    <w:left w:val="single" w:color="auto" w:sz="6" w:space="0"/>
                    <w:bottom w:val="single" w:color="auto" w:sz="6" w:space="0"/>
                    <w:right w:val="single" w:color="auto" w:sz="6" w:space="0"/>
                  </w:tcBorders>
                  <w:noWrap w:val="0"/>
                  <w:vAlign w:val="center"/>
                </w:tcPr>
                <w:p w14:paraId="54AB2490">
                  <w:pPr>
                    <w:jc w:val="center"/>
                    <w:rPr>
                      <w:b/>
                      <w:color w:val="auto"/>
                      <w:szCs w:val="21"/>
                    </w:rPr>
                  </w:pPr>
                  <w:r>
                    <w:rPr>
                      <w:rFonts w:hint="eastAsia"/>
                      <w:b/>
                      <w:color w:val="auto"/>
                      <w:szCs w:val="21"/>
                    </w:rPr>
                    <w:t>污染治理设施工艺</w:t>
                  </w:r>
                </w:p>
              </w:tc>
              <w:tc>
                <w:tcPr>
                  <w:tcW w:w="589" w:type="dxa"/>
                  <w:vMerge w:val="continue"/>
                  <w:tcBorders>
                    <w:top w:val="single" w:color="auto" w:sz="6" w:space="0"/>
                    <w:left w:val="single" w:color="auto" w:sz="6" w:space="0"/>
                    <w:bottom w:val="single" w:color="auto" w:sz="6" w:space="0"/>
                    <w:right w:val="single" w:color="auto" w:sz="6" w:space="0"/>
                  </w:tcBorders>
                  <w:noWrap w:val="0"/>
                  <w:vAlign w:val="center"/>
                </w:tcPr>
                <w:p w14:paraId="671146C4">
                  <w:pPr>
                    <w:widowControl/>
                    <w:jc w:val="left"/>
                    <w:rPr>
                      <w:color w:val="auto"/>
                      <w:szCs w:val="21"/>
                    </w:rPr>
                  </w:pPr>
                </w:p>
              </w:tc>
              <w:tc>
                <w:tcPr>
                  <w:tcW w:w="681" w:type="dxa"/>
                  <w:vMerge w:val="continue"/>
                  <w:tcBorders>
                    <w:top w:val="single" w:color="auto" w:sz="6" w:space="0"/>
                    <w:left w:val="single" w:color="auto" w:sz="6" w:space="0"/>
                    <w:bottom w:val="single" w:color="auto" w:sz="6" w:space="0"/>
                    <w:right w:val="single" w:color="auto" w:sz="6" w:space="0"/>
                  </w:tcBorders>
                  <w:noWrap w:val="0"/>
                  <w:vAlign w:val="center"/>
                </w:tcPr>
                <w:p w14:paraId="7D69F1AC">
                  <w:pPr>
                    <w:widowControl/>
                    <w:jc w:val="left"/>
                    <w:rPr>
                      <w:color w:val="auto"/>
                      <w:szCs w:val="21"/>
                    </w:rPr>
                  </w:pPr>
                </w:p>
              </w:tc>
              <w:tc>
                <w:tcPr>
                  <w:tcW w:w="1503" w:type="dxa"/>
                  <w:vMerge w:val="continue"/>
                  <w:tcBorders>
                    <w:top w:val="single" w:color="auto" w:sz="6" w:space="0"/>
                    <w:left w:val="single" w:color="auto" w:sz="6" w:space="0"/>
                    <w:bottom w:val="single" w:color="auto" w:sz="6" w:space="0"/>
                    <w:right w:val="nil"/>
                  </w:tcBorders>
                  <w:noWrap w:val="0"/>
                  <w:vAlign w:val="center"/>
                </w:tcPr>
                <w:p w14:paraId="05434F31">
                  <w:pPr>
                    <w:widowControl/>
                    <w:jc w:val="left"/>
                    <w:rPr>
                      <w:color w:val="auto"/>
                      <w:szCs w:val="21"/>
                    </w:rPr>
                  </w:pPr>
                </w:p>
              </w:tc>
            </w:tr>
            <w:tr w14:paraId="4C15793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tcBorders>
                    <w:top w:val="single" w:color="auto" w:sz="6" w:space="0"/>
                    <w:left w:val="nil"/>
                    <w:bottom w:val="single" w:color="auto" w:sz="6" w:space="0"/>
                    <w:right w:val="single" w:color="auto" w:sz="6" w:space="0"/>
                  </w:tcBorders>
                  <w:noWrap w:val="0"/>
                  <w:vAlign w:val="center"/>
                </w:tcPr>
                <w:p w14:paraId="407B4601">
                  <w:pPr>
                    <w:ind w:left="-72"/>
                    <w:jc w:val="center"/>
                    <w:rPr>
                      <w:color w:val="auto"/>
                      <w:szCs w:val="21"/>
                    </w:rPr>
                  </w:pPr>
                  <w:r>
                    <w:rPr>
                      <w:color w:val="auto"/>
                      <w:szCs w:val="21"/>
                    </w:rPr>
                    <w:t>1</w:t>
                  </w:r>
                </w:p>
              </w:tc>
              <w:tc>
                <w:tcPr>
                  <w:tcW w:w="488" w:type="dxa"/>
                  <w:tcBorders>
                    <w:top w:val="single" w:color="auto" w:sz="6" w:space="0"/>
                    <w:left w:val="single" w:color="auto" w:sz="6" w:space="0"/>
                    <w:bottom w:val="single" w:color="auto" w:sz="6" w:space="0"/>
                    <w:right w:val="single" w:color="auto" w:sz="6" w:space="0"/>
                  </w:tcBorders>
                  <w:noWrap w:val="0"/>
                  <w:vAlign w:val="center"/>
                </w:tcPr>
                <w:p w14:paraId="7EE22C6F">
                  <w:pPr>
                    <w:widowControl/>
                    <w:jc w:val="center"/>
                    <w:rPr>
                      <w:color w:val="auto"/>
                      <w:szCs w:val="21"/>
                    </w:rPr>
                  </w:pPr>
                  <w:r>
                    <w:rPr>
                      <w:rFonts w:hint="eastAsia"/>
                      <w:color w:val="auto"/>
                      <w:szCs w:val="21"/>
                    </w:rPr>
                    <w:t>生活污水</w:t>
                  </w:r>
                </w:p>
              </w:tc>
              <w:tc>
                <w:tcPr>
                  <w:tcW w:w="1019" w:type="dxa"/>
                  <w:tcBorders>
                    <w:top w:val="single" w:color="auto" w:sz="6" w:space="0"/>
                    <w:left w:val="single" w:color="auto" w:sz="6" w:space="0"/>
                    <w:bottom w:val="single" w:color="auto" w:sz="6" w:space="0"/>
                    <w:right w:val="single" w:color="auto" w:sz="6" w:space="0"/>
                  </w:tcBorders>
                  <w:noWrap w:val="0"/>
                  <w:vAlign w:val="center"/>
                </w:tcPr>
                <w:p w14:paraId="01CFB7DE">
                  <w:pPr>
                    <w:widowControl/>
                    <w:jc w:val="center"/>
                    <w:rPr>
                      <w:color w:val="auto"/>
                      <w:szCs w:val="21"/>
                    </w:rPr>
                  </w:pPr>
                  <w:r>
                    <w:rPr>
                      <w:color w:val="auto"/>
                      <w:szCs w:val="21"/>
                    </w:rPr>
                    <w:t>COD</w:t>
                  </w:r>
                  <w:r>
                    <w:rPr>
                      <w:rFonts w:hint="eastAsia"/>
                      <w:color w:val="auto"/>
                      <w:szCs w:val="21"/>
                    </w:rPr>
                    <w:t>、</w:t>
                  </w:r>
                  <w:r>
                    <w:rPr>
                      <w:color w:val="auto"/>
                      <w:szCs w:val="21"/>
                    </w:rPr>
                    <w:t>SS</w:t>
                  </w:r>
                  <w:r>
                    <w:rPr>
                      <w:rFonts w:hint="eastAsia"/>
                      <w:color w:val="auto"/>
                      <w:szCs w:val="21"/>
                    </w:rPr>
                    <w:t>、</w:t>
                  </w:r>
                  <w:r>
                    <w:rPr>
                      <w:color w:val="auto"/>
                      <w:szCs w:val="21"/>
                    </w:rPr>
                    <w:t>NH</w:t>
                  </w:r>
                  <w:r>
                    <w:rPr>
                      <w:color w:val="auto"/>
                      <w:szCs w:val="21"/>
                      <w:vertAlign w:val="subscript"/>
                    </w:rPr>
                    <w:t>3</w:t>
                  </w:r>
                  <w:r>
                    <w:rPr>
                      <w:color w:val="auto"/>
                      <w:szCs w:val="21"/>
                    </w:rPr>
                    <w:t>-N</w:t>
                  </w:r>
                  <w:r>
                    <w:rPr>
                      <w:rFonts w:hint="eastAsia"/>
                      <w:color w:val="auto"/>
                      <w:szCs w:val="21"/>
                    </w:rPr>
                    <w:t>、</w:t>
                  </w:r>
                  <w:r>
                    <w:rPr>
                      <w:color w:val="auto"/>
                      <w:szCs w:val="21"/>
                    </w:rPr>
                    <w:t>TP</w:t>
                  </w:r>
                  <w:r>
                    <w:rPr>
                      <w:rFonts w:hint="eastAsia"/>
                      <w:color w:val="auto"/>
                      <w:szCs w:val="21"/>
                    </w:rPr>
                    <w:t>、TN</w:t>
                  </w:r>
                </w:p>
              </w:tc>
              <w:tc>
                <w:tcPr>
                  <w:tcW w:w="1029" w:type="dxa"/>
                  <w:tcBorders>
                    <w:top w:val="single" w:color="auto" w:sz="6" w:space="0"/>
                    <w:left w:val="single" w:color="auto" w:sz="6" w:space="0"/>
                    <w:bottom w:val="single" w:color="auto" w:sz="6" w:space="0"/>
                    <w:right w:val="single" w:color="auto" w:sz="6" w:space="0"/>
                  </w:tcBorders>
                  <w:noWrap w:val="0"/>
                  <w:vAlign w:val="center"/>
                </w:tcPr>
                <w:p w14:paraId="67EE77C7">
                  <w:pPr>
                    <w:widowControl/>
                    <w:jc w:val="center"/>
                    <w:rPr>
                      <w:color w:val="auto"/>
                      <w:szCs w:val="21"/>
                    </w:rPr>
                  </w:pPr>
                  <w:r>
                    <w:rPr>
                      <w:rFonts w:hint="eastAsia"/>
                      <w:color w:val="auto"/>
                      <w:szCs w:val="21"/>
                      <w:lang w:val="en-US" w:eastAsia="zh-CN"/>
                    </w:rPr>
                    <w:t>接管至</w:t>
                  </w:r>
                  <w:r>
                    <w:rPr>
                      <w:rFonts w:hint="eastAsia" w:cs="Times New Roman"/>
                      <w:color w:val="auto"/>
                      <w:sz w:val="21"/>
                      <w:szCs w:val="21"/>
                      <w:lang w:val="ru-RU" w:eastAsia="zh-CN"/>
                    </w:rPr>
                    <w:t>苏州汾湖水务发展有限公司（黎里工业再生水厂）</w:t>
                  </w:r>
                  <w:r>
                    <w:rPr>
                      <w:rFonts w:hint="eastAsia"/>
                      <w:color w:val="auto"/>
                      <w:szCs w:val="21"/>
                    </w:rPr>
                    <w:t>处理</w:t>
                  </w:r>
                </w:p>
              </w:tc>
              <w:tc>
                <w:tcPr>
                  <w:tcW w:w="791" w:type="dxa"/>
                  <w:tcBorders>
                    <w:top w:val="single" w:color="auto" w:sz="6" w:space="0"/>
                    <w:left w:val="single" w:color="auto" w:sz="6" w:space="0"/>
                    <w:bottom w:val="single" w:color="auto" w:sz="6" w:space="0"/>
                    <w:right w:val="single" w:color="auto" w:sz="6" w:space="0"/>
                  </w:tcBorders>
                  <w:noWrap w:val="0"/>
                  <w:vAlign w:val="center"/>
                </w:tcPr>
                <w:p w14:paraId="226DD4F1">
                  <w:pPr>
                    <w:widowControl/>
                    <w:jc w:val="center"/>
                    <w:rPr>
                      <w:color w:val="auto"/>
                      <w:szCs w:val="21"/>
                    </w:rPr>
                  </w:pPr>
                  <w:r>
                    <w:rPr>
                      <w:rFonts w:hint="eastAsia"/>
                      <w:color w:val="auto"/>
                      <w:szCs w:val="21"/>
                    </w:rPr>
                    <w:t>连续排放流量不稳定</w:t>
                  </w:r>
                </w:p>
              </w:tc>
              <w:tc>
                <w:tcPr>
                  <w:tcW w:w="436" w:type="dxa"/>
                  <w:tcBorders>
                    <w:top w:val="single" w:color="auto" w:sz="6" w:space="0"/>
                    <w:left w:val="single" w:color="auto" w:sz="6" w:space="0"/>
                    <w:bottom w:val="single" w:color="auto" w:sz="6" w:space="0"/>
                    <w:right w:val="single" w:color="auto" w:sz="6" w:space="0"/>
                  </w:tcBorders>
                  <w:noWrap w:val="0"/>
                  <w:vAlign w:val="center"/>
                </w:tcPr>
                <w:p w14:paraId="2FECB2BF">
                  <w:pPr>
                    <w:jc w:val="center"/>
                    <w:rPr>
                      <w:color w:val="auto"/>
                      <w:szCs w:val="21"/>
                    </w:rPr>
                  </w:pPr>
                  <w:r>
                    <w:rPr>
                      <w:color w:val="auto"/>
                      <w:szCs w:val="21"/>
                    </w:rPr>
                    <w:t>/</w:t>
                  </w:r>
                </w:p>
              </w:tc>
              <w:tc>
                <w:tcPr>
                  <w:tcW w:w="775" w:type="dxa"/>
                  <w:tcBorders>
                    <w:top w:val="single" w:color="auto" w:sz="6" w:space="0"/>
                    <w:left w:val="single" w:color="auto" w:sz="6" w:space="0"/>
                    <w:bottom w:val="single" w:color="auto" w:sz="6" w:space="0"/>
                    <w:right w:val="single" w:color="auto" w:sz="6" w:space="0"/>
                  </w:tcBorders>
                  <w:noWrap w:val="0"/>
                  <w:vAlign w:val="center"/>
                </w:tcPr>
                <w:p w14:paraId="5E0769AE">
                  <w:pPr>
                    <w:jc w:val="center"/>
                    <w:rPr>
                      <w:color w:val="auto"/>
                      <w:szCs w:val="21"/>
                    </w:rPr>
                  </w:pPr>
                  <w:r>
                    <w:rPr>
                      <w:color w:val="auto"/>
                      <w:szCs w:val="21"/>
                    </w:rPr>
                    <w:t>/</w:t>
                  </w:r>
                </w:p>
              </w:tc>
              <w:tc>
                <w:tcPr>
                  <w:tcW w:w="600" w:type="dxa"/>
                  <w:tcBorders>
                    <w:top w:val="single" w:color="auto" w:sz="6" w:space="0"/>
                    <w:left w:val="single" w:color="auto" w:sz="6" w:space="0"/>
                    <w:bottom w:val="single" w:color="auto" w:sz="6" w:space="0"/>
                    <w:right w:val="single" w:color="auto" w:sz="6" w:space="0"/>
                  </w:tcBorders>
                  <w:noWrap w:val="0"/>
                  <w:vAlign w:val="center"/>
                </w:tcPr>
                <w:p w14:paraId="3E5C18E4">
                  <w:pPr>
                    <w:jc w:val="center"/>
                    <w:rPr>
                      <w:color w:val="auto"/>
                      <w:szCs w:val="21"/>
                    </w:rPr>
                  </w:pPr>
                  <w:r>
                    <w:rPr>
                      <w:color w:val="auto"/>
                      <w:szCs w:val="21"/>
                    </w:rPr>
                    <w:t>/</w:t>
                  </w:r>
                </w:p>
              </w:tc>
              <w:tc>
                <w:tcPr>
                  <w:tcW w:w="589" w:type="dxa"/>
                  <w:tcBorders>
                    <w:top w:val="single" w:color="auto" w:sz="6" w:space="0"/>
                    <w:left w:val="single" w:color="auto" w:sz="6" w:space="0"/>
                    <w:bottom w:val="single" w:color="auto" w:sz="6" w:space="0"/>
                    <w:right w:val="single" w:color="auto" w:sz="6" w:space="0"/>
                  </w:tcBorders>
                  <w:noWrap w:val="0"/>
                  <w:vAlign w:val="center"/>
                </w:tcPr>
                <w:p w14:paraId="27D3ED99">
                  <w:pPr>
                    <w:widowControl/>
                    <w:jc w:val="center"/>
                    <w:rPr>
                      <w:color w:val="auto"/>
                      <w:szCs w:val="21"/>
                    </w:rPr>
                  </w:pPr>
                  <w:r>
                    <w:rPr>
                      <w:color w:val="auto"/>
                      <w:szCs w:val="21"/>
                    </w:rPr>
                    <w:t>DW001</w:t>
                  </w:r>
                </w:p>
              </w:tc>
              <w:tc>
                <w:tcPr>
                  <w:tcW w:w="681" w:type="dxa"/>
                  <w:tcBorders>
                    <w:top w:val="single" w:color="auto" w:sz="6" w:space="0"/>
                    <w:left w:val="single" w:color="auto" w:sz="6" w:space="0"/>
                    <w:bottom w:val="single" w:color="auto" w:sz="6" w:space="0"/>
                    <w:right w:val="single" w:color="auto" w:sz="6" w:space="0"/>
                  </w:tcBorders>
                  <w:noWrap w:val="0"/>
                  <w:vAlign w:val="center"/>
                </w:tcPr>
                <w:p w14:paraId="66501AD0">
                  <w:pPr>
                    <w:widowControl/>
                    <w:jc w:val="center"/>
                    <w:rPr>
                      <w:color w:val="auto"/>
                      <w:szCs w:val="21"/>
                    </w:rPr>
                  </w:pPr>
                  <w:r>
                    <w:rPr>
                      <w:rFonts w:hint="eastAsia"/>
                      <w:color w:val="auto"/>
                      <w:szCs w:val="21"/>
                    </w:rPr>
                    <w:t>是</w:t>
                  </w:r>
                </w:p>
              </w:tc>
              <w:tc>
                <w:tcPr>
                  <w:tcW w:w="1503" w:type="dxa"/>
                  <w:tcBorders>
                    <w:top w:val="single" w:color="auto" w:sz="6" w:space="0"/>
                    <w:left w:val="single" w:color="auto" w:sz="6" w:space="0"/>
                    <w:bottom w:val="single" w:color="auto" w:sz="6" w:space="0"/>
                    <w:right w:val="nil"/>
                  </w:tcBorders>
                  <w:noWrap w:val="0"/>
                  <w:vAlign w:val="center"/>
                </w:tcPr>
                <w:p w14:paraId="1B187561">
                  <w:pPr>
                    <w:rPr>
                      <w:rFonts w:hint="eastAsia" w:eastAsia="宋体"/>
                      <w:color w:val="auto"/>
                      <w:szCs w:val="21"/>
                      <w:lang w:eastAsia="zh-CN"/>
                    </w:rPr>
                  </w:pPr>
                  <w:r>
                    <w:rPr>
                      <w:color w:val="auto"/>
                      <w:szCs w:val="21"/>
                    </w:rPr>
                    <w:t>■企业总排</w:t>
                  </w:r>
                  <w:r>
                    <w:rPr>
                      <w:rFonts w:hint="eastAsia"/>
                      <w:color w:val="auto"/>
                      <w:szCs w:val="21"/>
                      <w:lang w:val="en-US" w:eastAsia="zh-CN"/>
                    </w:rPr>
                    <w:t>口</w:t>
                  </w:r>
                </w:p>
                <w:p w14:paraId="77993296">
                  <w:pPr>
                    <w:rPr>
                      <w:color w:val="auto"/>
                      <w:szCs w:val="21"/>
                    </w:rPr>
                  </w:pPr>
                  <w:r>
                    <w:rPr>
                      <w:color w:val="auto"/>
                      <w:szCs w:val="21"/>
                    </w:rPr>
                    <w:t>□雨水排放</w:t>
                  </w:r>
                  <w:r>
                    <w:rPr>
                      <w:rFonts w:hint="eastAsia"/>
                      <w:color w:val="auto"/>
                      <w:szCs w:val="21"/>
                    </w:rPr>
                    <w:t>口</w:t>
                  </w:r>
                </w:p>
                <w:p w14:paraId="140D03D3">
                  <w:pPr>
                    <w:rPr>
                      <w:color w:val="auto"/>
                      <w:szCs w:val="21"/>
                    </w:rPr>
                  </w:pPr>
                  <w:r>
                    <w:rPr>
                      <w:color w:val="auto"/>
                      <w:szCs w:val="21"/>
                    </w:rPr>
                    <w:t>□清净下水排放</w:t>
                  </w:r>
                  <w:r>
                    <w:rPr>
                      <w:rFonts w:hint="eastAsia"/>
                      <w:color w:val="auto"/>
                      <w:szCs w:val="21"/>
                    </w:rPr>
                    <w:t>口</w:t>
                  </w:r>
                </w:p>
                <w:p w14:paraId="1E22D049">
                  <w:pPr>
                    <w:rPr>
                      <w:color w:val="auto"/>
                      <w:szCs w:val="21"/>
                    </w:rPr>
                  </w:pPr>
                  <w:r>
                    <w:rPr>
                      <w:color w:val="auto"/>
                      <w:szCs w:val="21"/>
                    </w:rPr>
                    <w:t>□温排水排放</w:t>
                  </w:r>
                  <w:r>
                    <w:rPr>
                      <w:rFonts w:hint="eastAsia"/>
                      <w:color w:val="auto"/>
                      <w:szCs w:val="21"/>
                    </w:rPr>
                    <w:t>口</w:t>
                  </w:r>
                </w:p>
                <w:p w14:paraId="41891542">
                  <w:pPr>
                    <w:widowControl/>
                    <w:rPr>
                      <w:color w:val="auto"/>
                      <w:szCs w:val="21"/>
                    </w:rPr>
                  </w:pPr>
                  <w:r>
                    <w:rPr>
                      <w:color w:val="auto"/>
                      <w:szCs w:val="21"/>
                    </w:rPr>
                    <w:t>□车间或车间处理设施排放</w:t>
                  </w:r>
                  <w:r>
                    <w:rPr>
                      <w:rFonts w:hint="eastAsia"/>
                      <w:color w:val="auto"/>
                      <w:szCs w:val="21"/>
                    </w:rPr>
                    <w:t>口</w:t>
                  </w:r>
                </w:p>
              </w:tc>
            </w:tr>
            <w:tr w14:paraId="095C667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427" w:type="dxa"/>
                  <w:tcBorders>
                    <w:top w:val="single" w:color="auto" w:sz="6" w:space="0"/>
                    <w:left w:val="nil"/>
                    <w:bottom w:val="single" w:color="auto" w:sz="12" w:space="0"/>
                    <w:right w:val="single" w:color="auto" w:sz="6" w:space="0"/>
                  </w:tcBorders>
                  <w:shd w:val="clear" w:color="auto" w:fill="auto"/>
                  <w:noWrap w:val="0"/>
                  <w:vAlign w:val="center"/>
                </w:tcPr>
                <w:p w14:paraId="2BA1B7EC">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2</w:t>
                  </w:r>
                </w:p>
              </w:tc>
              <w:tc>
                <w:tcPr>
                  <w:tcW w:w="488"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29A62DB6">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生产废水</w:t>
                  </w:r>
                </w:p>
              </w:tc>
              <w:tc>
                <w:tcPr>
                  <w:tcW w:w="1019"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7CAEBBE6">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COD、SS、pH、LAS</w:t>
                  </w:r>
                </w:p>
              </w:tc>
              <w:tc>
                <w:tcPr>
                  <w:tcW w:w="1029"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7FD8DE29">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回用</w:t>
                  </w:r>
                </w:p>
              </w:tc>
              <w:tc>
                <w:tcPr>
                  <w:tcW w:w="791"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53E58BDD">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w:t>
                  </w:r>
                </w:p>
              </w:tc>
              <w:tc>
                <w:tcPr>
                  <w:tcW w:w="436"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349D2CA6">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s="Times New Roman"/>
                      <w:color w:val="000000"/>
                      <w:kern w:val="2"/>
                      <w:sz w:val="21"/>
                      <w:szCs w:val="21"/>
                      <w:highlight w:val="none"/>
                      <w:lang w:val="en-US" w:eastAsia="zh-CN" w:bidi="ar-SA"/>
                    </w:rPr>
                    <w:t>/</w:t>
                  </w:r>
                </w:p>
              </w:tc>
              <w:tc>
                <w:tcPr>
                  <w:tcW w:w="775"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2DB6FDE1">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olor w:val="auto"/>
                      <w:szCs w:val="21"/>
                      <w:highlight w:val="none"/>
                      <w:lang w:val="en-US" w:eastAsia="zh-CN"/>
                    </w:rPr>
                    <w:t>低温真空蒸发器</w:t>
                  </w:r>
                </w:p>
              </w:tc>
              <w:tc>
                <w:tcPr>
                  <w:tcW w:w="600"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33BB2B86">
                  <w:pPr>
                    <w:keepNext w:val="0"/>
                    <w:keepLines w:val="0"/>
                    <w:pageBreakBefore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589"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13814D19">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w:t>
                  </w:r>
                </w:p>
              </w:tc>
              <w:tc>
                <w:tcPr>
                  <w:tcW w:w="681" w:type="dxa"/>
                  <w:tcBorders>
                    <w:top w:val="single" w:color="auto" w:sz="6" w:space="0"/>
                    <w:left w:val="single" w:color="auto" w:sz="6" w:space="0"/>
                    <w:bottom w:val="single" w:color="auto" w:sz="12" w:space="0"/>
                    <w:right w:val="single" w:color="auto" w:sz="6" w:space="0"/>
                  </w:tcBorders>
                  <w:shd w:val="clear" w:color="auto" w:fill="auto"/>
                  <w:noWrap w:val="0"/>
                  <w:vAlign w:val="center"/>
                </w:tcPr>
                <w:p w14:paraId="101D02F0">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w:t>
                  </w:r>
                </w:p>
              </w:tc>
              <w:tc>
                <w:tcPr>
                  <w:tcW w:w="1503" w:type="dxa"/>
                  <w:tcBorders>
                    <w:top w:val="single" w:color="auto" w:sz="6" w:space="0"/>
                    <w:left w:val="single" w:color="auto" w:sz="6" w:space="0"/>
                    <w:bottom w:val="single" w:color="auto" w:sz="12" w:space="0"/>
                    <w:right w:val="nil"/>
                  </w:tcBorders>
                  <w:shd w:val="clear" w:color="auto" w:fill="auto"/>
                  <w:noWrap w:val="0"/>
                  <w:vAlign w:val="center"/>
                </w:tcPr>
                <w:p w14:paraId="0E74AC62">
                  <w:pPr>
                    <w:keepNext w:val="0"/>
                    <w:keepLines w:val="0"/>
                    <w:pageBreakBefore w:val="0"/>
                    <w:widowControl/>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cs="Times New Roman"/>
                      <w:color w:val="000000"/>
                      <w:szCs w:val="21"/>
                      <w:lang w:val="en-US" w:eastAsia="zh-CN"/>
                    </w:rPr>
                    <w:t>/</w:t>
                  </w:r>
                </w:p>
              </w:tc>
            </w:tr>
          </w:tbl>
          <w:p w14:paraId="7A025D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rPr>
            </w:pPr>
            <w:r>
              <w:rPr>
                <w:rFonts w:hint="eastAsia"/>
                <w:color w:val="auto"/>
                <w:kern w:val="0"/>
                <w:sz w:val="24"/>
              </w:rPr>
              <w:t>本项目</w:t>
            </w:r>
            <w:r>
              <w:rPr>
                <w:rFonts w:hint="eastAsia"/>
                <w:color w:val="auto"/>
                <w:sz w:val="24"/>
              </w:rPr>
              <w:t>废水间接排放口基本情况见表4-1</w:t>
            </w:r>
            <w:r>
              <w:rPr>
                <w:rFonts w:hint="eastAsia"/>
                <w:color w:val="auto"/>
                <w:sz w:val="24"/>
                <w:lang w:val="en-US" w:eastAsia="zh-CN"/>
              </w:rPr>
              <w:t>3</w:t>
            </w:r>
            <w:r>
              <w:rPr>
                <w:rFonts w:hint="eastAsia"/>
                <w:color w:val="auto"/>
                <w:sz w:val="24"/>
              </w:rPr>
              <w:t>。</w:t>
            </w:r>
          </w:p>
          <w:p w14:paraId="24CF9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color w:val="auto"/>
                <w:szCs w:val="21"/>
              </w:rPr>
            </w:pPr>
            <w:r>
              <w:rPr>
                <w:rFonts w:hint="eastAsia"/>
                <w:b/>
                <w:color w:val="auto"/>
                <w:szCs w:val="21"/>
              </w:rPr>
              <w:t>表4-1</w:t>
            </w:r>
            <w:r>
              <w:rPr>
                <w:rFonts w:hint="eastAsia"/>
                <w:b/>
                <w:color w:val="auto"/>
                <w:szCs w:val="21"/>
                <w:lang w:val="en-US" w:eastAsia="zh-CN"/>
              </w:rPr>
              <w:t xml:space="preserve">3 </w:t>
            </w:r>
            <w:r>
              <w:rPr>
                <w:rFonts w:hint="eastAsia"/>
                <w:b/>
                <w:color w:val="auto"/>
                <w:szCs w:val="21"/>
              </w:rPr>
              <w:t>废水间接排放口基本情况表</w:t>
            </w:r>
          </w:p>
          <w:tbl>
            <w:tblPr>
              <w:tblStyle w:val="20"/>
              <w:tblpPr w:leftFromText="180" w:rightFromText="180" w:vertAnchor="text" w:tblpXSpec="center" w:tblpY="1"/>
              <w:tblOverlap w:val="never"/>
              <w:tblW w:w="0" w:type="auto"/>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3"/>
              <w:gridCol w:w="915"/>
              <w:gridCol w:w="960"/>
              <w:gridCol w:w="645"/>
              <w:gridCol w:w="630"/>
              <w:gridCol w:w="775"/>
              <w:gridCol w:w="640"/>
              <w:gridCol w:w="396"/>
              <w:gridCol w:w="682"/>
              <w:gridCol w:w="886"/>
              <w:gridCol w:w="1048"/>
            </w:tblGrid>
            <w:tr w14:paraId="7D0B61F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3" w:type="dxa"/>
                  <w:vMerge w:val="restart"/>
                  <w:tcBorders>
                    <w:top w:val="single" w:color="auto" w:sz="12" w:space="0"/>
                  </w:tcBorders>
                  <w:noWrap w:val="0"/>
                  <w:vAlign w:val="center"/>
                </w:tcPr>
                <w:p w14:paraId="59F62B15">
                  <w:pPr>
                    <w:adjustRightInd w:val="0"/>
                    <w:snapToGrid w:val="0"/>
                    <w:jc w:val="center"/>
                    <w:rPr>
                      <w:b/>
                      <w:color w:val="auto"/>
                      <w:szCs w:val="21"/>
                    </w:rPr>
                  </w:pPr>
                  <w:r>
                    <w:rPr>
                      <w:rFonts w:hint="eastAsia"/>
                      <w:b/>
                      <w:color w:val="auto"/>
                      <w:szCs w:val="21"/>
                    </w:rPr>
                    <w:t>排放口编号</w:t>
                  </w:r>
                </w:p>
              </w:tc>
              <w:tc>
                <w:tcPr>
                  <w:tcW w:w="1875" w:type="dxa"/>
                  <w:gridSpan w:val="2"/>
                  <w:tcBorders>
                    <w:top w:val="single" w:color="auto" w:sz="12" w:space="0"/>
                  </w:tcBorders>
                  <w:noWrap w:val="0"/>
                  <w:vAlign w:val="center"/>
                </w:tcPr>
                <w:p w14:paraId="3FAB3BC9">
                  <w:pPr>
                    <w:adjustRightInd w:val="0"/>
                    <w:snapToGrid w:val="0"/>
                    <w:jc w:val="center"/>
                    <w:rPr>
                      <w:b/>
                      <w:color w:val="auto"/>
                      <w:szCs w:val="21"/>
                    </w:rPr>
                  </w:pPr>
                  <w:r>
                    <w:rPr>
                      <w:rFonts w:hint="eastAsia"/>
                      <w:b/>
                      <w:color w:val="auto"/>
                      <w:szCs w:val="21"/>
                    </w:rPr>
                    <w:t>排放口地理坐标</w:t>
                  </w:r>
                </w:p>
              </w:tc>
              <w:tc>
                <w:tcPr>
                  <w:tcW w:w="645" w:type="dxa"/>
                  <w:vMerge w:val="restart"/>
                  <w:tcBorders>
                    <w:top w:val="single" w:color="auto" w:sz="12" w:space="0"/>
                  </w:tcBorders>
                  <w:noWrap w:val="0"/>
                  <w:vAlign w:val="center"/>
                </w:tcPr>
                <w:p w14:paraId="2F8D5516">
                  <w:pPr>
                    <w:adjustRightInd w:val="0"/>
                    <w:snapToGrid w:val="0"/>
                    <w:jc w:val="center"/>
                    <w:rPr>
                      <w:b/>
                      <w:color w:val="auto"/>
                      <w:szCs w:val="21"/>
                    </w:rPr>
                  </w:pPr>
                  <w:r>
                    <w:rPr>
                      <w:rFonts w:hint="eastAsia"/>
                      <w:b/>
                      <w:color w:val="auto"/>
                      <w:szCs w:val="21"/>
                    </w:rPr>
                    <w:t>排放口类型</w:t>
                  </w:r>
                </w:p>
              </w:tc>
              <w:tc>
                <w:tcPr>
                  <w:tcW w:w="630" w:type="dxa"/>
                  <w:vMerge w:val="restart"/>
                  <w:tcBorders>
                    <w:top w:val="single" w:color="auto" w:sz="12" w:space="0"/>
                  </w:tcBorders>
                  <w:noWrap w:val="0"/>
                  <w:vAlign w:val="center"/>
                </w:tcPr>
                <w:p w14:paraId="0B2FA8CF">
                  <w:pPr>
                    <w:adjustRightInd w:val="0"/>
                    <w:snapToGrid w:val="0"/>
                    <w:jc w:val="center"/>
                    <w:rPr>
                      <w:b/>
                      <w:color w:val="auto"/>
                      <w:szCs w:val="21"/>
                    </w:rPr>
                  </w:pPr>
                  <w:r>
                    <w:rPr>
                      <w:rFonts w:hint="eastAsia"/>
                      <w:b/>
                      <w:color w:val="auto"/>
                      <w:szCs w:val="21"/>
                    </w:rPr>
                    <w:t>废水排放量（万</w:t>
                  </w:r>
                  <w:r>
                    <w:rPr>
                      <w:b/>
                      <w:color w:val="auto"/>
                      <w:szCs w:val="21"/>
                    </w:rPr>
                    <w:t>t/a</w:t>
                  </w:r>
                  <w:r>
                    <w:rPr>
                      <w:rFonts w:hint="eastAsia"/>
                      <w:b/>
                      <w:color w:val="auto"/>
                      <w:szCs w:val="21"/>
                    </w:rPr>
                    <w:t>）</w:t>
                  </w:r>
                </w:p>
              </w:tc>
              <w:tc>
                <w:tcPr>
                  <w:tcW w:w="775" w:type="dxa"/>
                  <w:vMerge w:val="restart"/>
                  <w:tcBorders>
                    <w:top w:val="single" w:color="auto" w:sz="12" w:space="0"/>
                  </w:tcBorders>
                  <w:noWrap w:val="0"/>
                  <w:vAlign w:val="center"/>
                </w:tcPr>
                <w:p w14:paraId="3465581C">
                  <w:pPr>
                    <w:adjustRightInd w:val="0"/>
                    <w:snapToGrid w:val="0"/>
                    <w:jc w:val="center"/>
                    <w:rPr>
                      <w:b/>
                      <w:color w:val="auto"/>
                      <w:szCs w:val="21"/>
                    </w:rPr>
                  </w:pPr>
                  <w:r>
                    <w:rPr>
                      <w:rFonts w:hint="eastAsia"/>
                      <w:b/>
                      <w:color w:val="auto"/>
                      <w:szCs w:val="21"/>
                    </w:rPr>
                    <w:t>排放去向</w:t>
                  </w:r>
                </w:p>
              </w:tc>
              <w:tc>
                <w:tcPr>
                  <w:tcW w:w="640" w:type="dxa"/>
                  <w:vMerge w:val="restart"/>
                  <w:tcBorders>
                    <w:top w:val="single" w:color="auto" w:sz="12" w:space="0"/>
                  </w:tcBorders>
                  <w:noWrap w:val="0"/>
                  <w:vAlign w:val="center"/>
                </w:tcPr>
                <w:p w14:paraId="74BE0AD3">
                  <w:pPr>
                    <w:adjustRightInd w:val="0"/>
                    <w:snapToGrid w:val="0"/>
                    <w:jc w:val="center"/>
                    <w:rPr>
                      <w:b/>
                      <w:color w:val="auto"/>
                      <w:szCs w:val="21"/>
                    </w:rPr>
                  </w:pPr>
                  <w:r>
                    <w:rPr>
                      <w:rFonts w:hint="eastAsia"/>
                      <w:b/>
                      <w:color w:val="auto"/>
                      <w:szCs w:val="21"/>
                    </w:rPr>
                    <w:t>排放规律</w:t>
                  </w:r>
                </w:p>
              </w:tc>
              <w:tc>
                <w:tcPr>
                  <w:tcW w:w="396" w:type="dxa"/>
                  <w:vMerge w:val="restart"/>
                  <w:tcBorders>
                    <w:top w:val="single" w:color="auto" w:sz="12" w:space="0"/>
                  </w:tcBorders>
                  <w:noWrap w:val="0"/>
                  <w:vAlign w:val="center"/>
                </w:tcPr>
                <w:p w14:paraId="551B3A23">
                  <w:pPr>
                    <w:adjustRightInd w:val="0"/>
                    <w:snapToGrid w:val="0"/>
                    <w:jc w:val="center"/>
                    <w:rPr>
                      <w:b/>
                      <w:color w:val="auto"/>
                      <w:szCs w:val="21"/>
                    </w:rPr>
                  </w:pPr>
                  <w:r>
                    <w:rPr>
                      <w:rFonts w:hint="eastAsia"/>
                      <w:b/>
                      <w:color w:val="auto"/>
                      <w:szCs w:val="21"/>
                    </w:rPr>
                    <w:t>间歇排放时段</w:t>
                  </w:r>
                </w:p>
              </w:tc>
              <w:tc>
                <w:tcPr>
                  <w:tcW w:w="2616" w:type="dxa"/>
                  <w:gridSpan w:val="3"/>
                  <w:vMerge w:val="restart"/>
                  <w:tcBorders>
                    <w:top w:val="single" w:color="auto" w:sz="12" w:space="0"/>
                  </w:tcBorders>
                  <w:noWrap w:val="0"/>
                  <w:vAlign w:val="center"/>
                </w:tcPr>
                <w:p w14:paraId="2FFB48B9">
                  <w:pPr>
                    <w:adjustRightInd w:val="0"/>
                    <w:snapToGrid w:val="0"/>
                    <w:jc w:val="center"/>
                    <w:rPr>
                      <w:b/>
                      <w:color w:val="auto"/>
                      <w:szCs w:val="21"/>
                    </w:rPr>
                  </w:pPr>
                  <w:r>
                    <w:rPr>
                      <w:rFonts w:hint="eastAsia"/>
                      <w:b/>
                      <w:color w:val="auto"/>
                      <w:szCs w:val="21"/>
                    </w:rPr>
                    <w:t>收纳污水处理厂信息</w:t>
                  </w:r>
                </w:p>
              </w:tc>
            </w:tr>
            <w:tr w14:paraId="78295B4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3" w:type="dxa"/>
                  <w:vMerge w:val="continue"/>
                  <w:noWrap w:val="0"/>
                  <w:vAlign w:val="center"/>
                </w:tcPr>
                <w:p w14:paraId="555639F9">
                  <w:pPr>
                    <w:widowControl/>
                    <w:adjustRightInd w:val="0"/>
                    <w:snapToGrid w:val="0"/>
                    <w:jc w:val="left"/>
                    <w:rPr>
                      <w:b/>
                      <w:color w:val="auto"/>
                      <w:szCs w:val="21"/>
                    </w:rPr>
                  </w:pPr>
                </w:p>
              </w:tc>
              <w:tc>
                <w:tcPr>
                  <w:tcW w:w="915" w:type="dxa"/>
                  <w:vMerge w:val="restart"/>
                  <w:noWrap w:val="0"/>
                  <w:vAlign w:val="center"/>
                </w:tcPr>
                <w:p w14:paraId="31B9FCE1">
                  <w:pPr>
                    <w:adjustRightInd w:val="0"/>
                    <w:snapToGrid w:val="0"/>
                    <w:jc w:val="center"/>
                    <w:rPr>
                      <w:b/>
                      <w:color w:val="auto"/>
                      <w:szCs w:val="21"/>
                    </w:rPr>
                  </w:pPr>
                  <w:r>
                    <w:rPr>
                      <w:rFonts w:hint="eastAsia"/>
                      <w:b/>
                      <w:color w:val="auto"/>
                      <w:szCs w:val="21"/>
                    </w:rPr>
                    <w:t>经度</w:t>
                  </w:r>
                </w:p>
              </w:tc>
              <w:tc>
                <w:tcPr>
                  <w:tcW w:w="960" w:type="dxa"/>
                  <w:vMerge w:val="restart"/>
                  <w:noWrap w:val="0"/>
                  <w:vAlign w:val="center"/>
                </w:tcPr>
                <w:p w14:paraId="3C577E8F">
                  <w:pPr>
                    <w:adjustRightInd w:val="0"/>
                    <w:snapToGrid w:val="0"/>
                    <w:jc w:val="center"/>
                    <w:rPr>
                      <w:b/>
                      <w:color w:val="auto"/>
                      <w:szCs w:val="21"/>
                    </w:rPr>
                  </w:pPr>
                  <w:r>
                    <w:rPr>
                      <w:rFonts w:hint="eastAsia"/>
                      <w:b/>
                      <w:color w:val="auto"/>
                      <w:szCs w:val="21"/>
                    </w:rPr>
                    <w:t>纬度</w:t>
                  </w:r>
                </w:p>
              </w:tc>
              <w:tc>
                <w:tcPr>
                  <w:tcW w:w="645" w:type="dxa"/>
                  <w:vMerge w:val="continue"/>
                  <w:noWrap w:val="0"/>
                  <w:vAlign w:val="center"/>
                </w:tcPr>
                <w:p w14:paraId="2F4753FE">
                  <w:pPr>
                    <w:widowControl/>
                    <w:adjustRightInd w:val="0"/>
                    <w:snapToGrid w:val="0"/>
                    <w:jc w:val="center"/>
                    <w:rPr>
                      <w:b/>
                      <w:color w:val="auto"/>
                      <w:szCs w:val="21"/>
                    </w:rPr>
                  </w:pPr>
                </w:p>
              </w:tc>
              <w:tc>
                <w:tcPr>
                  <w:tcW w:w="630" w:type="dxa"/>
                  <w:vMerge w:val="continue"/>
                  <w:noWrap w:val="0"/>
                  <w:vAlign w:val="center"/>
                </w:tcPr>
                <w:p w14:paraId="44AF1381">
                  <w:pPr>
                    <w:widowControl/>
                    <w:adjustRightInd w:val="0"/>
                    <w:snapToGrid w:val="0"/>
                    <w:jc w:val="left"/>
                    <w:rPr>
                      <w:b/>
                      <w:color w:val="auto"/>
                      <w:szCs w:val="21"/>
                    </w:rPr>
                  </w:pPr>
                </w:p>
              </w:tc>
              <w:tc>
                <w:tcPr>
                  <w:tcW w:w="775" w:type="dxa"/>
                  <w:vMerge w:val="continue"/>
                  <w:noWrap w:val="0"/>
                  <w:vAlign w:val="center"/>
                </w:tcPr>
                <w:p w14:paraId="02EA01DC">
                  <w:pPr>
                    <w:widowControl/>
                    <w:adjustRightInd w:val="0"/>
                    <w:snapToGrid w:val="0"/>
                    <w:jc w:val="left"/>
                    <w:rPr>
                      <w:b/>
                      <w:color w:val="auto"/>
                      <w:szCs w:val="21"/>
                    </w:rPr>
                  </w:pPr>
                </w:p>
              </w:tc>
              <w:tc>
                <w:tcPr>
                  <w:tcW w:w="640" w:type="dxa"/>
                  <w:vMerge w:val="continue"/>
                  <w:noWrap w:val="0"/>
                  <w:vAlign w:val="center"/>
                </w:tcPr>
                <w:p w14:paraId="58383AB8">
                  <w:pPr>
                    <w:widowControl/>
                    <w:adjustRightInd w:val="0"/>
                    <w:snapToGrid w:val="0"/>
                    <w:jc w:val="left"/>
                    <w:rPr>
                      <w:b/>
                      <w:color w:val="auto"/>
                      <w:szCs w:val="21"/>
                    </w:rPr>
                  </w:pPr>
                </w:p>
              </w:tc>
              <w:tc>
                <w:tcPr>
                  <w:tcW w:w="396" w:type="dxa"/>
                  <w:vMerge w:val="continue"/>
                  <w:noWrap w:val="0"/>
                  <w:vAlign w:val="center"/>
                </w:tcPr>
                <w:p w14:paraId="431F43E7">
                  <w:pPr>
                    <w:widowControl/>
                    <w:adjustRightInd w:val="0"/>
                    <w:snapToGrid w:val="0"/>
                    <w:jc w:val="left"/>
                    <w:rPr>
                      <w:b/>
                      <w:color w:val="auto"/>
                      <w:szCs w:val="21"/>
                    </w:rPr>
                  </w:pPr>
                </w:p>
              </w:tc>
              <w:tc>
                <w:tcPr>
                  <w:tcW w:w="2616" w:type="dxa"/>
                  <w:gridSpan w:val="3"/>
                  <w:vMerge w:val="continue"/>
                  <w:noWrap w:val="0"/>
                  <w:vAlign w:val="center"/>
                </w:tcPr>
                <w:p w14:paraId="4E745620">
                  <w:pPr>
                    <w:widowControl/>
                    <w:adjustRightInd w:val="0"/>
                    <w:snapToGrid w:val="0"/>
                    <w:jc w:val="left"/>
                    <w:rPr>
                      <w:b/>
                      <w:color w:val="auto"/>
                      <w:szCs w:val="21"/>
                    </w:rPr>
                  </w:pPr>
                </w:p>
              </w:tc>
            </w:tr>
            <w:tr w14:paraId="51AA9D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05" w:hRule="atLeast"/>
                <w:jc w:val="center"/>
              </w:trPr>
              <w:tc>
                <w:tcPr>
                  <w:tcW w:w="593" w:type="dxa"/>
                  <w:vMerge w:val="continue"/>
                  <w:noWrap w:val="0"/>
                  <w:vAlign w:val="center"/>
                </w:tcPr>
                <w:p w14:paraId="6F6AE8EB">
                  <w:pPr>
                    <w:widowControl/>
                    <w:adjustRightInd w:val="0"/>
                    <w:snapToGrid w:val="0"/>
                    <w:jc w:val="left"/>
                    <w:rPr>
                      <w:b/>
                      <w:color w:val="auto"/>
                      <w:szCs w:val="21"/>
                    </w:rPr>
                  </w:pPr>
                </w:p>
              </w:tc>
              <w:tc>
                <w:tcPr>
                  <w:tcW w:w="915" w:type="dxa"/>
                  <w:vMerge w:val="continue"/>
                  <w:noWrap w:val="0"/>
                  <w:vAlign w:val="center"/>
                </w:tcPr>
                <w:p w14:paraId="165CF4C9">
                  <w:pPr>
                    <w:widowControl/>
                    <w:adjustRightInd w:val="0"/>
                    <w:snapToGrid w:val="0"/>
                    <w:jc w:val="left"/>
                    <w:rPr>
                      <w:b/>
                      <w:color w:val="auto"/>
                      <w:szCs w:val="21"/>
                    </w:rPr>
                  </w:pPr>
                </w:p>
              </w:tc>
              <w:tc>
                <w:tcPr>
                  <w:tcW w:w="960" w:type="dxa"/>
                  <w:vMerge w:val="continue"/>
                  <w:noWrap w:val="0"/>
                  <w:vAlign w:val="center"/>
                </w:tcPr>
                <w:p w14:paraId="6F96FA13">
                  <w:pPr>
                    <w:widowControl/>
                    <w:adjustRightInd w:val="0"/>
                    <w:snapToGrid w:val="0"/>
                    <w:jc w:val="left"/>
                    <w:rPr>
                      <w:b/>
                      <w:color w:val="auto"/>
                      <w:szCs w:val="21"/>
                    </w:rPr>
                  </w:pPr>
                </w:p>
              </w:tc>
              <w:tc>
                <w:tcPr>
                  <w:tcW w:w="645" w:type="dxa"/>
                  <w:vMerge w:val="continue"/>
                  <w:noWrap w:val="0"/>
                  <w:vAlign w:val="center"/>
                </w:tcPr>
                <w:p w14:paraId="14230B7D">
                  <w:pPr>
                    <w:widowControl/>
                    <w:adjustRightInd w:val="0"/>
                    <w:snapToGrid w:val="0"/>
                    <w:jc w:val="center"/>
                    <w:rPr>
                      <w:b/>
                      <w:color w:val="auto"/>
                      <w:szCs w:val="21"/>
                    </w:rPr>
                  </w:pPr>
                </w:p>
              </w:tc>
              <w:tc>
                <w:tcPr>
                  <w:tcW w:w="630" w:type="dxa"/>
                  <w:vMerge w:val="continue"/>
                  <w:noWrap w:val="0"/>
                  <w:vAlign w:val="center"/>
                </w:tcPr>
                <w:p w14:paraId="17F0AB11">
                  <w:pPr>
                    <w:widowControl/>
                    <w:adjustRightInd w:val="0"/>
                    <w:snapToGrid w:val="0"/>
                    <w:jc w:val="left"/>
                    <w:rPr>
                      <w:b/>
                      <w:color w:val="auto"/>
                      <w:szCs w:val="21"/>
                    </w:rPr>
                  </w:pPr>
                </w:p>
              </w:tc>
              <w:tc>
                <w:tcPr>
                  <w:tcW w:w="775" w:type="dxa"/>
                  <w:vMerge w:val="continue"/>
                  <w:noWrap w:val="0"/>
                  <w:vAlign w:val="center"/>
                </w:tcPr>
                <w:p w14:paraId="6A4E9811">
                  <w:pPr>
                    <w:widowControl/>
                    <w:adjustRightInd w:val="0"/>
                    <w:snapToGrid w:val="0"/>
                    <w:jc w:val="left"/>
                    <w:rPr>
                      <w:b/>
                      <w:color w:val="auto"/>
                      <w:szCs w:val="21"/>
                    </w:rPr>
                  </w:pPr>
                </w:p>
              </w:tc>
              <w:tc>
                <w:tcPr>
                  <w:tcW w:w="640" w:type="dxa"/>
                  <w:vMerge w:val="continue"/>
                  <w:noWrap w:val="0"/>
                  <w:vAlign w:val="center"/>
                </w:tcPr>
                <w:p w14:paraId="3919C494">
                  <w:pPr>
                    <w:widowControl/>
                    <w:adjustRightInd w:val="0"/>
                    <w:snapToGrid w:val="0"/>
                    <w:jc w:val="left"/>
                    <w:rPr>
                      <w:b/>
                      <w:color w:val="auto"/>
                      <w:szCs w:val="21"/>
                    </w:rPr>
                  </w:pPr>
                </w:p>
              </w:tc>
              <w:tc>
                <w:tcPr>
                  <w:tcW w:w="396" w:type="dxa"/>
                  <w:vMerge w:val="continue"/>
                  <w:noWrap w:val="0"/>
                  <w:vAlign w:val="center"/>
                </w:tcPr>
                <w:p w14:paraId="40851429">
                  <w:pPr>
                    <w:widowControl/>
                    <w:adjustRightInd w:val="0"/>
                    <w:snapToGrid w:val="0"/>
                    <w:jc w:val="left"/>
                    <w:rPr>
                      <w:b/>
                      <w:color w:val="auto"/>
                      <w:szCs w:val="21"/>
                    </w:rPr>
                  </w:pPr>
                </w:p>
              </w:tc>
              <w:tc>
                <w:tcPr>
                  <w:tcW w:w="682" w:type="dxa"/>
                  <w:noWrap w:val="0"/>
                  <w:vAlign w:val="center"/>
                </w:tcPr>
                <w:p w14:paraId="31D22715">
                  <w:pPr>
                    <w:adjustRightInd w:val="0"/>
                    <w:snapToGrid w:val="0"/>
                    <w:jc w:val="center"/>
                    <w:rPr>
                      <w:b/>
                      <w:color w:val="auto"/>
                      <w:szCs w:val="21"/>
                    </w:rPr>
                  </w:pPr>
                  <w:r>
                    <w:rPr>
                      <w:rFonts w:hint="eastAsia"/>
                      <w:b/>
                      <w:color w:val="auto"/>
                      <w:szCs w:val="21"/>
                    </w:rPr>
                    <w:t>名称</w:t>
                  </w:r>
                </w:p>
              </w:tc>
              <w:tc>
                <w:tcPr>
                  <w:tcW w:w="886" w:type="dxa"/>
                  <w:noWrap w:val="0"/>
                  <w:vAlign w:val="center"/>
                </w:tcPr>
                <w:p w14:paraId="39B59732">
                  <w:pPr>
                    <w:adjustRightInd w:val="0"/>
                    <w:snapToGrid w:val="0"/>
                    <w:jc w:val="center"/>
                    <w:rPr>
                      <w:b/>
                      <w:color w:val="auto"/>
                      <w:szCs w:val="21"/>
                    </w:rPr>
                  </w:pPr>
                  <w:r>
                    <w:rPr>
                      <w:rFonts w:hint="eastAsia"/>
                      <w:b/>
                      <w:color w:val="auto"/>
                      <w:szCs w:val="21"/>
                    </w:rPr>
                    <w:t>污染物种类</w:t>
                  </w:r>
                </w:p>
              </w:tc>
              <w:tc>
                <w:tcPr>
                  <w:tcW w:w="1048" w:type="dxa"/>
                  <w:noWrap w:val="0"/>
                  <w:vAlign w:val="center"/>
                </w:tcPr>
                <w:p w14:paraId="7C01F479">
                  <w:pPr>
                    <w:adjustRightInd w:val="0"/>
                    <w:snapToGrid w:val="0"/>
                    <w:jc w:val="center"/>
                    <w:rPr>
                      <w:b/>
                      <w:color w:val="auto"/>
                      <w:szCs w:val="21"/>
                    </w:rPr>
                  </w:pPr>
                  <w:r>
                    <w:rPr>
                      <w:rFonts w:hint="eastAsia"/>
                      <w:b/>
                      <w:color w:val="auto"/>
                      <w:szCs w:val="21"/>
                    </w:rPr>
                    <w:t>国家或地方污染物排放标准限值（</w:t>
                  </w:r>
                  <w:r>
                    <w:rPr>
                      <w:b/>
                      <w:color w:val="auto"/>
                      <w:szCs w:val="21"/>
                    </w:rPr>
                    <w:t>mg/L</w:t>
                  </w:r>
                  <w:r>
                    <w:rPr>
                      <w:rFonts w:hint="eastAsia"/>
                      <w:b/>
                      <w:color w:val="auto"/>
                      <w:szCs w:val="21"/>
                    </w:rPr>
                    <w:t>）</w:t>
                  </w:r>
                </w:p>
              </w:tc>
            </w:tr>
            <w:tr w14:paraId="744DDFD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593" w:type="dxa"/>
                  <w:vMerge w:val="restart"/>
                  <w:noWrap w:val="0"/>
                  <w:vAlign w:val="center"/>
                </w:tcPr>
                <w:p w14:paraId="418732CA">
                  <w:pPr>
                    <w:adjustRightInd w:val="0"/>
                    <w:snapToGrid w:val="0"/>
                    <w:jc w:val="center"/>
                    <w:rPr>
                      <w:color w:val="auto"/>
                      <w:szCs w:val="21"/>
                      <w:highlight w:val="yellow"/>
                    </w:rPr>
                  </w:pPr>
                  <w:r>
                    <w:rPr>
                      <w:color w:val="auto"/>
                      <w:szCs w:val="21"/>
                    </w:rPr>
                    <w:t>DW001</w:t>
                  </w:r>
                </w:p>
              </w:tc>
              <w:tc>
                <w:tcPr>
                  <w:tcW w:w="915" w:type="dxa"/>
                  <w:vMerge w:val="restart"/>
                  <w:noWrap w:val="0"/>
                  <w:vAlign w:val="center"/>
                </w:tcPr>
                <w:p w14:paraId="07BEB050">
                  <w:pPr>
                    <w:adjustRightInd w:val="0"/>
                    <w:snapToGrid w:val="0"/>
                    <w:jc w:val="center"/>
                    <w:rPr>
                      <w:rFonts w:hint="default" w:eastAsia="宋体"/>
                      <w:color w:val="auto"/>
                      <w:szCs w:val="21"/>
                      <w:lang w:val="en-US" w:eastAsia="zh-CN"/>
                    </w:rPr>
                  </w:pPr>
                  <w:r>
                    <w:rPr>
                      <w:rFonts w:hint="eastAsia"/>
                      <w:color w:val="auto"/>
                      <w:szCs w:val="21"/>
                      <w:lang w:val="en-US" w:eastAsia="zh-CN"/>
                    </w:rPr>
                    <w:t>120.701192</w:t>
                  </w:r>
                </w:p>
              </w:tc>
              <w:tc>
                <w:tcPr>
                  <w:tcW w:w="960" w:type="dxa"/>
                  <w:vMerge w:val="restart"/>
                  <w:noWrap w:val="0"/>
                  <w:vAlign w:val="center"/>
                </w:tcPr>
                <w:p w14:paraId="5FCCBF0C">
                  <w:pPr>
                    <w:adjustRightInd w:val="0"/>
                    <w:snapToGrid w:val="0"/>
                    <w:jc w:val="center"/>
                    <w:rPr>
                      <w:rFonts w:hint="default" w:eastAsia="宋体"/>
                      <w:color w:val="auto"/>
                      <w:szCs w:val="21"/>
                      <w:lang w:val="en-US" w:eastAsia="zh-CN"/>
                    </w:rPr>
                  </w:pPr>
                  <w:r>
                    <w:rPr>
                      <w:rFonts w:hint="eastAsia"/>
                      <w:color w:val="auto"/>
                      <w:szCs w:val="21"/>
                      <w:lang w:val="en-US" w:eastAsia="zh-CN"/>
                    </w:rPr>
                    <w:t>31.000718</w:t>
                  </w:r>
                </w:p>
              </w:tc>
              <w:tc>
                <w:tcPr>
                  <w:tcW w:w="645" w:type="dxa"/>
                  <w:vMerge w:val="restart"/>
                  <w:noWrap w:val="0"/>
                  <w:vAlign w:val="center"/>
                </w:tcPr>
                <w:p w14:paraId="4FEF7468">
                  <w:pPr>
                    <w:adjustRightInd w:val="0"/>
                    <w:snapToGrid w:val="0"/>
                    <w:jc w:val="center"/>
                    <w:rPr>
                      <w:color w:val="auto"/>
                      <w:szCs w:val="21"/>
                    </w:rPr>
                  </w:pPr>
                  <w:r>
                    <w:rPr>
                      <w:rFonts w:hint="eastAsia"/>
                      <w:color w:val="auto"/>
                      <w:szCs w:val="21"/>
                    </w:rPr>
                    <w:t>一般排放口</w:t>
                  </w:r>
                </w:p>
              </w:tc>
              <w:tc>
                <w:tcPr>
                  <w:tcW w:w="630" w:type="dxa"/>
                  <w:vMerge w:val="restart"/>
                  <w:noWrap w:val="0"/>
                  <w:vAlign w:val="center"/>
                </w:tcPr>
                <w:p w14:paraId="25C01836">
                  <w:pPr>
                    <w:adjustRightInd w:val="0"/>
                    <w:snapToGrid w:val="0"/>
                    <w:jc w:val="center"/>
                    <w:rPr>
                      <w:rFonts w:hint="default" w:eastAsia="宋体"/>
                      <w:color w:val="auto"/>
                      <w:szCs w:val="21"/>
                      <w:lang w:val="en-US" w:eastAsia="zh-CN"/>
                    </w:rPr>
                  </w:pPr>
                  <w:r>
                    <w:rPr>
                      <w:rFonts w:hint="eastAsia"/>
                      <w:color w:val="auto"/>
                      <w:szCs w:val="21"/>
                      <w:lang w:val="en-US" w:eastAsia="zh-CN"/>
                    </w:rPr>
                    <w:t>0.1352</w:t>
                  </w:r>
                </w:p>
              </w:tc>
              <w:tc>
                <w:tcPr>
                  <w:tcW w:w="775" w:type="dxa"/>
                  <w:vMerge w:val="restart"/>
                  <w:noWrap w:val="0"/>
                  <w:vAlign w:val="center"/>
                </w:tcPr>
                <w:p w14:paraId="0A342126">
                  <w:pPr>
                    <w:adjustRightInd w:val="0"/>
                    <w:snapToGrid w:val="0"/>
                    <w:jc w:val="center"/>
                    <w:rPr>
                      <w:color w:val="auto"/>
                      <w:szCs w:val="21"/>
                    </w:rPr>
                  </w:pPr>
                  <w:r>
                    <w:rPr>
                      <w:rFonts w:hint="eastAsia" w:cs="Times New Roman"/>
                      <w:color w:val="auto"/>
                      <w:szCs w:val="21"/>
                      <w:lang w:val="ru-RU" w:eastAsia="zh-CN"/>
                    </w:rPr>
                    <w:t>苏州汾湖水务发展有限公司（黎里工业再生水厂）</w:t>
                  </w:r>
                </w:p>
              </w:tc>
              <w:tc>
                <w:tcPr>
                  <w:tcW w:w="640" w:type="dxa"/>
                  <w:vMerge w:val="restart"/>
                  <w:noWrap w:val="0"/>
                  <w:vAlign w:val="center"/>
                </w:tcPr>
                <w:p w14:paraId="44998841">
                  <w:pPr>
                    <w:adjustRightInd w:val="0"/>
                    <w:snapToGrid w:val="0"/>
                    <w:jc w:val="center"/>
                    <w:rPr>
                      <w:color w:val="auto"/>
                      <w:szCs w:val="21"/>
                    </w:rPr>
                  </w:pPr>
                  <w:r>
                    <w:rPr>
                      <w:rFonts w:hint="eastAsia"/>
                      <w:color w:val="auto"/>
                      <w:szCs w:val="21"/>
                    </w:rPr>
                    <w:t>连续排放流量不稳定</w:t>
                  </w:r>
                </w:p>
              </w:tc>
              <w:tc>
                <w:tcPr>
                  <w:tcW w:w="396" w:type="dxa"/>
                  <w:vMerge w:val="restart"/>
                  <w:noWrap w:val="0"/>
                  <w:vAlign w:val="center"/>
                </w:tcPr>
                <w:p w14:paraId="7F225D5A">
                  <w:pPr>
                    <w:adjustRightInd w:val="0"/>
                    <w:snapToGrid w:val="0"/>
                    <w:jc w:val="center"/>
                    <w:rPr>
                      <w:color w:val="auto"/>
                      <w:szCs w:val="21"/>
                    </w:rPr>
                  </w:pPr>
                  <w:r>
                    <w:rPr>
                      <w:color w:val="auto"/>
                      <w:szCs w:val="21"/>
                    </w:rPr>
                    <w:t>/</w:t>
                  </w:r>
                </w:p>
              </w:tc>
              <w:tc>
                <w:tcPr>
                  <w:tcW w:w="682" w:type="dxa"/>
                  <w:vMerge w:val="restart"/>
                  <w:noWrap w:val="0"/>
                  <w:vAlign w:val="center"/>
                </w:tcPr>
                <w:p w14:paraId="366785B4">
                  <w:pPr>
                    <w:adjustRightInd w:val="0"/>
                    <w:snapToGrid w:val="0"/>
                    <w:jc w:val="center"/>
                    <w:rPr>
                      <w:color w:val="auto"/>
                      <w:szCs w:val="21"/>
                      <w:highlight w:val="yellow"/>
                    </w:rPr>
                  </w:pPr>
                  <w:r>
                    <w:rPr>
                      <w:rFonts w:hint="eastAsia" w:cs="Times New Roman"/>
                      <w:color w:val="auto"/>
                      <w:szCs w:val="21"/>
                      <w:lang w:val="ru-RU" w:eastAsia="zh-CN"/>
                    </w:rPr>
                    <w:t>苏州汾湖水务发展有限公司（黎里工业再生水厂）</w:t>
                  </w:r>
                </w:p>
              </w:tc>
              <w:tc>
                <w:tcPr>
                  <w:tcW w:w="886" w:type="dxa"/>
                  <w:noWrap w:val="0"/>
                  <w:vAlign w:val="center"/>
                </w:tcPr>
                <w:p w14:paraId="0DCDF179">
                  <w:pPr>
                    <w:adjustRightInd w:val="0"/>
                    <w:snapToGrid w:val="0"/>
                    <w:jc w:val="center"/>
                    <w:rPr>
                      <w:color w:val="auto"/>
                      <w:szCs w:val="21"/>
                    </w:rPr>
                  </w:pPr>
                  <w:r>
                    <w:rPr>
                      <w:color w:val="auto"/>
                      <w:szCs w:val="21"/>
                    </w:rPr>
                    <w:t>COD</w:t>
                  </w:r>
                </w:p>
              </w:tc>
              <w:tc>
                <w:tcPr>
                  <w:tcW w:w="1048" w:type="dxa"/>
                  <w:noWrap w:val="0"/>
                  <w:vAlign w:val="center"/>
                </w:tcPr>
                <w:p w14:paraId="32673E3F">
                  <w:pPr>
                    <w:adjustRightInd w:val="0"/>
                    <w:snapToGrid w:val="0"/>
                    <w:jc w:val="center"/>
                    <w:rPr>
                      <w:rFonts w:hint="default" w:eastAsia="宋体"/>
                      <w:color w:val="auto"/>
                      <w:szCs w:val="21"/>
                      <w:lang w:val="en-US" w:eastAsia="zh-CN"/>
                    </w:rPr>
                  </w:pPr>
                  <w:r>
                    <w:rPr>
                      <w:rFonts w:hint="eastAsia"/>
                      <w:color w:val="auto"/>
                      <w:szCs w:val="21"/>
                      <w:lang w:val="en-US" w:eastAsia="zh-CN"/>
                    </w:rPr>
                    <w:t>50</w:t>
                  </w:r>
                </w:p>
              </w:tc>
            </w:tr>
            <w:tr w14:paraId="0446584E">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593" w:type="dxa"/>
                  <w:vMerge w:val="continue"/>
                  <w:noWrap w:val="0"/>
                  <w:vAlign w:val="center"/>
                </w:tcPr>
                <w:p w14:paraId="3A519B79">
                  <w:pPr>
                    <w:widowControl/>
                    <w:adjustRightInd w:val="0"/>
                    <w:snapToGrid w:val="0"/>
                    <w:jc w:val="left"/>
                    <w:rPr>
                      <w:color w:val="auto"/>
                      <w:szCs w:val="21"/>
                      <w:highlight w:val="yellow"/>
                    </w:rPr>
                  </w:pPr>
                </w:p>
              </w:tc>
              <w:tc>
                <w:tcPr>
                  <w:tcW w:w="915" w:type="dxa"/>
                  <w:vMerge w:val="continue"/>
                  <w:noWrap w:val="0"/>
                  <w:vAlign w:val="center"/>
                </w:tcPr>
                <w:p w14:paraId="38334260">
                  <w:pPr>
                    <w:widowControl/>
                    <w:adjustRightInd w:val="0"/>
                    <w:snapToGrid w:val="0"/>
                    <w:jc w:val="left"/>
                    <w:rPr>
                      <w:color w:val="auto"/>
                      <w:szCs w:val="21"/>
                      <w:highlight w:val="yellow"/>
                    </w:rPr>
                  </w:pPr>
                </w:p>
              </w:tc>
              <w:tc>
                <w:tcPr>
                  <w:tcW w:w="960" w:type="dxa"/>
                  <w:vMerge w:val="continue"/>
                  <w:noWrap w:val="0"/>
                  <w:vAlign w:val="center"/>
                </w:tcPr>
                <w:p w14:paraId="5A922626">
                  <w:pPr>
                    <w:widowControl/>
                    <w:adjustRightInd w:val="0"/>
                    <w:snapToGrid w:val="0"/>
                    <w:jc w:val="left"/>
                    <w:rPr>
                      <w:color w:val="auto"/>
                      <w:szCs w:val="21"/>
                      <w:highlight w:val="yellow"/>
                    </w:rPr>
                  </w:pPr>
                </w:p>
              </w:tc>
              <w:tc>
                <w:tcPr>
                  <w:tcW w:w="645" w:type="dxa"/>
                  <w:vMerge w:val="continue"/>
                  <w:noWrap w:val="0"/>
                  <w:vAlign w:val="center"/>
                </w:tcPr>
                <w:p w14:paraId="60EC332E">
                  <w:pPr>
                    <w:widowControl/>
                    <w:adjustRightInd w:val="0"/>
                    <w:snapToGrid w:val="0"/>
                    <w:jc w:val="center"/>
                    <w:rPr>
                      <w:color w:val="auto"/>
                      <w:szCs w:val="21"/>
                      <w:highlight w:val="yellow"/>
                    </w:rPr>
                  </w:pPr>
                </w:p>
              </w:tc>
              <w:tc>
                <w:tcPr>
                  <w:tcW w:w="630" w:type="dxa"/>
                  <w:vMerge w:val="continue"/>
                  <w:noWrap w:val="0"/>
                  <w:vAlign w:val="center"/>
                </w:tcPr>
                <w:p w14:paraId="54604224">
                  <w:pPr>
                    <w:widowControl/>
                    <w:adjustRightInd w:val="0"/>
                    <w:snapToGrid w:val="0"/>
                    <w:jc w:val="left"/>
                    <w:rPr>
                      <w:color w:val="auto"/>
                      <w:szCs w:val="21"/>
                      <w:highlight w:val="yellow"/>
                    </w:rPr>
                  </w:pPr>
                </w:p>
              </w:tc>
              <w:tc>
                <w:tcPr>
                  <w:tcW w:w="775" w:type="dxa"/>
                  <w:vMerge w:val="continue"/>
                  <w:noWrap w:val="0"/>
                  <w:vAlign w:val="center"/>
                </w:tcPr>
                <w:p w14:paraId="3C02AC7C">
                  <w:pPr>
                    <w:widowControl/>
                    <w:adjustRightInd w:val="0"/>
                    <w:snapToGrid w:val="0"/>
                    <w:jc w:val="left"/>
                    <w:rPr>
                      <w:color w:val="auto"/>
                      <w:szCs w:val="21"/>
                      <w:highlight w:val="yellow"/>
                    </w:rPr>
                  </w:pPr>
                </w:p>
              </w:tc>
              <w:tc>
                <w:tcPr>
                  <w:tcW w:w="640" w:type="dxa"/>
                  <w:vMerge w:val="continue"/>
                  <w:noWrap w:val="0"/>
                  <w:vAlign w:val="center"/>
                </w:tcPr>
                <w:p w14:paraId="7A2D3553">
                  <w:pPr>
                    <w:widowControl/>
                    <w:adjustRightInd w:val="0"/>
                    <w:snapToGrid w:val="0"/>
                    <w:jc w:val="left"/>
                    <w:rPr>
                      <w:color w:val="auto"/>
                      <w:szCs w:val="21"/>
                      <w:highlight w:val="yellow"/>
                    </w:rPr>
                  </w:pPr>
                </w:p>
              </w:tc>
              <w:tc>
                <w:tcPr>
                  <w:tcW w:w="396" w:type="dxa"/>
                  <w:vMerge w:val="continue"/>
                  <w:noWrap w:val="0"/>
                  <w:vAlign w:val="center"/>
                </w:tcPr>
                <w:p w14:paraId="4A31405D">
                  <w:pPr>
                    <w:widowControl/>
                    <w:adjustRightInd w:val="0"/>
                    <w:snapToGrid w:val="0"/>
                    <w:jc w:val="left"/>
                    <w:rPr>
                      <w:color w:val="auto"/>
                      <w:szCs w:val="21"/>
                      <w:highlight w:val="yellow"/>
                    </w:rPr>
                  </w:pPr>
                </w:p>
              </w:tc>
              <w:tc>
                <w:tcPr>
                  <w:tcW w:w="682" w:type="dxa"/>
                  <w:vMerge w:val="continue"/>
                  <w:noWrap w:val="0"/>
                  <w:vAlign w:val="center"/>
                </w:tcPr>
                <w:p w14:paraId="1EE05A65">
                  <w:pPr>
                    <w:widowControl/>
                    <w:adjustRightInd w:val="0"/>
                    <w:snapToGrid w:val="0"/>
                    <w:jc w:val="left"/>
                    <w:rPr>
                      <w:color w:val="auto"/>
                      <w:szCs w:val="21"/>
                      <w:highlight w:val="yellow"/>
                    </w:rPr>
                  </w:pPr>
                </w:p>
              </w:tc>
              <w:tc>
                <w:tcPr>
                  <w:tcW w:w="886" w:type="dxa"/>
                  <w:noWrap w:val="0"/>
                  <w:vAlign w:val="center"/>
                </w:tcPr>
                <w:p w14:paraId="7D2B2C78">
                  <w:pPr>
                    <w:adjustRightInd w:val="0"/>
                    <w:snapToGrid w:val="0"/>
                    <w:jc w:val="center"/>
                    <w:rPr>
                      <w:color w:val="auto"/>
                      <w:szCs w:val="21"/>
                    </w:rPr>
                  </w:pPr>
                  <w:r>
                    <w:rPr>
                      <w:color w:val="auto"/>
                      <w:szCs w:val="21"/>
                    </w:rPr>
                    <w:t>SS</w:t>
                  </w:r>
                </w:p>
              </w:tc>
              <w:tc>
                <w:tcPr>
                  <w:tcW w:w="1048" w:type="dxa"/>
                  <w:noWrap w:val="0"/>
                  <w:vAlign w:val="center"/>
                </w:tcPr>
                <w:p w14:paraId="743DA032">
                  <w:pPr>
                    <w:adjustRightInd w:val="0"/>
                    <w:snapToGrid w:val="0"/>
                    <w:jc w:val="center"/>
                    <w:rPr>
                      <w:color w:val="auto"/>
                      <w:szCs w:val="21"/>
                    </w:rPr>
                  </w:pPr>
                  <w:r>
                    <w:rPr>
                      <w:rFonts w:hint="eastAsia"/>
                      <w:color w:val="auto"/>
                      <w:szCs w:val="21"/>
                    </w:rPr>
                    <w:t>10</w:t>
                  </w:r>
                </w:p>
              </w:tc>
            </w:tr>
            <w:tr w14:paraId="5110FFC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3" w:type="dxa"/>
                  <w:vMerge w:val="continue"/>
                  <w:noWrap w:val="0"/>
                  <w:vAlign w:val="center"/>
                </w:tcPr>
                <w:p w14:paraId="21D9870A">
                  <w:pPr>
                    <w:widowControl/>
                    <w:adjustRightInd w:val="0"/>
                    <w:snapToGrid w:val="0"/>
                    <w:jc w:val="left"/>
                    <w:rPr>
                      <w:color w:val="auto"/>
                      <w:szCs w:val="21"/>
                      <w:highlight w:val="yellow"/>
                    </w:rPr>
                  </w:pPr>
                </w:p>
              </w:tc>
              <w:tc>
                <w:tcPr>
                  <w:tcW w:w="915" w:type="dxa"/>
                  <w:vMerge w:val="continue"/>
                  <w:noWrap w:val="0"/>
                  <w:vAlign w:val="center"/>
                </w:tcPr>
                <w:p w14:paraId="3A132E5E">
                  <w:pPr>
                    <w:widowControl/>
                    <w:adjustRightInd w:val="0"/>
                    <w:snapToGrid w:val="0"/>
                    <w:jc w:val="left"/>
                    <w:rPr>
                      <w:color w:val="auto"/>
                      <w:szCs w:val="21"/>
                      <w:highlight w:val="yellow"/>
                    </w:rPr>
                  </w:pPr>
                </w:p>
              </w:tc>
              <w:tc>
                <w:tcPr>
                  <w:tcW w:w="960" w:type="dxa"/>
                  <w:vMerge w:val="continue"/>
                  <w:noWrap w:val="0"/>
                  <w:vAlign w:val="center"/>
                </w:tcPr>
                <w:p w14:paraId="45629AAD">
                  <w:pPr>
                    <w:widowControl/>
                    <w:adjustRightInd w:val="0"/>
                    <w:snapToGrid w:val="0"/>
                    <w:jc w:val="left"/>
                    <w:rPr>
                      <w:color w:val="auto"/>
                      <w:szCs w:val="21"/>
                      <w:highlight w:val="yellow"/>
                    </w:rPr>
                  </w:pPr>
                </w:p>
              </w:tc>
              <w:tc>
                <w:tcPr>
                  <w:tcW w:w="645" w:type="dxa"/>
                  <w:vMerge w:val="continue"/>
                  <w:noWrap w:val="0"/>
                  <w:vAlign w:val="center"/>
                </w:tcPr>
                <w:p w14:paraId="18A2A262">
                  <w:pPr>
                    <w:widowControl/>
                    <w:adjustRightInd w:val="0"/>
                    <w:snapToGrid w:val="0"/>
                    <w:jc w:val="center"/>
                    <w:rPr>
                      <w:color w:val="auto"/>
                      <w:szCs w:val="21"/>
                      <w:highlight w:val="yellow"/>
                    </w:rPr>
                  </w:pPr>
                </w:p>
              </w:tc>
              <w:tc>
                <w:tcPr>
                  <w:tcW w:w="630" w:type="dxa"/>
                  <w:vMerge w:val="continue"/>
                  <w:noWrap w:val="0"/>
                  <w:vAlign w:val="center"/>
                </w:tcPr>
                <w:p w14:paraId="50E10B54">
                  <w:pPr>
                    <w:widowControl/>
                    <w:adjustRightInd w:val="0"/>
                    <w:snapToGrid w:val="0"/>
                    <w:jc w:val="left"/>
                    <w:rPr>
                      <w:color w:val="auto"/>
                      <w:szCs w:val="21"/>
                      <w:highlight w:val="yellow"/>
                    </w:rPr>
                  </w:pPr>
                </w:p>
              </w:tc>
              <w:tc>
                <w:tcPr>
                  <w:tcW w:w="775" w:type="dxa"/>
                  <w:vMerge w:val="continue"/>
                  <w:noWrap w:val="0"/>
                  <w:vAlign w:val="center"/>
                </w:tcPr>
                <w:p w14:paraId="3EB58FB1">
                  <w:pPr>
                    <w:widowControl/>
                    <w:adjustRightInd w:val="0"/>
                    <w:snapToGrid w:val="0"/>
                    <w:jc w:val="left"/>
                    <w:rPr>
                      <w:color w:val="auto"/>
                      <w:szCs w:val="21"/>
                      <w:highlight w:val="yellow"/>
                    </w:rPr>
                  </w:pPr>
                </w:p>
              </w:tc>
              <w:tc>
                <w:tcPr>
                  <w:tcW w:w="640" w:type="dxa"/>
                  <w:vMerge w:val="continue"/>
                  <w:noWrap w:val="0"/>
                  <w:vAlign w:val="center"/>
                </w:tcPr>
                <w:p w14:paraId="329AE2BD">
                  <w:pPr>
                    <w:widowControl/>
                    <w:adjustRightInd w:val="0"/>
                    <w:snapToGrid w:val="0"/>
                    <w:jc w:val="left"/>
                    <w:rPr>
                      <w:color w:val="auto"/>
                      <w:szCs w:val="21"/>
                      <w:highlight w:val="yellow"/>
                    </w:rPr>
                  </w:pPr>
                </w:p>
              </w:tc>
              <w:tc>
                <w:tcPr>
                  <w:tcW w:w="396" w:type="dxa"/>
                  <w:vMerge w:val="continue"/>
                  <w:noWrap w:val="0"/>
                  <w:vAlign w:val="center"/>
                </w:tcPr>
                <w:p w14:paraId="1B17DC2F">
                  <w:pPr>
                    <w:widowControl/>
                    <w:adjustRightInd w:val="0"/>
                    <w:snapToGrid w:val="0"/>
                    <w:jc w:val="left"/>
                    <w:rPr>
                      <w:color w:val="auto"/>
                      <w:szCs w:val="21"/>
                      <w:highlight w:val="yellow"/>
                    </w:rPr>
                  </w:pPr>
                </w:p>
              </w:tc>
              <w:tc>
                <w:tcPr>
                  <w:tcW w:w="682" w:type="dxa"/>
                  <w:vMerge w:val="continue"/>
                  <w:noWrap w:val="0"/>
                  <w:vAlign w:val="center"/>
                </w:tcPr>
                <w:p w14:paraId="572771B1">
                  <w:pPr>
                    <w:widowControl/>
                    <w:adjustRightInd w:val="0"/>
                    <w:snapToGrid w:val="0"/>
                    <w:jc w:val="left"/>
                    <w:rPr>
                      <w:color w:val="auto"/>
                      <w:szCs w:val="21"/>
                      <w:highlight w:val="yellow"/>
                    </w:rPr>
                  </w:pPr>
                </w:p>
              </w:tc>
              <w:tc>
                <w:tcPr>
                  <w:tcW w:w="886" w:type="dxa"/>
                  <w:noWrap w:val="0"/>
                  <w:vAlign w:val="center"/>
                </w:tcPr>
                <w:p w14:paraId="7F358962">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048" w:type="dxa"/>
                  <w:noWrap w:val="0"/>
                  <w:vAlign w:val="center"/>
                </w:tcPr>
                <w:p w14:paraId="165647FD">
                  <w:pPr>
                    <w:adjustRightInd w:val="0"/>
                    <w:snapToGrid w:val="0"/>
                    <w:jc w:val="center"/>
                    <w:rPr>
                      <w:rFonts w:hint="eastAsia" w:eastAsia="宋体"/>
                      <w:color w:val="auto"/>
                      <w:szCs w:val="21"/>
                      <w:lang w:eastAsia="zh-CN"/>
                    </w:rPr>
                  </w:pPr>
                  <w:r>
                    <w:rPr>
                      <w:rFonts w:hint="eastAsia"/>
                      <w:color w:val="auto"/>
                      <w:szCs w:val="21"/>
                      <w:lang w:val="en-US" w:eastAsia="zh-CN"/>
                    </w:rPr>
                    <w:t>5</w:t>
                  </w:r>
                </w:p>
              </w:tc>
            </w:tr>
            <w:tr w14:paraId="5DE3780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593" w:type="dxa"/>
                  <w:vMerge w:val="continue"/>
                  <w:noWrap w:val="0"/>
                  <w:vAlign w:val="center"/>
                </w:tcPr>
                <w:p w14:paraId="1BE771C6">
                  <w:pPr>
                    <w:widowControl/>
                    <w:adjustRightInd w:val="0"/>
                    <w:snapToGrid w:val="0"/>
                    <w:jc w:val="left"/>
                    <w:rPr>
                      <w:color w:val="auto"/>
                      <w:szCs w:val="21"/>
                      <w:highlight w:val="yellow"/>
                    </w:rPr>
                  </w:pPr>
                </w:p>
              </w:tc>
              <w:tc>
                <w:tcPr>
                  <w:tcW w:w="915" w:type="dxa"/>
                  <w:vMerge w:val="continue"/>
                  <w:noWrap w:val="0"/>
                  <w:vAlign w:val="center"/>
                </w:tcPr>
                <w:p w14:paraId="327A3F49">
                  <w:pPr>
                    <w:widowControl/>
                    <w:adjustRightInd w:val="0"/>
                    <w:snapToGrid w:val="0"/>
                    <w:jc w:val="left"/>
                    <w:rPr>
                      <w:color w:val="auto"/>
                      <w:szCs w:val="21"/>
                      <w:highlight w:val="yellow"/>
                    </w:rPr>
                  </w:pPr>
                </w:p>
              </w:tc>
              <w:tc>
                <w:tcPr>
                  <w:tcW w:w="960" w:type="dxa"/>
                  <w:vMerge w:val="continue"/>
                  <w:noWrap w:val="0"/>
                  <w:vAlign w:val="center"/>
                </w:tcPr>
                <w:p w14:paraId="6EE67D12">
                  <w:pPr>
                    <w:widowControl/>
                    <w:adjustRightInd w:val="0"/>
                    <w:snapToGrid w:val="0"/>
                    <w:jc w:val="left"/>
                    <w:rPr>
                      <w:color w:val="auto"/>
                      <w:szCs w:val="21"/>
                      <w:highlight w:val="yellow"/>
                    </w:rPr>
                  </w:pPr>
                </w:p>
              </w:tc>
              <w:tc>
                <w:tcPr>
                  <w:tcW w:w="645" w:type="dxa"/>
                  <w:vMerge w:val="continue"/>
                  <w:noWrap w:val="0"/>
                  <w:vAlign w:val="center"/>
                </w:tcPr>
                <w:p w14:paraId="487CF985">
                  <w:pPr>
                    <w:widowControl/>
                    <w:adjustRightInd w:val="0"/>
                    <w:snapToGrid w:val="0"/>
                    <w:jc w:val="center"/>
                    <w:rPr>
                      <w:color w:val="auto"/>
                      <w:szCs w:val="21"/>
                      <w:highlight w:val="yellow"/>
                    </w:rPr>
                  </w:pPr>
                </w:p>
              </w:tc>
              <w:tc>
                <w:tcPr>
                  <w:tcW w:w="630" w:type="dxa"/>
                  <w:vMerge w:val="continue"/>
                  <w:noWrap w:val="0"/>
                  <w:vAlign w:val="center"/>
                </w:tcPr>
                <w:p w14:paraId="32901613">
                  <w:pPr>
                    <w:widowControl/>
                    <w:adjustRightInd w:val="0"/>
                    <w:snapToGrid w:val="0"/>
                    <w:jc w:val="left"/>
                    <w:rPr>
                      <w:color w:val="auto"/>
                      <w:szCs w:val="21"/>
                      <w:highlight w:val="yellow"/>
                    </w:rPr>
                  </w:pPr>
                </w:p>
              </w:tc>
              <w:tc>
                <w:tcPr>
                  <w:tcW w:w="775" w:type="dxa"/>
                  <w:vMerge w:val="continue"/>
                  <w:noWrap w:val="0"/>
                  <w:vAlign w:val="center"/>
                </w:tcPr>
                <w:p w14:paraId="7FF77D37">
                  <w:pPr>
                    <w:widowControl/>
                    <w:adjustRightInd w:val="0"/>
                    <w:snapToGrid w:val="0"/>
                    <w:jc w:val="left"/>
                    <w:rPr>
                      <w:color w:val="auto"/>
                      <w:szCs w:val="21"/>
                      <w:highlight w:val="yellow"/>
                    </w:rPr>
                  </w:pPr>
                </w:p>
              </w:tc>
              <w:tc>
                <w:tcPr>
                  <w:tcW w:w="640" w:type="dxa"/>
                  <w:vMerge w:val="continue"/>
                  <w:noWrap w:val="0"/>
                  <w:vAlign w:val="center"/>
                </w:tcPr>
                <w:p w14:paraId="4EF46F85">
                  <w:pPr>
                    <w:widowControl/>
                    <w:adjustRightInd w:val="0"/>
                    <w:snapToGrid w:val="0"/>
                    <w:jc w:val="left"/>
                    <w:rPr>
                      <w:color w:val="auto"/>
                      <w:szCs w:val="21"/>
                      <w:highlight w:val="yellow"/>
                    </w:rPr>
                  </w:pPr>
                </w:p>
              </w:tc>
              <w:tc>
                <w:tcPr>
                  <w:tcW w:w="396" w:type="dxa"/>
                  <w:vMerge w:val="continue"/>
                  <w:noWrap w:val="0"/>
                  <w:vAlign w:val="center"/>
                </w:tcPr>
                <w:p w14:paraId="50A37857">
                  <w:pPr>
                    <w:widowControl/>
                    <w:adjustRightInd w:val="0"/>
                    <w:snapToGrid w:val="0"/>
                    <w:jc w:val="left"/>
                    <w:rPr>
                      <w:color w:val="auto"/>
                      <w:szCs w:val="21"/>
                      <w:highlight w:val="yellow"/>
                    </w:rPr>
                  </w:pPr>
                </w:p>
              </w:tc>
              <w:tc>
                <w:tcPr>
                  <w:tcW w:w="682" w:type="dxa"/>
                  <w:vMerge w:val="continue"/>
                  <w:noWrap w:val="0"/>
                  <w:vAlign w:val="center"/>
                </w:tcPr>
                <w:p w14:paraId="283FCFB3">
                  <w:pPr>
                    <w:widowControl/>
                    <w:adjustRightInd w:val="0"/>
                    <w:snapToGrid w:val="0"/>
                    <w:jc w:val="left"/>
                    <w:rPr>
                      <w:color w:val="auto"/>
                      <w:szCs w:val="21"/>
                      <w:highlight w:val="yellow"/>
                    </w:rPr>
                  </w:pPr>
                </w:p>
              </w:tc>
              <w:tc>
                <w:tcPr>
                  <w:tcW w:w="886" w:type="dxa"/>
                  <w:noWrap w:val="0"/>
                  <w:vAlign w:val="center"/>
                </w:tcPr>
                <w:p w14:paraId="4696DF8B">
                  <w:pPr>
                    <w:adjustRightInd w:val="0"/>
                    <w:snapToGrid w:val="0"/>
                    <w:jc w:val="center"/>
                    <w:rPr>
                      <w:color w:val="auto"/>
                      <w:szCs w:val="21"/>
                    </w:rPr>
                  </w:pPr>
                  <w:r>
                    <w:rPr>
                      <w:color w:val="auto"/>
                      <w:szCs w:val="21"/>
                    </w:rPr>
                    <w:t>TP</w:t>
                  </w:r>
                </w:p>
              </w:tc>
              <w:tc>
                <w:tcPr>
                  <w:tcW w:w="1048" w:type="dxa"/>
                  <w:noWrap w:val="0"/>
                  <w:vAlign w:val="center"/>
                </w:tcPr>
                <w:p w14:paraId="4B24F7A8">
                  <w:pPr>
                    <w:adjustRightInd w:val="0"/>
                    <w:snapToGrid w:val="0"/>
                    <w:jc w:val="center"/>
                    <w:rPr>
                      <w:rFonts w:hint="eastAsia" w:eastAsia="宋体"/>
                      <w:color w:val="auto"/>
                      <w:szCs w:val="21"/>
                      <w:lang w:eastAsia="zh-CN"/>
                    </w:rPr>
                  </w:pPr>
                  <w:r>
                    <w:rPr>
                      <w:rFonts w:hint="eastAsia"/>
                      <w:color w:val="auto"/>
                      <w:szCs w:val="21"/>
                    </w:rPr>
                    <w:t>0.</w:t>
                  </w:r>
                  <w:r>
                    <w:rPr>
                      <w:rFonts w:hint="eastAsia"/>
                      <w:color w:val="auto"/>
                      <w:szCs w:val="21"/>
                      <w:lang w:val="en-US" w:eastAsia="zh-CN"/>
                    </w:rPr>
                    <w:t>5</w:t>
                  </w:r>
                </w:p>
              </w:tc>
            </w:tr>
            <w:tr w14:paraId="185AE3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3" w:type="dxa"/>
                  <w:vMerge w:val="continue"/>
                  <w:tcBorders>
                    <w:bottom w:val="single" w:color="auto" w:sz="12" w:space="0"/>
                  </w:tcBorders>
                  <w:noWrap w:val="0"/>
                  <w:vAlign w:val="center"/>
                </w:tcPr>
                <w:p w14:paraId="3B78049B">
                  <w:pPr>
                    <w:widowControl/>
                    <w:adjustRightInd w:val="0"/>
                    <w:snapToGrid w:val="0"/>
                    <w:jc w:val="left"/>
                    <w:rPr>
                      <w:color w:val="auto"/>
                      <w:szCs w:val="21"/>
                      <w:highlight w:val="yellow"/>
                    </w:rPr>
                  </w:pPr>
                </w:p>
              </w:tc>
              <w:tc>
                <w:tcPr>
                  <w:tcW w:w="915" w:type="dxa"/>
                  <w:vMerge w:val="continue"/>
                  <w:tcBorders>
                    <w:bottom w:val="single" w:color="auto" w:sz="12" w:space="0"/>
                  </w:tcBorders>
                  <w:noWrap w:val="0"/>
                  <w:vAlign w:val="center"/>
                </w:tcPr>
                <w:p w14:paraId="24311FAD">
                  <w:pPr>
                    <w:widowControl/>
                    <w:adjustRightInd w:val="0"/>
                    <w:snapToGrid w:val="0"/>
                    <w:jc w:val="left"/>
                    <w:rPr>
                      <w:color w:val="auto"/>
                      <w:szCs w:val="21"/>
                      <w:highlight w:val="yellow"/>
                    </w:rPr>
                  </w:pPr>
                </w:p>
              </w:tc>
              <w:tc>
                <w:tcPr>
                  <w:tcW w:w="960" w:type="dxa"/>
                  <w:vMerge w:val="continue"/>
                  <w:tcBorders>
                    <w:bottom w:val="single" w:color="auto" w:sz="12" w:space="0"/>
                  </w:tcBorders>
                  <w:noWrap w:val="0"/>
                  <w:vAlign w:val="center"/>
                </w:tcPr>
                <w:p w14:paraId="070EC29D">
                  <w:pPr>
                    <w:widowControl/>
                    <w:adjustRightInd w:val="0"/>
                    <w:snapToGrid w:val="0"/>
                    <w:jc w:val="left"/>
                    <w:rPr>
                      <w:color w:val="auto"/>
                      <w:szCs w:val="21"/>
                      <w:highlight w:val="yellow"/>
                    </w:rPr>
                  </w:pPr>
                </w:p>
              </w:tc>
              <w:tc>
                <w:tcPr>
                  <w:tcW w:w="645" w:type="dxa"/>
                  <w:vMerge w:val="continue"/>
                  <w:tcBorders>
                    <w:bottom w:val="single" w:color="auto" w:sz="12" w:space="0"/>
                  </w:tcBorders>
                  <w:noWrap w:val="0"/>
                  <w:vAlign w:val="center"/>
                </w:tcPr>
                <w:p w14:paraId="0F9E9EFB">
                  <w:pPr>
                    <w:widowControl/>
                    <w:adjustRightInd w:val="0"/>
                    <w:snapToGrid w:val="0"/>
                    <w:jc w:val="center"/>
                    <w:rPr>
                      <w:color w:val="auto"/>
                      <w:szCs w:val="21"/>
                      <w:highlight w:val="yellow"/>
                    </w:rPr>
                  </w:pPr>
                </w:p>
              </w:tc>
              <w:tc>
                <w:tcPr>
                  <w:tcW w:w="630" w:type="dxa"/>
                  <w:vMerge w:val="continue"/>
                  <w:tcBorders>
                    <w:bottom w:val="single" w:color="auto" w:sz="12" w:space="0"/>
                  </w:tcBorders>
                  <w:noWrap w:val="0"/>
                  <w:vAlign w:val="center"/>
                </w:tcPr>
                <w:p w14:paraId="66C12100">
                  <w:pPr>
                    <w:widowControl/>
                    <w:adjustRightInd w:val="0"/>
                    <w:snapToGrid w:val="0"/>
                    <w:jc w:val="left"/>
                    <w:rPr>
                      <w:color w:val="auto"/>
                      <w:szCs w:val="21"/>
                      <w:highlight w:val="yellow"/>
                    </w:rPr>
                  </w:pPr>
                </w:p>
              </w:tc>
              <w:tc>
                <w:tcPr>
                  <w:tcW w:w="775" w:type="dxa"/>
                  <w:vMerge w:val="continue"/>
                  <w:tcBorders>
                    <w:bottom w:val="single" w:color="auto" w:sz="12" w:space="0"/>
                  </w:tcBorders>
                  <w:noWrap w:val="0"/>
                  <w:vAlign w:val="center"/>
                </w:tcPr>
                <w:p w14:paraId="5CD7DC5F">
                  <w:pPr>
                    <w:widowControl/>
                    <w:adjustRightInd w:val="0"/>
                    <w:snapToGrid w:val="0"/>
                    <w:jc w:val="left"/>
                    <w:rPr>
                      <w:color w:val="auto"/>
                      <w:szCs w:val="21"/>
                      <w:highlight w:val="yellow"/>
                    </w:rPr>
                  </w:pPr>
                </w:p>
              </w:tc>
              <w:tc>
                <w:tcPr>
                  <w:tcW w:w="640" w:type="dxa"/>
                  <w:vMerge w:val="continue"/>
                  <w:tcBorders>
                    <w:bottom w:val="single" w:color="auto" w:sz="12" w:space="0"/>
                  </w:tcBorders>
                  <w:noWrap w:val="0"/>
                  <w:vAlign w:val="center"/>
                </w:tcPr>
                <w:p w14:paraId="2230A36D">
                  <w:pPr>
                    <w:widowControl/>
                    <w:adjustRightInd w:val="0"/>
                    <w:snapToGrid w:val="0"/>
                    <w:jc w:val="left"/>
                    <w:rPr>
                      <w:color w:val="auto"/>
                      <w:szCs w:val="21"/>
                      <w:highlight w:val="yellow"/>
                    </w:rPr>
                  </w:pPr>
                </w:p>
              </w:tc>
              <w:tc>
                <w:tcPr>
                  <w:tcW w:w="396" w:type="dxa"/>
                  <w:vMerge w:val="continue"/>
                  <w:tcBorders>
                    <w:bottom w:val="single" w:color="auto" w:sz="12" w:space="0"/>
                  </w:tcBorders>
                  <w:noWrap w:val="0"/>
                  <w:vAlign w:val="center"/>
                </w:tcPr>
                <w:p w14:paraId="6DD26369">
                  <w:pPr>
                    <w:widowControl/>
                    <w:adjustRightInd w:val="0"/>
                    <w:snapToGrid w:val="0"/>
                    <w:jc w:val="left"/>
                    <w:rPr>
                      <w:color w:val="auto"/>
                      <w:szCs w:val="21"/>
                      <w:highlight w:val="yellow"/>
                    </w:rPr>
                  </w:pPr>
                </w:p>
              </w:tc>
              <w:tc>
                <w:tcPr>
                  <w:tcW w:w="682" w:type="dxa"/>
                  <w:vMerge w:val="continue"/>
                  <w:tcBorders>
                    <w:bottom w:val="single" w:color="auto" w:sz="12" w:space="0"/>
                  </w:tcBorders>
                  <w:noWrap w:val="0"/>
                  <w:vAlign w:val="center"/>
                </w:tcPr>
                <w:p w14:paraId="55A03E3F">
                  <w:pPr>
                    <w:widowControl/>
                    <w:adjustRightInd w:val="0"/>
                    <w:snapToGrid w:val="0"/>
                    <w:jc w:val="left"/>
                    <w:rPr>
                      <w:color w:val="auto"/>
                      <w:szCs w:val="21"/>
                      <w:highlight w:val="yellow"/>
                    </w:rPr>
                  </w:pPr>
                </w:p>
              </w:tc>
              <w:tc>
                <w:tcPr>
                  <w:tcW w:w="886" w:type="dxa"/>
                  <w:tcBorders>
                    <w:bottom w:val="single" w:color="auto" w:sz="12" w:space="0"/>
                  </w:tcBorders>
                  <w:noWrap w:val="0"/>
                  <w:vAlign w:val="center"/>
                </w:tcPr>
                <w:p w14:paraId="5AC2D0C7">
                  <w:pPr>
                    <w:adjustRightInd w:val="0"/>
                    <w:snapToGrid w:val="0"/>
                    <w:jc w:val="center"/>
                    <w:rPr>
                      <w:color w:val="auto"/>
                      <w:szCs w:val="21"/>
                    </w:rPr>
                  </w:pPr>
                  <w:r>
                    <w:rPr>
                      <w:rFonts w:hint="eastAsia"/>
                      <w:color w:val="auto"/>
                      <w:szCs w:val="21"/>
                    </w:rPr>
                    <w:t>TN</w:t>
                  </w:r>
                </w:p>
              </w:tc>
              <w:tc>
                <w:tcPr>
                  <w:tcW w:w="1048" w:type="dxa"/>
                  <w:tcBorders>
                    <w:bottom w:val="single" w:color="auto" w:sz="12" w:space="0"/>
                  </w:tcBorders>
                  <w:noWrap w:val="0"/>
                  <w:vAlign w:val="center"/>
                </w:tcPr>
                <w:p w14:paraId="5C4D19CB">
                  <w:pPr>
                    <w:adjustRightInd w:val="0"/>
                    <w:snapToGrid w:val="0"/>
                    <w:jc w:val="center"/>
                    <w:rPr>
                      <w:rFonts w:hint="default" w:eastAsia="宋体"/>
                      <w:color w:val="auto"/>
                      <w:szCs w:val="21"/>
                      <w:lang w:val="en-US" w:eastAsia="zh-CN"/>
                    </w:rPr>
                  </w:pPr>
                  <w:r>
                    <w:rPr>
                      <w:rFonts w:hint="eastAsia"/>
                      <w:color w:val="auto"/>
                      <w:szCs w:val="21"/>
                      <w:lang w:val="en-US" w:eastAsia="zh-CN"/>
                    </w:rPr>
                    <w:t>15</w:t>
                  </w:r>
                </w:p>
              </w:tc>
            </w:tr>
          </w:tbl>
          <w:p w14:paraId="566AAC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rPr>
              <w:t>本项目废水污染物排放信息见表4-</w:t>
            </w:r>
            <w:r>
              <w:rPr>
                <w:rFonts w:hint="eastAsia" w:ascii="Times New Roman" w:hAnsi="Times New Roman" w:eastAsia="宋体" w:cs="Times New Roman"/>
                <w:color w:val="000000"/>
                <w:kern w:val="0"/>
                <w:sz w:val="24"/>
                <w:lang w:val="en-US" w:eastAsia="zh-CN"/>
              </w:rPr>
              <w:t>1</w:t>
            </w:r>
            <w:r>
              <w:rPr>
                <w:rFonts w:hint="eastAsia" w:cs="Times New Roman"/>
                <w:color w:val="000000"/>
                <w:kern w:val="0"/>
                <w:sz w:val="24"/>
                <w:lang w:val="en-US" w:eastAsia="zh-CN"/>
              </w:rPr>
              <w:t>4</w:t>
            </w:r>
            <w:r>
              <w:rPr>
                <w:rFonts w:hint="eastAsia" w:ascii="Times New Roman" w:hAnsi="Times New Roman" w:eastAsia="宋体" w:cs="Times New Roman"/>
                <w:color w:val="000000"/>
                <w:kern w:val="0"/>
                <w:sz w:val="24"/>
              </w:rPr>
              <w:t>。</w:t>
            </w:r>
          </w:p>
          <w:p w14:paraId="4FDA91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b/>
                <w:color w:val="auto"/>
                <w:szCs w:val="21"/>
              </w:rPr>
            </w:pPr>
            <w:r>
              <w:rPr>
                <w:b/>
                <w:bCs/>
                <w:color w:val="000000"/>
                <w:szCs w:val="21"/>
              </w:rPr>
              <w:t>表4-</w:t>
            </w:r>
            <w:r>
              <w:rPr>
                <w:rFonts w:hint="eastAsia"/>
                <w:b/>
                <w:bCs/>
                <w:color w:val="000000"/>
                <w:szCs w:val="21"/>
                <w:lang w:val="en-US" w:eastAsia="zh-CN"/>
              </w:rPr>
              <w:t>14</w:t>
            </w:r>
            <w:r>
              <w:rPr>
                <w:b/>
                <w:bCs/>
                <w:color w:val="000000"/>
                <w:szCs w:val="21"/>
              </w:rPr>
              <w:t xml:space="preserve"> </w:t>
            </w:r>
            <w:r>
              <w:rPr>
                <w:rFonts w:hint="eastAsia" w:hAnsi="宋体"/>
                <w:b/>
                <w:color w:val="auto"/>
                <w:szCs w:val="21"/>
              </w:rPr>
              <w:t>废水污染物排放信息表</w:t>
            </w:r>
          </w:p>
          <w:tbl>
            <w:tblPr>
              <w:tblStyle w:val="20"/>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25"/>
              <w:gridCol w:w="750"/>
              <w:gridCol w:w="982"/>
              <w:gridCol w:w="1732"/>
              <w:gridCol w:w="1531"/>
              <w:gridCol w:w="1542"/>
            </w:tblGrid>
            <w:tr w14:paraId="39CD7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708" w:type="dxa"/>
                  <w:tcBorders>
                    <w:top w:val="single" w:color="auto" w:sz="12" w:space="0"/>
                    <w:left w:val="nil"/>
                    <w:bottom w:val="single" w:color="auto" w:sz="4" w:space="0"/>
                    <w:right w:val="single" w:color="auto" w:sz="4" w:space="0"/>
                  </w:tcBorders>
                  <w:noWrap w:val="0"/>
                  <w:vAlign w:val="center"/>
                </w:tcPr>
                <w:p w14:paraId="18E08A19">
                  <w:pPr>
                    <w:adjustRightInd w:val="0"/>
                    <w:snapToGrid w:val="0"/>
                    <w:jc w:val="center"/>
                    <w:rPr>
                      <w:b/>
                      <w:color w:val="auto"/>
                      <w:szCs w:val="21"/>
                    </w:rPr>
                  </w:pPr>
                  <w:r>
                    <w:rPr>
                      <w:rFonts w:hint="eastAsia"/>
                      <w:b/>
                      <w:color w:val="auto"/>
                      <w:szCs w:val="21"/>
                    </w:rPr>
                    <w:t>序号</w:t>
                  </w:r>
                </w:p>
              </w:tc>
              <w:tc>
                <w:tcPr>
                  <w:tcW w:w="925" w:type="dxa"/>
                  <w:tcBorders>
                    <w:top w:val="single" w:color="auto" w:sz="12" w:space="0"/>
                    <w:left w:val="single" w:color="auto" w:sz="4" w:space="0"/>
                    <w:bottom w:val="single" w:color="auto" w:sz="4" w:space="0"/>
                    <w:right w:val="single" w:color="auto" w:sz="4" w:space="0"/>
                  </w:tcBorders>
                  <w:noWrap w:val="0"/>
                  <w:vAlign w:val="center"/>
                </w:tcPr>
                <w:p w14:paraId="640B80BC">
                  <w:pPr>
                    <w:adjustRightInd w:val="0"/>
                    <w:snapToGrid w:val="0"/>
                    <w:jc w:val="center"/>
                    <w:rPr>
                      <w:b/>
                      <w:color w:val="auto"/>
                      <w:szCs w:val="21"/>
                    </w:rPr>
                  </w:pPr>
                  <w:r>
                    <w:rPr>
                      <w:rFonts w:hint="eastAsia"/>
                      <w:b/>
                      <w:color w:val="auto"/>
                      <w:szCs w:val="21"/>
                    </w:rPr>
                    <w:t>排放口编号</w:t>
                  </w:r>
                </w:p>
              </w:tc>
              <w:tc>
                <w:tcPr>
                  <w:tcW w:w="1732" w:type="dxa"/>
                  <w:gridSpan w:val="2"/>
                  <w:tcBorders>
                    <w:top w:val="single" w:color="auto" w:sz="12" w:space="0"/>
                    <w:left w:val="single" w:color="auto" w:sz="4" w:space="0"/>
                    <w:bottom w:val="single" w:color="auto" w:sz="4" w:space="0"/>
                    <w:right w:val="single" w:color="auto" w:sz="4" w:space="0"/>
                  </w:tcBorders>
                  <w:noWrap w:val="0"/>
                  <w:vAlign w:val="center"/>
                </w:tcPr>
                <w:p w14:paraId="729A215F">
                  <w:pPr>
                    <w:adjustRightInd w:val="0"/>
                    <w:snapToGrid w:val="0"/>
                    <w:jc w:val="center"/>
                    <w:rPr>
                      <w:b/>
                      <w:color w:val="auto"/>
                      <w:szCs w:val="21"/>
                    </w:rPr>
                  </w:pPr>
                  <w:r>
                    <w:rPr>
                      <w:rFonts w:hint="eastAsia"/>
                      <w:b/>
                      <w:color w:val="auto"/>
                      <w:szCs w:val="21"/>
                    </w:rPr>
                    <w:t>污染物种类</w:t>
                  </w:r>
                </w:p>
              </w:tc>
              <w:tc>
                <w:tcPr>
                  <w:tcW w:w="1732" w:type="dxa"/>
                  <w:tcBorders>
                    <w:top w:val="single" w:color="auto" w:sz="12" w:space="0"/>
                    <w:left w:val="single" w:color="auto" w:sz="4" w:space="0"/>
                    <w:bottom w:val="single" w:color="auto" w:sz="4" w:space="0"/>
                    <w:right w:val="single" w:color="auto" w:sz="4" w:space="0"/>
                  </w:tcBorders>
                  <w:noWrap w:val="0"/>
                  <w:vAlign w:val="center"/>
                </w:tcPr>
                <w:p w14:paraId="78E8A56E">
                  <w:pPr>
                    <w:adjustRightInd w:val="0"/>
                    <w:snapToGrid w:val="0"/>
                    <w:jc w:val="center"/>
                    <w:rPr>
                      <w:b/>
                      <w:color w:val="auto"/>
                      <w:szCs w:val="21"/>
                    </w:rPr>
                  </w:pPr>
                  <w:r>
                    <w:rPr>
                      <w:rFonts w:hint="eastAsia"/>
                      <w:b/>
                      <w:color w:val="auto"/>
                      <w:szCs w:val="21"/>
                    </w:rPr>
                    <w:t>排放浓度/（</w:t>
                  </w:r>
                  <w:r>
                    <w:rPr>
                      <w:b/>
                      <w:color w:val="auto"/>
                      <w:szCs w:val="21"/>
                    </w:rPr>
                    <w:t>mg/L</w:t>
                  </w:r>
                  <w:r>
                    <w:rPr>
                      <w:rFonts w:hint="eastAsia"/>
                      <w:b/>
                      <w:color w:val="auto"/>
                      <w:szCs w:val="21"/>
                    </w:rPr>
                    <w:t>）</w:t>
                  </w:r>
                </w:p>
              </w:tc>
              <w:tc>
                <w:tcPr>
                  <w:tcW w:w="1531" w:type="dxa"/>
                  <w:tcBorders>
                    <w:top w:val="single" w:color="auto" w:sz="12" w:space="0"/>
                    <w:left w:val="single" w:color="auto" w:sz="4" w:space="0"/>
                    <w:bottom w:val="single" w:color="auto" w:sz="4" w:space="0"/>
                    <w:right w:val="single" w:color="auto" w:sz="4" w:space="0"/>
                  </w:tcBorders>
                  <w:noWrap w:val="0"/>
                  <w:vAlign w:val="center"/>
                </w:tcPr>
                <w:p w14:paraId="716BE2A4">
                  <w:pPr>
                    <w:adjustRightInd w:val="0"/>
                    <w:snapToGrid w:val="0"/>
                    <w:jc w:val="center"/>
                    <w:rPr>
                      <w:b/>
                      <w:color w:val="auto"/>
                      <w:szCs w:val="21"/>
                    </w:rPr>
                  </w:pPr>
                  <w:r>
                    <w:rPr>
                      <w:rFonts w:hint="eastAsia"/>
                      <w:b/>
                      <w:color w:val="auto"/>
                      <w:szCs w:val="21"/>
                    </w:rPr>
                    <w:t>日排放量/（</w:t>
                  </w:r>
                  <w:r>
                    <w:rPr>
                      <w:b/>
                      <w:color w:val="auto"/>
                      <w:szCs w:val="21"/>
                    </w:rPr>
                    <w:t>t/d</w:t>
                  </w:r>
                  <w:r>
                    <w:rPr>
                      <w:rFonts w:hint="eastAsia"/>
                      <w:b/>
                      <w:color w:val="auto"/>
                      <w:szCs w:val="21"/>
                    </w:rPr>
                    <w:t>）</w:t>
                  </w:r>
                </w:p>
              </w:tc>
              <w:tc>
                <w:tcPr>
                  <w:tcW w:w="1542" w:type="dxa"/>
                  <w:tcBorders>
                    <w:top w:val="single" w:color="auto" w:sz="12" w:space="0"/>
                    <w:left w:val="single" w:color="auto" w:sz="4" w:space="0"/>
                    <w:bottom w:val="single" w:color="auto" w:sz="4" w:space="0"/>
                    <w:right w:val="nil"/>
                  </w:tcBorders>
                  <w:noWrap w:val="0"/>
                  <w:vAlign w:val="center"/>
                </w:tcPr>
                <w:p w14:paraId="7179F601">
                  <w:pPr>
                    <w:adjustRightInd w:val="0"/>
                    <w:snapToGrid w:val="0"/>
                    <w:jc w:val="center"/>
                    <w:rPr>
                      <w:b/>
                      <w:color w:val="auto"/>
                      <w:szCs w:val="21"/>
                    </w:rPr>
                  </w:pPr>
                  <w:r>
                    <w:rPr>
                      <w:rFonts w:hint="eastAsia"/>
                      <w:b/>
                      <w:color w:val="auto"/>
                      <w:szCs w:val="21"/>
                    </w:rPr>
                    <w:t>年排放量/（</w:t>
                  </w:r>
                  <w:r>
                    <w:rPr>
                      <w:b/>
                      <w:color w:val="auto"/>
                      <w:szCs w:val="21"/>
                    </w:rPr>
                    <w:t>t/a</w:t>
                  </w:r>
                  <w:r>
                    <w:rPr>
                      <w:rFonts w:hint="eastAsia"/>
                      <w:b/>
                      <w:color w:val="auto"/>
                      <w:szCs w:val="21"/>
                    </w:rPr>
                    <w:t>）</w:t>
                  </w:r>
                </w:p>
              </w:tc>
            </w:tr>
            <w:tr w14:paraId="14B67F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08" w:type="dxa"/>
                  <w:tcBorders>
                    <w:top w:val="single" w:color="auto" w:sz="4" w:space="0"/>
                    <w:left w:val="nil"/>
                    <w:bottom w:val="single" w:color="auto" w:sz="4" w:space="0"/>
                    <w:right w:val="single" w:color="auto" w:sz="4" w:space="0"/>
                  </w:tcBorders>
                  <w:noWrap w:val="0"/>
                  <w:vAlign w:val="center"/>
                </w:tcPr>
                <w:p w14:paraId="04F2EE8B">
                  <w:pPr>
                    <w:adjustRightInd w:val="0"/>
                    <w:snapToGrid w:val="0"/>
                    <w:jc w:val="center"/>
                    <w:rPr>
                      <w:color w:val="auto"/>
                      <w:szCs w:val="21"/>
                    </w:rPr>
                  </w:pPr>
                  <w:r>
                    <w:rPr>
                      <w:color w:val="auto"/>
                      <w:szCs w:val="21"/>
                    </w:rPr>
                    <w:t>1</w:t>
                  </w:r>
                </w:p>
              </w:tc>
              <w:tc>
                <w:tcPr>
                  <w:tcW w:w="925" w:type="dxa"/>
                  <w:vMerge w:val="restart"/>
                  <w:tcBorders>
                    <w:top w:val="single" w:color="auto" w:sz="4" w:space="0"/>
                    <w:left w:val="single" w:color="auto" w:sz="4" w:space="0"/>
                    <w:right w:val="single" w:color="auto" w:sz="4" w:space="0"/>
                  </w:tcBorders>
                  <w:noWrap w:val="0"/>
                  <w:vAlign w:val="center"/>
                </w:tcPr>
                <w:p w14:paraId="28DE2E1C">
                  <w:pPr>
                    <w:adjustRightInd w:val="0"/>
                    <w:snapToGrid w:val="0"/>
                    <w:jc w:val="center"/>
                    <w:rPr>
                      <w:color w:val="auto"/>
                      <w:szCs w:val="21"/>
                    </w:rPr>
                  </w:pPr>
                  <w:r>
                    <w:rPr>
                      <w:color w:val="auto"/>
                      <w:szCs w:val="21"/>
                    </w:rPr>
                    <w:t>DW001</w:t>
                  </w:r>
                </w:p>
              </w:tc>
              <w:tc>
                <w:tcPr>
                  <w:tcW w:w="750" w:type="dxa"/>
                  <w:vMerge w:val="restart"/>
                  <w:tcBorders>
                    <w:top w:val="single" w:color="auto" w:sz="4" w:space="0"/>
                    <w:left w:val="single" w:color="auto" w:sz="4" w:space="0"/>
                    <w:right w:val="single" w:color="auto" w:sz="4" w:space="0"/>
                  </w:tcBorders>
                  <w:noWrap w:val="0"/>
                  <w:vAlign w:val="center"/>
                </w:tcPr>
                <w:p w14:paraId="3270B3EF">
                  <w:pPr>
                    <w:adjustRightInd w:val="0"/>
                    <w:snapToGrid w:val="0"/>
                    <w:jc w:val="center"/>
                    <w:rPr>
                      <w:rFonts w:hint="eastAsia"/>
                      <w:color w:val="auto"/>
                      <w:szCs w:val="21"/>
                    </w:rPr>
                  </w:pPr>
                  <w:r>
                    <w:rPr>
                      <w:rFonts w:hint="eastAsia"/>
                      <w:color w:val="auto"/>
                      <w:szCs w:val="21"/>
                    </w:rPr>
                    <w:t>生活污水</w:t>
                  </w:r>
                </w:p>
              </w:tc>
              <w:tc>
                <w:tcPr>
                  <w:tcW w:w="982" w:type="dxa"/>
                  <w:tcBorders>
                    <w:top w:val="single" w:color="auto" w:sz="4" w:space="0"/>
                    <w:left w:val="single" w:color="auto" w:sz="4" w:space="0"/>
                    <w:bottom w:val="single" w:color="auto" w:sz="4" w:space="0"/>
                    <w:right w:val="single" w:color="auto" w:sz="4" w:space="0"/>
                  </w:tcBorders>
                  <w:noWrap w:val="0"/>
                  <w:vAlign w:val="center"/>
                </w:tcPr>
                <w:p w14:paraId="75EA3109">
                  <w:pPr>
                    <w:adjustRightInd w:val="0"/>
                    <w:snapToGrid w:val="0"/>
                    <w:jc w:val="center"/>
                    <w:rPr>
                      <w:color w:val="auto"/>
                      <w:szCs w:val="21"/>
                    </w:rPr>
                  </w:pPr>
                  <w:r>
                    <w:rPr>
                      <w:color w:val="auto"/>
                      <w:szCs w:val="21"/>
                    </w:rPr>
                    <w:t>COD</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00D4CBB">
                  <w:pPr>
                    <w:adjustRightInd w:val="0"/>
                    <w:snapToGrid w:val="0"/>
                    <w:jc w:val="center"/>
                    <w:rPr>
                      <w:color w:val="auto"/>
                      <w:szCs w:val="21"/>
                      <w:highlight w:val="yellow"/>
                    </w:rPr>
                  </w:pPr>
                  <w:r>
                    <w:rPr>
                      <w:rFonts w:hint="eastAsia"/>
                      <w:color w:val="auto"/>
                      <w:szCs w:val="21"/>
                    </w:rPr>
                    <w:t>3</w:t>
                  </w:r>
                  <w:r>
                    <w:rPr>
                      <w:color w:val="auto"/>
                      <w:szCs w:val="21"/>
                    </w:rPr>
                    <w:t>00</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4BAD57C7">
                  <w:pPr>
                    <w:adjustRightInd w:val="0"/>
                    <w:snapToGrid w:val="0"/>
                    <w:jc w:val="center"/>
                    <w:rPr>
                      <w:rFonts w:hint="default" w:eastAsia="宋体"/>
                      <w:color w:val="auto"/>
                      <w:szCs w:val="21"/>
                      <w:lang w:val="en-US" w:eastAsia="zh-CN"/>
                    </w:rPr>
                  </w:pPr>
                  <w:r>
                    <w:rPr>
                      <w:rFonts w:hint="eastAsia"/>
                      <w:color w:val="auto"/>
                      <w:szCs w:val="21"/>
                      <w:lang w:val="en-US" w:eastAsia="zh-CN"/>
                    </w:rPr>
                    <w:t>0.00156</w:t>
                  </w:r>
                </w:p>
              </w:tc>
              <w:tc>
                <w:tcPr>
                  <w:tcW w:w="1542" w:type="dxa"/>
                  <w:tcBorders>
                    <w:top w:val="single" w:color="auto" w:sz="4" w:space="0"/>
                    <w:left w:val="single" w:color="auto" w:sz="4" w:space="0"/>
                    <w:bottom w:val="single" w:color="auto" w:sz="4" w:space="0"/>
                    <w:right w:val="nil"/>
                  </w:tcBorders>
                  <w:noWrap w:val="0"/>
                  <w:vAlign w:val="center"/>
                </w:tcPr>
                <w:p w14:paraId="6A9E121D">
                  <w:pPr>
                    <w:adjustRightInd w:val="0"/>
                    <w:snapToGrid w:val="0"/>
                    <w:jc w:val="center"/>
                    <w:rPr>
                      <w:color w:val="auto"/>
                      <w:szCs w:val="21"/>
                      <w:highlight w:val="yellow"/>
                    </w:rPr>
                  </w:pPr>
                  <w:r>
                    <w:rPr>
                      <w:rFonts w:hint="eastAsia"/>
                      <w:color w:val="auto"/>
                      <w:szCs w:val="21"/>
                      <w:lang w:val="en-US" w:eastAsia="zh-CN"/>
                    </w:rPr>
                    <w:t>0.4056</w:t>
                  </w:r>
                </w:p>
              </w:tc>
            </w:tr>
            <w:tr w14:paraId="2920FF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708" w:type="dxa"/>
                  <w:tcBorders>
                    <w:top w:val="single" w:color="auto" w:sz="4" w:space="0"/>
                    <w:left w:val="nil"/>
                    <w:bottom w:val="single" w:color="auto" w:sz="4" w:space="0"/>
                    <w:right w:val="single" w:color="auto" w:sz="4" w:space="0"/>
                  </w:tcBorders>
                  <w:noWrap w:val="0"/>
                  <w:vAlign w:val="center"/>
                </w:tcPr>
                <w:p w14:paraId="7841B2F2">
                  <w:pPr>
                    <w:adjustRightInd w:val="0"/>
                    <w:snapToGrid w:val="0"/>
                    <w:jc w:val="center"/>
                    <w:rPr>
                      <w:color w:val="auto"/>
                      <w:szCs w:val="21"/>
                    </w:rPr>
                  </w:pPr>
                  <w:r>
                    <w:rPr>
                      <w:color w:val="auto"/>
                      <w:szCs w:val="21"/>
                    </w:rPr>
                    <w:t>2</w:t>
                  </w:r>
                </w:p>
              </w:tc>
              <w:tc>
                <w:tcPr>
                  <w:tcW w:w="925" w:type="dxa"/>
                  <w:vMerge w:val="continue"/>
                  <w:tcBorders>
                    <w:left w:val="single" w:color="auto" w:sz="4" w:space="0"/>
                    <w:right w:val="single" w:color="auto" w:sz="4" w:space="0"/>
                  </w:tcBorders>
                  <w:noWrap w:val="0"/>
                  <w:vAlign w:val="center"/>
                </w:tcPr>
                <w:p w14:paraId="2E3C21C8">
                  <w:pPr>
                    <w:widowControl/>
                    <w:adjustRightInd w:val="0"/>
                    <w:snapToGrid w:val="0"/>
                    <w:jc w:val="center"/>
                    <w:rPr>
                      <w:color w:val="auto"/>
                      <w:szCs w:val="21"/>
                    </w:rPr>
                  </w:pPr>
                </w:p>
              </w:tc>
              <w:tc>
                <w:tcPr>
                  <w:tcW w:w="750" w:type="dxa"/>
                  <w:vMerge w:val="continue"/>
                  <w:tcBorders>
                    <w:left w:val="single" w:color="auto" w:sz="4" w:space="0"/>
                    <w:right w:val="single" w:color="auto" w:sz="4" w:space="0"/>
                  </w:tcBorders>
                  <w:noWrap w:val="0"/>
                  <w:vAlign w:val="center"/>
                </w:tcPr>
                <w:p w14:paraId="1A31971A">
                  <w:pPr>
                    <w:adjustRightInd w:val="0"/>
                    <w:snapToGrid w:val="0"/>
                    <w:jc w:val="center"/>
                    <w:rPr>
                      <w:color w:val="auto"/>
                      <w:szCs w:val="21"/>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7C987CC7">
                  <w:pPr>
                    <w:adjustRightInd w:val="0"/>
                    <w:snapToGrid w:val="0"/>
                    <w:jc w:val="center"/>
                    <w:rPr>
                      <w:color w:val="auto"/>
                      <w:szCs w:val="21"/>
                    </w:rPr>
                  </w:pPr>
                  <w:r>
                    <w:rPr>
                      <w:color w:val="auto"/>
                      <w:szCs w:val="21"/>
                    </w:rPr>
                    <w:t>SS</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6B029F4C">
                  <w:pPr>
                    <w:adjustRightInd w:val="0"/>
                    <w:snapToGrid w:val="0"/>
                    <w:jc w:val="center"/>
                    <w:rPr>
                      <w:color w:val="auto"/>
                      <w:szCs w:val="21"/>
                      <w:highlight w:val="yellow"/>
                    </w:rPr>
                  </w:pPr>
                  <w:r>
                    <w:rPr>
                      <w:rFonts w:hint="eastAsia"/>
                      <w:color w:val="auto"/>
                      <w:szCs w:val="21"/>
                    </w:rPr>
                    <w:t>2</w:t>
                  </w:r>
                  <w:r>
                    <w:rPr>
                      <w:color w:val="auto"/>
                      <w:szCs w:val="21"/>
                    </w:rPr>
                    <w:t>00</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71B0AD9C">
                  <w:pPr>
                    <w:adjustRightInd w:val="0"/>
                    <w:snapToGrid w:val="0"/>
                    <w:jc w:val="center"/>
                    <w:rPr>
                      <w:rFonts w:hint="default" w:eastAsia="宋体"/>
                      <w:color w:val="auto"/>
                      <w:szCs w:val="21"/>
                      <w:lang w:val="en-US" w:eastAsia="zh-CN"/>
                    </w:rPr>
                  </w:pPr>
                  <w:r>
                    <w:rPr>
                      <w:rFonts w:hint="eastAsia"/>
                      <w:color w:val="auto"/>
                      <w:szCs w:val="21"/>
                      <w:lang w:val="en-US" w:eastAsia="zh-CN"/>
                    </w:rPr>
                    <w:t>0.00104</w:t>
                  </w:r>
                </w:p>
              </w:tc>
              <w:tc>
                <w:tcPr>
                  <w:tcW w:w="1542" w:type="dxa"/>
                  <w:tcBorders>
                    <w:top w:val="single" w:color="auto" w:sz="4" w:space="0"/>
                    <w:left w:val="single" w:color="auto" w:sz="4" w:space="0"/>
                    <w:bottom w:val="single" w:color="auto" w:sz="4" w:space="0"/>
                    <w:right w:val="nil"/>
                  </w:tcBorders>
                  <w:noWrap w:val="0"/>
                  <w:vAlign w:val="center"/>
                </w:tcPr>
                <w:p w14:paraId="00AEB3F1">
                  <w:pPr>
                    <w:adjustRightInd w:val="0"/>
                    <w:snapToGrid w:val="0"/>
                    <w:jc w:val="center"/>
                    <w:rPr>
                      <w:color w:val="auto"/>
                      <w:szCs w:val="21"/>
                      <w:highlight w:val="yellow"/>
                    </w:rPr>
                  </w:pPr>
                  <w:r>
                    <w:rPr>
                      <w:rFonts w:hint="eastAsia"/>
                      <w:color w:val="auto"/>
                      <w:szCs w:val="21"/>
                      <w:lang w:val="en-US" w:eastAsia="zh-CN"/>
                    </w:rPr>
                    <w:t>0.2704</w:t>
                  </w:r>
                </w:p>
              </w:tc>
            </w:tr>
            <w:tr w14:paraId="5E792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08" w:type="dxa"/>
                  <w:tcBorders>
                    <w:top w:val="single" w:color="auto" w:sz="4" w:space="0"/>
                    <w:left w:val="nil"/>
                    <w:bottom w:val="single" w:color="auto" w:sz="4" w:space="0"/>
                    <w:right w:val="single" w:color="auto" w:sz="4" w:space="0"/>
                  </w:tcBorders>
                  <w:noWrap w:val="0"/>
                  <w:vAlign w:val="center"/>
                </w:tcPr>
                <w:p w14:paraId="534F7E33">
                  <w:pPr>
                    <w:adjustRightInd w:val="0"/>
                    <w:snapToGrid w:val="0"/>
                    <w:jc w:val="center"/>
                    <w:rPr>
                      <w:color w:val="auto"/>
                      <w:szCs w:val="21"/>
                    </w:rPr>
                  </w:pPr>
                  <w:r>
                    <w:rPr>
                      <w:color w:val="auto"/>
                      <w:szCs w:val="21"/>
                    </w:rPr>
                    <w:t>3</w:t>
                  </w:r>
                </w:p>
              </w:tc>
              <w:tc>
                <w:tcPr>
                  <w:tcW w:w="925" w:type="dxa"/>
                  <w:vMerge w:val="continue"/>
                  <w:tcBorders>
                    <w:left w:val="single" w:color="auto" w:sz="4" w:space="0"/>
                    <w:right w:val="single" w:color="auto" w:sz="4" w:space="0"/>
                  </w:tcBorders>
                  <w:noWrap w:val="0"/>
                  <w:vAlign w:val="center"/>
                </w:tcPr>
                <w:p w14:paraId="2B81521C">
                  <w:pPr>
                    <w:widowControl/>
                    <w:adjustRightInd w:val="0"/>
                    <w:snapToGrid w:val="0"/>
                    <w:jc w:val="center"/>
                    <w:rPr>
                      <w:color w:val="auto"/>
                      <w:szCs w:val="21"/>
                    </w:rPr>
                  </w:pPr>
                </w:p>
              </w:tc>
              <w:tc>
                <w:tcPr>
                  <w:tcW w:w="750" w:type="dxa"/>
                  <w:vMerge w:val="continue"/>
                  <w:tcBorders>
                    <w:left w:val="single" w:color="auto" w:sz="4" w:space="0"/>
                    <w:right w:val="single" w:color="auto" w:sz="4" w:space="0"/>
                  </w:tcBorders>
                  <w:noWrap w:val="0"/>
                  <w:vAlign w:val="center"/>
                </w:tcPr>
                <w:p w14:paraId="4309CC30">
                  <w:pPr>
                    <w:adjustRightInd w:val="0"/>
                    <w:snapToGrid w:val="0"/>
                    <w:jc w:val="center"/>
                    <w:rPr>
                      <w:color w:val="auto"/>
                      <w:szCs w:val="21"/>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0B2700F9">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40647AD2">
                  <w:pPr>
                    <w:adjustRightInd w:val="0"/>
                    <w:snapToGrid w:val="0"/>
                    <w:jc w:val="center"/>
                    <w:rPr>
                      <w:color w:val="auto"/>
                      <w:szCs w:val="21"/>
                      <w:highlight w:val="yellow"/>
                    </w:rPr>
                  </w:pPr>
                  <w:r>
                    <w:rPr>
                      <w:color w:val="auto"/>
                      <w:szCs w:val="21"/>
                    </w:rPr>
                    <w:t>30</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3C9EEBCA">
                  <w:pPr>
                    <w:adjustRightInd w:val="0"/>
                    <w:snapToGrid w:val="0"/>
                    <w:jc w:val="center"/>
                    <w:rPr>
                      <w:rFonts w:hint="default" w:eastAsia="宋体"/>
                      <w:color w:val="auto"/>
                      <w:szCs w:val="21"/>
                      <w:lang w:val="en-US" w:eastAsia="zh-CN"/>
                    </w:rPr>
                  </w:pPr>
                  <w:r>
                    <w:rPr>
                      <w:rFonts w:hint="eastAsia"/>
                      <w:color w:val="auto"/>
                      <w:szCs w:val="21"/>
                      <w:lang w:val="en-US" w:eastAsia="zh-CN"/>
                    </w:rPr>
                    <w:t>0.000156</w:t>
                  </w:r>
                </w:p>
              </w:tc>
              <w:tc>
                <w:tcPr>
                  <w:tcW w:w="1542" w:type="dxa"/>
                  <w:tcBorders>
                    <w:top w:val="single" w:color="auto" w:sz="4" w:space="0"/>
                    <w:left w:val="single" w:color="auto" w:sz="4" w:space="0"/>
                    <w:bottom w:val="single" w:color="auto" w:sz="4" w:space="0"/>
                    <w:right w:val="nil"/>
                  </w:tcBorders>
                  <w:noWrap w:val="0"/>
                  <w:vAlign w:val="center"/>
                </w:tcPr>
                <w:p w14:paraId="3A6749F6">
                  <w:pPr>
                    <w:adjustRightInd w:val="0"/>
                    <w:snapToGrid w:val="0"/>
                    <w:jc w:val="center"/>
                    <w:rPr>
                      <w:color w:val="auto"/>
                      <w:szCs w:val="21"/>
                      <w:highlight w:val="yellow"/>
                    </w:rPr>
                  </w:pPr>
                  <w:r>
                    <w:rPr>
                      <w:rFonts w:hint="eastAsia"/>
                      <w:color w:val="auto"/>
                      <w:szCs w:val="21"/>
                      <w:lang w:val="en-US" w:eastAsia="zh-CN"/>
                    </w:rPr>
                    <w:t>0.04056</w:t>
                  </w:r>
                </w:p>
              </w:tc>
            </w:tr>
            <w:tr w14:paraId="7ED97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08" w:type="dxa"/>
                  <w:tcBorders>
                    <w:top w:val="single" w:color="auto" w:sz="4" w:space="0"/>
                    <w:left w:val="nil"/>
                    <w:bottom w:val="single" w:color="auto" w:sz="4" w:space="0"/>
                    <w:right w:val="single" w:color="auto" w:sz="4" w:space="0"/>
                  </w:tcBorders>
                  <w:noWrap w:val="0"/>
                  <w:vAlign w:val="center"/>
                </w:tcPr>
                <w:p w14:paraId="1CBE7CEC">
                  <w:pPr>
                    <w:adjustRightInd w:val="0"/>
                    <w:snapToGrid w:val="0"/>
                    <w:jc w:val="center"/>
                    <w:rPr>
                      <w:color w:val="auto"/>
                      <w:szCs w:val="21"/>
                    </w:rPr>
                  </w:pPr>
                  <w:r>
                    <w:rPr>
                      <w:color w:val="auto"/>
                      <w:szCs w:val="21"/>
                    </w:rPr>
                    <w:t>4</w:t>
                  </w:r>
                </w:p>
              </w:tc>
              <w:tc>
                <w:tcPr>
                  <w:tcW w:w="925" w:type="dxa"/>
                  <w:vMerge w:val="continue"/>
                  <w:tcBorders>
                    <w:left w:val="single" w:color="auto" w:sz="4" w:space="0"/>
                    <w:right w:val="single" w:color="auto" w:sz="4" w:space="0"/>
                  </w:tcBorders>
                  <w:noWrap w:val="0"/>
                  <w:vAlign w:val="center"/>
                </w:tcPr>
                <w:p w14:paraId="1E017B1F">
                  <w:pPr>
                    <w:widowControl/>
                    <w:adjustRightInd w:val="0"/>
                    <w:snapToGrid w:val="0"/>
                    <w:jc w:val="center"/>
                    <w:rPr>
                      <w:color w:val="auto"/>
                      <w:szCs w:val="21"/>
                    </w:rPr>
                  </w:pPr>
                </w:p>
              </w:tc>
              <w:tc>
                <w:tcPr>
                  <w:tcW w:w="750" w:type="dxa"/>
                  <w:vMerge w:val="continue"/>
                  <w:tcBorders>
                    <w:left w:val="single" w:color="auto" w:sz="4" w:space="0"/>
                    <w:right w:val="single" w:color="auto" w:sz="4" w:space="0"/>
                  </w:tcBorders>
                  <w:noWrap w:val="0"/>
                  <w:vAlign w:val="center"/>
                </w:tcPr>
                <w:p w14:paraId="7682D990">
                  <w:pPr>
                    <w:adjustRightInd w:val="0"/>
                    <w:snapToGrid w:val="0"/>
                    <w:jc w:val="center"/>
                    <w:rPr>
                      <w:color w:val="auto"/>
                      <w:szCs w:val="21"/>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59412549">
                  <w:pPr>
                    <w:adjustRightInd w:val="0"/>
                    <w:snapToGrid w:val="0"/>
                    <w:jc w:val="center"/>
                    <w:rPr>
                      <w:color w:val="auto"/>
                      <w:szCs w:val="21"/>
                    </w:rPr>
                  </w:pPr>
                  <w:r>
                    <w:rPr>
                      <w:color w:val="auto"/>
                      <w:szCs w:val="21"/>
                    </w:rPr>
                    <w:t>TP</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0D6EA4AC">
                  <w:pPr>
                    <w:adjustRightInd w:val="0"/>
                    <w:snapToGrid w:val="0"/>
                    <w:jc w:val="center"/>
                    <w:rPr>
                      <w:color w:val="auto"/>
                      <w:szCs w:val="21"/>
                      <w:highlight w:val="yellow"/>
                    </w:rPr>
                  </w:pPr>
                  <w:r>
                    <w:rPr>
                      <w:color w:val="auto"/>
                      <w:szCs w:val="21"/>
                    </w:rPr>
                    <w:t>3</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40F395E4">
                  <w:pPr>
                    <w:adjustRightInd w:val="0"/>
                    <w:snapToGrid w:val="0"/>
                    <w:jc w:val="center"/>
                    <w:rPr>
                      <w:rFonts w:hint="default" w:eastAsia="宋体"/>
                      <w:color w:val="auto"/>
                      <w:szCs w:val="21"/>
                      <w:lang w:val="en-US" w:eastAsia="zh-CN"/>
                    </w:rPr>
                  </w:pPr>
                  <w:r>
                    <w:rPr>
                      <w:rFonts w:hint="eastAsia"/>
                      <w:color w:val="auto"/>
                      <w:szCs w:val="21"/>
                      <w:lang w:val="en-US" w:eastAsia="zh-CN"/>
                    </w:rPr>
                    <w:t>0.0000156</w:t>
                  </w:r>
                </w:p>
              </w:tc>
              <w:tc>
                <w:tcPr>
                  <w:tcW w:w="1542" w:type="dxa"/>
                  <w:tcBorders>
                    <w:top w:val="single" w:color="auto" w:sz="4" w:space="0"/>
                    <w:left w:val="single" w:color="auto" w:sz="4" w:space="0"/>
                    <w:bottom w:val="single" w:color="auto" w:sz="4" w:space="0"/>
                    <w:right w:val="nil"/>
                  </w:tcBorders>
                  <w:noWrap w:val="0"/>
                  <w:vAlign w:val="center"/>
                </w:tcPr>
                <w:p w14:paraId="2EDF85F3">
                  <w:pPr>
                    <w:adjustRightInd w:val="0"/>
                    <w:snapToGrid w:val="0"/>
                    <w:jc w:val="center"/>
                    <w:rPr>
                      <w:color w:val="auto"/>
                      <w:szCs w:val="21"/>
                      <w:highlight w:val="yellow"/>
                    </w:rPr>
                  </w:pPr>
                  <w:r>
                    <w:rPr>
                      <w:rFonts w:hint="eastAsia"/>
                      <w:color w:val="auto"/>
                      <w:szCs w:val="21"/>
                      <w:lang w:val="en-US" w:eastAsia="zh-CN"/>
                    </w:rPr>
                    <w:t>0.004056</w:t>
                  </w:r>
                </w:p>
              </w:tc>
            </w:tr>
            <w:tr w14:paraId="0A44C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708" w:type="dxa"/>
                  <w:tcBorders>
                    <w:top w:val="single" w:color="auto" w:sz="4" w:space="0"/>
                    <w:left w:val="nil"/>
                    <w:bottom w:val="single" w:color="auto" w:sz="4" w:space="0"/>
                    <w:right w:val="single" w:color="auto" w:sz="4" w:space="0"/>
                  </w:tcBorders>
                  <w:noWrap w:val="0"/>
                  <w:vAlign w:val="center"/>
                </w:tcPr>
                <w:p w14:paraId="160CF5FE">
                  <w:pPr>
                    <w:adjustRightInd w:val="0"/>
                    <w:snapToGrid w:val="0"/>
                    <w:jc w:val="center"/>
                    <w:rPr>
                      <w:color w:val="auto"/>
                      <w:szCs w:val="21"/>
                    </w:rPr>
                  </w:pPr>
                  <w:r>
                    <w:rPr>
                      <w:rFonts w:hint="eastAsia"/>
                      <w:color w:val="auto"/>
                      <w:szCs w:val="21"/>
                    </w:rPr>
                    <w:t>5</w:t>
                  </w:r>
                </w:p>
              </w:tc>
              <w:tc>
                <w:tcPr>
                  <w:tcW w:w="925" w:type="dxa"/>
                  <w:vMerge w:val="continue"/>
                  <w:tcBorders>
                    <w:left w:val="single" w:color="auto" w:sz="4" w:space="0"/>
                    <w:right w:val="single" w:color="auto" w:sz="4" w:space="0"/>
                  </w:tcBorders>
                  <w:noWrap w:val="0"/>
                  <w:vAlign w:val="center"/>
                </w:tcPr>
                <w:p w14:paraId="4670ABC3">
                  <w:pPr>
                    <w:widowControl/>
                    <w:adjustRightInd w:val="0"/>
                    <w:snapToGrid w:val="0"/>
                    <w:jc w:val="center"/>
                    <w:rPr>
                      <w:color w:val="auto"/>
                      <w:szCs w:val="21"/>
                    </w:rPr>
                  </w:pPr>
                </w:p>
              </w:tc>
              <w:tc>
                <w:tcPr>
                  <w:tcW w:w="750" w:type="dxa"/>
                  <w:vMerge w:val="continue"/>
                  <w:tcBorders>
                    <w:left w:val="single" w:color="auto" w:sz="4" w:space="0"/>
                    <w:bottom w:val="single" w:color="auto" w:sz="4" w:space="0"/>
                    <w:right w:val="single" w:color="auto" w:sz="4" w:space="0"/>
                  </w:tcBorders>
                  <w:noWrap w:val="0"/>
                  <w:vAlign w:val="center"/>
                </w:tcPr>
                <w:p w14:paraId="173B78C9">
                  <w:pPr>
                    <w:adjustRightInd w:val="0"/>
                    <w:snapToGrid w:val="0"/>
                    <w:jc w:val="center"/>
                    <w:rPr>
                      <w:color w:val="auto"/>
                      <w:szCs w:val="21"/>
                    </w:rPr>
                  </w:pPr>
                </w:p>
              </w:tc>
              <w:tc>
                <w:tcPr>
                  <w:tcW w:w="982" w:type="dxa"/>
                  <w:tcBorders>
                    <w:top w:val="single" w:color="auto" w:sz="4" w:space="0"/>
                    <w:left w:val="single" w:color="auto" w:sz="4" w:space="0"/>
                    <w:bottom w:val="single" w:color="auto" w:sz="4" w:space="0"/>
                    <w:right w:val="single" w:color="auto" w:sz="4" w:space="0"/>
                  </w:tcBorders>
                  <w:noWrap w:val="0"/>
                  <w:vAlign w:val="center"/>
                </w:tcPr>
                <w:p w14:paraId="226FA24F">
                  <w:pPr>
                    <w:adjustRightInd w:val="0"/>
                    <w:snapToGrid w:val="0"/>
                    <w:jc w:val="center"/>
                    <w:rPr>
                      <w:rFonts w:hint="eastAsia"/>
                      <w:color w:val="auto"/>
                      <w:szCs w:val="21"/>
                    </w:rPr>
                  </w:pPr>
                  <w:r>
                    <w:rPr>
                      <w:rFonts w:hint="eastAsia"/>
                      <w:color w:val="auto"/>
                      <w:szCs w:val="21"/>
                    </w:rPr>
                    <w:t>TN</w:t>
                  </w:r>
                </w:p>
              </w:tc>
              <w:tc>
                <w:tcPr>
                  <w:tcW w:w="1732" w:type="dxa"/>
                  <w:tcBorders>
                    <w:top w:val="single" w:color="auto" w:sz="4" w:space="0"/>
                    <w:left w:val="single" w:color="auto" w:sz="4" w:space="0"/>
                    <w:bottom w:val="single" w:color="auto" w:sz="4" w:space="0"/>
                    <w:right w:val="single" w:color="auto" w:sz="4" w:space="0"/>
                  </w:tcBorders>
                  <w:noWrap w:val="0"/>
                  <w:vAlign w:val="center"/>
                </w:tcPr>
                <w:p w14:paraId="41945F6A">
                  <w:pPr>
                    <w:adjustRightInd w:val="0"/>
                    <w:snapToGrid w:val="0"/>
                    <w:jc w:val="center"/>
                    <w:rPr>
                      <w:color w:val="auto"/>
                      <w:szCs w:val="21"/>
                      <w:highlight w:val="yellow"/>
                    </w:rPr>
                  </w:pPr>
                  <w:r>
                    <w:rPr>
                      <w:rFonts w:hint="eastAsia"/>
                      <w:color w:val="auto"/>
                      <w:szCs w:val="21"/>
                    </w:rPr>
                    <w:t>50</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2D737D73">
                  <w:pPr>
                    <w:adjustRightInd w:val="0"/>
                    <w:snapToGrid w:val="0"/>
                    <w:jc w:val="center"/>
                    <w:rPr>
                      <w:rFonts w:hint="default" w:eastAsia="宋体"/>
                      <w:color w:val="auto"/>
                      <w:szCs w:val="21"/>
                      <w:lang w:val="en-US" w:eastAsia="zh-CN"/>
                    </w:rPr>
                  </w:pPr>
                  <w:r>
                    <w:rPr>
                      <w:rFonts w:hint="eastAsia"/>
                      <w:color w:val="auto"/>
                      <w:szCs w:val="21"/>
                      <w:lang w:val="en-US" w:eastAsia="zh-CN"/>
                    </w:rPr>
                    <w:t>0.00026</w:t>
                  </w:r>
                </w:p>
              </w:tc>
              <w:tc>
                <w:tcPr>
                  <w:tcW w:w="1542" w:type="dxa"/>
                  <w:tcBorders>
                    <w:top w:val="single" w:color="auto" w:sz="4" w:space="0"/>
                    <w:left w:val="single" w:color="auto" w:sz="4" w:space="0"/>
                    <w:bottom w:val="single" w:color="auto" w:sz="4" w:space="0"/>
                    <w:right w:val="nil"/>
                  </w:tcBorders>
                  <w:noWrap w:val="0"/>
                  <w:vAlign w:val="center"/>
                </w:tcPr>
                <w:p w14:paraId="30235F39">
                  <w:pPr>
                    <w:adjustRightInd w:val="0"/>
                    <w:snapToGrid w:val="0"/>
                    <w:jc w:val="center"/>
                    <w:rPr>
                      <w:color w:val="auto"/>
                      <w:szCs w:val="21"/>
                      <w:highlight w:val="yellow"/>
                    </w:rPr>
                  </w:pPr>
                  <w:r>
                    <w:rPr>
                      <w:rFonts w:hint="eastAsia"/>
                      <w:color w:val="auto"/>
                      <w:szCs w:val="21"/>
                      <w:lang w:val="en-US" w:eastAsia="zh-CN"/>
                    </w:rPr>
                    <w:t>0.0676</w:t>
                  </w:r>
                </w:p>
              </w:tc>
            </w:tr>
            <w:tr w14:paraId="5A01D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365" w:type="dxa"/>
                  <w:gridSpan w:val="4"/>
                  <w:vMerge w:val="restart"/>
                  <w:tcBorders>
                    <w:top w:val="single" w:color="auto" w:sz="4" w:space="0"/>
                    <w:left w:val="nil"/>
                    <w:bottom w:val="single" w:color="auto" w:sz="4" w:space="0"/>
                    <w:right w:val="single" w:color="auto" w:sz="4" w:space="0"/>
                  </w:tcBorders>
                  <w:noWrap w:val="0"/>
                  <w:vAlign w:val="center"/>
                </w:tcPr>
                <w:p w14:paraId="37BDDA15">
                  <w:pPr>
                    <w:adjustRightInd w:val="0"/>
                    <w:snapToGrid w:val="0"/>
                    <w:jc w:val="center"/>
                    <w:rPr>
                      <w:color w:val="auto"/>
                      <w:szCs w:val="21"/>
                    </w:rPr>
                  </w:pPr>
                  <w:r>
                    <w:rPr>
                      <w:rFonts w:hint="eastAsia"/>
                      <w:color w:val="auto"/>
                      <w:szCs w:val="21"/>
                    </w:rPr>
                    <w:t>合计</w:t>
                  </w:r>
                </w:p>
              </w:tc>
              <w:tc>
                <w:tcPr>
                  <w:tcW w:w="3263" w:type="dxa"/>
                  <w:gridSpan w:val="2"/>
                  <w:tcBorders>
                    <w:top w:val="single" w:color="auto" w:sz="4" w:space="0"/>
                    <w:left w:val="single" w:color="auto" w:sz="4" w:space="0"/>
                    <w:bottom w:val="single" w:color="auto" w:sz="4" w:space="0"/>
                    <w:right w:val="single" w:color="auto" w:sz="4" w:space="0"/>
                  </w:tcBorders>
                  <w:noWrap w:val="0"/>
                  <w:vAlign w:val="center"/>
                </w:tcPr>
                <w:p w14:paraId="18074A70">
                  <w:pPr>
                    <w:adjustRightInd w:val="0"/>
                    <w:snapToGrid w:val="0"/>
                    <w:jc w:val="center"/>
                    <w:rPr>
                      <w:color w:val="auto"/>
                      <w:szCs w:val="21"/>
                    </w:rPr>
                  </w:pPr>
                  <w:r>
                    <w:rPr>
                      <w:color w:val="auto"/>
                      <w:szCs w:val="21"/>
                    </w:rPr>
                    <w:t>CODcr</w:t>
                  </w:r>
                </w:p>
              </w:tc>
              <w:tc>
                <w:tcPr>
                  <w:tcW w:w="1542" w:type="dxa"/>
                  <w:tcBorders>
                    <w:top w:val="single" w:color="auto" w:sz="4" w:space="0"/>
                    <w:left w:val="single" w:color="auto" w:sz="4" w:space="0"/>
                    <w:bottom w:val="single" w:color="auto" w:sz="4" w:space="0"/>
                    <w:right w:val="nil"/>
                  </w:tcBorders>
                  <w:noWrap w:val="0"/>
                  <w:vAlign w:val="center"/>
                </w:tcPr>
                <w:p w14:paraId="024D80E4">
                  <w:pPr>
                    <w:adjustRightInd w:val="0"/>
                    <w:snapToGrid w:val="0"/>
                    <w:jc w:val="center"/>
                    <w:rPr>
                      <w:color w:val="auto"/>
                      <w:szCs w:val="21"/>
                      <w:highlight w:val="yellow"/>
                    </w:rPr>
                  </w:pPr>
                  <w:r>
                    <w:rPr>
                      <w:rFonts w:hint="eastAsia"/>
                      <w:color w:val="auto"/>
                      <w:szCs w:val="21"/>
                      <w:lang w:val="en-US" w:eastAsia="zh-CN"/>
                    </w:rPr>
                    <w:t>0.4056</w:t>
                  </w:r>
                </w:p>
              </w:tc>
            </w:tr>
            <w:tr w14:paraId="516F0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365" w:type="dxa"/>
                  <w:gridSpan w:val="4"/>
                  <w:vMerge w:val="continue"/>
                  <w:tcBorders>
                    <w:top w:val="single" w:color="auto" w:sz="4" w:space="0"/>
                    <w:left w:val="nil"/>
                    <w:bottom w:val="single" w:color="auto" w:sz="4" w:space="0"/>
                    <w:right w:val="single" w:color="auto" w:sz="4" w:space="0"/>
                  </w:tcBorders>
                  <w:noWrap w:val="0"/>
                  <w:vAlign w:val="center"/>
                </w:tcPr>
                <w:p w14:paraId="1B1166A0">
                  <w:pPr>
                    <w:widowControl/>
                    <w:adjustRightInd w:val="0"/>
                    <w:snapToGrid w:val="0"/>
                    <w:jc w:val="center"/>
                    <w:rPr>
                      <w:color w:val="auto"/>
                      <w:szCs w:val="21"/>
                    </w:rPr>
                  </w:pPr>
                </w:p>
              </w:tc>
              <w:tc>
                <w:tcPr>
                  <w:tcW w:w="3263" w:type="dxa"/>
                  <w:gridSpan w:val="2"/>
                  <w:tcBorders>
                    <w:top w:val="single" w:color="auto" w:sz="4" w:space="0"/>
                    <w:left w:val="single" w:color="auto" w:sz="4" w:space="0"/>
                    <w:bottom w:val="single" w:color="auto" w:sz="4" w:space="0"/>
                    <w:right w:val="single" w:color="auto" w:sz="4" w:space="0"/>
                  </w:tcBorders>
                  <w:noWrap w:val="0"/>
                  <w:vAlign w:val="center"/>
                </w:tcPr>
                <w:p w14:paraId="74FA5679">
                  <w:pPr>
                    <w:adjustRightInd w:val="0"/>
                    <w:snapToGrid w:val="0"/>
                    <w:jc w:val="center"/>
                    <w:rPr>
                      <w:color w:val="auto"/>
                      <w:szCs w:val="21"/>
                    </w:rPr>
                  </w:pPr>
                  <w:r>
                    <w:rPr>
                      <w:color w:val="auto"/>
                      <w:szCs w:val="21"/>
                    </w:rPr>
                    <w:t>SS</w:t>
                  </w:r>
                </w:p>
              </w:tc>
              <w:tc>
                <w:tcPr>
                  <w:tcW w:w="1542" w:type="dxa"/>
                  <w:tcBorders>
                    <w:top w:val="single" w:color="auto" w:sz="4" w:space="0"/>
                    <w:left w:val="single" w:color="auto" w:sz="4" w:space="0"/>
                    <w:bottom w:val="single" w:color="auto" w:sz="4" w:space="0"/>
                    <w:right w:val="nil"/>
                  </w:tcBorders>
                  <w:noWrap w:val="0"/>
                  <w:vAlign w:val="center"/>
                </w:tcPr>
                <w:p w14:paraId="04B5C462">
                  <w:pPr>
                    <w:adjustRightInd w:val="0"/>
                    <w:snapToGrid w:val="0"/>
                    <w:jc w:val="center"/>
                    <w:rPr>
                      <w:rFonts w:hint="eastAsia"/>
                      <w:color w:val="auto"/>
                      <w:szCs w:val="21"/>
                      <w:highlight w:val="yellow"/>
                    </w:rPr>
                  </w:pPr>
                  <w:r>
                    <w:rPr>
                      <w:rFonts w:hint="eastAsia"/>
                      <w:color w:val="auto"/>
                      <w:szCs w:val="21"/>
                      <w:lang w:val="en-US" w:eastAsia="zh-CN"/>
                    </w:rPr>
                    <w:t>0.2704</w:t>
                  </w:r>
                </w:p>
              </w:tc>
            </w:tr>
            <w:tr w14:paraId="2590F5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365" w:type="dxa"/>
                  <w:gridSpan w:val="4"/>
                  <w:vMerge w:val="continue"/>
                  <w:tcBorders>
                    <w:top w:val="single" w:color="auto" w:sz="4" w:space="0"/>
                    <w:left w:val="nil"/>
                    <w:bottom w:val="single" w:color="auto" w:sz="4" w:space="0"/>
                    <w:right w:val="single" w:color="auto" w:sz="4" w:space="0"/>
                  </w:tcBorders>
                  <w:noWrap w:val="0"/>
                  <w:vAlign w:val="center"/>
                </w:tcPr>
                <w:p w14:paraId="37A666BA">
                  <w:pPr>
                    <w:widowControl/>
                    <w:adjustRightInd w:val="0"/>
                    <w:snapToGrid w:val="0"/>
                    <w:jc w:val="center"/>
                    <w:rPr>
                      <w:color w:val="auto"/>
                      <w:szCs w:val="21"/>
                    </w:rPr>
                  </w:pPr>
                </w:p>
              </w:tc>
              <w:tc>
                <w:tcPr>
                  <w:tcW w:w="3263" w:type="dxa"/>
                  <w:gridSpan w:val="2"/>
                  <w:tcBorders>
                    <w:top w:val="single" w:color="auto" w:sz="4" w:space="0"/>
                    <w:left w:val="single" w:color="auto" w:sz="4" w:space="0"/>
                    <w:bottom w:val="single" w:color="auto" w:sz="4" w:space="0"/>
                    <w:right w:val="single" w:color="auto" w:sz="4" w:space="0"/>
                  </w:tcBorders>
                  <w:noWrap w:val="0"/>
                  <w:vAlign w:val="center"/>
                </w:tcPr>
                <w:p w14:paraId="0F6AC7C1">
                  <w:pPr>
                    <w:adjustRightInd w:val="0"/>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542" w:type="dxa"/>
                  <w:tcBorders>
                    <w:top w:val="single" w:color="auto" w:sz="4" w:space="0"/>
                    <w:left w:val="single" w:color="auto" w:sz="4" w:space="0"/>
                    <w:bottom w:val="single" w:color="auto" w:sz="4" w:space="0"/>
                    <w:right w:val="nil"/>
                  </w:tcBorders>
                  <w:noWrap w:val="0"/>
                  <w:vAlign w:val="center"/>
                </w:tcPr>
                <w:p w14:paraId="49464BC6">
                  <w:pPr>
                    <w:adjustRightInd w:val="0"/>
                    <w:snapToGrid w:val="0"/>
                    <w:jc w:val="center"/>
                    <w:rPr>
                      <w:color w:val="auto"/>
                      <w:szCs w:val="21"/>
                      <w:highlight w:val="yellow"/>
                    </w:rPr>
                  </w:pPr>
                  <w:r>
                    <w:rPr>
                      <w:rFonts w:hint="eastAsia"/>
                      <w:color w:val="auto"/>
                      <w:szCs w:val="21"/>
                      <w:lang w:val="en-US" w:eastAsia="zh-CN"/>
                    </w:rPr>
                    <w:t>0.04056</w:t>
                  </w:r>
                </w:p>
              </w:tc>
            </w:tr>
            <w:tr w14:paraId="41F818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365" w:type="dxa"/>
                  <w:gridSpan w:val="4"/>
                  <w:vMerge w:val="continue"/>
                  <w:tcBorders>
                    <w:top w:val="single" w:color="auto" w:sz="4" w:space="0"/>
                    <w:left w:val="nil"/>
                    <w:bottom w:val="single" w:color="auto" w:sz="4" w:space="0"/>
                    <w:right w:val="single" w:color="auto" w:sz="4" w:space="0"/>
                  </w:tcBorders>
                  <w:noWrap w:val="0"/>
                  <w:vAlign w:val="center"/>
                </w:tcPr>
                <w:p w14:paraId="793A4222">
                  <w:pPr>
                    <w:widowControl/>
                    <w:adjustRightInd w:val="0"/>
                    <w:snapToGrid w:val="0"/>
                    <w:jc w:val="center"/>
                    <w:rPr>
                      <w:color w:val="auto"/>
                      <w:szCs w:val="21"/>
                    </w:rPr>
                  </w:pPr>
                </w:p>
              </w:tc>
              <w:tc>
                <w:tcPr>
                  <w:tcW w:w="3263" w:type="dxa"/>
                  <w:gridSpan w:val="2"/>
                  <w:tcBorders>
                    <w:top w:val="single" w:color="auto" w:sz="4" w:space="0"/>
                    <w:left w:val="single" w:color="auto" w:sz="4" w:space="0"/>
                    <w:bottom w:val="single" w:color="auto" w:sz="4" w:space="0"/>
                    <w:right w:val="single" w:color="auto" w:sz="4" w:space="0"/>
                  </w:tcBorders>
                  <w:noWrap w:val="0"/>
                  <w:vAlign w:val="center"/>
                </w:tcPr>
                <w:p w14:paraId="78D3EC94">
                  <w:pPr>
                    <w:adjustRightInd w:val="0"/>
                    <w:snapToGrid w:val="0"/>
                    <w:jc w:val="center"/>
                    <w:rPr>
                      <w:color w:val="auto"/>
                      <w:szCs w:val="21"/>
                    </w:rPr>
                  </w:pPr>
                  <w:r>
                    <w:rPr>
                      <w:rFonts w:hint="eastAsia"/>
                      <w:color w:val="auto"/>
                      <w:szCs w:val="21"/>
                    </w:rPr>
                    <w:t>TP</w:t>
                  </w:r>
                </w:p>
              </w:tc>
              <w:tc>
                <w:tcPr>
                  <w:tcW w:w="1542" w:type="dxa"/>
                  <w:tcBorders>
                    <w:top w:val="single" w:color="auto" w:sz="4" w:space="0"/>
                    <w:left w:val="single" w:color="auto" w:sz="4" w:space="0"/>
                    <w:bottom w:val="single" w:color="auto" w:sz="4" w:space="0"/>
                    <w:right w:val="nil"/>
                  </w:tcBorders>
                  <w:noWrap w:val="0"/>
                  <w:vAlign w:val="center"/>
                </w:tcPr>
                <w:p w14:paraId="76EBD756">
                  <w:pPr>
                    <w:adjustRightInd w:val="0"/>
                    <w:snapToGrid w:val="0"/>
                    <w:jc w:val="center"/>
                    <w:rPr>
                      <w:color w:val="auto"/>
                      <w:szCs w:val="21"/>
                      <w:highlight w:val="yellow"/>
                    </w:rPr>
                  </w:pPr>
                  <w:r>
                    <w:rPr>
                      <w:rFonts w:hint="eastAsia"/>
                      <w:color w:val="auto"/>
                      <w:szCs w:val="21"/>
                      <w:lang w:val="en-US" w:eastAsia="zh-CN"/>
                    </w:rPr>
                    <w:t>0.004056</w:t>
                  </w:r>
                </w:p>
              </w:tc>
            </w:tr>
            <w:tr w14:paraId="13196C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trPr>
              <w:tc>
                <w:tcPr>
                  <w:tcW w:w="3365" w:type="dxa"/>
                  <w:gridSpan w:val="4"/>
                  <w:vMerge w:val="continue"/>
                  <w:tcBorders>
                    <w:top w:val="single" w:color="auto" w:sz="4" w:space="0"/>
                    <w:left w:val="nil"/>
                    <w:bottom w:val="single" w:color="auto" w:sz="12" w:space="0"/>
                    <w:right w:val="single" w:color="auto" w:sz="4" w:space="0"/>
                  </w:tcBorders>
                  <w:noWrap w:val="0"/>
                  <w:vAlign w:val="center"/>
                </w:tcPr>
                <w:p w14:paraId="679B4AB7">
                  <w:pPr>
                    <w:widowControl/>
                    <w:adjustRightInd w:val="0"/>
                    <w:snapToGrid w:val="0"/>
                    <w:jc w:val="center"/>
                    <w:rPr>
                      <w:color w:val="auto"/>
                      <w:szCs w:val="21"/>
                    </w:rPr>
                  </w:pPr>
                </w:p>
              </w:tc>
              <w:tc>
                <w:tcPr>
                  <w:tcW w:w="3263" w:type="dxa"/>
                  <w:gridSpan w:val="2"/>
                  <w:tcBorders>
                    <w:top w:val="single" w:color="auto" w:sz="4" w:space="0"/>
                    <w:left w:val="single" w:color="auto" w:sz="4" w:space="0"/>
                    <w:bottom w:val="single" w:color="auto" w:sz="12" w:space="0"/>
                    <w:right w:val="single" w:color="auto" w:sz="4" w:space="0"/>
                  </w:tcBorders>
                  <w:noWrap w:val="0"/>
                  <w:vAlign w:val="center"/>
                </w:tcPr>
                <w:p w14:paraId="73171763">
                  <w:pPr>
                    <w:adjustRightInd w:val="0"/>
                    <w:snapToGrid w:val="0"/>
                    <w:jc w:val="center"/>
                    <w:rPr>
                      <w:color w:val="auto"/>
                      <w:szCs w:val="21"/>
                    </w:rPr>
                  </w:pPr>
                  <w:r>
                    <w:rPr>
                      <w:color w:val="auto"/>
                      <w:szCs w:val="21"/>
                    </w:rPr>
                    <w:t>T</w:t>
                  </w:r>
                  <w:r>
                    <w:rPr>
                      <w:rFonts w:hint="eastAsia"/>
                      <w:color w:val="auto"/>
                      <w:szCs w:val="21"/>
                    </w:rPr>
                    <w:t>N</w:t>
                  </w:r>
                </w:p>
              </w:tc>
              <w:tc>
                <w:tcPr>
                  <w:tcW w:w="1542" w:type="dxa"/>
                  <w:tcBorders>
                    <w:top w:val="single" w:color="auto" w:sz="4" w:space="0"/>
                    <w:left w:val="single" w:color="auto" w:sz="4" w:space="0"/>
                    <w:bottom w:val="single" w:color="auto" w:sz="12" w:space="0"/>
                    <w:right w:val="nil"/>
                  </w:tcBorders>
                  <w:noWrap w:val="0"/>
                  <w:vAlign w:val="center"/>
                </w:tcPr>
                <w:p w14:paraId="0F19BEC8">
                  <w:pPr>
                    <w:adjustRightInd w:val="0"/>
                    <w:snapToGrid w:val="0"/>
                    <w:jc w:val="center"/>
                    <w:rPr>
                      <w:color w:val="auto"/>
                      <w:szCs w:val="21"/>
                      <w:highlight w:val="yellow"/>
                    </w:rPr>
                  </w:pPr>
                  <w:r>
                    <w:rPr>
                      <w:rFonts w:hint="eastAsia"/>
                      <w:color w:val="auto"/>
                      <w:szCs w:val="21"/>
                      <w:lang w:val="en-US" w:eastAsia="zh-CN"/>
                    </w:rPr>
                    <w:t>0.0676</w:t>
                  </w:r>
                </w:p>
              </w:tc>
            </w:tr>
          </w:tbl>
          <w:p w14:paraId="6AA32B8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color w:val="auto"/>
                <w:sz w:val="24"/>
                <w:lang w:val="en-US" w:eastAsia="zh-CN"/>
              </w:rPr>
            </w:pPr>
            <w:r>
              <w:rPr>
                <w:rFonts w:hint="eastAsia"/>
                <w:b/>
                <w:bCs/>
                <w:color w:val="auto"/>
                <w:sz w:val="24"/>
                <w:lang w:val="en-US" w:eastAsia="zh-CN"/>
              </w:rPr>
              <w:t>2.3厂内清洗用水回用可行性分析</w:t>
            </w:r>
          </w:p>
          <w:p w14:paraId="48F8B2A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lang w:val="en-US" w:eastAsia="zh-CN"/>
              </w:rPr>
            </w:pPr>
            <w:r>
              <w:rPr>
                <w:rFonts w:hint="default" w:ascii="Times New Roman" w:hAnsi="宋体" w:eastAsia="宋体" w:cs="Times New Roman"/>
                <w:color w:val="auto"/>
                <w:sz w:val="24"/>
                <w:lang w:val="en-US" w:eastAsia="zh-CN"/>
              </w:rPr>
              <w:t>厂内生产废水主要为前处理废水，生产废水经管道收集后进入厂区废水处理设施处理，处理达标后回用，不外排。</w:t>
            </w:r>
          </w:p>
          <w:p w14:paraId="04548F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废水污染防治措施</w:t>
            </w:r>
          </w:p>
          <w:p w14:paraId="12619B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厂内</w:t>
            </w:r>
            <w:r>
              <w:rPr>
                <w:rFonts w:hint="eastAsia" w:hAnsi="宋体" w:cs="Times New Roman"/>
                <w:color w:val="auto"/>
                <w:sz w:val="24"/>
                <w:lang w:val="en-US" w:eastAsia="zh-CN"/>
              </w:rPr>
              <w:t>清洗</w:t>
            </w:r>
            <w:r>
              <w:rPr>
                <w:rFonts w:hint="eastAsia" w:ascii="Times New Roman" w:hAnsi="宋体" w:eastAsia="宋体" w:cs="Times New Roman"/>
                <w:color w:val="auto"/>
                <w:sz w:val="24"/>
                <w:lang w:val="en-US" w:eastAsia="zh-CN"/>
              </w:rPr>
              <w:t>经过低温真空蒸发器设施进行处理，设计处理能力为</w:t>
            </w:r>
            <w:r>
              <w:rPr>
                <w:rFonts w:hint="eastAsia" w:hAnsi="宋体" w:cs="Times New Roman"/>
                <w:color w:val="auto"/>
                <w:sz w:val="24"/>
                <w:lang w:val="en-US" w:eastAsia="zh-CN"/>
              </w:rPr>
              <w:t>0.2</w:t>
            </w:r>
            <w:r>
              <w:rPr>
                <w:rFonts w:hint="eastAsia" w:ascii="Times New Roman" w:hAnsi="宋体" w:eastAsia="宋体" w:cs="Times New Roman"/>
                <w:color w:val="auto"/>
                <w:sz w:val="24"/>
                <w:lang w:val="en-US" w:eastAsia="zh-CN"/>
              </w:rPr>
              <w:t>t/d。该处理工艺较为简单，操作运行方便</w:t>
            </w:r>
            <w:r>
              <w:rPr>
                <w:rFonts w:hint="eastAsia" w:hAnsi="宋体" w:cs="Times New Roman"/>
                <w:color w:val="auto"/>
                <w:sz w:val="24"/>
                <w:lang w:val="en-US" w:eastAsia="zh-CN"/>
              </w:rPr>
              <w:t>。</w:t>
            </w:r>
          </w:p>
          <w:p w14:paraId="02D3715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清洗废水进入低温真空蒸发器进行蒸发</w:t>
            </w:r>
            <w:r>
              <w:rPr>
                <w:rFonts w:hint="eastAsia" w:hAnsi="宋体" w:cs="Times New Roman"/>
                <w:color w:val="auto"/>
                <w:sz w:val="24"/>
                <w:lang w:val="en-US" w:eastAsia="zh-CN"/>
              </w:rPr>
              <w:t>，</w:t>
            </w:r>
            <w:r>
              <w:rPr>
                <w:rFonts w:hint="eastAsia" w:ascii="Times New Roman" w:hAnsi="宋体" w:eastAsia="宋体" w:cs="Times New Roman"/>
                <w:color w:val="auto"/>
                <w:sz w:val="24"/>
                <w:lang w:val="en-US" w:eastAsia="zh-CN"/>
              </w:rPr>
              <w:t>低温真空蒸发器蒸发后</w:t>
            </w:r>
            <w:r>
              <w:rPr>
                <w:rFonts w:hint="eastAsia" w:hAnsi="宋体" w:cs="Times New Roman"/>
                <w:color w:val="auto"/>
                <w:sz w:val="24"/>
                <w:lang w:val="en-US" w:eastAsia="zh-CN"/>
              </w:rPr>
              <w:t>冷凝水回用，蒸发</w:t>
            </w:r>
            <w:r>
              <w:rPr>
                <w:rFonts w:hint="eastAsia" w:ascii="Times New Roman" w:hAnsi="宋体" w:eastAsia="宋体" w:cs="Times New Roman"/>
                <w:color w:val="auto"/>
                <w:sz w:val="24"/>
                <w:lang w:val="en-US" w:eastAsia="zh-CN"/>
              </w:rPr>
              <w:t>残液作为危废委托有资质的第三方处置。其处理工艺流程简图如下所示：</w:t>
            </w:r>
          </w:p>
          <w:p w14:paraId="3F9484A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宋体" w:eastAsia="宋体" w:cs="Times New Roman"/>
                <w:color w:val="auto"/>
                <w:sz w:val="24"/>
                <w:lang w:val="en-US" w:eastAsia="zh-CN"/>
              </w:rPr>
            </w:pPr>
            <w:r>
              <w:rPr>
                <w:rFonts w:hint="default" w:ascii="Times New Roman" w:hAnsi="宋体" w:eastAsia="宋体" w:cs="Times New Roman"/>
                <w:color w:val="auto"/>
                <w:sz w:val="24"/>
                <w:lang w:val="en-US" w:eastAsia="zh-CN"/>
              </w:rPr>
              <w:object>
                <v:shape id="_x0000_i1026" o:spt="75" type="#_x0000_t75" style="height:104.25pt;width:357.7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14:paraId="4CD897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宋体" w:eastAsia="宋体" w:cs="Times New Roman"/>
                <w:color w:val="auto"/>
                <w:sz w:val="24"/>
                <w:lang w:val="en-US" w:eastAsia="zh-CN"/>
              </w:rPr>
            </w:pPr>
            <w:r>
              <w:rPr>
                <w:rFonts w:hint="eastAsia"/>
                <w:b/>
                <w:color w:val="000000"/>
                <w:szCs w:val="21"/>
                <w:highlight w:val="none"/>
              </w:rPr>
              <w:t>图4</w:t>
            </w:r>
            <w:r>
              <w:rPr>
                <w:b/>
                <w:color w:val="000000"/>
                <w:szCs w:val="21"/>
                <w:highlight w:val="none"/>
              </w:rPr>
              <w:t>-</w:t>
            </w:r>
            <w:r>
              <w:rPr>
                <w:rFonts w:hint="eastAsia"/>
                <w:b/>
                <w:color w:val="000000"/>
                <w:szCs w:val="21"/>
                <w:highlight w:val="none"/>
              </w:rPr>
              <w:t>2</w:t>
            </w:r>
            <w:r>
              <w:rPr>
                <w:b/>
                <w:color w:val="000000"/>
                <w:szCs w:val="21"/>
                <w:highlight w:val="none"/>
              </w:rPr>
              <w:t xml:space="preserve"> </w:t>
            </w:r>
            <w:r>
              <w:rPr>
                <w:rFonts w:hint="eastAsia" w:ascii="Times New Roman" w:hAnsi="Times New Roman" w:eastAsia="宋体" w:cs="Times New Roman"/>
                <w:b/>
                <w:color w:val="000000"/>
                <w:szCs w:val="21"/>
                <w:highlight w:val="none"/>
                <w:lang w:val="en-US" w:eastAsia="zh-CN"/>
              </w:rPr>
              <w:t>废水处理</w:t>
            </w:r>
            <w:r>
              <w:rPr>
                <w:rFonts w:hint="eastAsia" w:ascii="Times New Roman" w:hAnsi="Times New Roman" w:eastAsia="宋体" w:cs="Times New Roman"/>
                <w:b/>
                <w:color w:val="000000"/>
                <w:szCs w:val="21"/>
                <w:highlight w:val="none"/>
              </w:rPr>
              <w:t>工艺流程图</w:t>
            </w:r>
          </w:p>
          <w:p w14:paraId="3392A85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bCs/>
                <w:kern w:val="0"/>
                <w:sz w:val="24"/>
                <w:highlight w:val="none"/>
              </w:rPr>
            </w:pPr>
            <w:r>
              <w:rPr>
                <w:rFonts w:hint="eastAsia"/>
                <w:bCs/>
                <w:kern w:val="0"/>
                <w:sz w:val="24"/>
                <w:highlight w:val="none"/>
              </w:rPr>
              <w:t>对废水处理设施及处理效果情况表进行分析，得知本项目废水经内废水处理设施处理后可以满足回用标准。故本项目废水处理设施在技术上可行。污水处理设施对主要污染物处理效果见下表。</w:t>
            </w:r>
          </w:p>
          <w:p w14:paraId="7708C036">
            <w:pPr>
              <w:adjustRightInd w:val="0"/>
              <w:snapToGrid w:val="0"/>
              <w:jc w:val="center"/>
              <w:rPr>
                <w:rFonts w:hint="eastAsia" w:ascii="Times New Roman" w:hAnsi="Times New Roman" w:eastAsia="宋体" w:cs="Times New Roman"/>
                <w:b/>
                <w:bCs/>
                <w:color w:val="000000"/>
                <w:szCs w:val="21"/>
                <w:highlight w:val="none"/>
              </w:rPr>
            </w:pPr>
            <w:r>
              <w:rPr>
                <w:rFonts w:hint="eastAsia" w:ascii="Times New Roman" w:hAnsi="Times New Roman" w:eastAsia="宋体" w:cs="Times New Roman"/>
                <w:b/>
                <w:bCs/>
                <w:color w:val="000000"/>
                <w:szCs w:val="21"/>
                <w:highlight w:val="none"/>
              </w:rPr>
              <w:t>表4-1</w:t>
            </w:r>
            <w:r>
              <w:rPr>
                <w:rFonts w:hint="eastAsia" w:ascii="Times New Roman" w:hAnsi="Times New Roman" w:eastAsia="宋体" w:cs="Times New Roman"/>
                <w:b/>
                <w:bCs/>
                <w:color w:val="000000"/>
                <w:szCs w:val="21"/>
                <w:highlight w:val="none"/>
                <w:lang w:val="en-US" w:eastAsia="zh-CN"/>
              </w:rPr>
              <w:t>5</w:t>
            </w:r>
            <w:r>
              <w:rPr>
                <w:rFonts w:hint="eastAsia" w:ascii="Times New Roman" w:hAnsi="Times New Roman" w:eastAsia="宋体" w:cs="Times New Roman"/>
                <w:b/>
                <w:bCs/>
                <w:color w:val="000000"/>
                <w:szCs w:val="21"/>
                <w:highlight w:val="none"/>
              </w:rPr>
              <w:t xml:space="preserve"> </w:t>
            </w:r>
            <w:r>
              <w:rPr>
                <w:rFonts w:hint="eastAsia" w:ascii="Times New Roman" w:hAnsi="Times New Roman" w:eastAsia="宋体" w:cs="Times New Roman"/>
                <w:b/>
                <w:bCs/>
                <w:color w:val="000000"/>
                <w:szCs w:val="21"/>
                <w:highlight w:val="none"/>
                <w:lang w:val="en-US" w:eastAsia="zh-CN"/>
              </w:rPr>
              <w:t>厂内</w:t>
            </w:r>
            <w:r>
              <w:rPr>
                <w:rFonts w:hint="eastAsia" w:ascii="Times New Roman" w:hAnsi="Times New Roman" w:eastAsia="宋体" w:cs="Times New Roman"/>
                <w:b/>
                <w:bCs/>
                <w:color w:val="000000"/>
                <w:szCs w:val="21"/>
                <w:highlight w:val="none"/>
              </w:rPr>
              <w:t>污水处理设施对主要污染物处理效果表</w:t>
            </w:r>
          </w:p>
          <w:tbl>
            <w:tblPr>
              <w:tblStyle w:val="21"/>
              <w:tblW w:w="82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1412"/>
              <w:gridCol w:w="1075"/>
              <w:gridCol w:w="1113"/>
              <w:gridCol w:w="1075"/>
              <w:gridCol w:w="1112"/>
            </w:tblGrid>
            <w:tr w14:paraId="015A7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3" w:type="dxa"/>
                  <w:vMerge w:val="restart"/>
                  <w:tcBorders>
                    <w:tl2br w:val="nil"/>
                    <w:tr2bl w:val="nil"/>
                  </w:tcBorders>
                  <w:noWrap w:val="0"/>
                  <w:vAlign w:val="center"/>
                </w:tcPr>
                <w:p w14:paraId="4DF05B2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b/>
                      <w:kern w:val="0"/>
                      <w:sz w:val="21"/>
                      <w:szCs w:val="21"/>
                      <w:highlight w:val="none"/>
                      <w:lang w:val="en-US" w:eastAsia="zh-CN" w:bidi="ar-SA"/>
                    </w:rPr>
                  </w:pPr>
                  <w:r>
                    <w:rPr>
                      <w:rFonts w:hint="eastAsia"/>
                      <w:b/>
                      <w:kern w:val="0"/>
                      <w:szCs w:val="21"/>
                      <w:highlight w:val="none"/>
                    </w:rPr>
                    <w:t>处理</w:t>
                  </w:r>
                  <w:r>
                    <w:rPr>
                      <w:rFonts w:hint="eastAsia"/>
                      <w:b/>
                      <w:kern w:val="0"/>
                      <w:szCs w:val="21"/>
                      <w:highlight w:val="none"/>
                      <w:lang w:val="en-US" w:eastAsia="zh-CN"/>
                    </w:rPr>
                    <w:t>设施</w:t>
                  </w:r>
                </w:p>
              </w:tc>
              <w:tc>
                <w:tcPr>
                  <w:tcW w:w="1412" w:type="dxa"/>
                  <w:vMerge w:val="restart"/>
                  <w:tcBorders>
                    <w:tl2br w:val="nil"/>
                    <w:tr2bl w:val="nil"/>
                  </w:tcBorders>
                  <w:noWrap w:val="0"/>
                  <w:vAlign w:val="center"/>
                </w:tcPr>
                <w:p w14:paraId="20BAEC5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
                      <w:kern w:val="0"/>
                      <w:sz w:val="21"/>
                      <w:szCs w:val="21"/>
                      <w:highlight w:val="none"/>
                      <w:lang w:val="en-US" w:eastAsia="zh-CN" w:bidi="ar-SA"/>
                    </w:rPr>
                  </w:pPr>
                  <w:r>
                    <w:rPr>
                      <w:rFonts w:hint="eastAsia"/>
                      <w:b/>
                      <w:kern w:val="0"/>
                      <w:szCs w:val="21"/>
                      <w:highlight w:val="none"/>
                    </w:rPr>
                    <w:t>指标</w:t>
                  </w:r>
                </w:p>
              </w:tc>
              <w:tc>
                <w:tcPr>
                  <w:tcW w:w="4375" w:type="dxa"/>
                  <w:gridSpan w:val="4"/>
                  <w:tcBorders>
                    <w:tl2br w:val="nil"/>
                    <w:tr2bl w:val="nil"/>
                  </w:tcBorders>
                  <w:noWrap w:val="0"/>
                  <w:vAlign w:val="center"/>
                </w:tcPr>
                <w:p w14:paraId="68C1EA39">
                  <w:pPr>
                    <w:adjustRightInd w:val="0"/>
                    <w:snapToGrid w:val="0"/>
                    <w:jc w:val="center"/>
                    <w:rPr>
                      <w:rFonts w:hint="eastAsia"/>
                      <w:b/>
                      <w:bCs w:val="0"/>
                      <w:kern w:val="0"/>
                      <w:szCs w:val="21"/>
                      <w:highlight w:val="none"/>
                    </w:rPr>
                  </w:pPr>
                  <w:r>
                    <w:rPr>
                      <w:rFonts w:hint="eastAsia"/>
                      <w:b/>
                      <w:bCs w:val="0"/>
                      <w:kern w:val="0"/>
                      <w:szCs w:val="21"/>
                      <w:highlight w:val="none"/>
                    </w:rPr>
                    <w:t>污染物浓度mg/L</w:t>
                  </w:r>
                </w:p>
              </w:tc>
            </w:tr>
            <w:tr w14:paraId="52036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3" w:type="dxa"/>
                  <w:vMerge w:val="continue"/>
                  <w:tcBorders>
                    <w:tl2br w:val="nil"/>
                    <w:tr2bl w:val="nil"/>
                  </w:tcBorders>
                  <w:noWrap w:val="0"/>
                  <w:vAlign w:val="center"/>
                </w:tcPr>
                <w:p w14:paraId="70A36C32">
                  <w:pPr>
                    <w:adjustRightInd w:val="0"/>
                    <w:snapToGrid w:val="0"/>
                    <w:jc w:val="center"/>
                    <w:rPr>
                      <w:rFonts w:hint="eastAsia" w:ascii="Times New Roman" w:hAnsi="Times New Roman" w:eastAsia="宋体" w:cs="Times New Roman"/>
                      <w:b/>
                      <w:bCs/>
                      <w:color w:val="000000"/>
                      <w:szCs w:val="21"/>
                      <w:highlight w:val="none"/>
                      <w:vertAlign w:val="baseline"/>
                    </w:rPr>
                  </w:pPr>
                </w:p>
              </w:tc>
              <w:tc>
                <w:tcPr>
                  <w:tcW w:w="1412" w:type="dxa"/>
                  <w:vMerge w:val="continue"/>
                  <w:tcBorders>
                    <w:tl2br w:val="nil"/>
                    <w:tr2bl w:val="nil"/>
                  </w:tcBorders>
                  <w:noWrap w:val="0"/>
                  <w:vAlign w:val="center"/>
                </w:tcPr>
                <w:p w14:paraId="2A6F2A79">
                  <w:pPr>
                    <w:adjustRightInd w:val="0"/>
                    <w:snapToGrid w:val="0"/>
                    <w:jc w:val="center"/>
                    <w:rPr>
                      <w:rFonts w:hint="eastAsia" w:ascii="Times New Roman" w:hAnsi="Times New Roman" w:eastAsia="宋体" w:cs="Times New Roman"/>
                      <w:b/>
                      <w:bCs/>
                      <w:color w:val="000000"/>
                      <w:szCs w:val="21"/>
                      <w:highlight w:val="none"/>
                      <w:vertAlign w:val="baseline"/>
                    </w:rPr>
                  </w:pPr>
                </w:p>
              </w:tc>
              <w:tc>
                <w:tcPr>
                  <w:tcW w:w="1075" w:type="dxa"/>
                  <w:tcBorders>
                    <w:tl2br w:val="nil"/>
                    <w:tr2bl w:val="nil"/>
                  </w:tcBorders>
                  <w:noWrap w:val="0"/>
                  <w:vAlign w:val="center"/>
                </w:tcPr>
                <w:p w14:paraId="3D9C1234">
                  <w:pPr>
                    <w:adjustRightInd w:val="0"/>
                    <w:snapToGrid w:val="0"/>
                    <w:jc w:val="center"/>
                    <w:rPr>
                      <w:rFonts w:hint="default" w:ascii="Times New Roman" w:hAnsi="Times New Roman" w:eastAsia="宋体" w:cs="Times New Roman"/>
                      <w:b/>
                      <w:bCs/>
                      <w:color w:val="000000"/>
                      <w:szCs w:val="21"/>
                      <w:highlight w:val="none"/>
                      <w:vertAlign w:val="baseline"/>
                      <w:lang w:val="en-US" w:eastAsia="zh-CN"/>
                    </w:rPr>
                  </w:pPr>
                  <w:r>
                    <w:rPr>
                      <w:rFonts w:hint="eastAsia" w:ascii="Times New Roman" w:hAnsi="Times New Roman" w:eastAsia="宋体" w:cs="Times New Roman"/>
                      <w:b/>
                      <w:bCs/>
                      <w:color w:val="000000"/>
                      <w:szCs w:val="21"/>
                      <w:highlight w:val="none"/>
                      <w:vertAlign w:val="baseline"/>
                      <w:lang w:val="en-US" w:eastAsia="zh-CN"/>
                    </w:rPr>
                    <w:t>COD</w:t>
                  </w:r>
                </w:p>
              </w:tc>
              <w:tc>
                <w:tcPr>
                  <w:tcW w:w="1113" w:type="dxa"/>
                  <w:tcBorders>
                    <w:tl2br w:val="nil"/>
                    <w:tr2bl w:val="nil"/>
                  </w:tcBorders>
                  <w:noWrap w:val="0"/>
                  <w:vAlign w:val="center"/>
                </w:tcPr>
                <w:p w14:paraId="2A45945A">
                  <w:pPr>
                    <w:adjustRightInd w:val="0"/>
                    <w:snapToGrid w:val="0"/>
                    <w:jc w:val="center"/>
                    <w:rPr>
                      <w:rFonts w:hint="eastAsia" w:ascii="Times New Roman" w:hAnsi="Times New Roman" w:eastAsia="宋体" w:cs="Times New Roman"/>
                      <w:b/>
                      <w:bCs/>
                      <w:color w:val="000000"/>
                      <w:szCs w:val="21"/>
                      <w:highlight w:val="none"/>
                      <w:vertAlign w:val="baseline"/>
                      <w:lang w:val="en-US" w:eastAsia="zh-CN"/>
                    </w:rPr>
                  </w:pPr>
                  <w:r>
                    <w:rPr>
                      <w:rFonts w:hint="eastAsia" w:ascii="Times New Roman" w:hAnsi="Times New Roman" w:eastAsia="宋体" w:cs="Times New Roman"/>
                      <w:b/>
                      <w:bCs/>
                      <w:color w:val="000000"/>
                      <w:szCs w:val="21"/>
                      <w:highlight w:val="none"/>
                      <w:vertAlign w:val="baseline"/>
                      <w:lang w:val="en-US" w:eastAsia="zh-CN"/>
                    </w:rPr>
                    <w:t>SS</w:t>
                  </w:r>
                </w:p>
              </w:tc>
              <w:tc>
                <w:tcPr>
                  <w:tcW w:w="1075" w:type="dxa"/>
                  <w:tcBorders>
                    <w:tl2br w:val="nil"/>
                    <w:tr2bl w:val="nil"/>
                  </w:tcBorders>
                  <w:noWrap w:val="0"/>
                  <w:vAlign w:val="center"/>
                </w:tcPr>
                <w:p w14:paraId="58EA9FE8">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pH</w:t>
                  </w:r>
                </w:p>
              </w:tc>
              <w:tc>
                <w:tcPr>
                  <w:tcW w:w="1112" w:type="dxa"/>
                  <w:tcBorders>
                    <w:tl2br w:val="nil"/>
                    <w:tr2bl w:val="nil"/>
                  </w:tcBorders>
                  <w:noWrap w:val="0"/>
                  <w:vAlign w:val="center"/>
                </w:tcPr>
                <w:p w14:paraId="3A9F0888">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LAS</w:t>
                  </w:r>
                </w:p>
              </w:tc>
            </w:tr>
            <w:tr w14:paraId="08CA7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3" w:type="dxa"/>
                  <w:vMerge w:val="restart"/>
                  <w:tcBorders>
                    <w:tl2br w:val="nil"/>
                    <w:tr2bl w:val="nil"/>
                  </w:tcBorders>
                  <w:noWrap w:val="0"/>
                  <w:vAlign w:val="center"/>
                </w:tcPr>
                <w:p w14:paraId="653EEB44">
                  <w:pPr>
                    <w:adjustRightInd w:val="0"/>
                    <w:snapToGrid w:val="0"/>
                    <w:jc w:val="center"/>
                    <w:rPr>
                      <w:rFonts w:hint="eastAsia" w:ascii="Times New Roman" w:hAnsi="Times New Roman" w:eastAsia="宋体" w:cs="Times New Roman"/>
                      <w:b w:val="0"/>
                      <w:bCs w:val="0"/>
                      <w:color w:val="000000"/>
                      <w:szCs w:val="21"/>
                      <w:highlight w:val="none"/>
                      <w:vertAlign w:val="baseline"/>
                      <w:lang w:val="en-US" w:eastAsia="zh-CN"/>
                    </w:rPr>
                  </w:pPr>
                  <w:r>
                    <w:rPr>
                      <w:rFonts w:hint="eastAsia" w:ascii="Times New Roman" w:hAnsi="Times New Roman" w:eastAsia="宋体" w:cs="Times New Roman"/>
                      <w:b w:val="0"/>
                      <w:bCs w:val="0"/>
                      <w:color w:val="000000"/>
                      <w:szCs w:val="21"/>
                      <w:highlight w:val="none"/>
                      <w:vertAlign w:val="baseline"/>
                      <w:lang w:val="en-US" w:eastAsia="zh-CN"/>
                    </w:rPr>
                    <w:t>低温真空蒸发器</w:t>
                  </w:r>
                </w:p>
              </w:tc>
              <w:tc>
                <w:tcPr>
                  <w:tcW w:w="1412" w:type="dxa"/>
                  <w:tcBorders>
                    <w:tl2br w:val="nil"/>
                    <w:tr2bl w:val="nil"/>
                  </w:tcBorders>
                  <w:noWrap w:val="0"/>
                  <w:vAlign w:val="center"/>
                </w:tcPr>
                <w:p w14:paraId="159D5A5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 w:val="0"/>
                      <w:bCs w:val="0"/>
                      <w:kern w:val="0"/>
                      <w:sz w:val="21"/>
                      <w:szCs w:val="21"/>
                      <w:highlight w:val="none"/>
                      <w:lang w:val="en-US" w:eastAsia="zh-CN" w:bidi="ar-SA"/>
                    </w:rPr>
                  </w:pPr>
                  <w:r>
                    <w:rPr>
                      <w:rFonts w:hint="eastAsia"/>
                      <w:b w:val="0"/>
                      <w:bCs w:val="0"/>
                      <w:kern w:val="0"/>
                      <w:szCs w:val="21"/>
                      <w:highlight w:val="none"/>
                    </w:rPr>
                    <w:t>进水</w:t>
                  </w:r>
                </w:p>
              </w:tc>
              <w:tc>
                <w:tcPr>
                  <w:tcW w:w="1075" w:type="dxa"/>
                  <w:tcBorders>
                    <w:tl2br w:val="nil"/>
                    <w:tr2bl w:val="nil"/>
                  </w:tcBorders>
                  <w:noWrap w:val="0"/>
                  <w:vAlign w:val="center"/>
                </w:tcPr>
                <w:p w14:paraId="4492C8FA">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112.5</w:t>
                  </w:r>
                </w:p>
              </w:tc>
              <w:tc>
                <w:tcPr>
                  <w:tcW w:w="1113" w:type="dxa"/>
                  <w:tcBorders>
                    <w:tl2br w:val="nil"/>
                    <w:tr2bl w:val="nil"/>
                  </w:tcBorders>
                  <w:noWrap w:val="0"/>
                  <w:vAlign w:val="center"/>
                </w:tcPr>
                <w:p w14:paraId="09AC4A08">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50</w:t>
                  </w:r>
                </w:p>
              </w:tc>
              <w:tc>
                <w:tcPr>
                  <w:tcW w:w="1075" w:type="dxa"/>
                  <w:tcBorders>
                    <w:tl2br w:val="nil"/>
                    <w:tr2bl w:val="nil"/>
                  </w:tcBorders>
                  <w:noWrap w:val="0"/>
                  <w:vAlign w:val="center"/>
                </w:tcPr>
                <w:p w14:paraId="618868C7">
                  <w:pPr>
                    <w:adjustRightInd w:val="0"/>
                    <w:snapToGrid w:val="0"/>
                    <w:jc w:val="center"/>
                    <w:rPr>
                      <w:rFonts w:hint="default"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6~9</w:t>
                  </w:r>
                </w:p>
              </w:tc>
              <w:tc>
                <w:tcPr>
                  <w:tcW w:w="1112" w:type="dxa"/>
                  <w:tcBorders>
                    <w:tl2br w:val="nil"/>
                    <w:tr2bl w:val="nil"/>
                  </w:tcBorders>
                  <w:noWrap w:val="0"/>
                  <w:vAlign w:val="center"/>
                </w:tcPr>
                <w:p w14:paraId="691023B7">
                  <w:pPr>
                    <w:adjustRightInd w:val="0"/>
                    <w:snapToGrid w:val="0"/>
                    <w:jc w:val="center"/>
                    <w:rPr>
                      <w:rFonts w:hint="default"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1.23</w:t>
                  </w:r>
                </w:p>
              </w:tc>
            </w:tr>
            <w:tr w14:paraId="11969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3" w:type="dxa"/>
                  <w:vMerge w:val="continue"/>
                  <w:tcBorders>
                    <w:tl2br w:val="nil"/>
                    <w:tr2bl w:val="nil"/>
                  </w:tcBorders>
                  <w:noWrap w:val="0"/>
                  <w:vAlign w:val="center"/>
                </w:tcPr>
                <w:p w14:paraId="6EEE2A88">
                  <w:pPr>
                    <w:adjustRightInd w:val="0"/>
                    <w:snapToGrid w:val="0"/>
                    <w:jc w:val="center"/>
                    <w:rPr>
                      <w:rFonts w:hint="eastAsia" w:ascii="Times New Roman" w:hAnsi="Times New Roman" w:eastAsia="宋体" w:cs="Times New Roman"/>
                      <w:b w:val="0"/>
                      <w:bCs w:val="0"/>
                      <w:color w:val="000000"/>
                      <w:szCs w:val="21"/>
                      <w:highlight w:val="none"/>
                      <w:vertAlign w:val="baseline"/>
                    </w:rPr>
                  </w:pPr>
                </w:p>
              </w:tc>
              <w:tc>
                <w:tcPr>
                  <w:tcW w:w="1412" w:type="dxa"/>
                  <w:tcBorders>
                    <w:tl2br w:val="nil"/>
                    <w:tr2bl w:val="nil"/>
                  </w:tcBorders>
                  <w:noWrap w:val="0"/>
                  <w:vAlign w:val="center"/>
                </w:tcPr>
                <w:p w14:paraId="0D3F4F7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b w:val="0"/>
                      <w:bCs w:val="0"/>
                      <w:kern w:val="0"/>
                      <w:sz w:val="21"/>
                      <w:szCs w:val="21"/>
                      <w:highlight w:val="none"/>
                      <w:lang w:val="en-US" w:eastAsia="zh-CN" w:bidi="ar-SA"/>
                    </w:rPr>
                  </w:pPr>
                  <w:r>
                    <w:rPr>
                      <w:rFonts w:hint="eastAsia"/>
                      <w:b w:val="0"/>
                      <w:bCs w:val="0"/>
                      <w:kern w:val="0"/>
                      <w:szCs w:val="21"/>
                      <w:highlight w:val="none"/>
                    </w:rPr>
                    <w:t>出水</w:t>
                  </w:r>
                </w:p>
              </w:tc>
              <w:tc>
                <w:tcPr>
                  <w:tcW w:w="1075" w:type="dxa"/>
                  <w:tcBorders>
                    <w:tl2br w:val="nil"/>
                    <w:tr2bl w:val="nil"/>
                  </w:tcBorders>
                  <w:noWrap w:val="0"/>
                  <w:vAlign w:val="center"/>
                </w:tcPr>
                <w:p w14:paraId="1CDD69F1">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50</w:t>
                  </w:r>
                </w:p>
              </w:tc>
              <w:tc>
                <w:tcPr>
                  <w:tcW w:w="1113" w:type="dxa"/>
                  <w:tcBorders>
                    <w:tl2br w:val="nil"/>
                    <w:tr2bl w:val="nil"/>
                  </w:tcBorders>
                  <w:noWrap w:val="0"/>
                  <w:vAlign w:val="center"/>
                </w:tcPr>
                <w:p w14:paraId="7258606E">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20</w:t>
                  </w:r>
                </w:p>
              </w:tc>
              <w:tc>
                <w:tcPr>
                  <w:tcW w:w="1075" w:type="dxa"/>
                  <w:tcBorders>
                    <w:tl2br w:val="nil"/>
                    <w:tr2bl w:val="nil"/>
                  </w:tcBorders>
                  <w:noWrap w:val="0"/>
                  <w:vAlign w:val="center"/>
                </w:tcPr>
                <w:p w14:paraId="4E94E84E">
                  <w:pPr>
                    <w:adjustRightInd w:val="0"/>
                    <w:snapToGrid w:val="0"/>
                    <w:jc w:val="center"/>
                    <w:rPr>
                      <w:rFonts w:hint="eastAsia"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6~9</w:t>
                  </w:r>
                </w:p>
              </w:tc>
              <w:tc>
                <w:tcPr>
                  <w:tcW w:w="1112" w:type="dxa"/>
                  <w:tcBorders>
                    <w:tl2br w:val="nil"/>
                    <w:tr2bl w:val="nil"/>
                  </w:tcBorders>
                  <w:noWrap w:val="0"/>
                  <w:vAlign w:val="center"/>
                </w:tcPr>
                <w:p w14:paraId="60B6222C">
                  <w:pPr>
                    <w:adjustRightInd w:val="0"/>
                    <w:snapToGrid w:val="0"/>
                    <w:jc w:val="center"/>
                    <w:rPr>
                      <w:rFonts w:hint="default"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0.5</w:t>
                  </w:r>
                </w:p>
              </w:tc>
            </w:tr>
            <w:tr w14:paraId="05C3C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3" w:type="dxa"/>
                  <w:vMerge w:val="continue"/>
                  <w:tcBorders>
                    <w:tl2br w:val="nil"/>
                    <w:tr2bl w:val="nil"/>
                  </w:tcBorders>
                  <w:noWrap w:val="0"/>
                  <w:vAlign w:val="center"/>
                </w:tcPr>
                <w:p w14:paraId="35EE9CB8">
                  <w:pPr>
                    <w:adjustRightInd w:val="0"/>
                    <w:snapToGrid w:val="0"/>
                    <w:jc w:val="center"/>
                    <w:rPr>
                      <w:rFonts w:hint="eastAsia" w:ascii="Times New Roman" w:hAnsi="Times New Roman" w:eastAsia="宋体" w:cs="Times New Roman"/>
                      <w:b w:val="0"/>
                      <w:bCs w:val="0"/>
                      <w:color w:val="000000"/>
                      <w:szCs w:val="21"/>
                      <w:highlight w:val="none"/>
                      <w:vertAlign w:val="baseline"/>
                    </w:rPr>
                  </w:pPr>
                </w:p>
              </w:tc>
              <w:tc>
                <w:tcPr>
                  <w:tcW w:w="1412" w:type="dxa"/>
                  <w:tcBorders>
                    <w:tl2br w:val="nil"/>
                    <w:tr2bl w:val="nil"/>
                  </w:tcBorders>
                  <w:noWrap w:val="0"/>
                  <w:vAlign w:val="center"/>
                </w:tcPr>
                <w:p w14:paraId="3E5A00A8">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eastAsia="宋体"/>
                      <w:b w:val="0"/>
                      <w:bCs w:val="0"/>
                      <w:kern w:val="0"/>
                      <w:sz w:val="21"/>
                      <w:szCs w:val="21"/>
                      <w:highlight w:val="none"/>
                      <w:lang w:val="en-US" w:eastAsia="zh-CN" w:bidi="ar-SA"/>
                    </w:rPr>
                  </w:pPr>
                  <w:r>
                    <w:rPr>
                      <w:rFonts w:hint="eastAsia"/>
                      <w:b w:val="0"/>
                      <w:bCs w:val="0"/>
                      <w:kern w:val="0"/>
                      <w:szCs w:val="21"/>
                      <w:highlight w:val="none"/>
                    </w:rPr>
                    <w:t>去除率</w:t>
                  </w:r>
                  <w:r>
                    <w:rPr>
                      <w:rFonts w:hint="eastAsia"/>
                      <w:b w:val="0"/>
                      <w:bCs w:val="0"/>
                      <w:kern w:val="0"/>
                      <w:szCs w:val="21"/>
                      <w:highlight w:val="none"/>
                      <w:lang w:eastAsia="zh-CN"/>
                    </w:rPr>
                    <w:t>（</w:t>
                  </w:r>
                  <w:r>
                    <w:rPr>
                      <w:rFonts w:hint="default" w:ascii="Times New Roman" w:hAnsi="Times New Roman" w:cs="Times New Roman"/>
                      <w:b w:val="0"/>
                      <w:bCs w:val="0"/>
                      <w:kern w:val="0"/>
                      <w:szCs w:val="21"/>
                      <w:highlight w:val="none"/>
                      <w:lang w:val="en-US" w:eastAsia="zh-CN"/>
                    </w:rPr>
                    <w:t>％</w:t>
                  </w:r>
                  <w:r>
                    <w:rPr>
                      <w:rFonts w:hint="eastAsia"/>
                      <w:b w:val="0"/>
                      <w:bCs w:val="0"/>
                      <w:kern w:val="0"/>
                      <w:szCs w:val="21"/>
                      <w:highlight w:val="none"/>
                      <w:lang w:eastAsia="zh-CN"/>
                    </w:rPr>
                    <w:t>）</w:t>
                  </w:r>
                </w:p>
              </w:tc>
              <w:tc>
                <w:tcPr>
                  <w:tcW w:w="1075" w:type="dxa"/>
                  <w:tcBorders>
                    <w:tl2br w:val="nil"/>
                    <w:tr2bl w:val="nil"/>
                  </w:tcBorders>
                  <w:noWrap w:val="0"/>
                  <w:vAlign w:val="center"/>
                </w:tcPr>
                <w:p w14:paraId="180FAE70">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55.6</w:t>
                  </w:r>
                </w:p>
              </w:tc>
              <w:tc>
                <w:tcPr>
                  <w:tcW w:w="1113" w:type="dxa"/>
                  <w:tcBorders>
                    <w:tl2br w:val="nil"/>
                    <w:tr2bl w:val="nil"/>
                  </w:tcBorders>
                  <w:noWrap w:val="0"/>
                  <w:vAlign w:val="center"/>
                </w:tcPr>
                <w:p w14:paraId="6FEDD220">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60</w:t>
                  </w:r>
                </w:p>
              </w:tc>
              <w:tc>
                <w:tcPr>
                  <w:tcW w:w="1075" w:type="dxa"/>
                  <w:tcBorders>
                    <w:tl2br w:val="nil"/>
                    <w:tr2bl w:val="nil"/>
                  </w:tcBorders>
                  <w:noWrap w:val="0"/>
                  <w:vAlign w:val="center"/>
                </w:tcPr>
                <w:p w14:paraId="0EED9AA1">
                  <w:pPr>
                    <w:adjustRightInd w:val="0"/>
                    <w:snapToGrid w:val="0"/>
                    <w:jc w:val="center"/>
                    <w:rPr>
                      <w:rFonts w:hint="default"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w:t>
                  </w:r>
                </w:p>
              </w:tc>
              <w:tc>
                <w:tcPr>
                  <w:tcW w:w="1112" w:type="dxa"/>
                  <w:tcBorders>
                    <w:tl2br w:val="nil"/>
                    <w:tr2bl w:val="nil"/>
                  </w:tcBorders>
                  <w:noWrap w:val="0"/>
                  <w:vAlign w:val="center"/>
                </w:tcPr>
                <w:p w14:paraId="5ACA8108">
                  <w:pPr>
                    <w:adjustRightInd w:val="0"/>
                    <w:snapToGrid w:val="0"/>
                    <w:jc w:val="center"/>
                    <w:rPr>
                      <w:rFonts w:hint="default"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59.3</w:t>
                  </w:r>
                </w:p>
              </w:tc>
            </w:tr>
            <w:tr w14:paraId="449FB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05" w:type="dxa"/>
                  <w:gridSpan w:val="2"/>
                  <w:tcBorders>
                    <w:tl2br w:val="nil"/>
                    <w:tr2bl w:val="nil"/>
                  </w:tcBorders>
                  <w:noWrap w:val="0"/>
                  <w:vAlign w:val="center"/>
                </w:tcPr>
                <w:p w14:paraId="065FAC3B">
                  <w:pPr>
                    <w:adjustRightInd w:val="0"/>
                    <w:snapToGrid w:val="0"/>
                    <w:jc w:val="center"/>
                    <w:rPr>
                      <w:rFonts w:hint="eastAsia" w:ascii="Times New Roman" w:hAnsi="Times New Roman" w:eastAsia="宋体" w:cs="Times New Roman"/>
                      <w:b w:val="0"/>
                      <w:bCs w:val="0"/>
                      <w:color w:val="000000"/>
                      <w:szCs w:val="21"/>
                      <w:highlight w:val="none"/>
                      <w:vertAlign w:val="baseline"/>
                    </w:rPr>
                  </w:pPr>
                  <w:r>
                    <w:rPr>
                      <w:rFonts w:hint="eastAsia"/>
                      <w:b w:val="0"/>
                      <w:bCs w:val="0"/>
                      <w:kern w:val="0"/>
                      <w:szCs w:val="21"/>
                      <w:highlight w:val="none"/>
                    </w:rPr>
                    <w:t>回用水标准限值</w:t>
                  </w:r>
                </w:p>
              </w:tc>
              <w:tc>
                <w:tcPr>
                  <w:tcW w:w="1075" w:type="dxa"/>
                  <w:tcBorders>
                    <w:tl2br w:val="nil"/>
                    <w:tr2bl w:val="nil"/>
                  </w:tcBorders>
                  <w:noWrap w:val="0"/>
                  <w:vAlign w:val="center"/>
                </w:tcPr>
                <w:p w14:paraId="71B3E7FE">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ascii="Times New Roman" w:hAnsi="Times New Roman" w:eastAsia="宋体" w:cs="Times New Roman"/>
                      <w:b w:val="0"/>
                      <w:bCs w:val="0"/>
                      <w:color w:val="000000"/>
                      <w:szCs w:val="21"/>
                      <w:highlight w:val="none"/>
                      <w:vertAlign w:val="baseline"/>
                      <w:lang w:val="en-US" w:eastAsia="zh-CN"/>
                    </w:rPr>
                    <w:t>50</w:t>
                  </w:r>
                </w:p>
              </w:tc>
              <w:tc>
                <w:tcPr>
                  <w:tcW w:w="1113" w:type="dxa"/>
                  <w:tcBorders>
                    <w:tl2br w:val="nil"/>
                    <w:tr2bl w:val="nil"/>
                  </w:tcBorders>
                  <w:noWrap w:val="0"/>
                  <w:vAlign w:val="center"/>
                </w:tcPr>
                <w:p w14:paraId="06170CE0">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ascii="Times New Roman" w:hAnsi="Times New Roman" w:eastAsia="宋体" w:cs="Times New Roman"/>
                      <w:b w:val="0"/>
                      <w:bCs w:val="0"/>
                      <w:color w:val="000000"/>
                      <w:szCs w:val="21"/>
                      <w:highlight w:val="none"/>
                      <w:vertAlign w:val="baseline"/>
                      <w:lang w:val="en-US" w:eastAsia="zh-CN"/>
                    </w:rPr>
                    <w:t>/</w:t>
                  </w:r>
                </w:p>
              </w:tc>
              <w:tc>
                <w:tcPr>
                  <w:tcW w:w="1075" w:type="dxa"/>
                  <w:tcBorders>
                    <w:tl2br w:val="nil"/>
                    <w:tr2bl w:val="nil"/>
                  </w:tcBorders>
                  <w:noWrap w:val="0"/>
                  <w:vAlign w:val="center"/>
                </w:tcPr>
                <w:p w14:paraId="18A15352">
                  <w:pPr>
                    <w:adjustRightInd w:val="0"/>
                    <w:snapToGrid w:val="0"/>
                    <w:jc w:val="center"/>
                    <w:rPr>
                      <w:rFonts w:hint="eastAsia"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6~9</w:t>
                  </w:r>
                </w:p>
              </w:tc>
              <w:tc>
                <w:tcPr>
                  <w:tcW w:w="1112" w:type="dxa"/>
                  <w:tcBorders>
                    <w:tl2br w:val="nil"/>
                    <w:tr2bl w:val="nil"/>
                  </w:tcBorders>
                  <w:noWrap w:val="0"/>
                  <w:vAlign w:val="center"/>
                </w:tcPr>
                <w:p w14:paraId="49380808">
                  <w:pPr>
                    <w:adjustRightInd w:val="0"/>
                    <w:snapToGrid w:val="0"/>
                    <w:jc w:val="center"/>
                    <w:rPr>
                      <w:rFonts w:hint="default" w:ascii="Times New Roman" w:hAnsi="Times New Roman" w:eastAsia="宋体" w:cs="Times New Roman"/>
                      <w:b w:val="0"/>
                      <w:bCs w:val="0"/>
                      <w:color w:val="000000"/>
                      <w:szCs w:val="21"/>
                      <w:highlight w:val="none"/>
                      <w:vertAlign w:val="baseline"/>
                      <w:lang w:val="en-US" w:eastAsia="zh-CN"/>
                    </w:rPr>
                  </w:pPr>
                  <w:r>
                    <w:rPr>
                      <w:rFonts w:hint="eastAsia" w:cs="Times New Roman"/>
                      <w:b w:val="0"/>
                      <w:bCs w:val="0"/>
                      <w:color w:val="000000"/>
                      <w:szCs w:val="21"/>
                      <w:highlight w:val="none"/>
                      <w:vertAlign w:val="baseline"/>
                      <w:lang w:val="en-US" w:eastAsia="zh-CN"/>
                    </w:rPr>
                    <w:t>0.5</w:t>
                  </w:r>
                </w:p>
              </w:tc>
            </w:tr>
          </w:tbl>
          <w:p w14:paraId="213CF64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bCs/>
                <w:kern w:val="0"/>
                <w:sz w:val="24"/>
                <w:highlight w:val="none"/>
              </w:rPr>
            </w:pPr>
            <w:r>
              <w:rPr>
                <w:rFonts w:hint="eastAsia"/>
                <w:bCs/>
                <w:kern w:val="0"/>
                <w:sz w:val="24"/>
                <w:highlight w:val="none"/>
                <w:lang w:val="en-US" w:eastAsia="zh-CN"/>
              </w:rPr>
              <w:t>本项目清洗废水经低温真空蒸发器设施处理后回用，不外排。回用水中的pH、COD、pH、LAS浓度满足</w:t>
            </w:r>
            <w:r>
              <w:rPr>
                <w:rFonts w:hint="eastAsia"/>
                <w:bCs/>
                <w:kern w:val="0"/>
                <w:sz w:val="24"/>
                <w:highlight w:val="none"/>
              </w:rPr>
              <w:t>《城市污水再生利用工业用水水质》（GB/T</w:t>
            </w:r>
            <w:r>
              <w:rPr>
                <w:rFonts w:hint="eastAsia"/>
                <w:bCs/>
                <w:kern w:val="0"/>
                <w:sz w:val="24"/>
                <w:highlight w:val="none"/>
                <w:lang w:val="en-US" w:eastAsia="zh-CN"/>
              </w:rPr>
              <w:t xml:space="preserve"> </w:t>
            </w:r>
            <w:r>
              <w:rPr>
                <w:rFonts w:hint="eastAsia"/>
                <w:bCs/>
                <w:kern w:val="0"/>
                <w:sz w:val="24"/>
                <w:highlight w:val="none"/>
              </w:rPr>
              <w:t>19923-20</w:t>
            </w:r>
            <w:r>
              <w:rPr>
                <w:rFonts w:hint="eastAsia"/>
                <w:bCs/>
                <w:kern w:val="0"/>
                <w:sz w:val="24"/>
                <w:highlight w:val="none"/>
                <w:lang w:val="en-US" w:eastAsia="zh-CN"/>
              </w:rPr>
              <w:t>24</w:t>
            </w:r>
            <w:r>
              <w:rPr>
                <w:rFonts w:hint="eastAsia"/>
                <w:bCs/>
                <w:kern w:val="0"/>
                <w:sz w:val="24"/>
                <w:highlight w:val="none"/>
              </w:rPr>
              <w:t>）中“表1再生水用作工业用水水质基本控制项目及限值表”洗涤用水水质要求。</w:t>
            </w:r>
          </w:p>
          <w:p w14:paraId="0193493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b/>
                <w:bCs/>
                <w:color w:val="auto"/>
                <w:sz w:val="24"/>
              </w:rPr>
            </w:pPr>
            <w:r>
              <w:rPr>
                <w:rFonts w:hint="eastAsia"/>
                <w:b/>
                <w:bCs/>
                <w:color w:val="auto"/>
                <w:sz w:val="24"/>
                <w:lang w:val="en-US" w:eastAsia="zh-CN"/>
              </w:rPr>
              <w:t>2.4</w:t>
            </w:r>
            <w:r>
              <w:rPr>
                <w:rFonts w:hint="eastAsia"/>
                <w:b/>
                <w:bCs/>
                <w:color w:val="auto"/>
                <w:sz w:val="24"/>
              </w:rPr>
              <w:t>区域污水厂接管可行性分析</w:t>
            </w:r>
          </w:p>
          <w:p w14:paraId="5F78EB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lang w:eastAsia="zh-CN"/>
              </w:rPr>
            </w:pPr>
            <w:r>
              <w:rPr>
                <w:rFonts w:hint="eastAsia" w:hAnsi="宋体"/>
                <w:color w:val="auto"/>
                <w:sz w:val="24"/>
              </w:rPr>
              <w:t>（</w:t>
            </w:r>
            <w:r>
              <w:rPr>
                <w:rFonts w:hAnsi="宋体"/>
                <w:color w:val="auto"/>
                <w:sz w:val="24"/>
              </w:rPr>
              <w:t>1</w:t>
            </w:r>
            <w:r>
              <w:rPr>
                <w:rFonts w:hint="eastAsia" w:hAnsi="宋体"/>
                <w:color w:val="auto"/>
                <w:sz w:val="24"/>
              </w:rPr>
              <w:t>）污水处理厂现状分析</w:t>
            </w:r>
          </w:p>
          <w:p w14:paraId="204AAD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rPr>
            </w:pPr>
            <w:r>
              <w:rPr>
                <w:rFonts w:hint="eastAsia" w:hAnsi="宋体"/>
                <w:color w:val="auto"/>
                <w:sz w:val="24"/>
                <w:lang w:eastAsia="zh-CN"/>
              </w:rPr>
              <w:t>苏州汾湖水务发展有限公司（黎里工业再生水厂）</w:t>
            </w:r>
            <w:r>
              <w:rPr>
                <w:rFonts w:hint="eastAsia" w:hAnsi="宋体"/>
                <w:color w:val="auto"/>
                <w:sz w:val="24"/>
              </w:rPr>
              <w:t>目前处理规模为3万t/d（其中食品废水为1万t/d、其他废水为</w:t>
            </w:r>
            <w:r>
              <w:rPr>
                <w:rFonts w:hAnsi="宋体"/>
                <w:color w:val="auto"/>
                <w:sz w:val="24"/>
              </w:rPr>
              <w:t>2</w:t>
            </w:r>
            <w:r>
              <w:rPr>
                <w:rFonts w:hint="eastAsia" w:hAnsi="宋体"/>
                <w:color w:val="auto"/>
                <w:sz w:val="24"/>
              </w:rPr>
              <w:t>万t/d）</w:t>
            </w:r>
            <w:r>
              <w:rPr>
                <w:rFonts w:hint="eastAsia" w:hAnsi="宋体"/>
                <w:color w:val="auto"/>
                <w:sz w:val="24"/>
                <w:lang w:eastAsia="zh-CN"/>
              </w:rPr>
              <w:t>。</w:t>
            </w:r>
            <w:r>
              <w:rPr>
                <w:rFonts w:hint="eastAsia" w:hAnsi="宋体"/>
                <w:color w:val="auto"/>
                <w:sz w:val="24"/>
              </w:rPr>
              <w:t>食品废水区域内全部回用，目前食品废水接管量为0.5万t/d，剩余处理量为0.5万t/d</w:t>
            </w:r>
            <w:r>
              <w:rPr>
                <w:rFonts w:hint="eastAsia" w:hAnsi="宋体"/>
                <w:color w:val="auto"/>
                <w:sz w:val="24"/>
                <w:lang w:eastAsia="zh-CN"/>
              </w:rPr>
              <w:t>。</w:t>
            </w:r>
            <w:r>
              <w:rPr>
                <w:rFonts w:hint="eastAsia" w:hAnsi="宋体"/>
                <w:color w:val="auto"/>
                <w:sz w:val="24"/>
              </w:rPr>
              <w:t>其他废水接管量为1.</w:t>
            </w:r>
            <w:r>
              <w:rPr>
                <w:rFonts w:hint="eastAsia" w:hAnsi="宋体"/>
                <w:color w:val="auto"/>
                <w:sz w:val="24"/>
                <w:lang w:val="en-US" w:eastAsia="zh-CN"/>
              </w:rPr>
              <w:t>7</w:t>
            </w:r>
            <w:r>
              <w:rPr>
                <w:rFonts w:hint="eastAsia" w:hAnsi="宋体"/>
                <w:color w:val="auto"/>
                <w:sz w:val="24"/>
              </w:rPr>
              <w:t>万t/d，剩余处理量为</w:t>
            </w:r>
            <w:r>
              <w:rPr>
                <w:rFonts w:hint="eastAsia" w:hAnsi="宋体"/>
                <w:color w:val="auto"/>
                <w:sz w:val="24"/>
                <w:lang w:val="en-US" w:eastAsia="zh-CN"/>
              </w:rPr>
              <w:t>0.3</w:t>
            </w:r>
            <w:r>
              <w:rPr>
                <w:rFonts w:hint="eastAsia" w:hAnsi="宋体"/>
                <w:color w:val="auto"/>
                <w:sz w:val="24"/>
              </w:rPr>
              <w:t>万t/d，</w:t>
            </w:r>
            <w:r>
              <w:rPr>
                <w:rFonts w:hint="eastAsia" w:hAnsi="宋体"/>
                <w:color w:val="auto"/>
                <w:sz w:val="24"/>
                <w:lang w:eastAsia="zh-CN"/>
              </w:rPr>
              <w:t>本项目生活污水产生量</w:t>
            </w:r>
            <w:r>
              <w:rPr>
                <w:rFonts w:hint="eastAsia" w:hAnsi="宋体"/>
                <w:color w:val="auto"/>
                <w:sz w:val="24"/>
                <w:lang w:val="en-US" w:eastAsia="zh-CN"/>
              </w:rPr>
              <w:t>0.96t/d，该污水厂完全有能力接纳本项目生活污水。</w:t>
            </w:r>
            <w:r>
              <w:rPr>
                <w:rFonts w:hint="eastAsia" w:hAnsi="宋体"/>
                <w:color w:val="auto"/>
                <w:sz w:val="24"/>
                <w:lang w:eastAsia="zh-CN"/>
              </w:rPr>
              <w:t>苏州汾湖水务发展有限公司（黎里工业再生水厂）</w:t>
            </w:r>
            <w:r>
              <w:rPr>
                <w:rFonts w:hint="eastAsia" w:hAnsi="宋体"/>
                <w:color w:val="auto"/>
                <w:sz w:val="24"/>
              </w:rPr>
              <w:t>工业废水（含生活污水）采用“厌氧水解池+组合式 A</w:t>
            </w:r>
            <w:r>
              <w:rPr>
                <w:rFonts w:hint="eastAsia" w:hAnsi="宋体"/>
                <w:color w:val="auto"/>
                <w:sz w:val="24"/>
                <w:vertAlign w:val="superscript"/>
              </w:rPr>
              <w:t>2</w:t>
            </w:r>
            <w:r>
              <w:rPr>
                <w:rFonts w:hint="eastAsia" w:hAnsi="宋体"/>
                <w:color w:val="auto"/>
                <w:sz w:val="24"/>
              </w:rPr>
              <w:t>O工艺+絮凝沉淀+滤布滤池”工艺，工艺稳定性高，具体处理工艺流程详见下图：</w:t>
            </w:r>
          </w:p>
          <w:p w14:paraId="3D020EA9">
            <w:pPr>
              <w:adjustRightInd w:val="0"/>
              <w:snapToGrid w:val="0"/>
              <w:jc w:val="center"/>
              <w:rPr>
                <w:rFonts w:hAnsi="宋体"/>
                <w:color w:val="auto"/>
                <w:sz w:val="24"/>
              </w:rPr>
            </w:pPr>
            <w:r>
              <w:rPr>
                <w:rFonts w:hint="eastAsia"/>
                <w:color w:val="auto"/>
                <w:sz w:val="24"/>
                <w:lang w:bidi="ar"/>
              </w:rPr>
              <w:drawing>
                <wp:inline distT="0" distB="0" distL="114300" distR="114300">
                  <wp:extent cx="4679950" cy="2756535"/>
                  <wp:effectExtent l="0" t="0" r="6350" b="5715"/>
                  <wp:docPr id="8" name="图片 5" descr="QQ截图2022032815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QQ截图20220328155346"/>
                          <pic:cNvPicPr>
                            <a:picLocks noChangeAspect="1"/>
                          </pic:cNvPicPr>
                        </pic:nvPicPr>
                        <pic:blipFill>
                          <a:blip r:embed="rId11"/>
                          <a:srcRect b="4475"/>
                          <a:stretch>
                            <a:fillRect/>
                          </a:stretch>
                        </pic:blipFill>
                        <pic:spPr>
                          <a:xfrm>
                            <a:off x="0" y="0"/>
                            <a:ext cx="4679950" cy="2756535"/>
                          </a:xfrm>
                          <a:prstGeom prst="rect">
                            <a:avLst/>
                          </a:prstGeom>
                          <a:noFill/>
                          <a:ln>
                            <a:noFill/>
                          </a:ln>
                        </pic:spPr>
                      </pic:pic>
                    </a:graphicData>
                  </a:graphic>
                </wp:inline>
              </w:drawing>
            </w:r>
          </w:p>
          <w:p w14:paraId="3E29DD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图4</w:t>
            </w:r>
            <w:r>
              <w:rPr>
                <w:b/>
                <w:color w:val="auto"/>
                <w:szCs w:val="21"/>
              </w:rPr>
              <w:t>-</w:t>
            </w:r>
            <w:r>
              <w:rPr>
                <w:rFonts w:hint="eastAsia"/>
                <w:b/>
                <w:color w:val="auto"/>
                <w:szCs w:val="21"/>
                <w:lang w:val="en-US" w:eastAsia="zh-CN"/>
              </w:rPr>
              <w:t>3</w:t>
            </w:r>
            <w:r>
              <w:rPr>
                <w:b/>
                <w:color w:val="auto"/>
                <w:szCs w:val="21"/>
              </w:rPr>
              <w:t xml:space="preserve"> </w:t>
            </w:r>
            <w:r>
              <w:rPr>
                <w:rFonts w:hint="eastAsia" w:cs="Times New Roman"/>
                <w:b/>
                <w:color w:val="auto"/>
                <w:szCs w:val="21"/>
                <w:lang w:eastAsia="zh-CN"/>
              </w:rPr>
              <w:t>苏州汾湖水务发展有限公司（黎里工业再生水厂）</w:t>
            </w:r>
            <w:r>
              <w:rPr>
                <w:rFonts w:hint="eastAsia" w:ascii="Times New Roman" w:hAnsi="Times New Roman" w:eastAsia="宋体" w:cs="Times New Roman"/>
                <w:b/>
                <w:color w:val="auto"/>
                <w:szCs w:val="21"/>
              </w:rPr>
              <w:t>工业废水（含生活污水）处理工艺流程图</w:t>
            </w:r>
          </w:p>
          <w:p w14:paraId="42AD0A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eastAsia" w:hAnsi="宋体"/>
                <w:color w:val="auto"/>
                <w:sz w:val="24"/>
              </w:rPr>
              <w:t>（</w:t>
            </w:r>
            <w:r>
              <w:rPr>
                <w:rFonts w:hAnsi="宋体"/>
                <w:color w:val="auto"/>
                <w:sz w:val="24"/>
              </w:rPr>
              <w:t>2</w:t>
            </w:r>
            <w:r>
              <w:rPr>
                <w:rFonts w:hint="eastAsia" w:hAnsi="宋体"/>
                <w:color w:val="auto"/>
                <w:sz w:val="24"/>
              </w:rPr>
              <w:t>）接管可行性分析</w:t>
            </w:r>
          </w:p>
          <w:p w14:paraId="2BE9B7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w:t>
            </w:r>
            <w:r>
              <w:rPr>
                <w:rFonts w:hint="eastAsia" w:hAnsi="宋体"/>
                <w:color w:val="auto"/>
                <w:sz w:val="24"/>
                <w:lang w:eastAsia="zh-CN"/>
              </w:rPr>
              <w:t>苏州汾湖水务发展有限公司（黎里工业再生水厂）</w:t>
            </w:r>
            <w:r>
              <w:rPr>
                <w:rFonts w:hint="eastAsia" w:hAnsi="宋体"/>
                <w:color w:val="auto"/>
                <w:sz w:val="24"/>
              </w:rPr>
              <w:t>目前处理规模为3万t/d（其中食品废水为1万t/d、其他废水为</w:t>
            </w:r>
            <w:r>
              <w:rPr>
                <w:rFonts w:hAnsi="宋体"/>
                <w:color w:val="auto"/>
                <w:sz w:val="24"/>
              </w:rPr>
              <w:t>2</w:t>
            </w:r>
            <w:r>
              <w:rPr>
                <w:rFonts w:hint="eastAsia" w:hAnsi="宋体"/>
                <w:color w:val="auto"/>
                <w:sz w:val="24"/>
              </w:rPr>
              <w:t>万t/d）</w:t>
            </w:r>
            <w:r>
              <w:rPr>
                <w:rFonts w:hint="eastAsia" w:hAnsi="宋体"/>
                <w:color w:val="auto"/>
                <w:sz w:val="24"/>
                <w:lang w:eastAsia="zh-CN"/>
              </w:rPr>
              <w:t>。</w:t>
            </w:r>
            <w:r>
              <w:rPr>
                <w:rFonts w:hint="eastAsia" w:hAnsi="宋体"/>
                <w:color w:val="auto"/>
                <w:sz w:val="24"/>
              </w:rPr>
              <w:t>食品废水区域内全部回用，目前食品废水接管量为0.5万t/d，剩余处理量为0.5万t/d</w:t>
            </w:r>
            <w:r>
              <w:rPr>
                <w:rFonts w:hint="eastAsia" w:hAnsi="宋体"/>
                <w:color w:val="auto"/>
                <w:sz w:val="24"/>
                <w:lang w:eastAsia="zh-CN"/>
              </w:rPr>
              <w:t>。</w:t>
            </w:r>
            <w:r>
              <w:rPr>
                <w:rFonts w:hint="eastAsia" w:hAnsi="宋体"/>
                <w:color w:val="auto"/>
                <w:sz w:val="24"/>
              </w:rPr>
              <w:t>其他废水接管量为1.</w:t>
            </w:r>
            <w:r>
              <w:rPr>
                <w:rFonts w:hint="eastAsia" w:hAnsi="宋体"/>
                <w:color w:val="auto"/>
                <w:sz w:val="24"/>
                <w:lang w:val="en-US" w:eastAsia="zh-CN"/>
              </w:rPr>
              <w:t>7</w:t>
            </w:r>
            <w:r>
              <w:rPr>
                <w:rFonts w:hint="eastAsia" w:hAnsi="宋体"/>
                <w:color w:val="auto"/>
                <w:sz w:val="24"/>
              </w:rPr>
              <w:t>万t/d，剩余处理量为</w:t>
            </w:r>
            <w:r>
              <w:rPr>
                <w:rFonts w:hint="eastAsia" w:hAnsi="宋体"/>
                <w:color w:val="auto"/>
                <w:sz w:val="24"/>
                <w:lang w:val="en-US" w:eastAsia="zh-CN"/>
              </w:rPr>
              <w:t>0.3</w:t>
            </w:r>
            <w:r>
              <w:rPr>
                <w:rFonts w:hint="eastAsia" w:hAnsi="宋体"/>
                <w:color w:val="auto"/>
                <w:sz w:val="24"/>
              </w:rPr>
              <w:t>万t/d，</w:t>
            </w:r>
            <w:r>
              <w:rPr>
                <w:rFonts w:hint="eastAsia" w:hAnsi="宋体"/>
                <w:color w:val="auto"/>
                <w:sz w:val="24"/>
                <w:lang w:eastAsia="zh-CN"/>
              </w:rPr>
              <w:t>本项目生活污水产生量</w:t>
            </w:r>
            <w:r>
              <w:rPr>
                <w:rFonts w:hint="eastAsia" w:hAnsi="宋体"/>
                <w:color w:val="auto"/>
                <w:sz w:val="24"/>
                <w:lang w:val="en-US" w:eastAsia="zh-CN"/>
              </w:rPr>
              <w:t>0.96t/d，</w:t>
            </w:r>
            <w:r>
              <w:rPr>
                <w:rFonts w:hint="default" w:ascii="Times New Roman" w:hAnsi="Times New Roman" w:cs="Times New Roman"/>
                <w:color w:val="auto"/>
                <w:sz w:val="24"/>
              </w:rPr>
              <w:t>本项目废水排放量占该公司接管余量比例较小，可以接纳本项目产生的生活污水。</w:t>
            </w:r>
          </w:p>
          <w:p w14:paraId="3E3895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auto"/>
                <w:sz w:val="24"/>
              </w:rPr>
            </w:pPr>
            <w:r>
              <w:rPr>
                <w:rFonts w:hint="default" w:ascii="Times New Roman" w:hAnsi="Times New Roman" w:cs="Times New Roman"/>
                <w:color w:val="auto"/>
                <w:sz w:val="24"/>
              </w:rPr>
              <w:t>②</w:t>
            </w:r>
            <w:r>
              <w:rPr>
                <w:rFonts w:hint="eastAsia" w:hAnsi="宋体"/>
                <w:color w:val="auto"/>
                <w:sz w:val="24"/>
              </w:rPr>
              <w:t>本项目接管水质主要为生活污水，废水中主要含有</w:t>
            </w:r>
            <w:r>
              <w:rPr>
                <w:rFonts w:hAnsi="宋体"/>
                <w:color w:val="auto"/>
                <w:sz w:val="24"/>
              </w:rPr>
              <w:t>COD</w:t>
            </w:r>
            <w:r>
              <w:rPr>
                <w:rFonts w:hint="eastAsia" w:hAnsi="宋体"/>
                <w:color w:val="auto"/>
                <w:sz w:val="24"/>
              </w:rPr>
              <w:t>、</w:t>
            </w:r>
            <w:r>
              <w:rPr>
                <w:rFonts w:hAnsi="宋体"/>
                <w:color w:val="auto"/>
                <w:sz w:val="24"/>
              </w:rPr>
              <w:t>SS</w:t>
            </w:r>
            <w:r>
              <w:rPr>
                <w:rFonts w:hint="eastAsia" w:hAnsi="宋体"/>
                <w:color w:val="auto"/>
                <w:sz w:val="24"/>
              </w:rPr>
              <w:t>、</w:t>
            </w:r>
            <w:r>
              <w:rPr>
                <w:rFonts w:hAnsi="宋体"/>
                <w:color w:val="auto"/>
                <w:sz w:val="24"/>
              </w:rPr>
              <w:t>NH</w:t>
            </w:r>
            <w:r>
              <w:rPr>
                <w:rFonts w:hAnsi="宋体"/>
                <w:color w:val="auto"/>
                <w:sz w:val="24"/>
                <w:vertAlign w:val="subscript"/>
              </w:rPr>
              <w:t>3</w:t>
            </w:r>
            <w:r>
              <w:rPr>
                <w:rFonts w:hAnsi="宋体"/>
                <w:color w:val="auto"/>
                <w:sz w:val="24"/>
              </w:rPr>
              <w:t>-N</w:t>
            </w:r>
            <w:r>
              <w:rPr>
                <w:rFonts w:hint="eastAsia" w:hAnsi="宋体"/>
                <w:color w:val="auto"/>
                <w:sz w:val="24"/>
              </w:rPr>
              <w:t>、</w:t>
            </w:r>
            <w:r>
              <w:rPr>
                <w:rFonts w:hAnsi="宋体"/>
                <w:color w:val="auto"/>
                <w:sz w:val="24"/>
              </w:rPr>
              <w:t>TP</w:t>
            </w:r>
            <w:r>
              <w:rPr>
                <w:rFonts w:hint="eastAsia" w:hAnsi="宋体"/>
                <w:color w:val="auto"/>
                <w:sz w:val="24"/>
              </w:rPr>
              <w:t>等常规指标，污水各指标均可达到接管标准，可生化性好，污水处理厂对本项目的废水去除效果较好，能做到达标排放，不会对</w:t>
            </w:r>
            <w:r>
              <w:rPr>
                <w:rFonts w:hint="eastAsia" w:hAnsi="宋体" w:cs="Times New Roman"/>
                <w:color w:val="auto"/>
                <w:sz w:val="24"/>
                <w:lang w:val="ru-RU" w:eastAsia="zh-CN"/>
              </w:rPr>
              <w:t>苏州汾湖水务发展有限公司（黎里工业再生水厂）</w:t>
            </w:r>
            <w:r>
              <w:rPr>
                <w:rFonts w:hint="eastAsia" w:hAnsi="宋体"/>
                <w:color w:val="auto"/>
                <w:sz w:val="24"/>
              </w:rPr>
              <w:t>形成冲击负荷，不会影响污水处理站处理效率，对纳污水体的影响较小。</w:t>
            </w:r>
          </w:p>
          <w:p w14:paraId="207DE5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③本项目所在地污水管网已铺设到位，因此接管具有可行性。</w:t>
            </w:r>
          </w:p>
          <w:p w14:paraId="4830B3D5">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b/>
                <w:color w:val="auto"/>
                <w:kern w:val="0"/>
                <w:sz w:val="24"/>
                <w:highlight w:val="none"/>
              </w:rPr>
            </w:pPr>
            <w:r>
              <w:rPr>
                <w:rFonts w:hint="eastAsia"/>
                <w:b/>
                <w:color w:val="auto"/>
                <w:kern w:val="0"/>
                <w:sz w:val="24"/>
                <w:highlight w:val="none"/>
              </w:rPr>
              <w:t>2.</w:t>
            </w:r>
            <w:r>
              <w:rPr>
                <w:rFonts w:hint="eastAsia"/>
                <w:b/>
                <w:color w:val="auto"/>
                <w:kern w:val="0"/>
                <w:sz w:val="24"/>
                <w:highlight w:val="none"/>
                <w:lang w:val="en-US" w:eastAsia="zh-CN"/>
              </w:rPr>
              <w:t>5</w:t>
            </w:r>
            <w:r>
              <w:rPr>
                <w:rFonts w:hint="eastAsia"/>
                <w:b/>
                <w:color w:val="auto"/>
                <w:kern w:val="0"/>
                <w:sz w:val="24"/>
                <w:highlight w:val="none"/>
              </w:rPr>
              <w:t>环境监测计划</w:t>
            </w:r>
          </w:p>
          <w:p w14:paraId="3210AE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rPr>
            </w:pPr>
            <w:r>
              <w:rPr>
                <w:rFonts w:hint="eastAsia"/>
                <w:color w:val="auto"/>
                <w:sz w:val="24"/>
                <w:highlight w:val="none"/>
              </w:rPr>
              <w:t>本项目生产过程中产生</w:t>
            </w:r>
            <w:r>
              <w:rPr>
                <w:rFonts w:hint="eastAsia"/>
                <w:color w:val="auto"/>
                <w:sz w:val="24"/>
                <w:highlight w:val="none"/>
                <w:lang w:val="en-US" w:eastAsia="zh-CN"/>
              </w:rPr>
              <w:t>的清洗</w:t>
            </w:r>
            <w:r>
              <w:rPr>
                <w:rFonts w:hint="eastAsia"/>
                <w:color w:val="auto"/>
                <w:sz w:val="24"/>
                <w:highlight w:val="none"/>
              </w:rPr>
              <w:t>废水</w:t>
            </w:r>
            <w:r>
              <w:rPr>
                <w:rFonts w:hint="eastAsia"/>
                <w:color w:val="auto"/>
                <w:sz w:val="24"/>
                <w:highlight w:val="none"/>
                <w:lang w:val="en-US" w:eastAsia="zh-CN"/>
              </w:rPr>
              <w:t>经低温真空蒸发器处理后回用，不外排。</w:t>
            </w:r>
            <w:r>
              <w:rPr>
                <w:rFonts w:hint="eastAsia"/>
                <w:color w:val="auto"/>
                <w:sz w:val="24"/>
                <w:highlight w:val="none"/>
              </w:rPr>
              <w:t>生活污水</w:t>
            </w:r>
            <w:r>
              <w:rPr>
                <w:rFonts w:hint="eastAsia"/>
                <w:color w:val="auto"/>
                <w:sz w:val="24"/>
                <w:highlight w:val="none"/>
                <w:lang w:val="en-US" w:eastAsia="zh-CN"/>
              </w:rPr>
              <w:t>接管至</w:t>
            </w:r>
            <w:r>
              <w:rPr>
                <w:rFonts w:hint="eastAsia"/>
                <w:color w:val="auto"/>
                <w:sz w:val="24"/>
                <w:highlight w:val="none"/>
                <w:lang w:val="ru-RU" w:eastAsia="zh-CN"/>
              </w:rPr>
              <w:t>苏州汾湖水务发展有限公司（黎里工业再生水厂）</w:t>
            </w:r>
            <w:r>
              <w:rPr>
                <w:rFonts w:hint="eastAsia"/>
                <w:color w:val="auto"/>
                <w:sz w:val="24"/>
                <w:highlight w:val="none"/>
              </w:rPr>
              <w:t>处理。</w:t>
            </w:r>
            <w:r>
              <w:rPr>
                <w:color w:val="auto"/>
                <w:sz w:val="24"/>
                <w:highlight w:val="none"/>
              </w:rPr>
              <w:t>根据《排污许可证申请与核发技术规范总则》（HJ942-2018）和《排污单位自行监测技术指南总则》（HJ819-2017），排污单位单独排入城镇集中污水处理设施的生活污水仅说明排放去向，无需开展自行监测。</w:t>
            </w:r>
          </w:p>
          <w:p w14:paraId="12CF1F5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b/>
                <w:bCs/>
                <w:snapToGrid w:val="0"/>
                <w:color w:val="auto"/>
                <w:kern w:val="0"/>
                <w:sz w:val="24"/>
              </w:rPr>
            </w:pPr>
            <w:r>
              <w:rPr>
                <w:rFonts w:hint="eastAsia"/>
                <w:b/>
                <w:bCs/>
                <w:snapToGrid w:val="0"/>
                <w:color w:val="auto"/>
                <w:kern w:val="0"/>
                <w:sz w:val="24"/>
              </w:rPr>
              <w:t>3</w:t>
            </w:r>
            <w:r>
              <w:rPr>
                <w:rFonts w:hint="eastAsia"/>
                <w:b/>
                <w:bCs/>
                <w:snapToGrid w:val="0"/>
                <w:color w:val="auto"/>
                <w:kern w:val="0"/>
                <w:sz w:val="24"/>
                <w:lang w:eastAsia="zh-CN"/>
              </w:rPr>
              <w:t>、</w:t>
            </w:r>
            <w:r>
              <w:rPr>
                <w:rFonts w:hint="eastAsia"/>
                <w:b/>
                <w:bCs/>
                <w:snapToGrid w:val="0"/>
                <w:color w:val="auto"/>
                <w:kern w:val="0"/>
                <w:sz w:val="24"/>
              </w:rPr>
              <w:t>噪声</w:t>
            </w:r>
          </w:p>
          <w:p w14:paraId="672DF9E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000000"/>
                <w:sz w:val="24"/>
                <w:lang w:val="en-US" w:eastAsia="zh-CN"/>
              </w:rPr>
            </w:pPr>
            <w:r>
              <w:rPr>
                <w:rFonts w:hint="eastAsia" w:ascii="Times New Roman" w:hAnsi="Times New Roman" w:eastAsia="宋体" w:cs="Times New Roman"/>
                <w:b/>
                <w:bCs/>
                <w:color w:val="000000"/>
                <w:sz w:val="24"/>
                <w:lang w:val="en-US" w:eastAsia="zh-CN"/>
              </w:rPr>
              <w:t>3.1产生</w:t>
            </w:r>
            <w:r>
              <w:rPr>
                <w:rFonts w:hint="eastAsia" w:ascii="Times New Roman" w:hAnsi="Times New Roman" w:eastAsia="宋体" w:cs="Times New Roman"/>
                <w:b/>
                <w:bCs/>
                <w:color w:val="000000"/>
                <w:sz w:val="24"/>
              </w:rPr>
              <w:t>源强</w:t>
            </w:r>
            <w:r>
              <w:rPr>
                <w:rFonts w:hint="eastAsia" w:ascii="Times New Roman" w:hAnsi="Times New Roman" w:eastAsia="宋体" w:cs="Times New Roman"/>
                <w:b/>
                <w:bCs/>
                <w:color w:val="000000"/>
                <w:sz w:val="24"/>
                <w:lang w:val="en-US" w:eastAsia="zh-CN"/>
              </w:rPr>
              <w:t>分析</w:t>
            </w:r>
          </w:p>
          <w:p w14:paraId="73D539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rPr>
            </w:pPr>
            <w:r>
              <w:rPr>
                <w:rFonts w:hint="eastAsia"/>
                <w:color w:val="auto"/>
                <w:sz w:val="24"/>
              </w:rPr>
              <w:t>本</w:t>
            </w:r>
            <w:r>
              <w:rPr>
                <w:color w:val="auto"/>
                <w:sz w:val="24"/>
              </w:rPr>
              <w:t>项目噪声源主要为设备运行时产生的噪声，项目噪声源强情况详见下表</w:t>
            </w:r>
            <w:r>
              <w:rPr>
                <w:rFonts w:hint="eastAsia"/>
                <w:color w:val="auto"/>
                <w:sz w:val="24"/>
              </w:rPr>
              <w:t>。</w:t>
            </w:r>
          </w:p>
          <w:p w14:paraId="3F1552A4">
            <w:pPr>
              <w:jc w:val="both"/>
              <w:rPr>
                <w:rFonts w:hint="eastAsia"/>
              </w:rPr>
            </w:pPr>
          </w:p>
          <w:p w14:paraId="4AAB4CEF">
            <w:pPr>
              <w:jc w:val="both"/>
              <w:rPr>
                <w:rFonts w:hint="eastAsia"/>
              </w:rPr>
            </w:pPr>
          </w:p>
          <w:p w14:paraId="5B22D10F">
            <w:pPr>
              <w:jc w:val="both"/>
              <w:rPr>
                <w:rFonts w:hint="eastAsia"/>
              </w:rPr>
            </w:pPr>
          </w:p>
          <w:p w14:paraId="7ED732D3">
            <w:pPr>
              <w:jc w:val="both"/>
              <w:rPr>
                <w:rFonts w:hint="eastAsia"/>
              </w:rPr>
            </w:pPr>
          </w:p>
          <w:p w14:paraId="7A7FF9C1">
            <w:pPr>
              <w:jc w:val="both"/>
              <w:rPr>
                <w:rFonts w:hint="eastAsia"/>
              </w:rPr>
            </w:pPr>
          </w:p>
          <w:p w14:paraId="2593C9AF">
            <w:pPr>
              <w:jc w:val="both"/>
              <w:rPr>
                <w:rFonts w:hint="eastAsia"/>
              </w:rPr>
            </w:pPr>
          </w:p>
          <w:p w14:paraId="3828EF70">
            <w:pPr>
              <w:jc w:val="both"/>
              <w:rPr>
                <w:rFonts w:hint="eastAsia"/>
              </w:rPr>
            </w:pPr>
          </w:p>
          <w:p w14:paraId="3044D878">
            <w:pPr>
              <w:jc w:val="both"/>
              <w:rPr>
                <w:rFonts w:hint="eastAsia"/>
              </w:rPr>
            </w:pPr>
          </w:p>
          <w:p w14:paraId="399B2804">
            <w:pPr>
              <w:jc w:val="both"/>
              <w:rPr>
                <w:rFonts w:hint="eastAsia"/>
              </w:rPr>
            </w:pPr>
          </w:p>
          <w:p w14:paraId="74371496">
            <w:pPr>
              <w:jc w:val="both"/>
              <w:rPr>
                <w:rFonts w:hint="eastAsia"/>
              </w:rPr>
            </w:pPr>
          </w:p>
          <w:p w14:paraId="47966F19">
            <w:pPr>
              <w:jc w:val="both"/>
              <w:rPr>
                <w:rFonts w:hint="eastAsia"/>
              </w:rPr>
            </w:pPr>
          </w:p>
          <w:p w14:paraId="17476F18">
            <w:pPr>
              <w:jc w:val="both"/>
              <w:rPr>
                <w:rFonts w:hint="eastAsia"/>
              </w:rPr>
            </w:pPr>
          </w:p>
        </w:tc>
      </w:tr>
    </w:tbl>
    <w:p w14:paraId="4E5B3154">
      <w:pPr>
        <w:tabs>
          <w:tab w:val="left" w:pos="1229"/>
        </w:tabs>
        <w:rPr>
          <w:rFonts w:hint="eastAsia" w:eastAsia="宋体"/>
          <w:lang w:eastAsia="zh-CN"/>
        </w:rPr>
        <w:sectPr>
          <w:pgSz w:w="11906" w:h="16838"/>
          <w:pgMar w:top="1440" w:right="1800" w:bottom="1440" w:left="1800" w:header="851" w:footer="992" w:gutter="0"/>
          <w:pgNumType w:fmt="decimal"/>
          <w:cols w:space="425"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13709"/>
      </w:tblGrid>
      <w:tr w14:paraId="5E6EC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9" w:hRule="atLeast"/>
        </w:trPr>
        <w:tc>
          <w:tcPr>
            <w:tcW w:w="467" w:type="dxa"/>
            <w:noWrap w:val="0"/>
            <w:vAlign w:val="top"/>
          </w:tcPr>
          <w:p w14:paraId="13378098">
            <w:pPr>
              <w:pStyle w:val="19"/>
              <w:adjustRightInd w:val="0"/>
              <w:snapToGrid w:val="0"/>
              <w:spacing w:before="0" w:beforeAutospacing="0" w:after="0" w:afterAutospacing="0"/>
              <w:jc w:val="both"/>
              <w:rPr>
                <w:rFonts w:hint="eastAsia" w:cs="宋体"/>
                <w:b/>
                <w:color w:val="auto"/>
                <w:kern w:val="2"/>
                <w:sz w:val="21"/>
                <w:szCs w:val="21"/>
                <w:vertAlign w:val="baseline"/>
              </w:rPr>
            </w:pPr>
          </w:p>
        </w:tc>
        <w:tc>
          <w:tcPr>
            <w:tcW w:w="13753" w:type="dxa"/>
            <w:noWrap w:val="0"/>
            <w:vAlign w:val="top"/>
          </w:tcPr>
          <w:p w14:paraId="298CC5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bCs/>
                <w:color w:val="auto"/>
              </w:rPr>
            </w:pPr>
            <w:r>
              <w:rPr>
                <w:b/>
                <w:bCs/>
                <w:color w:val="auto"/>
              </w:rPr>
              <w:t>表4-</w:t>
            </w:r>
            <w:r>
              <w:rPr>
                <w:rFonts w:hint="eastAsia"/>
                <w:b/>
                <w:bCs/>
                <w:color w:val="auto"/>
              </w:rPr>
              <w:t>1</w:t>
            </w:r>
            <w:r>
              <w:rPr>
                <w:rFonts w:hint="eastAsia"/>
                <w:b/>
                <w:bCs/>
                <w:color w:val="auto"/>
                <w:lang w:val="en-US" w:eastAsia="zh-CN"/>
              </w:rPr>
              <w:t>6</w:t>
            </w:r>
            <w:r>
              <w:rPr>
                <w:b/>
                <w:bCs/>
                <w:color w:val="auto"/>
              </w:rPr>
              <w:t xml:space="preserve"> </w:t>
            </w:r>
            <w:r>
              <w:rPr>
                <w:rFonts w:hint="eastAsia"/>
                <w:b/>
                <w:bCs/>
                <w:color w:val="auto"/>
              </w:rPr>
              <w:t>工业企业噪声源强调查清单（室内声源）</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6"/>
              <w:gridCol w:w="514"/>
              <w:gridCol w:w="1513"/>
              <w:gridCol w:w="649"/>
              <w:gridCol w:w="722"/>
              <w:gridCol w:w="568"/>
              <w:gridCol w:w="792"/>
              <w:gridCol w:w="835"/>
              <w:gridCol w:w="913"/>
              <w:gridCol w:w="1046"/>
              <w:gridCol w:w="1021"/>
              <w:gridCol w:w="1178"/>
              <w:gridCol w:w="1240"/>
              <w:gridCol w:w="1037"/>
              <w:gridCol w:w="1084"/>
            </w:tblGrid>
            <w:tr w14:paraId="77DC6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vMerge w:val="restart"/>
                  <w:tcBorders>
                    <w:tl2br w:val="nil"/>
                    <w:tr2bl w:val="nil"/>
                  </w:tcBorders>
                  <w:noWrap w:val="0"/>
                  <w:vAlign w:val="center"/>
                </w:tcPr>
                <w:p w14:paraId="7F50986D">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序号</w:t>
                  </w:r>
                </w:p>
              </w:tc>
              <w:tc>
                <w:tcPr>
                  <w:tcW w:w="205" w:type="pct"/>
                  <w:vMerge w:val="restart"/>
                  <w:tcBorders>
                    <w:tl2br w:val="nil"/>
                    <w:tr2bl w:val="nil"/>
                  </w:tcBorders>
                  <w:noWrap w:val="0"/>
                  <w:vAlign w:val="center"/>
                </w:tcPr>
                <w:p w14:paraId="286D517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b/>
                      <w:bCs/>
                      <w:color w:val="000000"/>
                      <w:sz w:val="21"/>
                      <w:szCs w:val="21"/>
                      <w:lang w:val="en-US" w:eastAsia="zh-CN"/>
                    </w:rPr>
                  </w:pPr>
                  <w:r>
                    <w:rPr>
                      <w:rFonts w:hint="eastAsia"/>
                      <w:b/>
                      <w:bCs/>
                      <w:color w:val="000000"/>
                      <w:sz w:val="21"/>
                      <w:szCs w:val="21"/>
                      <w:lang w:val="en-US" w:eastAsia="zh-CN"/>
                    </w:rPr>
                    <w:t>建筑物名称</w:t>
                  </w:r>
                </w:p>
              </w:tc>
              <w:tc>
                <w:tcPr>
                  <w:tcW w:w="575" w:type="pct"/>
                  <w:vMerge w:val="restart"/>
                  <w:tcBorders>
                    <w:tl2br w:val="nil"/>
                    <w:tr2bl w:val="nil"/>
                  </w:tcBorders>
                  <w:noWrap w:val="0"/>
                  <w:vAlign w:val="center"/>
                </w:tcPr>
                <w:p w14:paraId="7C70F048">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声源名称</w:t>
                  </w:r>
                </w:p>
              </w:tc>
              <w:tc>
                <w:tcPr>
                  <w:tcW w:w="255" w:type="pct"/>
                  <w:vMerge w:val="restart"/>
                  <w:tcBorders>
                    <w:tl2br w:val="nil"/>
                    <w:tr2bl w:val="nil"/>
                  </w:tcBorders>
                  <w:noWrap w:val="0"/>
                  <w:vAlign w:val="center"/>
                </w:tcPr>
                <w:p w14:paraId="2161EBC8">
                  <w:pPr>
                    <w:pStyle w:val="3"/>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b/>
                      <w:bCs/>
                      <w:color w:val="000000"/>
                      <w:sz w:val="21"/>
                      <w:szCs w:val="21"/>
                      <w:lang w:val="en-US" w:eastAsia="zh-CN"/>
                    </w:rPr>
                  </w:pPr>
                  <w:r>
                    <w:rPr>
                      <w:rFonts w:hint="eastAsia"/>
                      <w:b/>
                      <w:bCs/>
                      <w:color w:val="000000"/>
                      <w:sz w:val="21"/>
                      <w:szCs w:val="21"/>
                      <w:lang w:val="en-US" w:eastAsia="zh-CN"/>
                    </w:rPr>
                    <w:t>数量（台/套）</w:t>
                  </w:r>
                </w:p>
              </w:tc>
              <w:tc>
                <w:tcPr>
                  <w:tcW w:w="282" w:type="pct"/>
                  <w:vMerge w:val="restart"/>
                  <w:tcBorders>
                    <w:tl2br w:val="nil"/>
                    <w:tr2bl w:val="nil"/>
                  </w:tcBorders>
                  <w:noWrap w:val="0"/>
                  <w:vAlign w:val="center"/>
                </w:tcPr>
                <w:p w14:paraId="134BDB9E">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highlight w:val="none"/>
                    </w:rPr>
                    <w:t>声压级</w:t>
                  </w:r>
                  <w:r>
                    <w:rPr>
                      <w:b/>
                      <w:bCs/>
                      <w:color w:val="000000"/>
                      <w:sz w:val="21"/>
                      <w:szCs w:val="21"/>
                      <w:highlight w:val="none"/>
                    </w:rPr>
                    <w:t>/dB</w:t>
                  </w:r>
                  <w:r>
                    <w:rPr>
                      <w:rFonts w:hint="eastAsia"/>
                      <w:b/>
                      <w:bCs/>
                      <w:color w:val="000000"/>
                      <w:sz w:val="21"/>
                      <w:szCs w:val="21"/>
                      <w:highlight w:val="none"/>
                    </w:rPr>
                    <w:t>（</w:t>
                  </w:r>
                  <w:r>
                    <w:rPr>
                      <w:b/>
                      <w:bCs/>
                      <w:color w:val="000000"/>
                      <w:sz w:val="21"/>
                      <w:szCs w:val="21"/>
                      <w:highlight w:val="none"/>
                    </w:rPr>
                    <w:t>A</w:t>
                  </w:r>
                  <w:r>
                    <w:rPr>
                      <w:rFonts w:hint="eastAsia"/>
                      <w:b/>
                      <w:bCs/>
                      <w:color w:val="000000"/>
                      <w:sz w:val="21"/>
                      <w:szCs w:val="21"/>
                      <w:highlight w:val="none"/>
                    </w:rPr>
                    <w:t>）</w:t>
                  </w:r>
                </w:p>
              </w:tc>
              <w:tc>
                <w:tcPr>
                  <w:tcW w:w="225" w:type="pct"/>
                  <w:vMerge w:val="restart"/>
                  <w:tcBorders>
                    <w:tl2br w:val="nil"/>
                    <w:tr2bl w:val="nil"/>
                  </w:tcBorders>
                  <w:noWrap w:val="0"/>
                  <w:vAlign w:val="center"/>
                </w:tcPr>
                <w:p w14:paraId="1EED3148">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声源控制措施</w:t>
                  </w:r>
                </w:p>
              </w:tc>
              <w:tc>
                <w:tcPr>
                  <w:tcW w:w="985" w:type="pct"/>
                  <w:gridSpan w:val="3"/>
                  <w:tcBorders>
                    <w:tl2br w:val="nil"/>
                    <w:tr2bl w:val="nil"/>
                  </w:tcBorders>
                  <w:noWrap w:val="0"/>
                  <w:vAlign w:val="center"/>
                </w:tcPr>
                <w:p w14:paraId="02981172">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空间相对位置</w:t>
                  </w:r>
                  <w:r>
                    <w:rPr>
                      <w:b/>
                      <w:bCs/>
                      <w:color w:val="000000"/>
                      <w:sz w:val="21"/>
                      <w:szCs w:val="21"/>
                    </w:rPr>
                    <w:t>*/m</w:t>
                  </w:r>
                </w:p>
              </w:tc>
              <w:tc>
                <w:tcPr>
                  <w:tcW w:w="402" w:type="pct"/>
                  <w:vMerge w:val="restart"/>
                  <w:tcBorders>
                    <w:tl2br w:val="nil"/>
                    <w:tr2bl w:val="nil"/>
                  </w:tcBorders>
                  <w:noWrap w:val="0"/>
                  <w:vAlign w:val="center"/>
                </w:tcPr>
                <w:p w14:paraId="6A984780">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距室内边界距离</w:t>
                  </w:r>
                  <w:r>
                    <w:rPr>
                      <w:b/>
                      <w:bCs/>
                      <w:color w:val="000000"/>
                      <w:sz w:val="21"/>
                      <w:szCs w:val="21"/>
                    </w:rPr>
                    <w:t>**/m</w:t>
                  </w:r>
                </w:p>
              </w:tc>
              <w:tc>
                <w:tcPr>
                  <w:tcW w:w="393" w:type="pct"/>
                  <w:vMerge w:val="restart"/>
                  <w:tcBorders>
                    <w:tl2br w:val="nil"/>
                    <w:tr2bl w:val="nil"/>
                  </w:tcBorders>
                  <w:noWrap w:val="0"/>
                  <w:vAlign w:val="center"/>
                </w:tcPr>
                <w:p w14:paraId="7D5A2B7C">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室内边界声级</w:t>
                  </w:r>
                  <w:r>
                    <w:rPr>
                      <w:b/>
                      <w:bCs/>
                      <w:color w:val="000000"/>
                      <w:sz w:val="21"/>
                      <w:szCs w:val="21"/>
                    </w:rPr>
                    <w:t>/dB</w:t>
                  </w:r>
                  <w:r>
                    <w:rPr>
                      <w:rFonts w:hint="eastAsia"/>
                      <w:b/>
                      <w:bCs/>
                      <w:color w:val="000000"/>
                      <w:sz w:val="21"/>
                      <w:szCs w:val="21"/>
                    </w:rPr>
                    <w:t>（</w:t>
                  </w:r>
                  <w:r>
                    <w:rPr>
                      <w:b/>
                      <w:bCs/>
                      <w:color w:val="000000"/>
                      <w:sz w:val="21"/>
                      <w:szCs w:val="21"/>
                    </w:rPr>
                    <w:t>A</w:t>
                  </w:r>
                  <w:r>
                    <w:rPr>
                      <w:rFonts w:hint="eastAsia"/>
                      <w:b/>
                      <w:bCs/>
                      <w:color w:val="000000"/>
                      <w:sz w:val="21"/>
                      <w:szCs w:val="21"/>
                    </w:rPr>
                    <w:t>）</w:t>
                  </w:r>
                </w:p>
              </w:tc>
              <w:tc>
                <w:tcPr>
                  <w:tcW w:w="230" w:type="pct"/>
                  <w:vMerge w:val="restart"/>
                  <w:tcBorders>
                    <w:tl2br w:val="nil"/>
                    <w:tr2bl w:val="nil"/>
                  </w:tcBorders>
                  <w:noWrap w:val="0"/>
                  <w:vAlign w:val="center"/>
                </w:tcPr>
                <w:p w14:paraId="71A0BF2B">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运行时段</w:t>
                  </w:r>
                </w:p>
              </w:tc>
              <w:tc>
                <w:tcPr>
                  <w:tcW w:w="474" w:type="pct"/>
                  <w:vMerge w:val="restart"/>
                  <w:tcBorders>
                    <w:tl2br w:val="nil"/>
                    <w:tr2bl w:val="nil"/>
                  </w:tcBorders>
                  <w:noWrap w:val="0"/>
                  <w:vAlign w:val="center"/>
                </w:tcPr>
                <w:p w14:paraId="215C466A">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建筑物插入损失</w:t>
                  </w:r>
                  <w:r>
                    <w:rPr>
                      <w:b/>
                      <w:bCs/>
                      <w:color w:val="000000"/>
                      <w:sz w:val="21"/>
                      <w:szCs w:val="21"/>
                    </w:rPr>
                    <w:t>/dB</w:t>
                  </w:r>
                  <w:r>
                    <w:rPr>
                      <w:rFonts w:hint="eastAsia"/>
                      <w:b/>
                      <w:bCs/>
                      <w:color w:val="000000"/>
                      <w:sz w:val="21"/>
                      <w:szCs w:val="21"/>
                    </w:rPr>
                    <w:t>（</w:t>
                  </w:r>
                  <w:r>
                    <w:rPr>
                      <w:b/>
                      <w:bCs/>
                      <w:color w:val="000000"/>
                      <w:sz w:val="21"/>
                      <w:szCs w:val="21"/>
                    </w:rPr>
                    <w:t>A</w:t>
                  </w:r>
                  <w:r>
                    <w:rPr>
                      <w:rFonts w:hint="eastAsia"/>
                      <w:b/>
                      <w:bCs/>
                      <w:color w:val="000000"/>
                      <w:sz w:val="21"/>
                      <w:szCs w:val="21"/>
                    </w:rPr>
                    <w:t>）</w:t>
                  </w:r>
                </w:p>
              </w:tc>
              <w:tc>
                <w:tcPr>
                  <w:tcW w:w="815" w:type="pct"/>
                  <w:gridSpan w:val="2"/>
                  <w:tcBorders>
                    <w:tl2br w:val="nil"/>
                    <w:tr2bl w:val="nil"/>
                  </w:tcBorders>
                  <w:noWrap w:val="0"/>
                  <w:vAlign w:val="center"/>
                </w:tcPr>
                <w:p w14:paraId="0625CA14">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建筑物外噪声</w:t>
                  </w:r>
                </w:p>
              </w:tc>
            </w:tr>
            <w:tr w14:paraId="39912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vMerge w:val="continue"/>
                  <w:tcBorders>
                    <w:tl2br w:val="nil"/>
                    <w:tr2bl w:val="nil"/>
                  </w:tcBorders>
                  <w:noWrap w:val="0"/>
                  <w:vAlign w:val="center"/>
                </w:tcPr>
                <w:p w14:paraId="525449EE">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205" w:type="pct"/>
                  <w:vMerge w:val="continue"/>
                  <w:tcBorders>
                    <w:tl2br w:val="nil"/>
                    <w:tr2bl w:val="nil"/>
                  </w:tcBorders>
                  <w:noWrap w:val="0"/>
                  <w:vAlign w:val="center"/>
                </w:tcPr>
                <w:p w14:paraId="09414FAC">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575" w:type="pct"/>
                  <w:vMerge w:val="continue"/>
                  <w:tcBorders>
                    <w:tl2br w:val="nil"/>
                    <w:tr2bl w:val="nil"/>
                  </w:tcBorders>
                  <w:noWrap w:val="0"/>
                  <w:vAlign w:val="center"/>
                </w:tcPr>
                <w:p w14:paraId="0F00F444">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255" w:type="pct"/>
                  <w:vMerge w:val="continue"/>
                  <w:tcBorders>
                    <w:tl2br w:val="nil"/>
                    <w:tr2bl w:val="nil"/>
                  </w:tcBorders>
                  <w:noWrap w:val="0"/>
                  <w:vAlign w:val="center"/>
                </w:tcPr>
                <w:p w14:paraId="53F0FC99">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282" w:type="pct"/>
                  <w:vMerge w:val="continue"/>
                  <w:tcBorders>
                    <w:tl2br w:val="nil"/>
                    <w:tr2bl w:val="nil"/>
                  </w:tcBorders>
                  <w:noWrap w:val="0"/>
                  <w:vAlign w:val="center"/>
                </w:tcPr>
                <w:p w14:paraId="5EEF3275">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225" w:type="pct"/>
                  <w:vMerge w:val="continue"/>
                  <w:tcBorders>
                    <w:tl2br w:val="nil"/>
                    <w:tr2bl w:val="nil"/>
                  </w:tcBorders>
                  <w:noWrap w:val="0"/>
                  <w:vAlign w:val="center"/>
                </w:tcPr>
                <w:p w14:paraId="3738CE56">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308" w:type="pct"/>
                  <w:tcBorders>
                    <w:tl2br w:val="nil"/>
                    <w:tr2bl w:val="nil"/>
                  </w:tcBorders>
                  <w:noWrap w:val="0"/>
                  <w:vAlign w:val="center"/>
                </w:tcPr>
                <w:p w14:paraId="62D96353">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b/>
                      <w:bCs/>
                      <w:color w:val="000000"/>
                      <w:sz w:val="21"/>
                      <w:szCs w:val="21"/>
                    </w:rPr>
                    <w:t>X</w:t>
                  </w:r>
                </w:p>
              </w:tc>
              <w:tc>
                <w:tcPr>
                  <w:tcW w:w="324" w:type="pct"/>
                  <w:tcBorders>
                    <w:tl2br w:val="nil"/>
                    <w:tr2bl w:val="nil"/>
                  </w:tcBorders>
                  <w:noWrap w:val="0"/>
                  <w:vAlign w:val="center"/>
                </w:tcPr>
                <w:p w14:paraId="0FEE745D">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b/>
                      <w:bCs/>
                      <w:color w:val="000000"/>
                      <w:sz w:val="21"/>
                      <w:szCs w:val="21"/>
                    </w:rPr>
                    <w:t>Y</w:t>
                  </w:r>
                </w:p>
              </w:tc>
              <w:tc>
                <w:tcPr>
                  <w:tcW w:w="352" w:type="pct"/>
                  <w:tcBorders>
                    <w:tl2br w:val="nil"/>
                    <w:tr2bl w:val="nil"/>
                  </w:tcBorders>
                  <w:noWrap w:val="0"/>
                  <w:vAlign w:val="center"/>
                </w:tcPr>
                <w:p w14:paraId="31952B0E">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b/>
                      <w:bCs/>
                      <w:color w:val="000000"/>
                      <w:sz w:val="21"/>
                      <w:szCs w:val="21"/>
                    </w:rPr>
                    <w:t>Z</w:t>
                  </w:r>
                </w:p>
              </w:tc>
              <w:tc>
                <w:tcPr>
                  <w:tcW w:w="402" w:type="pct"/>
                  <w:vMerge w:val="continue"/>
                  <w:tcBorders>
                    <w:tl2br w:val="nil"/>
                    <w:tr2bl w:val="nil"/>
                  </w:tcBorders>
                  <w:noWrap w:val="0"/>
                  <w:vAlign w:val="center"/>
                </w:tcPr>
                <w:p w14:paraId="5CA784DB">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393" w:type="pct"/>
                  <w:vMerge w:val="continue"/>
                  <w:tcBorders>
                    <w:tl2br w:val="nil"/>
                    <w:tr2bl w:val="nil"/>
                  </w:tcBorders>
                  <w:noWrap w:val="0"/>
                  <w:vAlign w:val="center"/>
                </w:tcPr>
                <w:p w14:paraId="1C3CBE02">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230" w:type="pct"/>
                  <w:vMerge w:val="continue"/>
                  <w:tcBorders>
                    <w:tl2br w:val="nil"/>
                    <w:tr2bl w:val="nil"/>
                  </w:tcBorders>
                  <w:noWrap w:val="0"/>
                  <w:vAlign w:val="center"/>
                </w:tcPr>
                <w:p w14:paraId="125F084F">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474" w:type="pct"/>
                  <w:vMerge w:val="continue"/>
                  <w:tcBorders>
                    <w:tl2br w:val="nil"/>
                    <w:tr2bl w:val="nil"/>
                  </w:tcBorders>
                  <w:noWrap w:val="0"/>
                  <w:vAlign w:val="center"/>
                </w:tcPr>
                <w:p w14:paraId="3927CADB">
                  <w:pPr>
                    <w:keepNext w:val="0"/>
                    <w:keepLines w:val="0"/>
                    <w:pageBreakBefore w:val="0"/>
                    <w:widowControl/>
                    <w:kinsoku/>
                    <w:wordWrap/>
                    <w:overflowPunct/>
                    <w:topLinePunct w:val="0"/>
                    <w:autoSpaceDE/>
                    <w:autoSpaceDN/>
                    <w:bidi w:val="0"/>
                    <w:adjustRightInd w:val="0"/>
                    <w:snapToGrid w:val="0"/>
                    <w:ind w:firstLine="0"/>
                    <w:jc w:val="center"/>
                    <w:textAlignment w:val="auto"/>
                    <w:rPr>
                      <w:b/>
                      <w:bCs/>
                      <w:color w:val="000000"/>
                      <w:sz w:val="21"/>
                      <w:szCs w:val="21"/>
                    </w:rPr>
                  </w:pPr>
                </w:p>
              </w:tc>
              <w:tc>
                <w:tcPr>
                  <w:tcW w:w="399" w:type="pct"/>
                  <w:tcBorders>
                    <w:tl2br w:val="nil"/>
                    <w:tr2bl w:val="nil"/>
                  </w:tcBorders>
                  <w:noWrap w:val="0"/>
                  <w:vAlign w:val="center"/>
                </w:tcPr>
                <w:p w14:paraId="65F4574B">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声压级</w:t>
                  </w:r>
                  <w:r>
                    <w:rPr>
                      <w:b/>
                      <w:bCs/>
                      <w:color w:val="000000"/>
                      <w:sz w:val="21"/>
                      <w:szCs w:val="21"/>
                    </w:rPr>
                    <w:t>/dB</w:t>
                  </w:r>
                  <w:r>
                    <w:rPr>
                      <w:rFonts w:hint="eastAsia"/>
                      <w:b/>
                      <w:bCs/>
                      <w:color w:val="000000"/>
                      <w:sz w:val="21"/>
                      <w:szCs w:val="21"/>
                    </w:rPr>
                    <w:t>（</w:t>
                  </w:r>
                  <w:r>
                    <w:rPr>
                      <w:b/>
                      <w:bCs/>
                      <w:color w:val="000000"/>
                      <w:sz w:val="21"/>
                      <w:szCs w:val="21"/>
                    </w:rPr>
                    <w:t>A</w:t>
                  </w:r>
                  <w:r>
                    <w:rPr>
                      <w:rFonts w:hint="eastAsia"/>
                      <w:b/>
                      <w:bCs/>
                      <w:color w:val="000000"/>
                      <w:sz w:val="21"/>
                      <w:szCs w:val="21"/>
                    </w:rPr>
                    <w:t>）</w:t>
                  </w:r>
                </w:p>
              </w:tc>
              <w:tc>
                <w:tcPr>
                  <w:tcW w:w="416" w:type="pct"/>
                  <w:tcBorders>
                    <w:tl2br w:val="nil"/>
                    <w:tr2bl w:val="nil"/>
                  </w:tcBorders>
                  <w:noWrap w:val="0"/>
                  <w:vAlign w:val="center"/>
                </w:tcPr>
                <w:p w14:paraId="52EFD04A">
                  <w:pPr>
                    <w:pStyle w:val="3"/>
                    <w:keepNext w:val="0"/>
                    <w:keepLines w:val="0"/>
                    <w:pageBreakBefore w:val="0"/>
                    <w:kinsoku/>
                    <w:wordWrap/>
                    <w:overflowPunct/>
                    <w:topLinePunct w:val="0"/>
                    <w:autoSpaceDE/>
                    <w:autoSpaceDN/>
                    <w:bidi w:val="0"/>
                    <w:adjustRightInd w:val="0"/>
                    <w:snapToGrid w:val="0"/>
                    <w:ind w:firstLine="0"/>
                    <w:jc w:val="center"/>
                    <w:textAlignment w:val="auto"/>
                    <w:rPr>
                      <w:rFonts w:hint="eastAsia"/>
                      <w:b/>
                      <w:bCs/>
                      <w:color w:val="000000"/>
                      <w:sz w:val="21"/>
                      <w:szCs w:val="21"/>
                      <w:lang w:eastAsia="zh-CN"/>
                    </w:rPr>
                  </w:pPr>
                  <w:r>
                    <w:rPr>
                      <w:rFonts w:hint="eastAsia"/>
                      <w:b/>
                      <w:bCs/>
                      <w:color w:val="000000"/>
                      <w:sz w:val="21"/>
                      <w:szCs w:val="21"/>
                    </w:rPr>
                    <w:t>建筑物外距离</w:t>
                  </w:r>
                  <w:r>
                    <w:rPr>
                      <w:rFonts w:hint="eastAsia"/>
                      <w:b/>
                      <w:bCs/>
                      <w:color w:val="000000"/>
                      <w:sz w:val="21"/>
                      <w:szCs w:val="21"/>
                      <w:lang w:eastAsia="zh-CN"/>
                    </w:rPr>
                    <w:t>（</w:t>
                  </w:r>
                  <w:r>
                    <w:rPr>
                      <w:rFonts w:hint="eastAsia"/>
                      <w:b/>
                      <w:bCs/>
                      <w:color w:val="000000"/>
                      <w:sz w:val="21"/>
                      <w:szCs w:val="21"/>
                      <w:lang w:val="en-US" w:eastAsia="zh-CN"/>
                    </w:rPr>
                    <w:t>m</w:t>
                  </w:r>
                  <w:r>
                    <w:rPr>
                      <w:rFonts w:hint="eastAsia"/>
                      <w:b/>
                      <w:bCs/>
                      <w:color w:val="000000"/>
                      <w:sz w:val="21"/>
                      <w:szCs w:val="21"/>
                      <w:lang w:eastAsia="zh-CN"/>
                    </w:rPr>
                    <w:t>）</w:t>
                  </w:r>
                </w:p>
                <w:p w14:paraId="5C2B44BF">
                  <w:pPr>
                    <w:pStyle w:val="3"/>
                    <w:keepNext w:val="0"/>
                    <w:keepLines w:val="0"/>
                    <w:pageBreakBefore w:val="0"/>
                    <w:kinsoku/>
                    <w:wordWrap/>
                    <w:overflowPunct/>
                    <w:topLinePunct w:val="0"/>
                    <w:autoSpaceDE/>
                    <w:autoSpaceDN/>
                    <w:bidi w:val="0"/>
                    <w:adjustRightInd w:val="0"/>
                    <w:snapToGrid w:val="0"/>
                    <w:ind w:firstLine="0"/>
                    <w:jc w:val="center"/>
                    <w:textAlignment w:val="auto"/>
                    <w:rPr>
                      <w:b/>
                      <w:bCs/>
                      <w:color w:val="000000"/>
                      <w:sz w:val="21"/>
                      <w:szCs w:val="21"/>
                    </w:rPr>
                  </w:pPr>
                  <w:r>
                    <w:rPr>
                      <w:b/>
                      <w:bCs/>
                      <w:color w:val="000000"/>
                      <w:sz w:val="21"/>
                      <w:szCs w:val="21"/>
                    </w:rPr>
                    <w:t>***</w:t>
                  </w:r>
                </w:p>
              </w:tc>
            </w:tr>
            <w:tr w14:paraId="7D3CC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1E2B61AC">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1</w:t>
                  </w:r>
                </w:p>
              </w:tc>
              <w:tc>
                <w:tcPr>
                  <w:tcW w:w="205" w:type="pct"/>
                  <w:vMerge w:val="restart"/>
                  <w:tcBorders>
                    <w:tl2br w:val="nil"/>
                    <w:tr2bl w:val="nil"/>
                  </w:tcBorders>
                  <w:noWrap w:val="0"/>
                  <w:vAlign w:val="center"/>
                </w:tcPr>
                <w:p w14:paraId="735EE38E">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z w:val="21"/>
                      <w:szCs w:val="21"/>
                      <w:lang w:val="en-US" w:eastAsia="zh-CN"/>
                    </w:rPr>
                  </w:pPr>
                  <w:r>
                    <w:rPr>
                      <w:rFonts w:hint="eastAsia"/>
                      <w:color w:val="000000"/>
                      <w:sz w:val="21"/>
                      <w:szCs w:val="21"/>
                      <w:lang w:val="en-US" w:eastAsia="zh-CN"/>
                    </w:rPr>
                    <w:t>车间</w:t>
                  </w:r>
                </w:p>
              </w:tc>
              <w:tc>
                <w:tcPr>
                  <w:tcW w:w="575" w:type="pct"/>
                  <w:tcBorders>
                    <w:tl2br w:val="nil"/>
                    <w:tr2bl w:val="nil"/>
                  </w:tcBorders>
                  <w:noWrap w:val="0"/>
                  <w:vAlign w:val="center"/>
                </w:tcPr>
                <w:p w14:paraId="4915784E">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磨抛机</w:t>
                  </w:r>
                </w:p>
              </w:tc>
              <w:tc>
                <w:tcPr>
                  <w:tcW w:w="255" w:type="pct"/>
                  <w:tcBorders>
                    <w:tl2br w:val="nil"/>
                    <w:tr2bl w:val="nil"/>
                  </w:tcBorders>
                  <w:noWrap w:val="0"/>
                  <w:vAlign w:val="center"/>
                </w:tcPr>
                <w:p w14:paraId="0786C883">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20</w:t>
                  </w:r>
                </w:p>
              </w:tc>
              <w:tc>
                <w:tcPr>
                  <w:tcW w:w="282" w:type="pct"/>
                  <w:tcBorders>
                    <w:tl2br w:val="nil"/>
                    <w:tr2bl w:val="nil"/>
                  </w:tcBorders>
                  <w:noWrap w:val="0"/>
                  <w:vAlign w:val="center"/>
                </w:tcPr>
                <w:p w14:paraId="4A5AAAA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75</w:t>
                  </w:r>
                </w:p>
              </w:tc>
              <w:tc>
                <w:tcPr>
                  <w:tcW w:w="225" w:type="pct"/>
                  <w:vMerge w:val="restart"/>
                  <w:tcBorders>
                    <w:tl2br w:val="nil"/>
                    <w:tr2bl w:val="nil"/>
                  </w:tcBorders>
                  <w:noWrap w:val="0"/>
                  <w:vAlign w:val="center"/>
                </w:tcPr>
                <w:p w14:paraId="3664D05C">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rFonts w:hint="eastAsia" w:ascii="宋体" w:hAnsi="宋体"/>
                      <w:color w:val="000000"/>
                      <w:sz w:val="21"/>
                      <w:szCs w:val="21"/>
                    </w:rPr>
                    <w:t>选用低噪声设备、墙体隔声、距离衰减、消声减振</w:t>
                  </w:r>
                </w:p>
              </w:tc>
              <w:tc>
                <w:tcPr>
                  <w:tcW w:w="308" w:type="pct"/>
                  <w:tcBorders>
                    <w:tl2br w:val="nil"/>
                    <w:tr2bl w:val="nil"/>
                  </w:tcBorders>
                  <w:noWrap w:val="0"/>
                  <w:vAlign w:val="center"/>
                </w:tcPr>
                <w:p w14:paraId="20A4E154">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50</w:t>
                  </w:r>
                </w:p>
              </w:tc>
              <w:tc>
                <w:tcPr>
                  <w:tcW w:w="324" w:type="pct"/>
                  <w:tcBorders>
                    <w:tl2br w:val="nil"/>
                    <w:tr2bl w:val="nil"/>
                  </w:tcBorders>
                  <w:noWrap w:val="0"/>
                  <w:vAlign w:val="center"/>
                </w:tcPr>
                <w:p w14:paraId="398F30A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52" w:type="pct"/>
                  <w:tcBorders>
                    <w:tl2br w:val="nil"/>
                    <w:tr2bl w:val="nil"/>
                  </w:tcBorders>
                  <w:noWrap w:val="0"/>
                  <w:vAlign w:val="center"/>
                </w:tcPr>
                <w:p w14:paraId="2D9C2C8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lang w:val="en-US" w:eastAsia="zh-CN"/>
                    </w:rPr>
                  </w:pPr>
                  <w:r>
                    <w:rPr>
                      <w:rFonts w:hint="eastAsia" w:eastAsia="宋体"/>
                      <w:color w:val="000000"/>
                      <w:sz w:val="21"/>
                      <w:szCs w:val="21"/>
                      <w:lang w:val="en-US" w:eastAsia="zh-CN"/>
                    </w:rPr>
                    <w:t>1</w:t>
                  </w:r>
                </w:p>
              </w:tc>
              <w:tc>
                <w:tcPr>
                  <w:tcW w:w="402" w:type="pct"/>
                  <w:tcBorders>
                    <w:tl2br w:val="nil"/>
                    <w:tr2bl w:val="nil"/>
                  </w:tcBorders>
                  <w:noWrap w:val="0"/>
                  <w:vAlign w:val="center"/>
                </w:tcPr>
                <w:p w14:paraId="33A4F99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1021" w:type="dxa"/>
                  <w:tcBorders>
                    <w:tl2br w:val="nil"/>
                    <w:tr2bl w:val="nil"/>
                  </w:tcBorders>
                  <w:noWrap w:val="0"/>
                  <w:vAlign w:val="center"/>
                </w:tcPr>
                <w:p w14:paraId="7B84DD6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73.99</w:t>
                  </w:r>
                </w:p>
              </w:tc>
              <w:tc>
                <w:tcPr>
                  <w:tcW w:w="230" w:type="pct"/>
                  <w:vMerge w:val="restart"/>
                  <w:tcBorders>
                    <w:tl2br w:val="nil"/>
                    <w:tr2bl w:val="nil"/>
                  </w:tcBorders>
                  <w:noWrap w:val="0"/>
                  <w:vAlign w:val="center"/>
                </w:tcPr>
                <w:p w14:paraId="5614914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ascii="Times New Roman" w:hAnsi="Times New Roman" w:eastAsia="宋体" w:cs="Times New Roman"/>
                      <w:b w:val="0"/>
                      <w:bCs/>
                      <w:color w:val="000000"/>
                      <w:sz w:val="21"/>
                      <w:szCs w:val="21"/>
                      <w:lang w:val="en-US" w:eastAsia="zh-CN"/>
                    </w:rPr>
                    <w:t>7:00~11:00，13:00~17:00</w:t>
                  </w:r>
                </w:p>
              </w:tc>
              <w:tc>
                <w:tcPr>
                  <w:tcW w:w="474" w:type="pct"/>
                  <w:tcBorders>
                    <w:tl2br w:val="nil"/>
                    <w:tr2bl w:val="nil"/>
                  </w:tcBorders>
                  <w:noWrap w:val="0"/>
                  <w:vAlign w:val="center"/>
                </w:tcPr>
                <w:p w14:paraId="37895969">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highlight w:val="none"/>
                    </w:rPr>
                  </w:pPr>
                  <w:r>
                    <w:rPr>
                      <w:color w:val="000000"/>
                      <w:sz w:val="21"/>
                      <w:szCs w:val="21"/>
                      <w:highlight w:val="none"/>
                    </w:rPr>
                    <w:t>20</w:t>
                  </w:r>
                </w:p>
              </w:tc>
              <w:tc>
                <w:tcPr>
                  <w:tcW w:w="399" w:type="pct"/>
                  <w:tcBorders>
                    <w:tl2br w:val="nil"/>
                    <w:tr2bl w:val="nil"/>
                  </w:tcBorders>
                  <w:noWrap w:val="0"/>
                  <w:vAlign w:val="center"/>
                </w:tcPr>
                <w:p w14:paraId="660AF02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53.99</w:t>
                  </w:r>
                </w:p>
              </w:tc>
              <w:tc>
                <w:tcPr>
                  <w:tcW w:w="416" w:type="pct"/>
                  <w:tcBorders>
                    <w:tl2br w:val="nil"/>
                    <w:tr2bl w:val="nil"/>
                  </w:tcBorders>
                  <w:noWrap w:val="0"/>
                  <w:vAlign w:val="center"/>
                </w:tcPr>
                <w:p w14:paraId="6CC48B6F">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highlight w:val="none"/>
                    </w:rPr>
                  </w:pPr>
                  <w:r>
                    <w:rPr>
                      <w:color w:val="000000"/>
                      <w:sz w:val="21"/>
                      <w:szCs w:val="21"/>
                      <w:highlight w:val="none"/>
                    </w:rPr>
                    <w:t>1</w:t>
                  </w:r>
                </w:p>
              </w:tc>
            </w:tr>
            <w:tr w14:paraId="492BB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7C799130">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2</w:t>
                  </w:r>
                </w:p>
              </w:tc>
              <w:tc>
                <w:tcPr>
                  <w:tcW w:w="205" w:type="pct"/>
                  <w:vMerge w:val="continue"/>
                  <w:tcBorders>
                    <w:tl2br w:val="nil"/>
                    <w:tr2bl w:val="nil"/>
                  </w:tcBorders>
                  <w:noWrap w:val="0"/>
                  <w:vAlign w:val="center"/>
                </w:tcPr>
                <w:p w14:paraId="2294FA54">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p>
              </w:tc>
              <w:tc>
                <w:tcPr>
                  <w:tcW w:w="575" w:type="pct"/>
                  <w:tcBorders>
                    <w:tl2br w:val="nil"/>
                    <w:tr2bl w:val="nil"/>
                  </w:tcBorders>
                  <w:noWrap w:val="0"/>
                  <w:vAlign w:val="center"/>
                </w:tcPr>
                <w:p w14:paraId="4B7A412E">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平柄制柄机</w:t>
                  </w:r>
                </w:p>
              </w:tc>
              <w:tc>
                <w:tcPr>
                  <w:tcW w:w="255" w:type="pct"/>
                  <w:tcBorders>
                    <w:tl2br w:val="nil"/>
                    <w:tr2bl w:val="nil"/>
                  </w:tcBorders>
                  <w:noWrap w:val="0"/>
                  <w:vAlign w:val="center"/>
                </w:tcPr>
                <w:p w14:paraId="1674C83B">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w:t>
                  </w:r>
                </w:p>
              </w:tc>
              <w:tc>
                <w:tcPr>
                  <w:tcW w:w="282" w:type="pct"/>
                  <w:tcBorders>
                    <w:tl2br w:val="nil"/>
                    <w:tr2bl w:val="nil"/>
                  </w:tcBorders>
                  <w:noWrap w:val="0"/>
                  <w:vAlign w:val="center"/>
                </w:tcPr>
                <w:p w14:paraId="25DA0C6C">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80</w:t>
                  </w:r>
                </w:p>
              </w:tc>
              <w:tc>
                <w:tcPr>
                  <w:tcW w:w="225" w:type="pct"/>
                  <w:vMerge w:val="continue"/>
                  <w:tcBorders>
                    <w:tl2br w:val="nil"/>
                    <w:tr2bl w:val="nil"/>
                  </w:tcBorders>
                  <w:noWrap w:val="0"/>
                  <w:vAlign w:val="center"/>
                </w:tcPr>
                <w:p w14:paraId="63B7E7A9">
                  <w:pPr>
                    <w:keepNext w:val="0"/>
                    <w:keepLines w:val="0"/>
                    <w:pageBreakBefore w:val="0"/>
                    <w:kinsoku/>
                    <w:wordWrap/>
                    <w:overflowPunct/>
                    <w:topLinePunct w:val="0"/>
                    <w:autoSpaceDE/>
                    <w:autoSpaceDN/>
                    <w:bidi w:val="0"/>
                    <w:adjustRightInd w:val="0"/>
                    <w:snapToGrid w:val="0"/>
                    <w:ind w:firstLine="0"/>
                    <w:jc w:val="center"/>
                    <w:textAlignment w:val="auto"/>
                    <w:rPr>
                      <w:rFonts w:ascii="宋体" w:hAnsi="宋体"/>
                      <w:color w:val="000000"/>
                      <w:sz w:val="21"/>
                      <w:szCs w:val="21"/>
                      <w:highlight w:val="yellow"/>
                    </w:rPr>
                  </w:pPr>
                </w:p>
              </w:tc>
              <w:tc>
                <w:tcPr>
                  <w:tcW w:w="308" w:type="pct"/>
                  <w:tcBorders>
                    <w:tl2br w:val="nil"/>
                    <w:tr2bl w:val="nil"/>
                  </w:tcBorders>
                  <w:noWrap w:val="0"/>
                  <w:vAlign w:val="center"/>
                </w:tcPr>
                <w:p w14:paraId="0E28D54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40</w:t>
                  </w:r>
                </w:p>
              </w:tc>
              <w:tc>
                <w:tcPr>
                  <w:tcW w:w="324" w:type="pct"/>
                  <w:tcBorders>
                    <w:tl2br w:val="nil"/>
                    <w:tr2bl w:val="nil"/>
                  </w:tcBorders>
                  <w:noWrap w:val="0"/>
                  <w:vAlign w:val="center"/>
                </w:tcPr>
                <w:p w14:paraId="1E60A402">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52" w:type="pct"/>
                  <w:tcBorders>
                    <w:tl2br w:val="nil"/>
                    <w:tr2bl w:val="nil"/>
                  </w:tcBorders>
                  <w:noWrap w:val="0"/>
                  <w:vAlign w:val="center"/>
                </w:tcPr>
                <w:p w14:paraId="39E05B9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1CF1606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1021" w:type="dxa"/>
                  <w:tcBorders>
                    <w:tl2br w:val="nil"/>
                    <w:tr2bl w:val="nil"/>
                  </w:tcBorders>
                  <w:noWrap w:val="0"/>
                  <w:vAlign w:val="center"/>
                </w:tcPr>
                <w:p w14:paraId="1BE9DBE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85.98</w:t>
                  </w:r>
                </w:p>
              </w:tc>
              <w:tc>
                <w:tcPr>
                  <w:tcW w:w="230" w:type="pct"/>
                  <w:vMerge w:val="continue"/>
                  <w:tcBorders>
                    <w:tl2br w:val="nil"/>
                    <w:tr2bl w:val="nil"/>
                  </w:tcBorders>
                  <w:noWrap w:val="0"/>
                  <w:vAlign w:val="center"/>
                </w:tcPr>
                <w:p w14:paraId="3B6B8D7E">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highlight w:val="none"/>
                    </w:rPr>
                  </w:pPr>
                </w:p>
              </w:tc>
              <w:tc>
                <w:tcPr>
                  <w:tcW w:w="474" w:type="pct"/>
                  <w:tcBorders>
                    <w:tl2br w:val="nil"/>
                    <w:tr2bl w:val="nil"/>
                  </w:tcBorders>
                  <w:noWrap w:val="0"/>
                  <w:vAlign w:val="center"/>
                </w:tcPr>
                <w:p w14:paraId="76500EF0">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highlight w:val="none"/>
                    </w:rPr>
                  </w:pPr>
                  <w:r>
                    <w:rPr>
                      <w:color w:val="000000"/>
                      <w:sz w:val="21"/>
                      <w:szCs w:val="21"/>
                      <w:highlight w:val="none"/>
                    </w:rPr>
                    <w:t>20</w:t>
                  </w:r>
                </w:p>
              </w:tc>
              <w:tc>
                <w:tcPr>
                  <w:tcW w:w="399" w:type="pct"/>
                  <w:tcBorders>
                    <w:tl2br w:val="nil"/>
                    <w:tr2bl w:val="nil"/>
                  </w:tcBorders>
                  <w:noWrap w:val="0"/>
                  <w:vAlign w:val="center"/>
                </w:tcPr>
                <w:p w14:paraId="55331A3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65.98</w:t>
                  </w:r>
                </w:p>
              </w:tc>
              <w:tc>
                <w:tcPr>
                  <w:tcW w:w="416" w:type="pct"/>
                  <w:tcBorders>
                    <w:tl2br w:val="nil"/>
                    <w:tr2bl w:val="nil"/>
                  </w:tcBorders>
                  <w:noWrap w:val="0"/>
                  <w:vAlign w:val="center"/>
                </w:tcPr>
                <w:p w14:paraId="7CA84A5F">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1</w:t>
                  </w:r>
                </w:p>
              </w:tc>
            </w:tr>
            <w:tr w14:paraId="1E350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7256B55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000000"/>
                      <w:kern w:val="2"/>
                      <w:sz w:val="21"/>
                      <w:szCs w:val="21"/>
                      <w:lang w:val="en-US" w:eastAsia="zh-CN" w:bidi="ar-SA"/>
                    </w:rPr>
                  </w:pPr>
                  <w:r>
                    <w:rPr>
                      <w:rFonts w:hint="eastAsia"/>
                      <w:color w:val="000000"/>
                      <w:sz w:val="21"/>
                      <w:szCs w:val="21"/>
                    </w:rPr>
                    <w:t>3</w:t>
                  </w:r>
                </w:p>
              </w:tc>
              <w:tc>
                <w:tcPr>
                  <w:tcW w:w="205" w:type="pct"/>
                  <w:vMerge w:val="continue"/>
                  <w:tcBorders>
                    <w:tl2br w:val="nil"/>
                    <w:tr2bl w:val="nil"/>
                  </w:tcBorders>
                  <w:noWrap w:val="0"/>
                  <w:vAlign w:val="center"/>
                </w:tcPr>
                <w:p w14:paraId="66A22A43">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51F15A54">
                  <w:pPr>
                    <w:keepNext w:val="0"/>
                    <w:keepLines w:val="0"/>
                    <w:widowControl/>
                    <w:suppressLineNumbers w:val="0"/>
                    <w:jc w:val="center"/>
                    <w:textAlignment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环柄、花柄制柄机</w:t>
                  </w:r>
                </w:p>
              </w:tc>
              <w:tc>
                <w:tcPr>
                  <w:tcW w:w="255" w:type="pct"/>
                  <w:tcBorders>
                    <w:tl2br w:val="nil"/>
                    <w:tr2bl w:val="nil"/>
                  </w:tcBorders>
                  <w:noWrap w:val="0"/>
                  <w:vAlign w:val="center"/>
                </w:tcPr>
                <w:p w14:paraId="24E5329E">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100</w:t>
                  </w:r>
                </w:p>
              </w:tc>
              <w:tc>
                <w:tcPr>
                  <w:tcW w:w="282" w:type="pct"/>
                  <w:tcBorders>
                    <w:tl2br w:val="nil"/>
                    <w:tr2bl w:val="nil"/>
                  </w:tcBorders>
                  <w:noWrap w:val="0"/>
                  <w:vAlign w:val="center"/>
                </w:tcPr>
                <w:p w14:paraId="1376BD2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75</w:t>
                  </w:r>
                </w:p>
              </w:tc>
              <w:tc>
                <w:tcPr>
                  <w:tcW w:w="225" w:type="pct"/>
                  <w:vMerge w:val="continue"/>
                  <w:tcBorders>
                    <w:tl2br w:val="nil"/>
                    <w:tr2bl w:val="nil"/>
                  </w:tcBorders>
                  <w:noWrap w:val="0"/>
                  <w:vAlign w:val="center"/>
                </w:tcPr>
                <w:p w14:paraId="27EC2E8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5EC1F3D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36</w:t>
                  </w:r>
                </w:p>
              </w:tc>
              <w:tc>
                <w:tcPr>
                  <w:tcW w:w="324" w:type="pct"/>
                  <w:tcBorders>
                    <w:tl2br w:val="nil"/>
                    <w:tr2bl w:val="nil"/>
                  </w:tcBorders>
                  <w:noWrap w:val="0"/>
                  <w:vAlign w:val="center"/>
                </w:tcPr>
                <w:p w14:paraId="4249CE6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52" w:type="pct"/>
                  <w:tcBorders>
                    <w:tl2br w:val="nil"/>
                    <w:tr2bl w:val="nil"/>
                  </w:tcBorders>
                  <w:noWrap w:val="0"/>
                  <w:vAlign w:val="center"/>
                </w:tcPr>
                <w:p w14:paraId="1C4EFF1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66E925F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1021" w:type="dxa"/>
                  <w:tcBorders>
                    <w:tl2br w:val="nil"/>
                    <w:tr2bl w:val="nil"/>
                  </w:tcBorders>
                  <w:noWrap w:val="0"/>
                  <w:vAlign w:val="center"/>
                </w:tcPr>
                <w:p w14:paraId="25A961B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80.98</w:t>
                  </w:r>
                </w:p>
              </w:tc>
              <w:tc>
                <w:tcPr>
                  <w:tcW w:w="230" w:type="pct"/>
                  <w:vMerge w:val="continue"/>
                  <w:tcBorders>
                    <w:tl2br w:val="nil"/>
                    <w:tr2bl w:val="nil"/>
                  </w:tcBorders>
                  <w:noWrap w:val="0"/>
                  <w:vAlign w:val="center"/>
                </w:tcPr>
                <w:p w14:paraId="79DE48EF">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p>
              </w:tc>
              <w:tc>
                <w:tcPr>
                  <w:tcW w:w="474" w:type="pct"/>
                  <w:tcBorders>
                    <w:tl2br w:val="nil"/>
                    <w:tr2bl w:val="nil"/>
                  </w:tcBorders>
                  <w:noWrap w:val="0"/>
                  <w:vAlign w:val="center"/>
                </w:tcPr>
                <w:p w14:paraId="45AAFEF1">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20</w:t>
                  </w:r>
                </w:p>
              </w:tc>
              <w:tc>
                <w:tcPr>
                  <w:tcW w:w="399" w:type="pct"/>
                  <w:tcBorders>
                    <w:tl2br w:val="nil"/>
                    <w:tr2bl w:val="nil"/>
                  </w:tcBorders>
                  <w:noWrap w:val="0"/>
                  <w:vAlign w:val="center"/>
                </w:tcPr>
                <w:p w14:paraId="02A0444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60.98</w:t>
                  </w:r>
                </w:p>
              </w:tc>
              <w:tc>
                <w:tcPr>
                  <w:tcW w:w="416" w:type="pct"/>
                  <w:tcBorders>
                    <w:tl2br w:val="nil"/>
                    <w:tr2bl w:val="nil"/>
                  </w:tcBorders>
                  <w:noWrap w:val="0"/>
                  <w:vAlign w:val="center"/>
                </w:tcPr>
                <w:p w14:paraId="0830F9C7">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1</w:t>
                  </w:r>
                </w:p>
              </w:tc>
            </w:tr>
            <w:tr w14:paraId="20EC4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475231A3">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000000"/>
                      <w:kern w:val="2"/>
                      <w:sz w:val="21"/>
                      <w:szCs w:val="21"/>
                      <w:lang w:val="en-US" w:eastAsia="zh-CN" w:bidi="ar-SA"/>
                    </w:rPr>
                  </w:pPr>
                  <w:r>
                    <w:rPr>
                      <w:rFonts w:hint="eastAsia"/>
                      <w:color w:val="000000"/>
                      <w:sz w:val="21"/>
                      <w:szCs w:val="21"/>
                    </w:rPr>
                    <w:t>4</w:t>
                  </w:r>
                </w:p>
              </w:tc>
              <w:tc>
                <w:tcPr>
                  <w:tcW w:w="205" w:type="pct"/>
                  <w:vMerge w:val="continue"/>
                  <w:tcBorders>
                    <w:tl2br w:val="nil"/>
                    <w:tr2bl w:val="nil"/>
                  </w:tcBorders>
                  <w:noWrap w:val="0"/>
                  <w:vAlign w:val="center"/>
                </w:tcPr>
                <w:p w14:paraId="2D790390">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1C208557">
                  <w:pPr>
                    <w:widowControl/>
                    <w:jc w:val="center"/>
                    <w:textAlignment w:val="bottom"/>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塑柄制柄机</w:t>
                  </w:r>
                </w:p>
              </w:tc>
              <w:tc>
                <w:tcPr>
                  <w:tcW w:w="255" w:type="pct"/>
                  <w:tcBorders>
                    <w:tl2br w:val="nil"/>
                    <w:tr2bl w:val="nil"/>
                  </w:tcBorders>
                  <w:noWrap w:val="0"/>
                  <w:vAlign w:val="center"/>
                </w:tcPr>
                <w:p w14:paraId="7CEEDD4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15</w:t>
                  </w:r>
                </w:p>
              </w:tc>
              <w:tc>
                <w:tcPr>
                  <w:tcW w:w="282" w:type="pct"/>
                  <w:tcBorders>
                    <w:tl2br w:val="nil"/>
                    <w:tr2bl w:val="nil"/>
                  </w:tcBorders>
                  <w:noWrap w:val="0"/>
                  <w:vAlign w:val="center"/>
                </w:tcPr>
                <w:p w14:paraId="3DA0A334">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75</w:t>
                  </w:r>
                </w:p>
              </w:tc>
              <w:tc>
                <w:tcPr>
                  <w:tcW w:w="225" w:type="pct"/>
                  <w:vMerge w:val="continue"/>
                  <w:tcBorders>
                    <w:tl2br w:val="nil"/>
                    <w:tr2bl w:val="nil"/>
                  </w:tcBorders>
                  <w:noWrap w:val="0"/>
                  <w:vAlign w:val="center"/>
                </w:tcPr>
                <w:p w14:paraId="7762C8A6">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1100EB9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32</w:t>
                  </w:r>
                </w:p>
              </w:tc>
              <w:tc>
                <w:tcPr>
                  <w:tcW w:w="324" w:type="pct"/>
                  <w:tcBorders>
                    <w:tl2br w:val="nil"/>
                    <w:tr2bl w:val="nil"/>
                  </w:tcBorders>
                  <w:noWrap w:val="0"/>
                  <w:vAlign w:val="center"/>
                </w:tcPr>
                <w:p w14:paraId="19D76EB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52" w:type="pct"/>
                  <w:tcBorders>
                    <w:tl2br w:val="nil"/>
                    <w:tr2bl w:val="nil"/>
                  </w:tcBorders>
                  <w:noWrap w:val="0"/>
                  <w:vAlign w:val="center"/>
                </w:tcPr>
                <w:p w14:paraId="12ACED4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6D9EA86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1021" w:type="dxa"/>
                  <w:tcBorders>
                    <w:tl2br w:val="nil"/>
                    <w:tr2bl w:val="nil"/>
                  </w:tcBorders>
                  <w:noWrap w:val="0"/>
                  <w:vAlign w:val="center"/>
                </w:tcPr>
                <w:p w14:paraId="2BC7FC2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72.74</w:t>
                  </w:r>
                </w:p>
              </w:tc>
              <w:tc>
                <w:tcPr>
                  <w:tcW w:w="230" w:type="pct"/>
                  <w:vMerge w:val="continue"/>
                  <w:tcBorders>
                    <w:tl2br w:val="nil"/>
                    <w:tr2bl w:val="nil"/>
                  </w:tcBorders>
                  <w:noWrap w:val="0"/>
                  <w:vAlign w:val="center"/>
                </w:tcPr>
                <w:p w14:paraId="07FE26ED">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p>
              </w:tc>
              <w:tc>
                <w:tcPr>
                  <w:tcW w:w="474" w:type="pct"/>
                  <w:tcBorders>
                    <w:tl2br w:val="nil"/>
                    <w:tr2bl w:val="nil"/>
                  </w:tcBorders>
                  <w:noWrap w:val="0"/>
                  <w:vAlign w:val="center"/>
                </w:tcPr>
                <w:p w14:paraId="338780B1">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rFonts w:hint="eastAsia"/>
                      <w:color w:val="000000"/>
                      <w:sz w:val="21"/>
                      <w:szCs w:val="21"/>
                    </w:rPr>
                    <w:t>2</w:t>
                  </w:r>
                  <w:r>
                    <w:rPr>
                      <w:color w:val="000000"/>
                      <w:sz w:val="21"/>
                      <w:szCs w:val="21"/>
                    </w:rPr>
                    <w:t>0</w:t>
                  </w:r>
                </w:p>
              </w:tc>
              <w:tc>
                <w:tcPr>
                  <w:tcW w:w="399" w:type="pct"/>
                  <w:tcBorders>
                    <w:tl2br w:val="nil"/>
                    <w:tr2bl w:val="nil"/>
                  </w:tcBorders>
                  <w:noWrap w:val="0"/>
                  <w:vAlign w:val="center"/>
                </w:tcPr>
                <w:p w14:paraId="0669543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52.74</w:t>
                  </w:r>
                </w:p>
              </w:tc>
              <w:tc>
                <w:tcPr>
                  <w:tcW w:w="416" w:type="pct"/>
                  <w:tcBorders>
                    <w:tl2br w:val="nil"/>
                    <w:tr2bl w:val="nil"/>
                  </w:tcBorders>
                  <w:noWrap w:val="0"/>
                  <w:vAlign w:val="center"/>
                </w:tcPr>
                <w:p w14:paraId="4DE424AE">
                  <w:pPr>
                    <w:keepNext w:val="0"/>
                    <w:keepLines w:val="0"/>
                    <w:pageBreakBefore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1</w:t>
                  </w:r>
                </w:p>
              </w:tc>
            </w:tr>
            <w:tr w14:paraId="37D3A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2E521DD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lang w:val="en-US" w:eastAsia="zh-CN" w:bidi="ar-SA"/>
                    </w:rPr>
                  </w:pPr>
                  <w:r>
                    <w:rPr>
                      <w:rFonts w:hint="eastAsia"/>
                      <w:color w:val="000000"/>
                      <w:sz w:val="21"/>
                      <w:szCs w:val="21"/>
                    </w:rPr>
                    <w:t>5</w:t>
                  </w:r>
                </w:p>
              </w:tc>
              <w:tc>
                <w:tcPr>
                  <w:tcW w:w="205" w:type="pct"/>
                  <w:vMerge w:val="continue"/>
                  <w:tcBorders>
                    <w:tl2br w:val="nil"/>
                    <w:tr2bl w:val="nil"/>
                  </w:tcBorders>
                  <w:noWrap w:val="0"/>
                  <w:vAlign w:val="center"/>
                </w:tcPr>
                <w:p w14:paraId="3BB66D93">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3E4D0883">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金属柄</w:t>
                  </w:r>
                  <w:r>
                    <w:rPr>
                      <w:rFonts w:hint="eastAsia" w:ascii="Times New Roman" w:hAnsi="Times New Roman" w:cs="Times New Roman"/>
                      <w:color w:val="000000"/>
                      <w:kern w:val="2"/>
                      <w:sz w:val="21"/>
                      <w:szCs w:val="21"/>
                      <w:lang w:val="en-US" w:eastAsia="zh-CN" w:bidi="ar-SA"/>
                    </w:rPr>
                    <w:t>制柄机</w:t>
                  </w:r>
                </w:p>
              </w:tc>
              <w:tc>
                <w:tcPr>
                  <w:tcW w:w="255" w:type="pct"/>
                  <w:tcBorders>
                    <w:tl2br w:val="nil"/>
                    <w:tr2bl w:val="nil"/>
                  </w:tcBorders>
                  <w:noWrap w:val="0"/>
                  <w:vAlign w:val="center"/>
                </w:tcPr>
                <w:p w14:paraId="64AF2858">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w:t>
                  </w:r>
                </w:p>
              </w:tc>
              <w:tc>
                <w:tcPr>
                  <w:tcW w:w="282" w:type="pct"/>
                  <w:tcBorders>
                    <w:tl2br w:val="nil"/>
                    <w:tr2bl w:val="nil"/>
                  </w:tcBorders>
                  <w:noWrap w:val="0"/>
                  <w:vAlign w:val="center"/>
                </w:tcPr>
                <w:p w14:paraId="1709908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80</w:t>
                  </w:r>
                </w:p>
              </w:tc>
              <w:tc>
                <w:tcPr>
                  <w:tcW w:w="225" w:type="pct"/>
                  <w:vMerge w:val="continue"/>
                  <w:tcBorders>
                    <w:tl2br w:val="nil"/>
                    <w:tr2bl w:val="nil"/>
                  </w:tcBorders>
                  <w:noWrap w:val="0"/>
                  <w:vAlign w:val="center"/>
                </w:tcPr>
                <w:p w14:paraId="1F29C1EB">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04782C10">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28</w:t>
                  </w:r>
                </w:p>
              </w:tc>
              <w:tc>
                <w:tcPr>
                  <w:tcW w:w="324" w:type="pct"/>
                  <w:tcBorders>
                    <w:tl2br w:val="nil"/>
                    <w:tr2bl w:val="nil"/>
                  </w:tcBorders>
                  <w:noWrap w:val="0"/>
                  <w:vAlign w:val="center"/>
                </w:tcPr>
                <w:p w14:paraId="75FEFE51">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52" w:type="pct"/>
                  <w:tcBorders>
                    <w:tl2br w:val="nil"/>
                    <w:tr2bl w:val="nil"/>
                  </w:tcBorders>
                  <w:noWrap w:val="0"/>
                  <w:vAlign w:val="center"/>
                </w:tcPr>
                <w:p w14:paraId="6180F8D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30B8388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1021" w:type="dxa"/>
                  <w:tcBorders>
                    <w:tl2br w:val="nil"/>
                    <w:tr2bl w:val="nil"/>
                  </w:tcBorders>
                  <w:noWrap w:val="0"/>
                  <w:vAlign w:val="center"/>
                </w:tcPr>
                <w:p w14:paraId="194D04B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75.98</w:t>
                  </w:r>
                </w:p>
              </w:tc>
              <w:tc>
                <w:tcPr>
                  <w:tcW w:w="230" w:type="pct"/>
                  <w:vMerge w:val="continue"/>
                  <w:tcBorders>
                    <w:tl2br w:val="nil"/>
                    <w:tr2bl w:val="nil"/>
                  </w:tcBorders>
                  <w:noWrap w:val="0"/>
                  <w:vAlign w:val="center"/>
                </w:tcPr>
                <w:p w14:paraId="0A72F75E">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474" w:type="pct"/>
                  <w:tcBorders>
                    <w:tl2br w:val="nil"/>
                    <w:tr2bl w:val="nil"/>
                  </w:tcBorders>
                  <w:noWrap w:val="0"/>
                  <w:vAlign w:val="center"/>
                </w:tcPr>
                <w:p w14:paraId="2D72E07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lang w:val="en-US" w:eastAsia="zh-CN"/>
                    </w:rPr>
                  </w:pPr>
                  <w:r>
                    <w:rPr>
                      <w:rFonts w:hint="eastAsia"/>
                      <w:color w:val="000000"/>
                      <w:sz w:val="21"/>
                      <w:szCs w:val="21"/>
                      <w:lang w:val="en-US" w:eastAsia="zh-CN"/>
                    </w:rPr>
                    <w:t>20</w:t>
                  </w:r>
                </w:p>
              </w:tc>
              <w:tc>
                <w:tcPr>
                  <w:tcW w:w="399" w:type="pct"/>
                  <w:tcBorders>
                    <w:tl2br w:val="nil"/>
                    <w:tr2bl w:val="nil"/>
                  </w:tcBorders>
                  <w:noWrap w:val="0"/>
                  <w:vAlign w:val="center"/>
                </w:tcPr>
                <w:p w14:paraId="6DD5958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55.98</w:t>
                  </w:r>
                </w:p>
              </w:tc>
              <w:tc>
                <w:tcPr>
                  <w:tcW w:w="416" w:type="pct"/>
                  <w:tcBorders>
                    <w:tl2br w:val="nil"/>
                    <w:tr2bl w:val="nil"/>
                  </w:tcBorders>
                  <w:noWrap w:val="0"/>
                  <w:vAlign w:val="center"/>
                </w:tcPr>
                <w:p w14:paraId="7F81C3D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lang w:val="en-US" w:eastAsia="zh-CN" w:bidi="ar-SA"/>
                    </w:rPr>
                  </w:pPr>
                  <w:r>
                    <w:rPr>
                      <w:color w:val="000000"/>
                      <w:sz w:val="21"/>
                      <w:szCs w:val="21"/>
                    </w:rPr>
                    <w:t>1</w:t>
                  </w:r>
                </w:p>
              </w:tc>
            </w:tr>
            <w:tr w14:paraId="0A50B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04644A4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lang w:val="en-US" w:eastAsia="zh-CN" w:bidi="ar-SA"/>
                    </w:rPr>
                  </w:pPr>
                  <w:r>
                    <w:rPr>
                      <w:rFonts w:hint="eastAsia"/>
                      <w:color w:val="000000"/>
                      <w:sz w:val="21"/>
                      <w:szCs w:val="21"/>
                    </w:rPr>
                    <w:t>6</w:t>
                  </w:r>
                </w:p>
              </w:tc>
              <w:tc>
                <w:tcPr>
                  <w:tcW w:w="205" w:type="pct"/>
                  <w:vMerge w:val="continue"/>
                  <w:tcBorders>
                    <w:tl2br w:val="nil"/>
                    <w:tr2bl w:val="nil"/>
                  </w:tcBorders>
                  <w:noWrap w:val="0"/>
                  <w:vAlign w:val="center"/>
                </w:tcPr>
                <w:p w14:paraId="50A1923B">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5356C6FD">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平柄针、金属柄针洁净设备</w:t>
                  </w:r>
                </w:p>
              </w:tc>
              <w:tc>
                <w:tcPr>
                  <w:tcW w:w="255" w:type="pct"/>
                  <w:tcBorders>
                    <w:tl2br w:val="nil"/>
                    <w:tr2bl w:val="nil"/>
                  </w:tcBorders>
                  <w:noWrap w:val="0"/>
                  <w:vAlign w:val="center"/>
                </w:tcPr>
                <w:p w14:paraId="5B168490">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5</w:t>
                  </w:r>
                </w:p>
              </w:tc>
              <w:tc>
                <w:tcPr>
                  <w:tcW w:w="282" w:type="pct"/>
                  <w:tcBorders>
                    <w:tl2br w:val="nil"/>
                    <w:tr2bl w:val="nil"/>
                  </w:tcBorders>
                  <w:noWrap w:val="0"/>
                  <w:vAlign w:val="center"/>
                </w:tcPr>
                <w:p w14:paraId="6FA699E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65</w:t>
                  </w:r>
                </w:p>
              </w:tc>
              <w:tc>
                <w:tcPr>
                  <w:tcW w:w="225" w:type="pct"/>
                  <w:vMerge w:val="continue"/>
                  <w:tcBorders>
                    <w:tl2br w:val="nil"/>
                    <w:tr2bl w:val="nil"/>
                  </w:tcBorders>
                  <w:noWrap w:val="0"/>
                  <w:vAlign w:val="center"/>
                </w:tcPr>
                <w:p w14:paraId="2432C885">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2F127326">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25</w:t>
                  </w:r>
                </w:p>
              </w:tc>
              <w:tc>
                <w:tcPr>
                  <w:tcW w:w="324" w:type="pct"/>
                  <w:tcBorders>
                    <w:tl2br w:val="nil"/>
                    <w:tr2bl w:val="nil"/>
                  </w:tcBorders>
                  <w:noWrap w:val="0"/>
                  <w:vAlign w:val="center"/>
                </w:tcPr>
                <w:p w14:paraId="523684A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15</w:t>
                  </w:r>
                </w:p>
              </w:tc>
              <w:tc>
                <w:tcPr>
                  <w:tcW w:w="352" w:type="pct"/>
                  <w:tcBorders>
                    <w:tl2br w:val="nil"/>
                    <w:tr2bl w:val="nil"/>
                  </w:tcBorders>
                  <w:noWrap w:val="0"/>
                  <w:vAlign w:val="center"/>
                </w:tcPr>
                <w:p w14:paraId="5C28C24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0608D40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w:t>
                  </w:r>
                </w:p>
              </w:tc>
              <w:tc>
                <w:tcPr>
                  <w:tcW w:w="1021" w:type="dxa"/>
                  <w:tcBorders>
                    <w:tl2br w:val="nil"/>
                    <w:tr2bl w:val="nil"/>
                  </w:tcBorders>
                  <w:noWrap w:val="0"/>
                  <w:vAlign w:val="center"/>
                </w:tcPr>
                <w:p w14:paraId="1FA6E72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50.01</w:t>
                  </w:r>
                </w:p>
              </w:tc>
              <w:tc>
                <w:tcPr>
                  <w:tcW w:w="230" w:type="pct"/>
                  <w:vMerge w:val="continue"/>
                  <w:tcBorders>
                    <w:tl2br w:val="nil"/>
                    <w:tr2bl w:val="nil"/>
                  </w:tcBorders>
                  <w:noWrap w:val="0"/>
                  <w:vAlign w:val="center"/>
                </w:tcPr>
                <w:p w14:paraId="24A884FA">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474" w:type="pct"/>
                  <w:tcBorders>
                    <w:tl2br w:val="nil"/>
                    <w:tr2bl w:val="nil"/>
                  </w:tcBorders>
                  <w:noWrap w:val="0"/>
                  <w:vAlign w:val="center"/>
                </w:tcPr>
                <w:p w14:paraId="629F19ED">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lang w:val="en-US" w:eastAsia="zh-CN"/>
                    </w:rPr>
                  </w:pPr>
                  <w:r>
                    <w:rPr>
                      <w:rFonts w:hint="eastAsia"/>
                      <w:color w:val="000000"/>
                      <w:sz w:val="21"/>
                      <w:szCs w:val="21"/>
                      <w:lang w:val="en-US" w:eastAsia="zh-CN"/>
                    </w:rPr>
                    <w:t>20</w:t>
                  </w:r>
                </w:p>
              </w:tc>
              <w:tc>
                <w:tcPr>
                  <w:tcW w:w="399" w:type="pct"/>
                  <w:tcBorders>
                    <w:tl2br w:val="nil"/>
                    <w:tr2bl w:val="nil"/>
                  </w:tcBorders>
                  <w:noWrap w:val="0"/>
                  <w:vAlign w:val="center"/>
                </w:tcPr>
                <w:p w14:paraId="7341C52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30.01</w:t>
                  </w:r>
                </w:p>
              </w:tc>
              <w:tc>
                <w:tcPr>
                  <w:tcW w:w="416" w:type="pct"/>
                  <w:tcBorders>
                    <w:tl2br w:val="nil"/>
                    <w:tr2bl w:val="nil"/>
                  </w:tcBorders>
                  <w:noWrap w:val="0"/>
                  <w:vAlign w:val="center"/>
                </w:tcPr>
                <w:p w14:paraId="160B679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lang w:val="en-US" w:eastAsia="zh-CN" w:bidi="ar-SA"/>
                    </w:rPr>
                  </w:pPr>
                  <w:r>
                    <w:rPr>
                      <w:color w:val="000000"/>
                      <w:sz w:val="21"/>
                      <w:szCs w:val="21"/>
                    </w:rPr>
                    <w:t>1</w:t>
                  </w:r>
                </w:p>
              </w:tc>
            </w:tr>
            <w:tr w14:paraId="4144F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558CAB4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lang w:val="en-US" w:eastAsia="zh-CN" w:bidi="ar-SA"/>
                    </w:rPr>
                  </w:pPr>
                  <w:r>
                    <w:rPr>
                      <w:rFonts w:hint="eastAsia"/>
                      <w:color w:val="000000"/>
                      <w:sz w:val="21"/>
                      <w:szCs w:val="21"/>
                    </w:rPr>
                    <w:t>7</w:t>
                  </w:r>
                </w:p>
              </w:tc>
              <w:tc>
                <w:tcPr>
                  <w:tcW w:w="205" w:type="pct"/>
                  <w:vMerge w:val="continue"/>
                  <w:tcBorders>
                    <w:tl2br w:val="nil"/>
                    <w:tr2bl w:val="nil"/>
                  </w:tcBorders>
                  <w:noWrap w:val="0"/>
                  <w:vAlign w:val="center"/>
                </w:tcPr>
                <w:p w14:paraId="34906C00">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4F234FAD">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插管机</w:t>
                  </w:r>
                </w:p>
              </w:tc>
              <w:tc>
                <w:tcPr>
                  <w:tcW w:w="255" w:type="pct"/>
                  <w:tcBorders>
                    <w:tl2br w:val="nil"/>
                    <w:tr2bl w:val="nil"/>
                  </w:tcBorders>
                  <w:noWrap w:val="0"/>
                  <w:vAlign w:val="center"/>
                </w:tcPr>
                <w:p w14:paraId="18B7EE3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30</w:t>
                  </w:r>
                </w:p>
              </w:tc>
              <w:tc>
                <w:tcPr>
                  <w:tcW w:w="282" w:type="pct"/>
                  <w:tcBorders>
                    <w:tl2br w:val="nil"/>
                    <w:tr2bl w:val="nil"/>
                  </w:tcBorders>
                  <w:noWrap w:val="0"/>
                  <w:vAlign w:val="center"/>
                </w:tcPr>
                <w:p w14:paraId="3747109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75</w:t>
                  </w:r>
                </w:p>
              </w:tc>
              <w:tc>
                <w:tcPr>
                  <w:tcW w:w="225" w:type="pct"/>
                  <w:vMerge w:val="continue"/>
                  <w:tcBorders>
                    <w:tl2br w:val="nil"/>
                    <w:tr2bl w:val="nil"/>
                  </w:tcBorders>
                  <w:noWrap w:val="0"/>
                  <w:vAlign w:val="center"/>
                </w:tcPr>
                <w:p w14:paraId="0CEAB382">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18A50AF9">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12</w:t>
                  </w:r>
                </w:p>
              </w:tc>
              <w:tc>
                <w:tcPr>
                  <w:tcW w:w="324" w:type="pct"/>
                  <w:tcBorders>
                    <w:tl2br w:val="nil"/>
                    <w:tr2bl w:val="nil"/>
                  </w:tcBorders>
                  <w:noWrap w:val="0"/>
                  <w:vAlign w:val="center"/>
                </w:tcPr>
                <w:p w14:paraId="65B27337">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15</w:t>
                  </w:r>
                </w:p>
              </w:tc>
              <w:tc>
                <w:tcPr>
                  <w:tcW w:w="352" w:type="pct"/>
                  <w:tcBorders>
                    <w:tl2br w:val="nil"/>
                    <w:tr2bl w:val="nil"/>
                  </w:tcBorders>
                  <w:noWrap w:val="0"/>
                  <w:vAlign w:val="center"/>
                </w:tcPr>
                <w:p w14:paraId="3B620DD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54FDCBF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w:t>
                  </w:r>
                </w:p>
              </w:tc>
              <w:tc>
                <w:tcPr>
                  <w:tcW w:w="1021" w:type="dxa"/>
                  <w:tcBorders>
                    <w:tl2br w:val="nil"/>
                    <w:tr2bl w:val="nil"/>
                  </w:tcBorders>
                  <w:noWrap w:val="0"/>
                  <w:vAlign w:val="center"/>
                </w:tcPr>
                <w:p w14:paraId="2383F6B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67.79</w:t>
                  </w:r>
                </w:p>
              </w:tc>
              <w:tc>
                <w:tcPr>
                  <w:tcW w:w="230" w:type="pct"/>
                  <w:vMerge w:val="continue"/>
                  <w:tcBorders>
                    <w:tl2br w:val="nil"/>
                    <w:tr2bl w:val="nil"/>
                  </w:tcBorders>
                  <w:noWrap w:val="0"/>
                  <w:vAlign w:val="center"/>
                </w:tcPr>
                <w:p w14:paraId="7612880B">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474" w:type="pct"/>
                  <w:tcBorders>
                    <w:tl2br w:val="nil"/>
                    <w:tr2bl w:val="nil"/>
                  </w:tcBorders>
                  <w:noWrap w:val="0"/>
                  <w:vAlign w:val="center"/>
                </w:tcPr>
                <w:p w14:paraId="51B0E0D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lang w:val="en-US" w:eastAsia="zh-CN"/>
                    </w:rPr>
                  </w:pPr>
                  <w:r>
                    <w:rPr>
                      <w:rFonts w:hint="eastAsia"/>
                      <w:color w:val="000000"/>
                      <w:sz w:val="21"/>
                      <w:szCs w:val="21"/>
                      <w:lang w:val="en-US" w:eastAsia="zh-CN"/>
                    </w:rPr>
                    <w:t>20</w:t>
                  </w:r>
                </w:p>
              </w:tc>
              <w:tc>
                <w:tcPr>
                  <w:tcW w:w="399" w:type="pct"/>
                  <w:tcBorders>
                    <w:tl2br w:val="nil"/>
                    <w:tr2bl w:val="nil"/>
                  </w:tcBorders>
                  <w:noWrap w:val="0"/>
                  <w:vAlign w:val="center"/>
                </w:tcPr>
                <w:p w14:paraId="47FAC16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47.79</w:t>
                  </w:r>
                </w:p>
              </w:tc>
              <w:tc>
                <w:tcPr>
                  <w:tcW w:w="416" w:type="pct"/>
                  <w:tcBorders>
                    <w:tl2br w:val="nil"/>
                    <w:tr2bl w:val="nil"/>
                  </w:tcBorders>
                  <w:noWrap w:val="0"/>
                  <w:vAlign w:val="center"/>
                </w:tcPr>
                <w:p w14:paraId="0D5B873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lang w:val="en-US" w:eastAsia="zh-CN" w:bidi="ar-SA"/>
                    </w:rPr>
                  </w:pPr>
                  <w:r>
                    <w:rPr>
                      <w:color w:val="000000"/>
                      <w:sz w:val="21"/>
                      <w:szCs w:val="21"/>
                    </w:rPr>
                    <w:t>1</w:t>
                  </w:r>
                </w:p>
              </w:tc>
            </w:tr>
            <w:tr w14:paraId="474EA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70B354C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color w:val="000000"/>
                      <w:sz w:val="21"/>
                      <w:szCs w:val="21"/>
                      <w:lang w:val="en-US" w:eastAsia="zh-CN"/>
                    </w:rPr>
                    <w:t>8</w:t>
                  </w:r>
                </w:p>
              </w:tc>
              <w:tc>
                <w:tcPr>
                  <w:tcW w:w="205" w:type="pct"/>
                  <w:vMerge w:val="continue"/>
                  <w:tcBorders>
                    <w:tl2br w:val="nil"/>
                    <w:tr2bl w:val="nil"/>
                  </w:tcBorders>
                  <w:noWrap w:val="0"/>
                  <w:vAlign w:val="center"/>
                </w:tcPr>
                <w:p w14:paraId="1B9A330B">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7BD9A842">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封装机</w:t>
                  </w:r>
                </w:p>
              </w:tc>
              <w:tc>
                <w:tcPr>
                  <w:tcW w:w="255" w:type="pct"/>
                  <w:tcBorders>
                    <w:tl2br w:val="nil"/>
                    <w:tr2bl w:val="nil"/>
                  </w:tcBorders>
                  <w:noWrap w:val="0"/>
                  <w:vAlign w:val="center"/>
                </w:tcPr>
                <w:p w14:paraId="01C881BB">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40</w:t>
                  </w:r>
                </w:p>
              </w:tc>
              <w:tc>
                <w:tcPr>
                  <w:tcW w:w="282" w:type="pct"/>
                  <w:tcBorders>
                    <w:tl2br w:val="nil"/>
                    <w:tr2bl w:val="nil"/>
                  </w:tcBorders>
                  <w:noWrap w:val="0"/>
                  <w:vAlign w:val="center"/>
                </w:tcPr>
                <w:p w14:paraId="14EAF2D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70</w:t>
                  </w:r>
                </w:p>
              </w:tc>
              <w:tc>
                <w:tcPr>
                  <w:tcW w:w="225" w:type="pct"/>
                  <w:vMerge w:val="continue"/>
                  <w:tcBorders>
                    <w:tl2br w:val="nil"/>
                    <w:tr2bl w:val="nil"/>
                  </w:tcBorders>
                  <w:noWrap w:val="0"/>
                  <w:vAlign w:val="center"/>
                </w:tcPr>
                <w:p w14:paraId="2B3573CE">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6AF161B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8</w:t>
                  </w:r>
                </w:p>
              </w:tc>
              <w:tc>
                <w:tcPr>
                  <w:tcW w:w="324" w:type="pct"/>
                  <w:tcBorders>
                    <w:tl2br w:val="nil"/>
                    <w:tr2bl w:val="nil"/>
                  </w:tcBorders>
                  <w:noWrap w:val="0"/>
                  <w:vAlign w:val="center"/>
                </w:tcPr>
                <w:p w14:paraId="78AD523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15</w:t>
                  </w:r>
                </w:p>
              </w:tc>
              <w:tc>
                <w:tcPr>
                  <w:tcW w:w="352" w:type="pct"/>
                  <w:tcBorders>
                    <w:tl2br w:val="nil"/>
                    <w:tr2bl w:val="nil"/>
                  </w:tcBorders>
                  <w:noWrap w:val="0"/>
                  <w:vAlign w:val="center"/>
                </w:tcPr>
                <w:p w14:paraId="5FA86C4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4C2F74D4">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w:t>
                  </w:r>
                </w:p>
              </w:tc>
              <w:tc>
                <w:tcPr>
                  <w:tcW w:w="393" w:type="pct"/>
                  <w:tcBorders>
                    <w:tl2br w:val="nil"/>
                    <w:tr2bl w:val="nil"/>
                  </w:tcBorders>
                  <w:noWrap w:val="0"/>
                  <w:vAlign w:val="center"/>
                </w:tcPr>
                <w:p w14:paraId="7809B69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64.04</w:t>
                  </w:r>
                </w:p>
              </w:tc>
              <w:tc>
                <w:tcPr>
                  <w:tcW w:w="230" w:type="pct"/>
                  <w:vMerge w:val="continue"/>
                  <w:tcBorders>
                    <w:tl2br w:val="nil"/>
                    <w:tr2bl w:val="nil"/>
                  </w:tcBorders>
                  <w:noWrap w:val="0"/>
                  <w:vAlign w:val="center"/>
                </w:tcPr>
                <w:p w14:paraId="52F112D1">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474" w:type="pct"/>
                  <w:tcBorders>
                    <w:tl2br w:val="nil"/>
                    <w:tr2bl w:val="nil"/>
                  </w:tcBorders>
                  <w:noWrap w:val="0"/>
                  <w:vAlign w:val="center"/>
                </w:tcPr>
                <w:p w14:paraId="69B3F56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lang w:val="en-US" w:eastAsia="zh-CN"/>
                    </w:rPr>
                  </w:pPr>
                  <w:r>
                    <w:rPr>
                      <w:rFonts w:hint="eastAsia"/>
                      <w:color w:val="000000"/>
                      <w:sz w:val="21"/>
                      <w:szCs w:val="21"/>
                      <w:lang w:val="en-US" w:eastAsia="zh-CN"/>
                    </w:rPr>
                    <w:t>20</w:t>
                  </w:r>
                </w:p>
              </w:tc>
              <w:tc>
                <w:tcPr>
                  <w:tcW w:w="399" w:type="pct"/>
                  <w:tcBorders>
                    <w:tl2br w:val="nil"/>
                    <w:tr2bl w:val="nil"/>
                  </w:tcBorders>
                  <w:noWrap w:val="0"/>
                  <w:vAlign w:val="center"/>
                </w:tcPr>
                <w:p w14:paraId="281A47F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44.04</w:t>
                  </w:r>
                </w:p>
              </w:tc>
              <w:tc>
                <w:tcPr>
                  <w:tcW w:w="416" w:type="pct"/>
                  <w:tcBorders>
                    <w:tl2br w:val="nil"/>
                    <w:tr2bl w:val="nil"/>
                  </w:tcBorders>
                  <w:noWrap w:val="0"/>
                  <w:vAlign w:val="center"/>
                </w:tcPr>
                <w:p w14:paraId="32DB2F48">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z w:val="21"/>
                      <w:szCs w:val="21"/>
                      <w:lang w:val="en-US" w:eastAsia="zh-CN"/>
                    </w:rPr>
                  </w:pPr>
                  <w:r>
                    <w:rPr>
                      <w:rFonts w:hint="eastAsia"/>
                      <w:color w:val="000000"/>
                      <w:sz w:val="21"/>
                      <w:szCs w:val="21"/>
                      <w:lang w:val="en-US" w:eastAsia="zh-CN"/>
                    </w:rPr>
                    <w:t>1</w:t>
                  </w:r>
                </w:p>
              </w:tc>
            </w:tr>
            <w:tr w14:paraId="0C71C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154" w:type="pct"/>
                  <w:tcBorders>
                    <w:tl2br w:val="nil"/>
                    <w:tr2bl w:val="nil"/>
                  </w:tcBorders>
                  <w:noWrap w:val="0"/>
                  <w:vAlign w:val="center"/>
                </w:tcPr>
                <w:p w14:paraId="46448D3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color w:val="000000"/>
                      <w:sz w:val="21"/>
                      <w:szCs w:val="21"/>
                      <w:lang w:val="en-US" w:eastAsia="zh-CN"/>
                    </w:rPr>
                    <w:t>9</w:t>
                  </w:r>
                </w:p>
              </w:tc>
              <w:tc>
                <w:tcPr>
                  <w:tcW w:w="205" w:type="pct"/>
                  <w:vMerge w:val="continue"/>
                  <w:tcBorders>
                    <w:tl2br w:val="nil"/>
                    <w:tr2bl w:val="nil"/>
                  </w:tcBorders>
                  <w:noWrap w:val="0"/>
                  <w:vAlign w:val="center"/>
                </w:tcPr>
                <w:p w14:paraId="1AB5ACE0">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155C8C1D">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灭菌柜</w:t>
                  </w:r>
                </w:p>
              </w:tc>
              <w:tc>
                <w:tcPr>
                  <w:tcW w:w="255" w:type="pct"/>
                  <w:tcBorders>
                    <w:tl2br w:val="nil"/>
                    <w:tr2bl w:val="nil"/>
                  </w:tcBorders>
                  <w:noWrap w:val="0"/>
                  <w:vAlign w:val="center"/>
                </w:tcPr>
                <w:p w14:paraId="213DFE67">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w:t>
                  </w:r>
                </w:p>
              </w:tc>
              <w:tc>
                <w:tcPr>
                  <w:tcW w:w="282" w:type="pct"/>
                  <w:tcBorders>
                    <w:tl2br w:val="nil"/>
                    <w:tr2bl w:val="nil"/>
                  </w:tcBorders>
                  <w:noWrap w:val="0"/>
                  <w:vAlign w:val="center"/>
                </w:tcPr>
                <w:p w14:paraId="4FCE0B2F">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60</w:t>
                  </w:r>
                </w:p>
              </w:tc>
              <w:tc>
                <w:tcPr>
                  <w:tcW w:w="225" w:type="pct"/>
                  <w:vMerge w:val="continue"/>
                  <w:tcBorders>
                    <w:tl2br w:val="nil"/>
                    <w:tr2bl w:val="nil"/>
                  </w:tcBorders>
                  <w:noWrap w:val="0"/>
                  <w:vAlign w:val="center"/>
                </w:tcPr>
                <w:p w14:paraId="228092E9">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623B32D7">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10</w:t>
                  </w:r>
                </w:p>
              </w:tc>
              <w:tc>
                <w:tcPr>
                  <w:tcW w:w="324" w:type="pct"/>
                  <w:tcBorders>
                    <w:tl2br w:val="nil"/>
                    <w:tr2bl w:val="nil"/>
                  </w:tcBorders>
                  <w:noWrap w:val="0"/>
                  <w:vAlign w:val="center"/>
                </w:tcPr>
                <w:p w14:paraId="578B546A">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w:t>
                  </w:r>
                </w:p>
              </w:tc>
              <w:tc>
                <w:tcPr>
                  <w:tcW w:w="352" w:type="pct"/>
                  <w:tcBorders>
                    <w:tl2br w:val="nil"/>
                    <w:tr2bl w:val="nil"/>
                  </w:tcBorders>
                  <w:noWrap w:val="0"/>
                  <w:vAlign w:val="center"/>
                </w:tcPr>
                <w:p w14:paraId="608DFC0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3169968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w:t>
                  </w:r>
                </w:p>
              </w:tc>
              <w:tc>
                <w:tcPr>
                  <w:tcW w:w="393" w:type="pct"/>
                  <w:tcBorders>
                    <w:tl2br w:val="nil"/>
                    <w:tr2bl w:val="nil"/>
                  </w:tcBorders>
                  <w:noWrap w:val="0"/>
                  <w:vAlign w:val="center"/>
                </w:tcPr>
                <w:p w14:paraId="4285077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38.02</w:t>
                  </w:r>
                </w:p>
              </w:tc>
              <w:tc>
                <w:tcPr>
                  <w:tcW w:w="230" w:type="pct"/>
                  <w:vMerge w:val="continue"/>
                  <w:tcBorders>
                    <w:tl2br w:val="nil"/>
                    <w:tr2bl w:val="nil"/>
                  </w:tcBorders>
                  <w:noWrap w:val="0"/>
                  <w:vAlign w:val="center"/>
                </w:tcPr>
                <w:p w14:paraId="0AF28EE1">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474" w:type="pct"/>
                  <w:tcBorders>
                    <w:tl2br w:val="nil"/>
                    <w:tr2bl w:val="nil"/>
                  </w:tcBorders>
                  <w:noWrap w:val="0"/>
                  <w:vAlign w:val="center"/>
                </w:tcPr>
                <w:p w14:paraId="6F87BFB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lang w:val="en-US" w:eastAsia="zh-CN" w:bidi="ar-SA"/>
                    </w:rPr>
                  </w:pPr>
                  <w:r>
                    <w:rPr>
                      <w:rFonts w:hint="eastAsia"/>
                      <w:color w:val="000000"/>
                      <w:sz w:val="21"/>
                      <w:szCs w:val="21"/>
                      <w:lang w:val="en-US" w:eastAsia="zh-CN"/>
                    </w:rPr>
                    <w:t>20</w:t>
                  </w:r>
                </w:p>
              </w:tc>
              <w:tc>
                <w:tcPr>
                  <w:tcW w:w="399" w:type="pct"/>
                  <w:tcBorders>
                    <w:tl2br w:val="nil"/>
                    <w:tr2bl w:val="nil"/>
                  </w:tcBorders>
                  <w:noWrap w:val="0"/>
                  <w:vAlign w:val="center"/>
                </w:tcPr>
                <w:p w14:paraId="6AC1738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18.02</w:t>
                  </w:r>
                </w:p>
              </w:tc>
              <w:tc>
                <w:tcPr>
                  <w:tcW w:w="416" w:type="pct"/>
                  <w:tcBorders>
                    <w:tl2br w:val="nil"/>
                    <w:tr2bl w:val="nil"/>
                  </w:tcBorders>
                  <w:noWrap w:val="0"/>
                  <w:vAlign w:val="center"/>
                </w:tcPr>
                <w:p w14:paraId="4A7533C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color w:val="000000"/>
                      <w:sz w:val="21"/>
                      <w:szCs w:val="21"/>
                    </w:rPr>
                    <w:t>1</w:t>
                  </w:r>
                </w:p>
              </w:tc>
            </w:tr>
            <w:tr w14:paraId="08C86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54" w:type="pct"/>
                  <w:tcBorders>
                    <w:tl2br w:val="nil"/>
                    <w:tr2bl w:val="nil"/>
                  </w:tcBorders>
                  <w:noWrap w:val="0"/>
                  <w:vAlign w:val="center"/>
                </w:tcPr>
                <w:p w14:paraId="5A9316E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color w:val="000000"/>
                      <w:sz w:val="21"/>
                      <w:szCs w:val="21"/>
                      <w:lang w:val="en-US" w:eastAsia="zh-CN"/>
                    </w:rPr>
                    <w:t>10</w:t>
                  </w:r>
                </w:p>
              </w:tc>
              <w:tc>
                <w:tcPr>
                  <w:tcW w:w="205" w:type="pct"/>
                  <w:vMerge w:val="continue"/>
                  <w:tcBorders>
                    <w:tl2br w:val="nil"/>
                    <w:tr2bl w:val="nil"/>
                  </w:tcBorders>
                  <w:noWrap w:val="0"/>
                  <w:vAlign w:val="center"/>
                </w:tcPr>
                <w:p w14:paraId="2CEE3C9F">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575" w:type="pct"/>
                  <w:tcBorders>
                    <w:tl2br w:val="nil"/>
                    <w:tr2bl w:val="nil"/>
                  </w:tcBorders>
                  <w:noWrap w:val="0"/>
                  <w:vAlign w:val="center"/>
                </w:tcPr>
                <w:p w14:paraId="3F212F59">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挤塑机</w:t>
                  </w:r>
                </w:p>
              </w:tc>
              <w:tc>
                <w:tcPr>
                  <w:tcW w:w="255" w:type="pct"/>
                  <w:tcBorders>
                    <w:tl2br w:val="nil"/>
                    <w:tr2bl w:val="nil"/>
                  </w:tcBorders>
                  <w:noWrap w:val="0"/>
                  <w:vAlign w:val="center"/>
                </w:tcPr>
                <w:p w14:paraId="6A5B23E8">
                  <w:pPr>
                    <w:keepNext w:val="0"/>
                    <w:keepLines w:val="0"/>
                    <w:widowControl/>
                    <w:suppressLineNumbers w:val="0"/>
                    <w:jc w:val="center"/>
                    <w:textAlignment w:val="center"/>
                    <w:rPr>
                      <w:rFonts w:hint="default" w:ascii="Times New Roman" w:hAnsi="Times New Roman" w:cs="Times New Roman"/>
                      <w:color w:val="000000"/>
                      <w:kern w:val="2"/>
                      <w:sz w:val="21"/>
                      <w:szCs w:val="21"/>
                      <w:lang w:val="en-US" w:eastAsia="zh-CN" w:bidi="ar-SA"/>
                    </w:rPr>
                  </w:pPr>
                  <w:r>
                    <w:rPr>
                      <w:rFonts w:hint="eastAsia" w:ascii="Times New Roman" w:hAnsi="Times New Roman" w:cs="Times New Roman"/>
                      <w:color w:val="000000"/>
                      <w:kern w:val="2"/>
                      <w:sz w:val="21"/>
                      <w:szCs w:val="21"/>
                      <w:lang w:val="en-US" w:eastAsia="zh-CN" w:bidi="ar-SA"/>
                    </w:rPr>
                    <w:t>10</w:t>
                  </w:r>
                </w:p>
              </w:tc>
              <w:tc>
                <w:tcPr>
                  <w:tcW w:w="282" w:type="pct"/>
                  <w:tcBorders>
                    <w:tl2br w:val="nil"/>
                    <w:tr2bl w:val="nil"/>
                  </w:tcBorders>
                  <w:noWrap w:val="0"/>
                  <w:vAlign w:val="center"/>
                </w:tcPr>
                <w:p w14:paraId="3DE8A5E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80</w:t>
                  </w:r>
                </w:p>
              </w:tc>
              <w:tc>
                <w:tcPr>
                  <w:tcW w:w="225" w:type="pct"/>
                  <w:vMerge w:val="continue"/>
                  <w:tcBorders>
                    <w:tl2br w:val="nil"/>
                    <w:tr2bl w:val="nil"/>
                  </w:tcBorders>
                  <w:noWrap w:val="0"/>
                  <w:vAlign w:val="center"/>
                </w:tcPr>
                <w:p w14:paraId="2136B261">
                  <w:pPr>
                    <w:keepNext w:val="0"/>
                    <w:keepLines w:val="0"/>
                    <w:pageBreakBefore w:val="0"/>
                    <w:widowControl/>
                    <w:kinsoku/>
                    <w:wordWrap/>
                    <w:overflowPunct/>
                    <w:topLinePunct w:val="0"/>
                    <w:autoSpaceDE/>
                    <w:autoSpaceDN/>
                    <w:bidi w:val="0"/>
                    <w:adjustRightInd w:val="0"/>
                    <w:snapToGrid w:val="0"/>
                    <w:ind w:firstLine="0"/>
                    <w:jc w:val="center"/>
                    <w:textAlignment w:val="auto"/>
                    <w:rPr>
                      <w:color w:val="000000"/>
                      <w:sz w:val="21"/>
                      <w:szCs w:val="21"/>
                      <w:highlight w:val="yellow"/>
                    </w:rPr>
                  </w:pPr>
                </w:p>
              </w:tc>
              <w:tc>
                <w:tcPr>
                  <w:tcW w:w="308" w:type="pct"/>
                  <w:tcBorders>
                    <w:tl2br w:val="nil"/>
                    <w:tr2bl w:val="nil"/>
                  </w:tcBorders>
                  <w:noWrap w:val="0"/>
                  <w:vAlign w:val="center"/>
                </w:tcPr>
                <w:p w14:paraId="61E2E40E">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22</w:t>
                  </w:r>
                </w:p>
              </w:tc>
              <w:tc>
                <w:tcPr>
                  <w:tcW w:w="324" w:type="pct"/>
                  <w:tcBorders>
                    <w:tl2br w:val="nil"/>
                    <w:tr2bl w:val="nil"/>
                  </w:tcBorders>
                  <w:noWrap w:val="0"/>
                  <w:vAlign w:val="center"/>
                </w:tcPr>
                <w:p w14:paraId="2DFB848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52" w:type="pct"/>
                  <w:tcBorders>
                    <w:tl2br w:val="nil"/>
                    <w:tr2bl w:val="nil"/>
                  </w:tcBorders>
                  <w:noWrap w:val="0"/>
                  <w:vAlign w:val="center"/>
                </w:tcPr>
                <w:p w14:paraId="162FEBE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eastAsia="宋体"/>
                      <w:color w:val="000000"/>
                      <w:kern w:val="2"/>
                      <w:sz w:val="21"/>
                      <w:szCs w:val="21"/>
                      <w:lang w:val="en-US" w:eastAsia="zh-CN" w:bidi="ar-SA"/>
                    </w:rPr>
                    <w:t>1</w:t>
                  </w:r>
                </w:p>
              </w:tc>
              <w:tc>
                <w:tcPr>
                  <w:tcW w:w="402" w:type="pct"/>
                  <w:tcBorders>
                    <w:tl2br w:val="nil"/>
                    <w:tr2bl w:val="nil"/>
                  </w:tcBorders>
                  <w:noWrap w:val="0"/>
                  <w:vAlign w:val="center"/>
                </w:tcPr>
                <w:p w14:paraId="7A903B08">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w:t>
                  </w:r>
                </w:p>
              </w:tc>
              <w:tc>
                <w:tcPr>
                  <w:tcW w:w="393" w:type="pct"/>
                  <w:tcBorders>
                    <w:tl2br w:val="nil"/>
                    <w:tr2bl w:val="nil"/>
                  </w:tcBorders>
                  <w:noWrap w:val="0"/>
                  <w:vAlign w:val="center"/>
                </w:tcPr>
                <w:p w14:paraId="2FF1C3D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新宋体"/>
                      <w:color w:val="000000"/>
                      <w:sz w:val="21"/>
                      <w:szCs w:val="21"/>
                      <w:highlight w:val="none"/>
                      <w:lang w:val="en-US" w:eastAsia="zh-CN"/>
                    </w:rPr>
                  </w:pPr>
                  <w:r>
                    <w:rPr>
                      <w:rFonts w:hint="eastAsia" w:eastAsia="新宋体"/>
                      <w:color w:val="000000"/>
                      <w:sz w:val="21"/>
                      <w:szCs w:val="21"/>
                      <w:highlight w:val="none"/>
                      <w:lang w:val="en-US" w:eastAsia="zh-CN"/>
                    </w:rPr>
                    <w:t>75.98</w:t>
                  </w:r>
                </w:p>
              </w:tc>
              <w:tc>
                <w:tcPr>
                  <w:tcW w:w="230" w:type="pct"/>
                  <w:vMerge w:val="continue"/>
                  <w:tcBorders>
                    <w:tl2br w:val="nil"/>
                    <w:tr2bl w:val="nil"/>
                  </w:tcBorders>
                  <w:noWrap w:val="0"/>
                  <w:vAlign w:val="center"/>
                </w:tcPr>
                <w:p w14:paraId="4DAAC785">
                  <w:pPr>
                    <w:keepNext w:val="0"/>
                    <w:keepLines w:val="0"/>
                    <w:pageBreakBefore w:val="0"/>
                    <w:kinsoku/>
                    <w:wordWrap/>
                    <w:overflowPunct/>
                    <w:topLinePunct w:val="0"/>
                    <w:autoSpaceDE/>
                    <w:autoSpaceDN/>
                    <w:bidi w:val="0"/>
                    <w:adjustRightInd w:val="0"/>
                    <w:snapToGrid w:val="0"/>
                    <w:ind w:firstLine="0"/>
                    <w:jc w:val="center"/>
                    <w:textAlignment w:val="auto"/>
                    <w:rPr>
                      <w:rFonts w:hint="eastAsia"/>
                      <w:color w:val="000000"/>
                      <w:sz w:val="21"/>
                      <w:szCs w:val="21"/>
                    </w:rPr>
                  </w:pPr>
                </w:p>
              </w:tc>
              <w:tc>
                <w:tcPr>
                  <w:tcW w:w="474" w:type="pct"/>
                  <w:tcBorders>
                    <w:tl2br w:val="nil"/>
                    <w:tr2bl w:val="nil"/>
                  </w:tcBorders>
                  <w:noWrap w:val="0"/>
                  <w:vAlign w:val="center"/>
                </w:tcPr>
                <w:p w14:paraId="07AB054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lang w:val="en-US" w:eastAsia="zh-CN" w:bidi="ar-SA"/>
                    </w:rPr>
                  </w:pPr>
                  <w:r>
                    <w:rPr>
                      <w:rFonts w:hint="eastAsia"/>
                      <w:color w:val="000000"/>
                      <w:sz w:val="21"/>
                      <w:szCs w:val="21"/>
                      <w:lang w:val="en-US" w:eastAsia="zh-CN"/>
                    </w:rPr>
                    <w:t>20</w:t>
                  </w:r>
                </w:p>
              </w:tc>
              <w:tc>
                <w:tcPr>
                  <w:tcW w:w="399" w:type="pct"/>
                  <w:tcBorders>
                    <w:tl2br w:val="nil"/>
                    <w:tr2bl w:val="nil"/>
                  </w:tcBorders>
                  <w:noWrap w:val="0"/>
                  <w:vAlign w:val="center"/>
                </w:tcPr>
                <w:p w14:paraId="7CE9449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55.98</w:t>
                  </w:r>
                </w:p>
              </w:tc>
              <w:tc>
                <w:tcPr>
                  <w:tcW w:w="416" w:type="pct"/>
                  <w:tcBorders>
                    <w:tl2br w:val="nil"/>
                    <w:tr2bl w:val="nil"/>
                  </w:tcBorders>
                  <w:noWrap w:val="0"/>
                  <w:vAlign w:val="center"/>
                </w:tcPr>
                <w:p w14:paraId="2A9AEC5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color w:val="000000"/>
                      <w:sz w:val="21"/>
                      <w:szCs w:val="21"/>
                    </w:rPr>
                    <w:t>1</w:t>
                  </w:r>
                </w:p>
              </w:tc>
            </w:tr>
          </w:tbl>
          <w:p w14:paraId="7CFC58B9">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left"/>
              <w:textAlignment w:val="auto"/>
              <w:rPr>
                <w:rFonts w:hint="eastAsia"/>
                <w:b/>
                <w:bCs w:val="0"/>
                <w:color w:val="000000"/>
                <w:sz w:val="24"/>
              </w:rPr>
            </w:pPr>
            <w:r>
              <w:rPr>
                <w:rFonts w:hint="eastAsia"/>
                <w:b/>
                <w:bCs w:val="0"/>
                <w:color w:val="000000"/>
              </w:rPr>
              <w:t>注：</w:t>
            </w:r>
            <w:r>
              <w:rPr>
                <w:b/>
                <w:bCs w:val="0"/>
                <w:color w:val="000000"/>
              </w:rPr>
              <w:t>*</w:t>
            </w:r>
            <w:r>
              <w:rPr>
                <w:rFonts w:hint="eastAsia"/>
                <w:b/>
                <w:bCs w:val="0"/>
                <w:color w:val="000000"/>
              </w:rPr>
              <w:t>本项目</w:t>
            </w:r>
            <w:r>
              <w:rPr>
                <w:rFonts w:hint="eastAsia"/>
                <w:b/>
                <w:bCs w:val="0"/>
                <w:color w:val="000000"/>
                <w:lang w:val="en-US" w:eastAsia="zh-CN"/>
              </w:rPr>
              <w:t>以车间西南角</w:t>
            </w:r>
            <w:r>
              <w:rPr>
                <w:rFonts w:hint="eastAsia"/>
                <w:b/>
                <w:bCs w:val="0"/>
                <w:color w:val="000000"/>
              </w:rPr>
              <w:t>为坐标原点；</w:t>
            </w:r>
            <w:r>
              <w:rPr>
                <w:b/>
                <w:bCs w:val="0"/>
                <w:color w:val="000000"/>
              </w:rPr>
              <w:t>**</w:t>
            </w:r>
            <w:r>
              <w:rPr>
                <w:rFonts w:hint="eastAsia"/>
                <w:b/>
                <w:bCs w:val="0"/>
                <w:color w:val="000000"/>
              </w:rPr>
              <w:t>为距室内最近边界距离；</w:t>
            </w:r>
            <w:r>
              <w:rPr>
                <w:b/>
                <w:bCs w:val="0"/>
                <w:color w:val="000000"/>
              </w:rPr>
              <w:t>***</w:t>
            </w:r>
            <w:r>
              <w:rPr>
                <w:rFonts w:hint="eastAsia"/>
                <w:b/>
                <w:bCs w:val="0"/>
                <w:color w:val="000000"/>
              </w:rPr>
              <w:t>建筑物外最近距离。</w:t>
            </w:r>
          </w:p>
          <w:p w14:paraId="4757209D">
            <w:pPr>
              <w:pStyle w:val="19"/>
              <w:adjustRightInd w:val="0"/>
              <w:snapToGrid w:val="0"/>
              <w:spacing w:before="0" w:beforeAutospacing="0" w:after="0" w:afterAutospacing="0"/>
              <w:jc w:val="both"/>
              <w:rPr>
                <w:rFonts w:hint="eastAsia" w:cs="宋体"/>
                <w:b/>
                <w:color w:val="auto"/>
                <w:kern w:val="2"/>
                <w:sz w:val="21"/>
                <w:szCs w:val="21"/>
                <w:vertAlign w:val="baseline"/>
              </w:rPr>
            </w:pPr>
          </w:p>
          <w:p w14:paraId="6EB72906">
            <w:pPr>
              <w:pStyle w:val="19"/>
              <w:adjustRightInd w:val="0"/>
              <w:snapToGrid w:val="0"/>
              <w:spacing w:before="0" w:beforeAutospacing="0" w:after="0" w:afterAutospacing="0"/>
              <w:jc w:val="both"/>
              <w:rPr>
                <w:rFonts w:hint="eastAsia" w:cs="宋体"/>
                <w:b/>
                <w:color w:val="auto"/>
                <w:kern w:val="2"/>
                <w:sz w:val="21"/>
                <w:szCs w:val="21"/>
                <w:vertAlign w:val="baseline"/>
              </w:rPr>
            </w:pPr>
          </w:p>
        </w:tc>
      </w:tr>
    </w:tbl>
    <w:p w14:paraId="170943B8">
      <w:pPr>
        <w:tabs>
          <w:tab w:val="left" w:pos="1229"/>
        </w:tabs>
        <w:rPr>
          <w:rFonts w:hint="eastAsia" w:eastAsia="宋体"/>
          <w:lang w:eastAsia="zh-CN"/>
        </w:rPr>
        <w:sectPr>
          <w:pgSz w:w="16838" w:h="11906" w:orient="landscape"/>
          <w:pgMar w:top="1800" w:right="1440" w:bottom="1800" w:left="1440" w:header="851" w:footer="992" w:gutter="0"/>
          <w:pgNumType w:fmt="decimal"/>
          <w:cols w:space="425" w:num="1"/>
          <w:docGrid w:type="lines" w:linePitch="312" w:charSpace="0"/>
        </w:sectPr>
      </w:pP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7A885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3089" w:hRule="atLeast"/>
          <w:jc w:val="center"/>
        </w:trPr>
        <w:tc>
          <w:tcPr>
            <w:tcW w:w="458" w:type="dxa"/>
            <w:noWrap w:val="0"/>
            <w:tcMar>
              <w:left w:w="28" w:type="dxa"/>
              <w:right w:w="28" w:type="dxa"/>
            </w:tcMar>
            <w:vAlign w:val="center"/>
          </w:tcPr>
          <w:p w14:paraId="30CF0821">
            <w:pPr>
              <w:pStyle w:val="19"/>
              <w:adjustRightInd w:val="0"/>
              <w:snapToGrid w:val="0"/>
              <w:spacing w:before="0" w:beforeAutospacing="0" w:after="0" w:afterAutospacing="0"/>
              <w:jc w:val="center"/>
              <w:rPr>
                <w:rFonts w:hint="eastAsia" w:cs="宋体"/>
                <w:b/>
                <w:color w:val="auto"/>
                <w:kern w:val="2"/>
                <w:sz w:val="21"/>
                <w:szCs w:val="21"/>
              </w:rPr>
            </w:pPr>
          </w:p>
        </w:tc>
        <w:tc>
          <w:tcPr>
            <w:tcW w:w="8450" w:type="dxa"/>
            <w:noWrap w:val="0"/>
            <w:vAlign w:val="center"/>
          </w:tcPr>
          <w:p w14:paraId="3C16E419">
            <w:pPr>
              <w:keepNext w:val="0"/>
              <w:keepLines w:val="0"/>
              <w:pageBreakBefore w:val="0"/>
              <w:widowControl w:val="0"/>
              <w:kinsoku/>
              <w:wordWrap/>
              <w:overflowPunct/>
              <w:topLinePunct w:val="0"/>
              <w:autoSpaceDE/>
              <w:autoSpaceDN/>
              <w:bidi w:val="0"/>
              <w:adjustRightInd/>
              <w:snapToGrid w:val="0"/>
              <w:ind w:firstLine="0"/>
              <w:jc w:val="center"/>
              <w:textAlignment w:val="auto"/>
              <w:rPr>
                <w:b/>
                <w:bCs/>
                <w:color w:val="000000"/>
                <w:sz w:val="24"/>
              </w:rPr>
            </w:pPr>
            <w:r>
              <w:rPr>
                <w:rFonts w:hint="eastAsia"/>
                <w:b/>
                <w:bCs/>
                <w:color w:val="000000"/>
                <w:sz w:val="21"/>
                <w:szCs w:val="21"/>
              </w:rPr>
              <w:t>表</w:t>
            </w:r>
            <w:r>
              <w:rPr>
                <w:b/>
                <w:bCs/>
                <w:color w:val="000000"/>
                <w:sz w:val="21"/>
                <w:szCs w:val="21"/>
              </w:rPr>
              <w:t>4-1</w:t>
            </w:r>
            <w:r>
              <w:rPr>
                <w:rFonts w:hint="eastAsia"/>
                <w:b/>
                <w:bCs/>
                <w:color w:val="000000"/>
                <w:sz w:val="21"/>
                <w:szCs w:val="21"/>
                <w:lang w:val="en-US" w:eastAsia="zh-CN"/>
              </w:rPr>
              <w:t>7</w:t>
            </w:r>
            <w:r>
              <w:rPr>
                <w:rFonts w:hint="eastAsia"/>
                <w:b/>
                <w:bCs/>
                <w:color w:val="000000"/>
                <w:sz w:val="21"/>
                <w:szCs w:val="21"/>
              </w:rPr>
              <w:t xml:space="preserve"> 工业企业噪声源强调查清单（室外声源）</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4"/>
              <w:gridCol w:w="1210"/>
              <w:gridCol w:w="1180"/>
              <w:gridCol w:w="612"/>
              <w:gridCol w:w="614"/>
              <w:gridCol w:w="622"/>
              <w:gridCol w:w="1108"/>
              <w:gridCol w:w="1321"/>
              <w:gridCol w:w="1169"/>
            </w:tblGrid>
            <w:tr w14:paraId="77C94B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9" w:type="pct"/>
                  <w:vMerge w:val="restart"/>
                  <w:tcBorders>
                    <w:tl2br w:val="nil"/>
                    <w:tr2bl w:val="nil"/>
                  </w:tcBorders>
                  <w:noWrap w:val="0"/>
                  <w:vAlign w:val="center"/>
                </w:tcPr>
                <w:p w14:paraId="1F6D028E">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序号</w:t>
                  </w:r>
                </w:p>
              </w:tc>
              <w:tc>
                <w:tcPr>
                  <w:tcW w:w="735" w:type="pct"/>
                  <w:vMerge w:val="restart"/>
                  <w:tcBorders>
                    <w:tl2br w:val="nil"/>
                    <w:tr2bl w:val="nil"/>
                  </w:tcBorders>
                  <w:noWrap w:val="0"/>
                  <w:vAlign w:val="center"/>
                </w:tcPr>
                <w:p w14:paraId="4DADE161">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声源名称</w:t>
                  </w:r>
                </w:p>
              </w:tc>
              <w:tc>
                <w:tcPr>
                  <w:tcW w:w="716" w:type="pct"/>
                  <w:vMerge w:val="restart"/>
                  <w:tcBorders>
                    <w:tl2br w:val="nil"/>
                    <w:tr2bl w:val="nil"/>
                  </w:tcBorders>
                  <w:noWrap w:val="0"/>
                  <w:vAlign w:val="center"/>
                </w:tcPr>
                <w:p w14:paraId="69313F5F">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型号</w:t>
                  </w:r>
                </w:p>
              </w:tc>
              <w:tc>
                <w:tcPr>
                  <w:tcW w:w="1122" w:type="pct"/>
                  <w:gridSpan w:val="3"/>
                  <w:tcBorders>
                    <w:tl2br w:val="nil"/>
                    <w:tr2bl w:val="nil"/>
                  </w:tcBorders>
                  <w:noWrap w:val="0"/>
                  <w:vAlign w:val="center"/>
                </w:tcPr>
                <w:p w14:paraId="2D63DB35">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空间相对位置*</w:t>
                  </w:r>
                </w:p>
              </w:tc>
              <w:tc>
                <w:tcPr>
                  <w:tcW w:w="673" w:type="pct"/>
                  <w:vMerge w:val="restart"/>
                  <w:tcBorders>
                    <w:tl2br w:val="nil"/>
                    <w:tr2bl w:val="nil"/>
                  </w:tcBorders>
                  <w:noWrap w:val="0"/>
                  <w:vAlign w:val="center"/>
                </w:tcPr>
                <w:p w14:paraId="30F15716">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声压级/距声源距离/dB（A）/m</w:t>
                  </w:r>
                </w:p>
              </w:tc>
              <w:tc>
                <w:tcPr>
                  <w:tcW w:w="802" w:type="pct"/>
                  <w:vMerge w:val="restart"/>
                  <w:tcBorders>
                    <w:tl2br w:val="nil"/>
                    <w:tr2bl w:val="nil"/>
                  </w:tcBorders>
                  <w:noWrap w:val="0"/>
                  <w:vAlign w:val="center"/>
                </w:tcPr>
                <w:p w14:paraId="1EF2D8A1">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声源控制措施</w:t>
                  </w:r>
                </w:p>
              </w:tc>
              <w:tc>
                <w:tcPr>
                  <w:tcW w:w="710" w:type="pct"/>
                  <w:vMerge w:val="restart"/>
                  <w:tcBorders>
                    <w:tl2br w:val="nil"/>
                    <w:tr2bl w:val="nil"/>
                  </w:tcBorders>
                  <w:noWrap w:val="0"/>
                  <w:vAlign w:val="center"/>
                </w:tcPr>
                <w:p w14:paraId="6874AB97">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运行时段</w:t>
                  </w:r>
                </w:p>
              </w:tc>
            </w:tr>
            <w:tr w14:paraId="11516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9" w:type="pct"/>
                  <w:vMerge w:val="continue"/>
                  <w:tcBorders>
                    <w:tl2br w:val="nil"/>
                    <w:tr2bl w:val="nil"/>
                  </w:tcBorders>
                  <w:noWrap w:val="0"/>
                  <w:vAlign w:val="center"/>
                </w:tcPr>
                <w:p w14:paraId="04143C2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000000"/>
                      <w:sz w:val="21"/>
                      <w:szCs w:val="21"/>
                    </w:rPr>
                  </w:pPr>
                </w:p>
              </w:tc>
              <w:tc>
                <w:tcPr>
                  <w:tcW w:w="735" w:type="pct"/>
                  <w:vMerge w:val="continue"/>
                  <w:tcBorders>
                    <w:tl2br w:val="nil"/>
                    <w:tr2bl w:val="nil"/>
                  </w:tcBorders>
                  <w:noWrap w:val="0"/>
                  <w:vAlign w:val="center"/>
                </w:tcPr>
                <w:p w14:paraId="4AEE45C5">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000000"/>
                      <w:sz w:val="21"/>
                      <w:szCs w:val="21"/>
                    </w:rPr>
                  </w:pPr>
                </w:p>
              </w:tc>
              <w:tc>
                <w:tcPr>
                  <w:tcW w:w="716" w:type="pct"/>
                  <w:vMerge w:val="continue"/>
                  <w:tcBorders>
                    <w:tl2br w:val="nil"/>
                    <w:tr2bl w:val="nil"/>
                  </w:tcBorders>
                  <w:noWrap w:val="0"/>
                  <w:vAlign w:val="center"/>
                </w:tcPr>
                <w:p w14:paraId="681BBD8A">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000000"/>
                      <w:sz w:val="21"/>
                      <w:szCs w:val="21"/>
                    </w:rPr>
                  </w:pPr>
                </w:p>
              </w:tc>
              <w:tc>
                <w:tcPr>
                  <w:tcW w:w="371" w:type="pct"/>
                  <w:tcBorders>
                    <w:tl2br w:val="nil"/>
                    <w:tr2bl w:val="nil"/>
                  </w:tcBorders>
                  <w:noWrap w:val="0"/>
                  <w:vAlign w:val="center"/>
                </w:tcPr>
                <w:p w14:paraId="22FFD6AF">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X</w:t>
                  </w:r>
                </w:p>
              </w:tc>
              <w:tc>
                <w:tcPr>
                  <w:tcW w:w="373" w:type="pct"/>
                  <w:tcBorders>
                    <w:tl2br w:val="nil"/>
                    <w:tr2bl w:val="nil"/>
                  </w:tcBorders>
                  <w:noWrap w:val="0"/>
                  <w:vAlign w:val="center"/>
                </w:tcPr>
                <w:p w14:paraId="71EA2D0A">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Y</w:t>
                  </w:r>
                </w:p>
              </w:tc>
              <w:tc>
                <w:tcPr>
                  <w:tcW w:w="377" w:type="pct"/>
                  <w:tcBorders>
                    <w:tl2br w:val="nil"/>
                    <w:tr2bl w:val="nil"/>
                  </w:tcBorders>
                  <w:noWrap w:val="0"/>
                  <w:vAlign w:val="center"/>
                </w:tcPr>
                <w:p w14:paraId="259D3797">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Z</w:t>
                  </w:r>
                </w:p>
              </w:tc>
              <w:tc>
                <w:tcPr>
                  <w:tcW w:w="673" w:type="pct"/>
                  <w:vMerge w:val="continue"/>
                  <w:tcBorders>
                    <w:tl2br w:val="nil"/>
                    <w:tr2bl w:val="nil"/>
                  </w:tcBorders>
                  <w:noWrap w:val="0"/>
                  <w:vAlign w:val="center"/>
                </w:tcPr>
                <w:p w14:paraId="2D233FE4">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000000"/>
                      <w:sz w:val="21"/>
                      <w:szCs w:val="21"/>
                    </w:rPr>
                  </w:pPr>
                </w:p>
              </w:tc>
              <w:tc>
                <w:tcPr>
                  <w:tcW w:w="802" w:type="pct"/>
                  <w:vMerge w:val="continue"/>
                  <w:tcBorders>
                    <w:tl2br w:val="nil"/>
                    <w:tr2bl w:val="nil"/>
                  </w:tcBorders>
                  <w:noWrap w:val="0"/>
                  <w:vAlign w:val="center"/>
                </w:tcPr>
                <w:p w14:paraId="02B8FDE3">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000000"/>
                      <w:sz w:val="21"/>
                      <w:szCs w:val="21"/>
                    </w:rPr>
                  </w:pPr>
                </w:p>
              </w:tc>
              <w:tc>
                <w:tcPr>
                  <w:tcW w:w="710" w:type="pct"/>
                  <w:vMerge w:val="continue"/>
                  <w:tcBorders>
                    <w:tl2br w:val="nil"/>
                    <w:tr2bl w:val="nil"/>
                  </w:tcBorders>
                  <w:noWrap w:val="0"/>
                  <w:vAlign w:val="center"/>
                </w:tcPr>
                <w:p w14:paraId="5DE85A3A">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Cs/>
                      <w:color w:val="000000"/>
                      <w:sz w:val="21"/>
                      <w:szCs w:val="21"/>
                    </w:rPr>
                  </w:pPr>
                </w:p>
              </w:tc>
            </w:tr>
            <w:tr w14:paraId="47995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9" w:type="pct"/>
                  <w:tcBorders>
                    <w:tl2br w:val="nil"/>
                    <w:tr2bl w:val="nil"/>
                  </w:tcBorders>
                  <w:noWrap w:val="0"/>
                  <w:vAlign w:val="center"/>
                </w:tcPr>
                <w:p w14:paraId="4DB320B4">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sz w:val="21"/>
                      <w:szCs w:val="21"/>
                      <w:lang w:val="en-US" w:eastAsia="zh-CN"/>
                    </w:rPr>
                    <w:t>1</w:t>
                  </w:r>
                </w:p>
              </w:tc>
              <w:tc>
                <w:tcPr>
                  <w:tcW w:w="735" w:type="pct"/>
                  <w:tcBorders>
                    <w:tl2br w:val="nil"/>
                    <w:tr2bl w:val="nil"/>
                  </w:tcBorders>
                  <w:noWrap w:val="0"/>
                  <w:vAlign w:val="center"/>
                </w:tcPr>
                <w:p w14:paraId="3796E7FE">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风机</w:t>
                  </w:r>
                </w:p>
              </w:tc>
              <w:tc>
                <w:tcPr>
                  <w:tcW w:w="716" w:type="pct"/>
                  <w:tcBorders>
                    <w:tl2br w:val="nil"/>
                    <w:tr2bl w:val="nil"/>
                  </w:tcBorders>
                  <w:noWrap w:val="0"/>
                  <w:vAlign w:val="center"/>
                </w:tcPr>
                <w:p w14:paraId="5085AAC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spacing w:val="6"/>
                      <w:kern w:val="2"/>
                      <w:sz w:val="21"/>
                      <w:szCs w:val="21"/>
                      <w:highlight w:val="none"/>
                      <w:lang w:val="en-US" w:eastAsia="zh-CN" w:bidi="ar-SA"/>
                    </w:rPr>
                  </w:pPr>
                  <w:r>
                    <w:rPr>
                      <w:rFonts w:hint="eastAsia" w:ascii="Times New Roman" w:hAnsi="Times New Roman" w:eastAsia="宋体" w:cs="Times New Roman"/>
                      <w:color w:val="000000"/>
                      <w:spacing w:val="6"/>
                      <w:sz w:val="21"/>
                      <w:szCs w:val="21"/>
                      <w:highlight w:val="none"/>
                      <w:lang w:val="en-US" w:eastAsia="zh-CN"/>
                    </w:rPr>
                    <w:t>风量8000</w:t>
                  </w:r>
                  <w:r>
                    <w:rPr>
                      <w:rFonts w:hint="default" w:ascii="Times New Roman" w:hAnsi="Times New Roman" w:eastAsia="宋体" w:cs="Times New Roman"/>
                      <w:color w:val="000000"/>
                      <w:spacing w:val="6"/>
                      <w:sz w:val="21"/>
                      <w:szCs w:val="21"/>
                      <w:highlight w:val="none"/>
                    </w:rPr>
                    <w:t>m</w:t>
                  </w:r>
                  <w:r>
                    <w:rPr>
                      <w:rFonts w:hint="default" w:ascii="Times New Roman" w:hAnsi="Times New Roman" w:eastAsia="宋体" w:cs="Times New Roman"/>
                      <w:color w:val="000000"/>
                      <w:spacing w:val="6"/>
                      <w:sz w:val="21"/>
                      <w:szCs w:val="21"/>
                      <w:highlight w:val="none"/>
                      <w:vertAlign w:val="superscript"/>
                    </w:rPr>
                    <w:t>3</w:t>
                  </w:r>
                  <w:r>
                    <w:rPr>
                      <w:rFonts w:hint="default" w:ascii="Times New Roman" w:hAnsi="Times New Roman" w:eastAsia="宋体" w:cs="Times New Roman"/>
                      <w:color w:val="000000"/>
                      <w:spacing w:val="6"/>
                      <w:sz w:val="21"/>
                      <w:szCs w:val="21"/>
                      <w:highlight w:val="none"/>
                    </w:rPr>
                    <w:t>/h</w:t>
                  </w:r>
                </w:p>
              </w:tc>
              <w:tc>
                <w:tcPr>
                  <w:tcW w:w="371" w:type="pct"/>
                  <w:tcBorders>
                    <w:tl2br w:val="nil"/>
                    <w:tr2bl w:val="nil"/>
                  </w:tcBorders>
                  <w:noWrap w:val="0"/>
                  <w:vAlign w:val="center"/>
                </w:tcPr>
                <w:p w14:paraId="188B5F29">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50</w:t>
                  </w:r>
                </w:p>
              </w:tc>
              <w:tc>
                <w:tcPr>
                  <w:tcW w:w="373" w:type="pct"/>
                  <w:tcBorders>
                    <w:tl2br w:val="nil"/>
                    <w:tr2bl w:val="nil"/>
                  </w:tcBorders>
                  <w:noWrap w:val="0"/>
                  <w:vAlign w:val="center"/>
                </w:tcPr>
                <w:p w14:paraId="2ED2CFCB">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2</w:t>
                  </w:r>
                </w:p>
              </w:tc>
              <w:tc>
                <w:tcPr>
                  <w:tcW w:w="377" w:type="pct"/>
                  <w:tcBorders>
                    <w:tl2br w:val="nil"/>
                    <w:tr2bl w:val="nil"/>
                  </w:tcBorders>
                  <w:noWrap w:val="0"/>
                  <w:vAlign w:val="center"/>
                </w:tcPr>
                <w:p w14:paraId="4A2EBEFC">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5</w:t>
                  </w:r>
                </w:p>
              </w:tc>
              <w:tc>
                <w:tcPr>
                  <w:tcW w:w="673" w:type="pct"/>
                  <w:tcBorders>
                    <w:tl2br w:val="nil"/>
                    <w:tr2bl w:val="nil"/>
                  </w:tcBorders>
                  <w:noWrap w:val="0"/>
                  <w:vAlign w:val="center"/>
                </w:tcPr>
                <w:p w14:paraId="013934A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85</w:t>
                  </w:r>
                </w:p>
              </w:tc>
              <w:tc>
                <w:tcPr>
                  <w:tcW w:w="802" w:type="pct"/>
                  <w:vMerge w:val="restart"/>
                  <w:tcBorders>
                    <w:tl2br w:val="nil"/>
                    <w:tr2bl w:val="nil"/>
                  </w:tcBorders>
                  <w:noWrap w:val="0"/>
                  <w:vAlign w:val="center"/>
                </w:tcPr>
                <w:p w14:paraId="62911913">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选用低噪声设备、距离衰减、消声减振</w:t>
                  </w:r>
                </w:p>
              </w:tc>
              <w:tc>
                <w:tcPr>
                  <w:tcW w:w="710" w:type="pct"/>
                  <w:vMerge w:val="restart"/>
                  <w:tcBorders>
                    <w:tl2br w:val="nil"/>
                    <w:tr2bl w:val="nil"/>
                  </w:tcBorders>
                  <w:noWrap w:val="0"/>
                  <w:vAlign w:val="center"/>
                </w:tcPr>
                <w:p w14:paraId="6C4BCF52">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000000"/>
                      <w:sz w:val="21"/>
                      <w:szCs w:val="21"/>
                      <w:lang w:val="en-US" w:eastAsia="zh-CN"/>
                    </w:rPr>
                  </w:pPr>
                  <w:r>
                    <w:rPr>
                      <w:rFonts w:hint="eastAsia" w:ascii="Times New Roman" w:hAnsi="Times New Roman" w:eastAsia="宋体" w:cs="Times New Roman"/>
                      <w:b w:val="0"/>
                      <w:bCs/>
                      <w:color w:val="000000"/>
                      <w:sz w:val="21"/>
                      <w:szCs w:val="21"/>
                      <w:lang w:val="en-US" w:eastAsia="zh-CN"/>
                    </w:rPr>
                    <w:t>7:00~11:00，13:00~17:00</w:t>
                  </w:r>
                </w:p>
              </w:tc>
            </w:tr>
            <w:tr w14:paraId="0635E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9" w:type="pct"/>
                  <w:tcBorders>
                    <w:tl2br w:val="nil"/>
                    <w:tr2bl w:val="nil"/>
                  </w:tcBorders>
                  <w:noWrap w:val="0"/>
                  <w:vAlign w:val="center"/>
                </w:tcPr>
                <w:p w14:paraId="1C5DDD9F">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2</w:t>
                  </w:r>
                </w:p>
              </w:tc>
              <w:tc>
                <w:tcPr>
                  <w:tcW w:w="735" w:type="pct"/>
                  <w:tcBorders>
                    <w:tl2br w:val="nil"/>
                    <w:tr2bl w:val="nil"/>
                  </w:tcBorders>
                  <w:noWrap w:val="0"/>
                  <w:vAlign w:val="center"/>
                </w:tcPr>
                <w:p w14:paraId="186064D8">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风机</w:t>
                  </w:r>
                </w:p>
              </w:tc>
              <w:tc>
                <w:tcPr>
                  <w:tcW w:w="716" w:type="pct"/>
                  <w:tcBorders>
                    <w:tl2br w:val="nil"/>
                    <w:tr2bl w:val="nil"/>
                  </w:tcBorders>
                  <w:noWrap w:val="0"/>
                  <w:vAlign w:val="center"/>
                </w:tcPr>
                <w:p w14:paraId="6F4933DF">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pacing w:val="6"/>
                      <w:sz w:val="21"/>
                      <w:szCs w:val="21"/>
                      <w:highlight w:val="none"/>
                    </w:rPr>
                    <w:t>风量</w:t>
                  </w:r>
                  <w:r>
                    <w:rPr>
                      <w:rFonts w:hint="eastAsia" w:ascii="Times New Roman" w:hAnsi="Times New Roman" w:eastAsia="宋体" w:cs="Times New Roman"/>
                      <w:color w:val="000000"/>
                      <w:spacing w:val="6"/>
                      <w:sz w:val="21"/>
                      <w:szCs w:val="21"/>
                      <w:highlight w:val="none"/>
                      <w:lang w:val="en-US" w:eastAsia="zh-CN"/>
                    </w:rPr>
                    <w:t>25000</w:t>
                  </w:r>
                  <w:r>
                    <w:rPr>
                      <w:rFonts w:hint="default" w:ascii="Times New Roman" w:hAnsi="Times New Roman" w:eastAsia="宋体" w:cs="Times New Roman"/>
                      <w:color w:val="000000"/>
                      <w:spacing w:val="6"/>
                      <w:sz w:val="21"/>
                      <w:szCs w:val="21"/>
                      <w:highlight w:val="none"/>
                    </w:rPr>
                    <w:t>m</w:t>
                  </w:r>
                  <w:r>
                    <w:rPr>
                      <w:rFonts w:hint="default" w:ascii="Times New Roman" w:hAnsi="Times New Roman" w:eastAsia="宋体" w:cs="Times New Roman"/>
                      <w:color w:val="000000"/>
                      <w:spacing w:val="6"/>
                      <w:sz w:val="21"/>
                      <w:szCs w:val="21"/>
                      <w:highlight w:val="none"/>
                      <w:vertAlign w:val="superscript"/>
                    </w:rPr>
                    <w:t>3</w:t>
                  </w:r>
                  <w:r>
                    <w:rPr>
                      <w:rFonts w:hint="default" w:ascii="Times New Roman" w:hAnsi="Times New Roman" w:eastAsia="宋体" w:cs="Times New Roman"/>
                      <w:color w:val="000000"/>
                      <w:spacing w:val="6"/>
                      <w:sz w:val="21"/>
                      <w:szCs w:val="21"/>
                      <w:highlight w:val="none"/>
                    </w:rPr>
                    <w:t>/h</w:t>
                  </w:r>
                </w:p>
              </w:tc>
              <w:tc>
                <w:tcPr>
                  <w:tcW w:w="371" w:type="pct"/>
                  <w:tcBorders>
                    <w:tl2br w:val="nil"/>
                    <w:tr2bl w:val="nil"/>
                  </w:tcBorders>
                  <w:noWrap w:val="0"/>
                  <w:vAlign w:val="center"/>
                </w:tcPr>
                <w:p w14:paraId="051E983D">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20</w:t>
                  </w:r>
                </w:p>
              </w:tc>
              <w:tc>
                <w:tcPr>
                  <w:tcW w:w="373" w:type="pct"/>
                  <w:tcBorders>
                    <w:tl2br w:val="nil"/>
                    <w:tr2bl w:val="nil"/>
                  </w:tcBorders>
                  <w:noWrap w:val="0"/>
                  <w:vAlign w:val="center"/>
                </w:tcPr>
                <w:p w14:paraId="3EC4AFAC">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0</w:t>
                  </w:r>
                </w:p>
              </w:tc>
              <w:tc>
                <w:tcPr>
                  <w:tcW w:w="377" w:type="pct"/>
                  <w:tcBorders>
                    <w:tl2br w:val="nil"/>
                    <w:tr2bl w:val="nil"/>
                  </w:tcBorders>
                  <w:noWrap w:val="0"/>
                  <w:vAlign w:val="center"/>
                </w:tcPr>
                <w:p w14:paraId="67163893">
                  <w:pPr>
                    <w:pStyle w:val="3"/>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5</w:t>
                  </w:r>
                </w:p>
              </w:tc>
              <w:tc>
                <w:tcPr>
                  <w:tcW w:w="673" w:type="pct"/>
                  <w:tcBorders>
                    <w:tl2br w:val="nil"/>
                    <w:tr2bl w:val="nil"/>
                  </w:tcBorders>
                  <w:noWrap w:val="0"/>
                  <w:vAlign w:val="center"/>
                </w:tcPr>
                <w:p w14:paraId="58DFA302">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rPr>
                    <w:t>8</w:t>
                  </w:r>
                  <w:r>
                    <w:rPr>
                      <w:rFonts w:hint="default" w:ascii="Times New Roman" w:hAnsi="Times New Roman" w:eastAsia="宋体" w:cs="Times New Roman"/>
                      <w:color w:val="000000"/>
                      <w:sz w:val="21"/>
                      <w:szCs w:val="21"/>
                      <w:highlight w:val="none"/>
                      <w:lang w:val="en-US" w:eastAsia="zh-CN"/>
                    </w:rPr>
                    <w:t>5</w:t>
                  </w:r>
                </w:p>
              </w:tc>
              <w:tc>
                <w:tcPr>
                  <w:tcW w:w="802" w:type="pct"/>
                  <w:vMerge w:val="continue"/>
                  <w:tcBorders>
                    <w:tl2br w:val="nil"/>
                    <w:tr2bl w:val="nil"/>
                  </w:tcBorders>
                  <w:noWrap w:val="0"/>
                  <w:vAlign w:val="center"/>
                </w:tcPr>
                <w:p w14:paraId="59E911D0">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000000"/>
                      <w:sz w:val="21"/>
                      <w:szCs w:val="21"/>
                    </w:rPr>
                  </w:pPr>
                </w:p>
              </w:tc>
              <w:tc>
                <w:tcPr>
                  <w:tcW w:w="710" w:type="pct"/>
                  <w:vMerge w:val="continue"/>
                  <w:tcBorders>
                    <w:tl2br w:val="nil"/>
                    <w:tr2bl w:val="nil"/>
                  </w:tcBorders>
                  <w:noWrap w:val="0"/>
                  <w:vAlign w:val="center"/>
                </w:tcPr>
                <w:p w14:paraId="5E9DB804">
                  <w:pPr>
                    <w:pStyle w:val="3"/>
                    <w:keepNext w:val="0"/>
                    <w:keepLines w:val="0"/>
                    <w:pageBreakBefore w:val="0"/>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b w:val="0"/>
                      <w:bCs/>
                      <w:color w:val="000000"/>
                      <w:sz w:val="21"/>
                      <w:szCs w:val="21"/>
                      <w:lang w:val="en-US" w:eastAsia="zh-CN"/>
                    </w:rPr>
                  </w:pPr>
                </w:p>
              </w:tc>
            </w:tr>
          </w:tbl>
          <w:p w14:paraId="607F3636">
            <w:pPr>
              <w:adjustRightInd w:val="0"/>
              <w:snapToGrid w:val="0"/>
              <w:rPr>
                <w:rFonts w:hint="eastAsia" w:eastAsia="宋体"/>
                <w:b/>
                <w:bCs w:val="0"/>
                <w:color w:val="000000"/>
                <w:szCs w:val="21"/>
                <w:lang w:eastAsia="zh-CN"/>
              </w:rPr>
            </w:pPr>
            <w:r>
              <w:rPr>
                <w:rFonts w:hint="eastAsia"/>
                <w:b/>
                <w:bCs w:val="0"/>
                <w:color w:val="000000"/>
                <w:szCs w:val="21"/>
              </w:rPr>
              <w:t>注：本项目</w:t>
            </w:r>
            <w:r>
              <w:rPr>
                <w:rFonts w:hint="eastAsia"/>
                <w:b/>
                <w:bCs w:val="0"/>
                <w:color w:val="000000"/>
                <w:szCs w:val="21"/>
                <w:lang w:val="en-US" w:eastAsia="zh-CN"/>
              </w:rPr>
              <w:t>以车间西南角</w:t>
            </w:r>
            <w:r>
              <w:rPr>
                <w:rFonts w:hint="eastAsia"/>
                <w:b/>
                <w:bCs w:val="0"/>
                <w:color w:val="000000"/>
                <w:szCs w:val="21"/>
              </w:rPr>
              <w:t>为坐标原点</w:t>
            </w:r>
            <w:r>
              <w:rPr>
                <w:rFonts w:hint="eastAsia"/>
                <w:b/>
                <w:bCs w:val="0"/>
                <w:color w:val="000000"/>
                <w:szCs w:val="21"/>
                <w:lang w:eastAsia="zh-CN"/>
              </w:rPr>
              <w:t>。</w:t>
            </w:r>
          </w:p>
          <w:p w14:paraId="299E464D">
            <w:pPr>
              <w:keepNext w:val="0"/>
              <w:keepLines w:val="0"/>
              <w:pageBreakBefore w:val="0"/>
              <w:widowControl w:val="0"/>
              <w:kinsoku/>
              <w:wordWrap/>
              <w:overflowPunct/>
              <w:topLinePunct w:val="0"/>
              <w:bidi w:val="0"/>
              <w:adjustRightInd/>
              <w:snapToGrid/>
              <w:spacing w:line="360" w:lineRule="auto"/>
              <w:ind w:firstLine="482"/>
              <w:textAlignment w:val="auto"/>
              <w:rPr>
                <w:b/>
                <w:color w:val="000000"/>
                <w:sz w:val="24"/>
              </w:rPr>
            </w:pPr>
            <w:r>
              <w:rPr>
                <w:rFonts w:hint="eastAsia"/>
                <w:b/>
                <w:color w:val="000000"/>
                <w:sz w:val="24"/>
              </w:rPr>
              <w:t>3.2声环境影响分析</w:t>
            </w:r>
          </w:p>
          <w:p w14:paraId="505EAB35">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本项目主要为设备运行时产生的噪声，其安装应严格按照工业设备安装的有关规范，并采取隔声、消声、吸声、隔振等防治措施。</w:t>
            </w:r>
          </w:p>
          <w:p w14:paraId="27D6B102">
            <w:pPr>
              <w:pStyle w:val="3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ascii="Times New Roman" w:hAnsi="Times New Roman" w:eastAsia="宋体"/>
                <w:color w:val="000000"/>
                <w:sz w:val="24"/>
                <w:szCs w:val="24"/>
                <w:highlight w:val="none"/>
                <w:lang w:eastAsia="zh-CN"/>
              </w:rPr>
            </w:pPr>
            <w:r>
              <w:rPr>
                <w:rFonts w:ascii="Times New Roman" w:hAnsi="Times New Roman" w:eastAsia="宋体"/>
                <w:color w:val="000000"/>
                <w:sz w:val="24"/>
                <w:szCs w:val="24"/>
                <w:lang w:eastAsia="zh-CN"/>
              </w:rPr>
              <w:t>根据《环境影响评价技术导则－声环境》（HJ2.4-20</w:t>
            </w:r>
            <w:r>
              <w:rPr>
                <w:rFonts w:ascii="Times New Roman" w:hAnsi="Times New Roman" w:eastAsia="宋体"/>
                <w:color w:val="000000"/>
                <w:sz w:val="24"/>
                <w:szCs w:val="24"/>
                <w:lang w:val="en-US" w:eastAsia="zh-CN"/>
              </w:rPr>
              <w:t>21</w:t>
            </w:r>
            <w:r>
              <w:rPr>
                <w:rFonts w:ascii="Times New Roman" w:hAnsi="Times New Roman" w:eastAsia="宋体"/>
                <w:color w:val="000000"/>
                <w:sz w:val="24"/>
                <w:szCs w:val="24"/>
                <w:lang w:eastAsia="zh-CN"/>
              </w:rPr>
              <w:t>）中要求的声环境评价工作等级划分方法，选取预测模式，应用过程中将根据具体情况作出必要简化。本项目噪声主要来源于设备运行时产生的噪声，设备噪</w:t>
            </w:r>
            <w:r>
              <w:rPr>
                <w:rFonts w:ascii="Times New Roman" w:hAnsi="Times New Roman" w:eastAsia="宋体"/>
                <w:color w:val="000000"/>
                <w:sz w:val="24"/>
                <w:szCs w:val="24"/>
                <w:highlight w:val="none"/>
                <w:lang w:eastAsia="zh-CN"/>
              </w:rPr>
              <w:t>声级一般在</w:t>
            </w:r>
            <w:r>
              <w:rPr>
                <w:rFonts w:hint="eastAsia" w:ascii="Times New Roman" w:hAnsi="Times New Roman" w:eastAsia="宋体"/>
                <w:color w:val="000000"/>
                <w:sz w:val="24"/>
                <w:szCs w:val="24"/>
                <w:highlight w:val="none"/>
                <w:lang w:val="en-US" w:eastAsia="zh-CN"/>
              </w:rPr>
              <w:t>60</w:t>
            </w:r>
            <w:r>
              <w:rPr>
                <w:rFonts w:ascii="Times New Roman" w:hAnsi="Times New Roman" w:eastAsia="宋体"/>
                <w:color w:val="000000"/>
                <w:sz w:val="24"/>
                <w:szCs w:val="24"/>
                <w:highlight w:val="none"/>
                <w:lang w:val="en-US" w:eastAsia="zh-CN"/>
              </w:rPr>
              <w:t>~8</w:t>
            </w:r>
            <w:r>
              <w:rPr>
                <w:rFonts w:hint="eastAsia" w:ascii="Times New Roman" w:hAnsi="Times New Roman" w:eastAsia="宋体"/>
                <w:color w:val="000000"/>
                <w:sz w:val="24"/>
                <w:szCs w:val="24"/>
                <w:highlight w:val="none"/>
                <w:lang w:val="en-US" w:eastAsia="zh-CN"/>
              </w:rPr>
              <w:t>5</w:t>
            </w:r>
            <w:r>
              <w:rPr>
                <w:rFonts w:ascii="Times New Roman" w:hAnsi="Times New Roman" w:eastAsia="宋体"/>
                <w:color w:val="000000"/>
                <w:sz w:val="24"/>
                <w:szCs w:val="24"/>
                <w:highlight w:val="none"/>
                <w:lang w:eastAsia="zh-CN"/>
              </w:rPr>
              <w:t>dB（A）左右。</w:t>
            </w:r>
          </w:p>
          <w:p w14:paraId="365293DE">
            <w:pPr>
              <w:pStyle w:val="3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ascii="Times New Roman" w:hAnsi="Times New Roman" w:eastAsia="宋体"/>
                <w:color w:val="000000"/>
                <w:sz w:val="24"/>
                <w:szCs w:val="24"/>
                <w:lang w:eastAsia="zh-CN"/>
              </w:rPr>
            </w:pPr>
            <w:r>
              <w:rPr>
                <w:rFonts w:ascii="宋体" w:hAnsi="宋体" w:eastAsia="宋体"/>
                <w:color w:val="000000"/>
                <w:sz w:val="24"/>
                <w:szCs w:val="24"/>
                <w:lang w:eastAsia="zh-CN"/>
              </w:rPr>
              <w:t>①</w:t>
            </w:r>
            <w:r>
              <w:rPr>
                <w:rFonts w:ascii="Times New Roman" w:hAnsi="Times New Roman" w:eastAsia="宋体"/>
                <w:color w:val="000000"/>
                <w:sz w:val="24"/>
                <w:szCs w:val="24"/>
                <w:lang w:eastAsia="zh-CN"/>
              </w:rPr>
              <w:t>在环境噪声预测中各噪声源作为点声源处理，各点声源隔声后噪声级值：</w:t>
            </w:r>
          </w:p>
          <w:p w14:paraId="4BA484D9">
            <w:pPr>
              <w:pStyle w:val="32"/>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rPr>
                <w:rFonts w:ascii="Times New Roman" w:hAnsi="Times New Roman" w:eastAsia="宋体"/>
                <w:color w:val="000000"/>
                <w:sz w:val="24"/>
                <w:szCs w:val="24"/>
                <w:vertAlign w:val="subscript"/>
                <w:lang w:eastAsia="zh-CN"/>
              </w:rPr>
            </w:pPr>
            <w:r>
              <w:rPr>
                <w:rFonts w:ascii="Times New Roman" w:hAnsi="Times New Roman" w:eastAsia="宋体"/>
                <w:color w:val="000000"/>
                <w:sz w:val="24"/>
                <w:szCs w:val="24"/>
                <w:lang w:val="en-US" w:eastAsia="zh-CN"/>
              </w:rPr>
              <w:t>L</w:t>
            </w:r>
            <w:r>
              <w:rPr>
                <w:rFonts w:ascii="Times New Roman" w:hAnsi="Times New Roman" w:eastAsia="宋体"/>
                <w:color w:val="000000"/>
                <w:sz w:val="24"/>
                <w:szCs w:val="24"/>
                <w:vertAlign w:val="subscript"/>
                <w:lang w:val="en-US" w:eastAsia="zh-CN"/>
              </w:rPr>
              <w:t>G</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L</w:t>
            </w:r>
            <w:r>
              <w:rPr>
                <w:rFonts w:ascii="Times New Roman" w:hAnsi="Times New Roman" w:eastAsia="宋体"/>
                <w:color w:val="000000"/>
                <w:sz w:val="24"/>
                <w:szCs w:val="24"/>
                <w:vertAlign w:val="subscript"/>
                <w:lang w:val="en-US" w:eastAsia="zh-CN"/>
              </w:rPr>
              <w:t>N</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L</w:t>
            </w:r>
            <w:r>
              <w:rPr>
                <w:rFonts w:ascii="Times New Roman" w:hAnsi="Times New Roman" w:eastAsia="宋体"/>
                <w:color w:val="000000"/>
                <w:sz w:val="24"/>
                <w:szCs w:val="24"/>
                <w:vertAlign w:val="subscript"/>
                <w:lang w:val="en-US" w:eastAsia="zh-CN"/>
              </w:rPr>
              <w:t>W</w:t>
            </w:r>
          </w:p>
          <w:p w14:paraId="238454C5">
            <w:pPr>
              <w:pStyle w:val="3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ascii="Times New Roman" w:hAnsi="Times New Roman" w:eastAsia="宋体"/>
                <w:color w:val="000000"/>
                <w:sz w:val="24"/>
                <w:szCs w:val="24"/>
                <w:lang w:eastAsia="zh-CN"/>
              </w:rPr>
            </w:pPr>
            <w:r>
              <w:rPr>
                <w:rFonts w:ascii="Times New Roman" w:hAnsi="Times New Roman" w:eastAsia="宋体"/>
                <w:color w:val="000000"/>
                <w:sz w:val="24"/>
                <w:szCs w:val="24"/>
                <w:lang w:val="en-US" w:eastAsia="zh-CN"/>
              </w:rPr>
              <w:t>式中</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L</w:t>
            </w:r>
            <w:r>
              <w:rPr>
                <w:rFonts w:ascii="Times New Roman" w:hAnsi="Times New Roman" w:eastAsia="宋体"/>
                <w:color w:val="000000"/>
                <w:sz w:val="24"/>
                <w:szCs w:val="24"/>
                <w:vertAlign w:val="subscript"/>
                <w:lang w:val="en-US" w:eastAsia="zh-CN"/>
              </w:rPr>
              <w:t>N</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点声源噪声值</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dB</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A</w:t>
            </w:r>
            <w:r>
              <w:rPr>
                <w:rFonts w:ascii="Times New Roman" w:hAnsi="Times New Roman" w:eastAsia="宋体"/>
                <w:color w:val="000000"/>
                <w:sz w:val="24"/>
                <w:szCs w:val="24"/>
                <w:lang w:eastAsia="zh-CN"/>
              </w:rPr>
              <w:t>）</w:t>
            </w:r>
          </w:p>
          <w:p w14:paraId="33E78EAE">
            <w:pPr>
              <w:pStyle w:val="32"/>
              <w:keepNext w:val="0"/>
              <w:keepLines w:val="0"/>
              <w:pageBreakBefore w:val="0"/>
              <w:widowControl w:val="0"/>
              <w:kinsoku/>
              <w:wordWrap/>
              <w:overflowPunct/>
              <w:topLinePunct w:val="0"/>
              <w:autoSpaceDE w:val="0"/>
              <w:autoSpaceDN w:val="0"/>
              <w:bidi w:val="0"/>
              <w:adjustRightInd/>
              <w:snapToGrid/>
              <w:spacing w:before="0" w:after="0" w:line="360" w:lineRule="auto"/>
              <w:ind w:firstLine="1200" w:firstLineChars="500"/>
              <w:textAlignment w:val="auto"/>
              <w:rPr>
                <w:rFonts w:ascii="Times New Roman" w:hAnsi="Times New Roman" w:eastAsia="宋体"/>
                <w:color w:val="000000"/>
                <w:sz w:val="24"/>
                <w:szCs w:val="24"/>
                <w:lang w:eastAsia="zh-CN"/>
              </w:rPr>
            </w:pPr>
            <w:r>
              <w:rPr>
                <w:rFonts w:ascii="Times New Roman" w:hAnsi="Times New Roman" w:eastAsia="宋体"/>
                <w:color w:val="000000"/>
                <w:sz w:val="24"/>
                <w:szCs w:val="24"/>
                <w:lang w:val="en-US" w:eastAsia="zh-CN"/>
              </w:rPr>
              <w:t>L</w:t>
            </w:r>
            <w:r>
              <w:rPr>
                <w:rFonts w:ascii="Times New Roman" w:hAnsi="Times New Roman" w:eastAsia="宋体"/>
                <w:color w:val="000000"/>
                <w:sz w:val="24"/>
                <w:szCs w:val="24"/>
                <w:vertAlign w:val="subscript"/>
                <w:lang w:val="en-US" w:eastAsia="zh-CN"/>
              </w:rPr>
              <w:t>W</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隔声值</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本项</w:t>
            </w:r>
            <w:r>
              <w:rPr>
                <w:rFonts w:ascii="Times New Roman" w:hAnsi="Times New Roman" w:eastAsia="宋体"/>
                <w:color w:val="000000"/>
                <w:sz w:val="24"/>
                <w:szCs w:val="24"/>
                <w:lang w:eastAsia="zh-CN"/>
              </w:rPr>
              <w:t>0</w:t>
            </w:r>
            <w:r>
              <w:rPr>
                <w:rFonts w:ascii="Times New Roman" w:hAnsi="Times New Roman" w:eastAsia="宋体"/>
                <w:color w:val="000000"/>
                <w:sz w:val="24"/>
                <w:szCs w:val="24"/>
                <w:lang w:val="en-US" w:eastAsia="zh-CN"/>
              </w:rPr>
              <w:t>目取L</w:t>
            </w:r>
            <w:r>
              <w:rPr>
                <w:rFonts w:ascii="Times New Roman" w:hAnsi="Times New Roman" w:eastAsia="宋体"/>
                <w:color w:val="000000"/>
                <w:sz w:val="24"/>
                <w:szCs w:val="24"/>
                <w:vertAlign w:val="subscript"/>
                <w:lang w:val="en-US" w:eastAsia="zh-CN"/>
              </w:rPr>
              <w:t>W</w:t>
            </w:r>
            <w:r>
              <w:rPr>
                <w:rFonts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20</w:t>
            </w:r>
            <w:r>
              <w:rPr>
                <w:rFonts w:ascii="Times New Roman" w:hAnsi="Times New Roman" w:eastAsia="宋体"/>
                <w:color w:val="000000"/>
                <w:sz w:val="24"/>
                <w:szCs w:val="24"/>
                <w:lang w:val="en-US" w:eastAsia="zh-CN"/>
              </w:rPr>
              <w:t>dB</w:t>
            </w:r>
            <w:r>
              <w:rPr>
                <w:rFonts w:ascii="Times New Roman" w:hAnsi="Times New Roman" w:eastAsia="宋体"/>
                <w:color w:val="000000"/>
                <w:sz w:val="24"/>
                <w:szCs w:val="24"/>
                <w:lang w:eastAsia="zh-CN"/>
              </w:rPr>
              <w:t>（</w:t>
            </w:r>
            <w:r>
              <w:rPr>
                <w:rFonts w:ascii="Times New Roman" w:hAnsi="Times New Roman" w:eastAsia="宋体"/>
                <w:color w:val="000000"/>
                <w:sz w:val="24"/>
                <w:szCs w:val="24"/>
                <w:lang w:val="en-US" w:eastAsia="zh-CN"/>
              </w:rPr>
              <w:t>A</w:t>
            </w:r>
            <w:r>
              <w:rPr>
                <w:rFonts w:ascii="Times New Roman" w:hAnsi="Times New Roman" w:eastAsia="宋体"/>
                <w:color w:val="000000"/>
                <w:sz w:val="24"/>
                <w:szCs w:val="24"/>
                <w:lang w:eastAsia="zh-CN"/>
              </w:rPr>
              <w:t>）</w:t>
            </w:r>
          </w:p>
          <w:p w14:paraId="6133AD2F">
            <w:pPr>
              <w:pStyle w:val="3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ascii="Times New Roman" w:hAnsi="Times New Roman" w:eastAsia="宋体"/>
                <w:color w:val="000000"/>
                <w:sz w:val="24"/>
                <w:szCs w:val="24"/>
                <w:lang w:eastAsia="zh-CN"/>
              </w:rPr>
            </w:pPr>
            <w:r>
              <w:rPr>
                <w:rFonts w:ascii="宋体" w:hAnsi="宋体" w:eastAsia="宋体"/>
                <w:color w:val="000000"/>
                <w:sz w:val="24"/>
                <w:szCs w:val="24"/>
                <w:lang w:val="en-US" w:eastAsia="zh-CN"/>
              </w:rPr>
              <w:t>②</w:t>
            </w:r>
            <w:r>
              <w:rPr>
                <w:rFonts w:ascii="Times New Roman" w:hAnsi="Times New Roman" w:eastAsia="宋体"/>
                <w:color w:val="000000"/>
                <w:sz w:val="24"/>
                <w:szCs w:val="24"/>
                <w:lang w:eastAsia="zh-CN"/>
              </w:rPr>
              <w:t>当所有设备同时运转时，本项目厂界噪声按照以下公式进行计算：</w:t>
            </w:r>
          </w:p>
          <w:p w14:paraId="74782D4D">
            <w:pPr>
              <w:pStyle w:val="32"/>
              <w:keepNext w:val="0"/>
              <w:keepLines w:val="0"/>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ascii="Times New Roman" w:hAnsi="Times New Roman" w:eastAsia="宋体"/>
                <w:color w:val="000000"/>
                <w:sz w:val="24"/>
                <w:szCs w:val="24"/>
              </w:rPr>
            </w:pPr>
            <w:r>
              <w:rPr>
                <w:rFonts w:ascii="Times New Roman" w:hAnsi="Times New Roman" w:eastAsia="宋体"/>
                <w:color w:val="000000"/>
                <w:sz w:val="24"/>
                <w:szCs w:val="24"/>
              </w:rPr>
              <w:t>A：</w:t>
            </w:r>
            <w:r>
              <w:rPr>
                <w:rFonts w:ascii="Times New Roman" w:hAnsi="Times New Roman" w:eastAsia="宋体"/>
                <w:color w:val="000000"/>
                <w:sz w:val="24"/>
                <w:szCs w:val="24"/>
                <w:lang w:eastAsia="zh-CN"/>
              </w:rPr>
              <w:t>等效连续</w:t>
            </w:r>
            <w:r>
              <w:rPr>
                <w:rFonts w:ascii="Times New Roman" w:hAnsi="Times New Roman" w:eastAsia="宋体"/>
                <w:color w:val="000000"/>
                <w:sz w:val="24"/>
                <w:szCs w:val="24"/>
                <w:lang w:val="en-US" w:eastAsia="zh-CN"/>
              </w:rPr>
              <w:t>A声级</w:t>
            </w:r>
            <w:r>
              <w:rPr>
                <w:rFonts w:ascii="Times New Roman" w:hAnsi="Times New Roman" w:eastAsia="宋体"/>
                <w:color w:val="000000"/>
                <w:sz w:val="24"/>
                <w:szCs w:val="24"/>
              </w:rPr>
              <w:t>：</w:t>
            </w:r>
          </w:p>
          <w:p w14:paraId="0CCA0521">
            <w:pPr>
              <w:keepNext w:val="0"/>
              <w:keepLines w:val="0"/>
              <w:pageBreakBefore w:val="0"/>
              <w:widowControl w:val="0"/>
              <w:kinsoku/>
              <w:wordWrap/>
              <w:overflowPunct/>
              <w:topLinePunct w:val="0"/>
              <w:bidi w:val="0"/>
              <w:adjustRightInd/>
              <w:snapToGrid/>
              <w:spacing w:line="360" w:lineRule="auto"/>
              <w:ind w:firstLine="480"/>
              <w:jc w:val="center"/>
              <w:textAlignment w:val="auto"/>
              <w:rPr>
                <w:color w:val="000000"/>
                <w:sz w:val="24"/>
              </w:rPr>
            </w:pPr>
            <w:r>
              <w:rPr>
                <w:color w:val="000000"/>
                <w:position w:val="-28"/>
                <w:sz w:val="24"/>
              </w:rPr>
              <w:object>
                <v:shape id="_x0000_i1027" o:spt="75" type="#_x0000_t75" style="height:33.8pt;width:141.5pt;" o:ole="t" filled="f" o:preferrelative="t" stroked="f" coordsize="21600,21600">
                  <v:path/>
                  <v:fill on="f" focussize="0,0"/>
                  <v:stroke on="f" joinstyle="miter"/>
                  <v:imagedata r:id="rId13" o:title=""/>
                  <o:lock v:ext="edit" aspectratio="t"/>
                  <w10:wrap type="none"/>
                  <w10:anchorlock/>
                </v:shape>
                <o:OLEObject Type="Embed" ProgID="Equation.KSEE3" ShapeID="_x0000_i1027" DrawAspect="Content" ObjectID="_1468075727" r:id="rId12">
                  <o:LockedField>false</o:LockedField>
                </o:OLEObject>
              </w:object>
            </w:r>
          </w:p>
          <w:p w14:paraId="697AE9A9">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式中：L</w:t>
            </w:r>
            <w:r>
              <w:rPr>
                <w:color w:val="000000"/>
                <w:sz w:val="24"/>
                <w:vertAlign w:val="subscript"/>
              </w:rPr>
              <w:t>Aeq，T</w:t>
            </w:r>
            <w:r>
              <w:rPr>
                <w:color w:val="000000"/>
                <w:sz w:val="24"/>
              </w:rPr>
              <w:t>——等效连续A声级，dB；</w:t>
            </w:r>
          </w:p>
          <w:p w14:paraId="4DF43010">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sz w:val="24"/>
              </w:rPr>
            </w:pPr>
            <w:r>
              <w:rPr>
                <w:color w:val="000000"/>
                <w:sz w:val="24"/>
              </w:rPr>
              <w:t>L</w:t>
            </w:r>
            <w:r>
              <w:rPr>
                <w:color w:val="000000"/>
                <w:sz w:val="24"/>
                <w:vertAlign w:val="subscript"/>
              </w:rPr>
              <w:t>A</w:t>
            </w:r>
            <w:r>
              <w:rPr>
                <w:color w:val="000000"/>
                <w:sz w:val="24"/>
              </w:rPr>
              <w:t>——t时刻的瞬时A声级，dB；</w:t>
            </w:r>
          </w:p>
          <w:p w14:paraId="551A6F40">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sz w:val="24"/>
              </w:rPr>
            </w:pPr>
            <w:r>
              <w:rPr>
                <w:color w:val="000000"/>
                <w:sz w:val="24"/>
              </w:rPr>
              <w:t>T——规定的测量时间段，s。</w:t>
            </w:r>
          </w:p>
          <w:p w14:paraId="6F3D3F1E">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B：噪声贡献值：</w:t>
            </w:r>
          </w:p>
          <w:p w14:paraId="3426B476">
            <w:pPr>
              <w:keepNext w:val="0"/>
              <w:keepLines w:val="0"/>
              <w:pageBreakBefore w:val="0"/>
              <w:widowControl w:val="0"/>
              <w:kinsoku/>
              <w:wordWrap/>
              <w:overflowPunct/>
              <w:topLinePunct w:val="0"/>
              <w:bidi w:val="0"/>
              <w:adjustRightInd/>
              <w:snapToGrid/>
              <w:spacing w:line="360" w:lineRule="auto"/>
              <w:ind w:firstLine="480"/>
              <w:jc w:val="center"/>
              <w:textAlignment w:val="auto"/>
              <w:rPr>
                <w:color w:val="000000"/>
                <w:sz w:val="24"/>
              </w:rPr>
            </w:pPr>
            <w:r>
              <w:rPr>
                <w:color w:val="000000"/>
                <w:position w:val="-30"/>
                <w:sz w:val="24"/>
              </w:rPr>
              <w:object>
                <v:shape id="_x0000_i1028" o:spt="75" type="#_x0000_t75" style="height:36.3pt;width:130.25pt;" o:ole="t" filled="f" o:preferrelative="t" stroked="f" coordsize="21600,21600">
                  <v:path/>
                  <v:fill on="f" focussize="0,0"/>
                  <v:stroke on="f" joinstyle="miter"/>
                  <v:imagedata r:id="rId15" o:title=""/>
                  <o:lock v:ext="edit" aspectratio="t"/>
                  <w10:wrap type="none"/>
                  <w10:anchorlock/>
                </v:shape>
                <o:OLEObject Type="Embed" ProgID="Equation.KSEE3" ShapeID="_x0000_i1028" DrawAspect="Content" ObjectID="_1468075728" r:id="rId14">
                  <o:LockedField>false</o:LockedField>
                </o:OLEObject>
              </w:object>
            </w:r>
          </w:p>
          <w:p w14:paraId="24141FA6">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式中：L</w:t>
            </w:r>
            <w:r>
              <w:rPr>
                <w:color w:val="000000"/>
                <w:sz w:val="24"/>
                <w:vertAlign w:val="subscript"/>
              </w:rPr>
              <w:t>eqg</w:t>
            </w:r>
            <w:r>
              <w:rPr>
                <w:color w:val="000000"/>
                <w:sz w:val="24"/>
              </w:rPr>
              <w:t>——噪声贡献值，dB；</w:t>
            </w:r>
          </w:p>
          <w:p w14:paraId="6E1ECAEA">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sz w:val="24"/>
              </w:rPr>
            </w:pPr>
            <w:r>
              <w:rPr>
                <w:color w:val="000000"/>
                <w:sz w:val="24"/>
              </w:rPr>
              <w:t>T——预测计算的时间段，s；</w:t>
            </w:r>
          </w:p>
          <w:p w14:paraId="40A32ED9">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sz w:val="24"/>
              </w:rPr>
            </w:pPr>
            <w:r>
              <w:rPr>
                <w:color w:val="000000"/>
                <w:sz w:val="24"/>
              </w:rPr>
              <w:t>t</w:t>
            </w:r>
            <w:r>
              <w:rPr>
                <w:color w:val="000000"/>
                <w:sz w:val="24"/>
                <w:vertAlign w:val="subscript"/>
              </w:rPr>
              <w:t>i</w:t>
            </w:r>
            <w:r>
              <w:rPr>
                <w:color w:val="000000"/>
                <w:sz w:val="24"/>
              </w:rPr>
              <w:t>——i声源在T时段内的运行时间，S；</w:t>
            </w:r>
          </w:p>
          <w:p w14:paraId="0B04FC60">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sz w:val="24"/>
              </w:rPr>
            </w:pPr>
            <w:r>
              <w:rPr>
                <w:color w:val="000000"/>
                <w:sz w:val="24"/>
              </w:rPr>
              <w:t>L</w:t>
            </w:r>
            <w:r>
              <w:rPr>
                <w:color w:val="000000"/>
                <w:sz w:val="24"/>
                <w:vertAlign w:val="subscript"/>
              </w:rPr>
              <w:t>Ai</w:t>
            </w:r>
            <w:r>
              <w:rPr>
                <w:color w:val="000000"/>
                <w:sz w:val="24"/>
              </w:rPr>
              <w:t>——i声源在预测点产生的等效连续A声级，dB。</w:t>
            </w:r>
          </w:p>
          <w:p w14:paraId="544A63C8">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C：噪声预测值：</w:t>
            </w:r>
          </w:p>
          <w:p w14:paraId="5C57A6C6">
            <w:pPr>
              <w:keepNext w:val="0"/>
              <w:keepLines w:val="0"/>
              <w:pageBreakBefore w:val="0"/>
              <w:widowControl w:val="0"/>
              <w:kinsoku/>
              <w:wordWrap/>
              <w:overflowPunct/>
              <w:topLinePunct w:val="0"/>
              <w:bidi w:val="0"/>
              <w:adjustRightInd/>
              <w:snapToGrid/>
              <w:spacing w:line="360" w:lineRule="auto"/>
              <w:ind w:firstLine="480"/>
              <w:jc w:val="center"/>
              <w:textAlignment w:val="auto"/>
              <w:rPr>
                <w:color w:val="000000"/>
                <w:sz w:val="24"/>
              </w:rPr>
            </w:pPr>
            <w:r>
              <w:rPr>
                <w:color w:val="000000"/>
                <w:position w:val="-14"/>
                <w:sz w:val="24"/>
              </w:rPr>
              <w:object>
                <v:shape id="_x0000_i1029" o:spt="75" type="#_x0000_t75" style="height:21.3pt;width:135.25pt;" o:ole="t" filled="f" o:preferrelative="t" stroked="f" coordsize="21600,21600">
                  <v:path/>
                  <v:fill on="f" focussize="0,0"/>
                  <v:stroke on="f" joinstyle="miter"/>
                  <v:imagedata r:id="rId17" o:title=""/>
                  <o:lock v:ext="edit" aspectratio="t"/>
                  <w10:wrap type="none"/>
                  <w10:anchorlock/>
                </v:shape>
                <o:OLEObject Type="Embed" ProgID="Equation.KSEE3" ShapeID="_x0000_i1029" DrawAspect="Content" ObjectID="_1468075729" r:id="rId16">
                  <o:LockedField>false</o:LockedField>
                </o:OLEObject>
              </w:object>
            </w:r>
          </w:p>
          <w:p w14:paraId="7E75FBAD">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式中：L</w:t>
            </w:r>
            <w:r>
              <w:rPr>
                <w:color w:val="000000"/>
                <w:sz w:val="24"/>
                <w:vertAlign w:val="subscript"/>
              </w:rPr>
              <w:t>eq</w:t>
            </w:r>
            <w:r>
              <w:rPr>
                <w:color w:val="000000"/>
                <w:sz w:val="24"/>
              </w:rPr>
              <w:t>——预测点的噪声预测值，dB；</w:t>
            </w:r>
          </w:p>
          <w:p w14:paraId="0B8E79E3">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rPr>
            </w:pPr>
            <w:r>
              <w:rPr>
                <w:color w:val="000000"/>
                <w:sz w:val="24"/>
              </w:rPr>
              <w:t>L</w:t>
            </w:r>
            <w:r>
              <w:rPr>
                <w:color w:val="000000"/>
                <w:sz w:val="24"/>
                <w:vertAlign w:val="subscript"/>
              </w:rPr>
              <w:t>eqg</w:t>
            </w:r>
            <w:r>
              <w:rPr>
                <w:color w:val="000000"/>
                <w:sz w:val="24"/>
              </w:rPr>
              <w:t xml:space="preserve"> ——建设项目声源在预测点产生的噪声贡献值，dB；</w:t>
            </w:r>
          </w:p>
          <w:p w14:paraId="63AFD4E1">
            <w:pPr>
              <w:keepNext w:val="0"/>
              <w:keepLines w:val="0"/>
              <w:pageBreakBefore w:val="0"/>
              <w:widowControl w:val="0"/>
              <w:kinsoku/>
              <w:wordWrap/>
              <w:overflowPunct/>
              <w:topLinePunct w:val="0"/>
              <w:bidi w:val="0"/>
              <w:adjustRightInd/>
              <w:snapToGrid/>
              <w:spacing w:line="360" w:lineRule="auto"/>
              <w:ind w:firstLine="1200" w:firstLineChars="500"/>
              <w:textAlignment w:val="auto"/>
              <w:rPr>
                <w:color w:val="000000"/>
                <w:sz w:val="24"/>
              </w:rPr>
            </w:pPr>
            <w:r>
              <w:rPr>
                <w:color w:val="000000"/>
                <w:sz w:val="24"/>
              </w:rPr>
              <w:t>L</w:t>
            </w:r>
            <w:r>
              <w:rPr>
                <w:color w:val="000000"/>
                <w:sz w:val="24"/>
                <w:vertAlign w:val="subscript"/>
              </w:rPr>
              <w:t>eqb</w:t>
            </w:r>
            <w:r>
              <w:rPr>
                <w:color w:val="000000"/>
                <w:sz w:val="24"/>
              </w:rPr>
              <w:t>——预测点的背景噪声值，dB。</w:t>
            </w:r>
          </w:p>
          <w:p w14:paraId="67B9157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000000"/>
                <w:sz w:val="24"/>
              </w:rPr>
            </w:pPr>
            <w:r>
              <w:rPr>
                <w:color w:val="000000"/>
                <w:sz w:val="24"/>
              </w:rPr>
              <w:t>噪声源对厂界噪声的影响预测结果见下表</w:t>
            </w:r>
            <w:r>
              <w:rPr>
                <w:rFonts w:hint="eastAsia"/>
                <w:color w:val="000000"/>
                <w:sz w:val="24"/>
              </w:rPr>
              <w:t>：</w:t>
            </w:r>
          </w:p>
          <w:p w14:paraId="219FD936">
            <w:pPr>
              <w:tabs>
                <w:tab w:val="left" w:pos="640"/>
              </w:tabs>
              <w:autoSpaceDE w:val="0"/>
              <w:autoSpaceDN w:val="0"/>
              <w:jc w:val="center"/>
              <w:rPr>
                <w:b/>
                <w:color w:val="000000"/>
                <w:sz w:val="24"/>
                <w:highlight w:val="none"/>
              </w:rPr>
            </w:pPr>
            <w:r>
              <w:rPr>
                <w:b/>
                <w:color w:val="000000"/>
                <w:szCs w:val="21"/>
                <w:highlight w:val="none"/>
              </w:rPr>
              <w:t>表</w:t>
            </w:r>
            <w:r>
              <w:rPr>
                <w:rFonts w:hint="eastAsia"/>
                <w:b/>
                <w:color w:val="000000"/>
                <w:szCs w:val="21"/>
                <w:highlight w:val="none"/>
              </w:rPr>
              <w:t>4</w:t>
            </w:r>
            <w:r>
              <w:rPr>
                <w:b/>
                <w:color w:val="000000"/>
                <w:szCs w:val="21"/>
                <w:highlight w:val="none"/>
              </w:rPr>
              <w:t>-</w:t>
            </w:r>
            <w:r>
              <w:rPr>
                <w:rFonts w:hint="eastAsia"/>
                <w:b/>
                <w:color w:val="000000"/>
                <w:szCs w:val="21"/>
                <w:highlight w:val="none"/>
              </w:rPr>
              <w:t>1</w:t>
            </w:r>
            <w:r>
              <w:rPr>
                <w:rFonts w:hint="eastAsia"/>
                <w:b/>
                <w:color w:val="000000"/>
                <w:szCs w:val="21"/>
                <w:highlight w:val="none"/>
                <w:lang w:val="en-US" w:eastAsia="zh-CN"/>
              </w:rPr>
              <w:t>8</w:t>
            </w:r>
            <w:r>
              <w:rPr>
                <w:rFonts w:hint="eastAsia"/>
                <w:b/>
                <w:color w:val="000000"/>
                <w:szCs w:val="21"/>
                <w:highlight w:val="none"/>
              </w:rPr>
              <w:t xml:space="preserve"> </w:t>
            </w:r>
            <w:r>
              <w:rPr>
                <w:b/>
                <w:color w:val="000000"/>
                <w:szCs w:val="21"/>
                <w:highlight w:val="none"/>
              </w:rPr>
              <w:t>噪声预测结果单位：dB（A）</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191"/>
              <w:gridCol w:w="2255"/>
              <w:gridCol w:w="2214"/>
              <w:gridCol w:w="2071"/>
            </w:tblGrid>
            <w:tr w14:paraId="0437E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vMerge w:val="restart"/>
                  <w:tcBorders>
                    <w:tl2br w:val="nil"/>
                    <w:tr2bl w:val="nil"/>
                  </w:tcBorders>
                  <w:noWrap w:val="0"/>
                  <w:vAlign w:val="center"/>
                </w:tcPr>
                <w:p w14:paraId="1E23BE2D">
                  <w:pPr>
                    <w:pStyle w:val="33"/>
                    <w:spacing w:before="48" w:after="48"/>
                    <w:jc w:val="center"/>
                    <w:rPr>
                      <w:b/>
                      <w:color w:val="000000"/>
                      <w:highlight w:val="none"/>
                    </w:rPr>
                  </w:pPr>
                  <w:r>
                    <w:rPr>
                      <w:rFonts w:hint="eastAsia"/>
                      <w:b/>
                      <w:color w:val="000000"/>
                      <w:highlight w:val="none"/>
                    </w:rPr>
                    <w:t>序号</w:t>
                  </w:r>
                </w:p>
              </w:tc>
              <w:tc>
                <w:tcPr>
                  <w:tcW w:w="723" w:type="pct"/>
                  <w:vMerge w:val="restart"/>
                  <w:tcBorders>
                    <w:tl2br w:val="nil"/>
                    <w:tr2bl w:val="nil"/>
                  </w:tcBorders>
                  <w:noWrap w:val="0"/>
                  <w:vAlign w:val="center"/>
                </w:tcPr>
                <w:p w14:paraId="6AB6549B">
                  <w:pPr>
                    <w:pStyle w:val="33"/>
                    <w:spacing w:before="48" w:after="48"/>
                    <w:jc w:val="center"/>
                    <w:rPr>
                      <w:b/>
                      <w:color w:val="000000"/>
                      <w:highlight w:val="none"/>
                    </w:rPr>
                  </w:pPr>
                  <w:r>
                    <w:rPr>
                      <w:rFonts w:hint="eastAsia"/>
                      <w:b/>
                      <w:color w:val="000000"/>
                      <w:highlight w:val="none"/>
                    </w:rPr>
                    <w:t>预测点</w:t>
                  </w:r>
                </w:p>
              </w:tc>
              <w:tc>
                <w:tcPr>
                  <w:tcW w:w="1369" w:type="pct"/>
                  <w:tcBorders>
                    <w:tl2br w:val="nil"/>
                    <w:tr2bl w:val="nil"/>
                  </w:tcBorders>
                  <w:noWrap w:val="0"/>
                  <w:vAlign w:val="center"/>
                </w:tcPr>
                <w:p w14:paraId="12ADBE16">
                  <w:pPr>
                    <w:pStyle w:val="33"/>
                    <w:spacing w:before="48" w:after="48"/>
                    <w:jc w:val="center"/>
                    <w:rPr>
                      <w:b/>
                      <w:color w:val="000000"/>
                      <w:highlight w:val="none"/>
                    </w:rPr>
                  </w:pPr>
                  <w:r>
                    <w:rPr>
                      <w:rFonts w:hint="eastAsia"/>
                      <w:b/>
                      <w:color w:val="000000"/>
                      <w:highlight w:val="none"/>
                    </w:rPr>
                    <w:t>噪声贡献值/dB（A）</w:t>
                  </w:r>
                </w:p>
              </w:tc>
              <w:tc>
                <w:tcPr>
                  <w:tcW w:w="1344" w:type="pct"/>
                  <w:tcBorders>
                    <w:tl2br w:val="nil"/>
                    <w:tr2bl w:val="nil"/>
                  </w:tcBorders>
                  <w:noWrap w:val="0"/>
                  <w:vAlign w:val="center"/>
                </w:tcPr>
                <w:p w14:paraId="3D6CDE12">
                  <w:pPr>
                    <w:pStyle w:val="33"/>
                    <w:spacing w:before="48" w:after="48"/>
                    <w:jc w:val="center"/>
                    <w:rPr>
                      <w:b/>
                      <w:color w:val="000000"/>
                      <w:highlight w:val="none"/>
                    </w:rPr>
                  </w:pPr>
                  <w:r>
                    <w:rPr>
                      <w:rFonts w:hint="eastAsia"/>
                      <w:b/>
                      <w:color w:val="000000"/>
                      <w:highlight w:val="none"/>
                    </w:rPr>
                    <w:t>噪声标准/dB（A）</w:t>
                  </w:r>
                </w:p>
              </w:tc>
              <w:tc>
                <w:tcPr>
                  <w:tcW w:w="1258" w:type="pct"/>
                  <w:tcBorders>
                    <w:tl2br w:val="nil"/>
                    <w:tr2bl w:val="nil"/>
                  </w:tcBorders>
                  <w:noWrap w:val="0"/>
                  <w:vAlign w:val="center"/>
                </w:tcPr>
                <w:p w14:paraId="5E351029">
                  <w:pPr>
                    <w:pStyle w:val="33"/>
                    <w:spacing w:before="48" w:after="48"/>
                    <w:jc w:val="center"/>
                    <w:rPr>
                      <w:b/>
                      <w:color w:val="000000"/>
                      <w:highlight w:val="none"/>
                    </w:rPr>
                  </w:pPr>
                  <w:r>
                    <w:rPr>
                      <w:rFonts w:hint="eastAsia"/>
                      <w:b/>
                      <w:color w:val="000000"/>
                      <w:highlight w:val="none"/>
                    </w:rPr>
                    <w:t>超标和达标情况</w:t>
                  </w:r>
                </w:p>
              </w:tc>
            </w:tr>
            <w:tr w14:paraId="36EF8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vMerge w:val="continue"/>
                  <w:tcBorders>
                    <w:tl2br w:val="nil"/>
                    <w:tr2bl w:val="nil"/>
                  </w:tcBorders>
                  <w:noWrap w:val="0"/>
                  <w:vAlign w:val="center"/>
                </w:tcPr>
                <w:p w14:paraId="1F80533A">
                  <w:pPr>
                    <w:pStyle w:val="33"/>
                    <w:spacing w:before="48" w:after="48"/>
                    <w:jc w:val="center"/>
                    <w:rPr>
                      <w:b/>
                      <w:color w:val="000000"/>
                      <w:highlight w:val="none"/>
                    </w:rPr>
                  </w:pPr>
                </w:p>
              </w:tc>
              <w:tc>
                <w:tcPr>
                  <w:tcW w:w="723" w:type="pct"/>
                  <w:vMerge w:val="continue"/>
                  <w:tcBorders>
                    <w:tl2br w:val="nil"/>
                    <w:tr2bl w:val="nil"/>
                  </w:tcBorders>
                  <w:noWrap w:val="0"/>
                  <w:vAlign w:val="center"/>
                </w:tcPr>
                <w:p w14:paraId="62693595">
                  <w:pPr>
                    <w:pStyle w:val="33"/>
                    <w:spacing w:before="48" w:after="48"/>
                    <w:jc w:val="center"/>
                    <w:rPr>
                      <w:b/>
                      <w:color w:val="000000"/>
                      <w:highlight w:val="none"/>
                    </w:rPr>
                  </w:pPr>
                </w:p>
              </w:tc>
              <w:tc>
                <w:tcPr>
                  <w:tcW w:w="1369" w:type="pct"/>
                  <w:tcBorders>
                    <w:tl2br w:val="nil"/>
                    <w:tr2bl w:val="nil"/>
                  </w:tcBorders>
                  <w:noWrap w:val="0"/>
                  <w:vAlign w:val="center"/>
                </w:tcPr>
                <w:p w14:paraId="6F9CC1E8">
                  <w:pPr>
                    <w:pStyle w:val="33"/>
                    <w:spacing w:before="48" w:after="48"/>
                    <w:jc w:val="center"/>
                    <w:rPr>
                      <w:b/>
                      <w:color w:val="000000"/>
                      <w:highlight w:val="none"/>
                    </w:rPr>
                  </w:pPr>
                  <w:r>
                    <w:rPr>
                      <w:rFonts w:hint="eastAsia"/>
                      <w:b/>
                      <w:color w:val="000000"/>
                      <w:highlight w:val="none"/>
                    </w:rPr>
                    <w:t>昼间</w:t>
                  </w:r>
                </w:p>
              </w:tc>
              <w:tc>
                <w:tcPr>
                  <w:tcW w:w="1344" w:type="pct"/>
                  <w:tcBorders>
                    <w:tl2br w:val="nil"/>
                    <w:tr2bl w:val="nil"/>
                  </w:tcBorders>
                  <w:noWrap w:val="0"/>
                  <w:vAlign w:val="center"/>
                </w:tcPr>
                <w:p w14:paraId="54180090">
                  <w:pPr>
                    <w:pStyle w:val="33"/>
                    <w:spacing w:before="48" w:after="48"/>
                    <w:jc w:val="center"/>
                    <w:rPr>
                      <w:b/>
                      <w:color w:val="000000"/>
                      <w:highlight w:val="none"/>
                    </w:rPr>
                  </w:pPr>
                  <w:r>
                    <w:rPr>
                      <w:rFonts w:hint="eastAsia"/>
                      <w:b/>
                      <w:color w:val="000000"/>
                      <w:highlight w:val="none"/>
                    </w:rPr>
                    <w:t>昼间</w:t>
                  </w:r>
                </w:p>
              </w:tc>
              <w:tc>
                <w:tcPr>
                  <w:tcW w:w="1258" w:type="pct"/>
                  <w:tcBorders>
                    <w:tl2br w:val="nil"/>
                    <w:tr2bl w:val="nil"/>
                  </w:tcBorders>
                  <w:noWrap w:val="0"/>
                  <w:vAlign w:val="center"/>
                </w:tcPr>
                <w:p w14:paraId="3DFC13F0">
                  <w:pPr>
                    <w:pStyle w:val="33"/>
                    <w:spacing w:before="48" w:after="48"/>
                    <w:jc w:val="center"/>
                    <w:rPr>
                      <w:b/>
                      <w:color w:val="000000"/>
                      <w:highlight w:val="none"/>
                    </w:rPr>
                  </w:pPr>
                  <w:r>
                    <w:rPr>
                      <w:rFonts w:hint="eastAsia"/>
                      <w:b/>
                      <w:color w:val="000000"/>
                      <w:highlight w:val="none"/>
                    </w:rPr>
                    <w:t>昼间</w:t>
                  </w:r>
                </w:p>
              </w:tc>
            </w:tr>
            <w:tr w14:paraId="75AA0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noWrap w:val="0"/>
                  <w:vAlign w:val="center"/>
                </w:tcPr>
                <w:p w14:paraId="016FC5E5">
                  <w:pPr>
                    <w:pStyle w:val="33"/>
                    <w:spacing w:before="48" w:after="48"/>
                    <w:jc w:val="center"/>
                    <w:rPr>
                      <w:color w:val="000000"/>
                      <w:kern w:val="2"/>
                      <w:highlight w:val="none"/>
                    </w:rPr>
                  </w:pPr>
                  <w:r>
                    <w:rPr>
                      <w:rFonts w:hint="eastAsia"/>
                      <w:color w:val="000000"/>
                      <w:kern w:val="2"/>
                      <w:highlight w:val="none"/>
                    </w:rPr>
                    <w:t>1</w:t>
                  </w:r>
                </w:p>
              </w:tc>
              <w:tc>
                <w:tcPr>
                  <w:tcW w:w="723" w:type="pct"/>
                  <w:tcBorders>
                    <w:tl2br w:val="nil"/>
                    <w:tr2bl w:val="nil"/>
                  </w:tcBorders>
                  <w:noWrap w:val="0"/>
                  <w:vAlign w:val="center"/>
                </w:tcPr>
                <w:p w14:paraId="1D97ECB6">
                  <w:pPr>
                    <w:pStyle w:val="33"/>
                    <w:spacing w:before="48" w:after="48"/>
                    <w:jc w:val="center"/>
                    <w:rPr>
                      <w:color w:val="000000"/>
                      <w:kern w:val="2"/>
                      <w:highlight w:val="none"/>
                    </w:rPr>
                  </w:pPr>
                  <w:r>
                    <w:rPr>
                      <w:rFonts w:hint="eastAsia"/>
                      <w:color w:val="000000"/>
                      <w:kern w:val="2"/>
                      <w:highlight w:val="none"/>
                    </w:rPr>
                    <w:t>厂界东</w:t>
                  </w:r>
                </w:p>
              </w:tc>
              <w:tc>
                <w:tcPr>
                  <w:tcW w:w="1369" w:type="pct"/>
                  <w:tcBorders>
                    <w:tl2br w:val="nil"/>
                    <w:tr2bl w:val="nil"/>
                  </w:tcBorders>
                  <w:noWrap w:val="0"/>
                  <w:vAlign w:val="center"/>
                </w:tcPr>
                <w:p w14:paraId="487CB13D">
                  <w:pPr>
                    <w:pStyle w:val="33"/>
                    <w:spacing w:before="48" w:after="48"/>
                    <w:jc w:val="center"/>
                    <w:rPr>
                      <w:rFonts w:hint="default" w:eastAsia="宋体"/>
                      <w:color w:val="000000"/>
                      <w:kern w:val="2"/>
                      <w:sz w:val="20"/>
                      <w:szCs w:val="21"/>
                      <w:highlight w:val="none"/>
                      <w:lang w:val="en-US" w:eastAsia="zh-CN" w:bidi="ar-SA"/>
                    </w:rPr>
                  </w:pPr>
                  <w:r>
                    <w:rPr>
                      <w:rFonts w:hint="eastAsia"/>
                      <w:color w:val="000000"/>
                      <w:kern w:val="2"/>
                      <w:sz w:val="20"/>
                      <w:szCs w:val="21"/>
                      <w:highlight w:val="none"/>
                      <w:lang w:val="en-US" w:eastAsia="zh-CN" w:bidi="ar-SA"/>
                    </w:rPr>
                    <w:t>42.44</w:t>
                  </w:r>
                </w:p>
              </w:tc>
              <w:tc>
                <w:tcPr>
                  <w:tcW w:w="1344" w:type="pct"/>
                  <w:tcBorders>
                    <w:tl2br w:val="nil"/>
                    <w:tr2bl w:val="nil"/>
                  </w:tcBorders>
                  <w:noWrap w:val="0"/>
                  <w:vAlign w:val="center"/>
                </w:tcPr>
                <w:p w14:paraId="40BC9685">
                  <w:pPr>
                    <w:pStyle w:val="33"/>
                    <w:spacing w:before="48" w:after="48"/>
                    <w:jc w:val="center"/>
                    <w:rPr>
                      <w:color w:val="000000"/>
                      <w:kern w:val="2"/>
                      <w:highlight w:val="none"/>
                    </w:rPr>
                  </w:pPr>
                  <w:r>
                    <w:rPr>
                      <w:rFonts w:hint="eastAsia"/>
                      <w:color w:val="000000"/>
                      <w:kern w:val="2"/>
                      <w:highlight w:val="none"/>
                    </w:rPr>
                    <w:t>60</w:t>
                  </w:r>
                </w:p>
              </w:tc>
              <w:tc>
                <w:tcPr>
                  <w:tcW w:w="1258" w:type="pct"/>
                  <w:tcBorders>
                    <w:tl2br w:val="nil"/>
                    <w:tr2bl w:val="nil"/>
                  </w:tcBorders>
                  <w:noWrap w:val="0"/>
                  <w:vAlign w:val="center"/>
                </w:tcPr>
                <w:p w14:paraId="3B834049">
                  <w:pPr>
                    <w:pStyle w:val="33"/>
                    <w:spacing w:before="48" w:after="48"/>
                    <w:jc w:val="center"/>
                    <w:rPr>
                      <w:color w:val="000000"/>
                      <w:kern w:val="2"/>
                      <w:highlight w:val="none"/>
                    </w:rPr>
                  </w:pPr>
                  <w:r>
                    <w:rPr>
                      <w:color w:val="000000"/>
                      <w:kern w:val="2"/>
                      <w:highlight w:val="none"/>
                    </w:rPr>
                    <w:t>达标</w:t>
                  </w:r>
                </w:p>
              </w:tc>
            </w:tr>
            <w:tr w14:paraId="3F592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noWrap w:val="0"/>
                  <w:vAlign w:val="center"/>
                </w:tcPr>
                <w:p w14:paraId="330DDAFA">
                  <w:pPr>
                    <w:pStyle w:val="33"/>
                    <w:spacing w:before="48" w:after="48"/>
                    <w:jc w:val="center"/>
                    <w:rPr>
                      <w:color w:val="000000"/>
                      <w:kern w:val="2"/>
                      <w:highlight w:val="none"/>
                    </w:rPr>
                  </w:pPr>
                  <w:r>
                    <w:rPr>
                      <w:rFonts w:hint="eastAsia"/>
                      <w:color w:val="000000"/>
                      <w:kern w:val="2"/>
                      <w:highlight w:val="none"/>
                    </w:rPr>
                    <w:t>2</w:t>
                  </w:r>
                </w:p>
              </w:tc>
              <w:tc>
                <w:tcPr>
                  <w:tcW w:w="723" w:type="pct"/>
                  <w:tcBorders>
                    <w:tl2br w:val="nil"/>
                    <w:tr2bl w:val="nil"/>
                  </w:tcBorders>
                  <w:noWrap w:val="0"/>
                  <w:vAlign w:val="center"/>
                </w:tcPr>
                <w:p w14:paraId="2200A1F6">
                  <w:pPr>
                    <w:pStyle w:val="33"/>
                    <w:spacing w:before="48" w:after="48"/>
                    <w:jc w:val="center"/>
                    <w:rPr>
                      <w:color w:val="000000"/>
                      <w:kern w:val="2"/>
                      <w:highlight w:val="none"/>
                    </w:rPr>
                  </w:pPr>
                  <w:r>
                    <w:rPr>
                      <w:rFonts w:hint="eastAsia"/>
                      <w:color w:val="000000"/>
                      <w:kern w:val="2"/>
                      <w:highlight w:val="none"/>
                    </w:rPr>
                    <w:t>厂界南</w:t>
                  </w:r>
                </w:p>
              </w:tc>
              <w:tc>
                <w:tcPr>
                  <w:tcW w:w="1369" w:type="pct"/>
                  <w:tcBorders>
                    <w:tl2br w:val="nil"/>
                    <w:tr2bl w:val="nil"/>
                  </w:tcBorders>
                  <w:noWrap w:val="0"/>
                  <w:vAlign w:val="center"/>
                </w:tcPr>
                <w:p w14:paraId="060266F1">
                  <w:pPr>
                    <w:pStyle w:val="33"/>
                    <w:spacing w:before="48" w:after="48"/>
                    <w:jc w:val="center"/>
                    <w:rPr>
                      <w:rFonts w:hint="default" w:ascii="Times New Roman" w:hAnsi="Times New Roman" w:eastAsia="宋体" w:cs="Times New Roman"/>
                      <w:snapToGrid w:val="0"/>
                      <w:color w:val="000000"/>
                      <w:kern w:val="2"/>
                      <w:sz w:val="21"/>
                      <w:szCs w:val="21"/>
                      <w:highlight w:val="none"/>
                      <w:lang w:val="en-US" w:eastAsia="zh-CN" w:bidi="ar-SA"/>
                    </w:rPr>
                  </w:pPr>
                  <w:r>
                    <w:rPr>
                      <w:rFonts w:hint="eastAsia" w:cs="Times New Roman"/>
                      <w:snapToGrid w:val="0"/>
                      <w:color w:val="000000"/>
                      <w:kern w:val="2"/>
                      <w:sz w:val="21"/>
                      <w:szCs w:val="21"/>
                      <w:highlight w:val="none"/>
                      <w:lang w:val="en-US" w:eastAsia="zh-CN" w:bidi="ar-SA"/>
                    </w:rPr>
                    <w:t>49.94</w:t>
                  </w:r>
                </w:p>
              </w:tc>
              <w:tc>
                <w:tcPr>
                  <w:tcW w:w="1344" w:type="pct"/>
                  <w:tcBorders>
                    <w:tl2br w:val="nil"/>
                    <w:tr2bl w:val="nil"/>
                  </w:tcBorders>
                  <w:noWrap w:val="0"/>
                  <w:vAlign w:val="center"/>
                </w:tcPr>
                <w:p w14:paraId="56D479FE">
                  <w:pPr>
                    <w:pStyle w:val="33"/>
                    <w:spacing w:before="48" w:after="48"/>
                    <w:jc w:val="center"/>
                    <w:rPr>
                      <w:rFonts w:hint="eastAsia" w:eastAsia="宋体"/>
                      <w:color w:val="000000"/>
                      <w:kern w:val="2"/>
                      <w:highlight w:val="none"/>
                      <w:lang w:val="en-US" w:eastAsia="zh-CN"/>
                    </w:rPr>
                  </w:pPr>
                  <w:r>
                    <w:rPr>
                      <w:rFonts w:hint="eastAsia"/>
                      <w:color w:val="000000"/>
                      <w:kern w:val="2"/>
                      <w:highlight w:val="none"/>
                      <w:lang w:val="en-US" w:eastAsia="zh-CN"/>
                    </w:rPr>
                    <w:t>60</w:t>
                  </w:r>
                </w:p>
              </w:tc>
              <w:tc>
                <w:tcPr>
                  <w:tcW w:w="1258" w:type="pct"/>
                  <w:tcBorders>
                    <w:tl2br w:val="nil"/>
                    <w:tr2bl w:val="nil"/>
                  </w:tcBorders>
                  <w:noWrap w:val="0"/>
                  <w:vAlign w:val="center"/>
                </w:tcPr>
                <w:p w14:paraId="372E62E1">
                  <w:pPr>
                    <w:pStyle w:val="33"/>
                    <w:spacing w:before="48" w:after="48"/>
                    <w:jc w:val="center"/>
                    <w:rPr>
                      <w:color w:val="000000"/>
                      <w:kern w:val="2"/>
                      <w:highlight w:val="none"/>
                    </w:rPr>
                  </w:pPr>
                  <w:r>
                    <w:rPr>
                      <w:color w:val="000000"/>
                      <w:kern w:val="2"/>
                      <w:highlight w:val="none"/>
                    </w:rPr>
                    <w:t>达标</w:t>
                  </w:r>
                </w:p>
              </w:tc>
            </w:tr>
            <w:tr w14:paraId="3553F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noWrap w:val="0"/>
                  <w:vAlign w:val="center"/>
                </w:tcPr>
                <w:p w14:paraId="54C63984">
                  <w:pPr>
                    <w:pStyle w:val="33"/>
                    <w:spacing w:before="48" w:after="48"/>
                    <w:jc w:val="center"/>
                    <w:rPr>
                      <w:color w:val="000000"/>
                      <w:kern w:val="2"/>
                      <w:highlight w:val="none"/>
                    </w:rPr>
                  </w:pPr>
                  <w:r>
                    <w:rPr>
                      <w:rFonts w:hint="eastAsia"/>
                      <w:color w:val="000000"/>
                      <w:kern w:val="2"/>
                      <w:highlight w:val="none"/>
                    </w:rPr>
                    <w:t>3</w:t>
                  </w:r>
                </w:p>
              </w:tc>
              <w:tc>
                <w:tcPr>
                  <w:tcW w:w="723" w:type="pct"/>
                  <w:tcBorders>
                    <w:tl2br w:val="nil"/>
                    <w:tr2bl w:val="nil"/>
                  </w:tcBorders>
                  <w:noWrap w:val="0"/>
                  <w:vAlign w:val="center"/>
                </w:tcPr>
                <w:p w14:paraId="0D9DDAA2">
                  <w:pPr>
                    <w:pStyle w:val="33"/>
                    <w:spacing w:before="48" w:after="48"/>
                    <w:jc w:val="center"/>
                    <w:rPr>
                      <w:color w:val="000000"/>
                      <w:kern w:val="2"/>
                      <w:highlight w:val="none"/>
                    </w:rPr>
                  </w:pPr>
                  <w:r>
                    <w:rPr>
                      <w:rFonts w:hint="eastAsia"/>
                      <w:color w:val="000000"/>
                      <w:kern w:val="2"/>
                      <w:highlight w:val="none"/>
                    </w:rPr>
                    <w:t>厂界西</w:t>
                  </w:r>
                </w:p>
              </w:tc>
              <w:tc>
                <w:tcPr>
                  <w:tcW w:w="1369" w:type="pct"/>
                  <w:tcBorders>
                    <w:tl2br w:val="nil"/>
                    <w:tr2bl w:val="nil"/>
                  </w:tcBorders>
                  <w:noWrap w:val="0"/>
                  <w:vAlign w:val="center"/>
                </w:tcPr>
                <w:p w14:paraId="49C57787">
                  <w:pPr>
                    <w:pStyle w:val="33"/>
                    <w:spacing w:before="48" w:after="48"/>
                    <w:jc w:val="center"/>
                    <w:rPr>
                      <w:rFonts w:hint="default" w:eastAsia="宋体"/>
                      <w:color w:val="000000"/>
                      <w:kern w:val="2"/>
                      <w:sz w:val="20"/>
                      <w:szCs w:val="21"/>
                      <w:highlight w:val="none"/>
                      <w:lang w:val="en-US" w:eastAsia="zh-CN" w:bidi="ar-SA"/>
                    </w:rPr>
                  </w:pPr>
                  <w:r>
                    <w:rPr>
                      <w:rFonts w:hint="eastAsia"/>
                      <w:color w:val="000000"/>
                      <w:kern w:val="2"/>
                      <w:sz w:val="20"/>
                      <w:szCs w:val="21"/>
                      <w:highlight w:val="none"/>
                      <w:lang w:val="en-US" w:eastAsia="zh-CN" w:bidi="ar-SA"/>
                    </w:rPr>
                    <w:t>29.65</w:t>
                  </w:r>
                </w:p>
              </w:tc>
              <w:tc>
                <w:tcPr>
                  <w:tcW w:w="1344" w:type="pct"/>
                  <w:tcBorders>
                    <w:tl2br w:val="nil"/>
                    <w:tr2bl w:val="nil"/>
                  </w:tcBorders>
                  <w:noWrap w:val="0"/>
                  <w:vAlign w:val="center"/>
                </w:tcPr>
                <w:p w14:paraId="7B44580E">
                  <w:pPr>
                    <w:pStyle w:val="33"/>
                    <w:spacing w:before="48" w:after="48"/>
                    <w:jc w:val="center"/>
                    <w:rPr>
                      <w:color w:val="000000"/>
                      <w:kern w:val="2"/>
                      <w:highlight w:val="none"/>
                    </w:rPr>
                  </w:pPr>
                  <w:r>
                    <w:rPr>
                      <w:rFonts w:hint="eastAsia"/>
                      <w:color w:val="000000"/>
                      <w:kern w:val="2"/>
                      <w:highlight w:val="none"/>
                    </w:rPr>
                    <w:t>60</w:t>
                  </w:r>
                </w:p>
              </w:tc>
              <w:tc>
                <w:tcPr>
                  <w:tcW w:w="1258" w:type="pct"/>
                  <w:tcBorders>
                    <w:tl2br w:val="nil"/>
                    <w:tr2bl w:val="nil"/>
                  </w:tcBorders>
                  <w:noWrap w:val="0"/>
                  <w:vAlign w:val="center"/>
                </w:tcPr>
                <w:p w14:paraId="30C74E4C">
                  <w:pPr>
                    <w:pStyle w:val="33"/>
                    <w:spacing w:before="48" w:after="48"/>
                    <w:jc w:val="center"/>
                    <w:rPr>
                      <w:color w:val="000000"/>
                      <w:kern w:val="2"/>
                      <w:highlight w:val="none"/>
                    </w:rPr>
                  </w:pPr>
                  <w:r>
                    <w:rPr>
                      <w:color w:val="000000"/>
                      <w:kern w:val="2"/>
                      <w:highlight w:val="none"/>
                    </w:rPr>
                    <w:t>达标</w:t>
                  </w:r>
                </w:p>
              </w:tc>
            </w:tr>
            <w:tr w14:paraId="79707A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3" w:type="pct"/>
                  <w:tcBorders>
                    <w:tl2br w:val="nil"/>
                    <w:tr2bl w:val="nil"/>
                  </w:tcBorders>
                  <w:noWrap w:val="0"/>
                  <w:vAlign w:val="center"/>
                </w:tcPr>
                <w:p w14:paraId="726086CE">
                  <w:pPr>
                    <w:pStyle w:val="33"/>
                    <w:spacing w:before="48" w:after="48"/>
                    <w:jc w:val="center"/>
                    <w:rPr>
                      <w:color w:val="000000"/>
                      <w:kern w:val="2"/>
                      <w:highlight w:val="none"/>
                    </w:rPr>
                  </w:pPr>
                  <w:r>
                    <w:rPr>
                      <w:rFonts w:hint="eastAsia"/>
                      <w:color w:val="000000"/>
                      <w:kern w:val="2"/>
                      <w:highlight w:val="none"/>
                    </w:rPr>
                    <w:t>4</w:t>
                  </w:r>
                </w:p>
              </w:tc>
              <w:tc>
                <w:tcPr>
                  <w:tcW w:w="723" w:type="pct"/>
                  <w:tcBorders>
                    <w:tl2br w:val="nil"/>
                    <w:tr2bl w:val="nil"/>
                  </w:tcBorders>
                  <w:noWrap w:val="0"/>
                  <w:vAlign w:val="center"/>
                </w:tcPr>
                <w:p w14:paraId="06F8FA43">
                  <w:pPr>
                    <w:pStyle w:val="33"/>
                    <w:spacing w:before="48" w:after="48"/>
                    <w:jc w:val="center"/>
                    <w:rPr>
                      <w:color w:val="000000"/>
                      <w:kern w:val="2"/>
                      <w:highlight w:val="none"/>
                    </w:rPr>
                  </w:pPr>
                  <w:r>
                    <w:rPr>
                      <w:rFonts w:hint="eastAsia"/>
                      <w:color w:val="000000"/>
                      <w:kern w:val="2"/>
                      <w:highlight w:val="none"/>
                    </w:rPr>
                    <w:t>厂界北</w:t>
                  </w:r>
                </w:p>
              </w:tc>
              <w:tc>
                <w:tcPr>
                  <w:tcW w:w="1369" w:type="pct"/>
                  <w:tcBorders>
                    <w:tl2br w:val="nil"/>
                    <w:tr2bl w:val="nil"/>
                  </w:tcBorders>
                  <w:noWrap w:val="0"/>
                  <w:vAlign w:val="center"/>
                </w:tcPr>
                <w:p w14:paraId="568197F6">
                  <w:pPr>
                    <w:pStyle w:val="33"/>
                    <w:spacing w:before="48" w:after="48"/>
                    <w:jc w:val="center"/>
                    <w:rPr>
                      <w:rFonts w:hint="default" w:eastAsia="宋体"/>
                      <w:color w:val="000000"/>
                      <w:kern w:val="2"/>
                      <w:sz w:val="20"/>
                      <w:szCs w:val="21"/>
                      <w:highlight w:val="none"/>
                      <w:lang w:val="en-US" w:eastAsia="zh-CN" w:bidi="ar-SA"/>
                    </w:rPr>
                  </w:pPr>
                  <w:r>
                    <w:rPr>
                      <w:rFonts w:hint="eastAsia"/>
                      <w:color w:val="000000"/>
                      <w:kern w:val="2"/>
                      <w:sz w:val="20"/>
                      <w:szCs w:val="21"/>
                      <w:highlight w:val="none"/>
                      <w:lang w:val="en-US" w:eastAsia="zh-CN" w:bidi="ar-SA"/>
                    </w:rPr>
                    <w:t>35.68</w:t>
                  </w:r>
                </w:p>
              </w:tc>
              <w:tc>
                <w:tcPr>
                  <w:tcW w:w="1344" w:type="pct"/>
                  <w:tcBorders>
                    <w:tl2br w:val="nil"/>
                    <w:tr2bl w:val="nil"/>
                  </w:tcBorders>
                  <w:noWrap w:val="0"/>
                  <w:vAlign w:val="center"/>
                </w:tcPr>
                <w:p w14:paraId="2DD4B4B9">
                  <w:pPr>
                    <w:pStyle w:val="33"/>
                    <w:spacing w:before="48" w:after="48"/>
                    <w:jc w:val="center"/>
                    <w:rPr>
                      <w:color w:val="000000"/>
                      <w:kern w:val="2"/>
                      <w:highlight w:val="none"/>
                    </w:rPr>
                  </w:pPr>
                  <w:r>
                    <w:rPr>
                      <w:rFonts w:hint="eastAsia"/>
                      <w:color w:val="000000"/>
                      <w:kern w:val="2"/>
                      <w:highlight w:val="none"/>
                    </w:rPr>
                    <w:t>60</w:t>
                  </w:r>
                </w:p>
              </w:tc>
              <w:tc>
                <w:tcPr>
                  <w:tcW w:w="1258" w:type="pct"/>
                  <w:tcBorders>
                    <w:tl2br w:val="nil"/>
                    <w:tr2bl w:val="nil"/>
                  </w:tcBorders>
                  <w:noWrap w:val="0"/>
                  <w:vAlign w:val="center"/>
                </w:tcPr>
                <w:p w14:paraId="0ED25CF6">
                  <w:pPr>
                    <w:pStyle w:val="33"/>
                    <w:spacing w:before="48" w:after="48"/>
                    <w:jc w:val="center"/>
                    <w:rPr>
                      <w:color w:val="000000"/>
                      <w:kern w:val="2"/>
                      <w:highlight w:val="none"/>
                    </w:rPr>
                  </w:pPr>
                  <w:r>
                    <w:rPr>
                      <w:color w:val="000000"/>
                      <w:kern w:val="2"/>
                      <w:highlight w:val="none"/>
                    </w:rPr>
                    <w:t>达标</w:t>
                  </w:r>
                </w:p>
              </w:tc>
            </w:tr>
          </w:tbl>
          <w:p w14:paraId="3296925A">
            <w:pPr>
              <w:keepNext w:val="0"/>
              <w:keepLines w:val="0"/>
              <w:pageBreakBefore w:val="0"/>
              <w:widowControl/>
              <w:kinsoku/>
              <w:wordWrap/>
              <w:overflowPunct/>
              <w:topLinePunct w:val="0"/>
              <w:autoSpaceDE/>
              <w:autoSpaceDN/>
              <w:bidi w:val="0"/>
              <w:adjustRightInd/>
              <w:spacing w:line="360" w:lineRule="auto"/>
              <w:ind w:firstLine="480" w:firstLineChars="200"/>
              <w:jc w:val="both"/>
              <w:textAlignment w:val="auto"/>
              <w:rPr>
                <w:rFonts w:hint="eastAsia" w:eastAsia="宋体"/>
                <w:color w:val="000000"/>
                <w:sz w:val="24"/>
                <w:lang w:eastAsia="zh-CN"/>
              </w:rPr>
            </w:pPr>
            <w:r>
              <w:rPr>
                <w:rFonts w:hint="eastAsia"/>
                <w:color w:val="000000"/>
                <w:sz w:val="24"/>
              </w:rPr>
              <w:t>根据预测数据，项目噪声源通过合理布局、选用低噪声设备，并</w:t>
            </w:r>
            <w:r>
              <w:rPr>
                <w:rFonts w:hint="eastAsia"/>
                <w:color w:val="000000"/>
                <w:sz w:val="24"/>
                <w:highlight w:val="none"/>
              </w:rPr>
              <w:t>采用合理的隔声措施，并在厂房墙体的阻隔及距离衰减下后，厂界</w:t>
            </w:r>
            <w:r>
              <w:rPr>
                <w:rFonts w:hint="eastAsia"/>
                <w:color w:val="000000"/>
                <w:sz w:val="24"/>
                <w:highlight w:val="none"/>
                <w:lang w:val="en-US" w:eastAsia="zh-CN"/>
              </w:rPr>
              <w:t>昼间</w:t>
            </w:r>
            <w:r>
              <w:rPr>
                <w:rFonts w:hint="eastAsia"/>
                <w:color w:val="000000"/>
                <w:sz w:val="24"/>
                <w:highlight w:val="none"/>
              </w:rPr>
              <w:t>噪声可达到《工业企业厂界环</w:t>
            </w:r>
            <w:r>
              <w:rPr>
                <w:rFonts w:hint="eastAsia"/>
                <w:color w:val="000000"/>
                <w:sz w:val="24"/>
              </w:rPr>
              <w:t>境噪声排放标准》（GB12348-2008）</w:t>
            </w:r>
            <w:r>
              <w:rPr>
                <w:rFonts w:hint="eastAsia"/>
                <w:color w:val="000000"/>
                <w:sz w:val="24"/>
                <w:lang w:val="en-US" w:eastAsia="zh-CN"/>
              </w:rPr>
              <w:t>2</w:t>
            </w:r>
            <w:r>
              <w:rPr>
                <w:rFonts w:hint="eastAsia"/>
                <w:color w:val="000000"/>
                <w:sz w:val="24"/>
              </w:rPr>
              <w:t>类声环境功能区排放限值要求，对周围声环境的影响较小</w:t>
            </w:r>
            <w:r>
              <w:rPr>
                <w:rFonts w:hint="eastAsia"/>
                <w:color w:val="000000"/>
                <w:sz w:val="24"/>
                <w:lang w:eastAsia="zh-CN"/>
              </w:rPr>
              <w:t>。</w:t>
            </w:r>
          </w:p>
          <w:p w14:paraId="45CA768A">
            <w:pPr>
              <w:adjustRightInd w:val="0"/>
              <w:snapToGrid w:val="0"/>
              <w:jc w:val="center"/>
              <w:rPr>
                <w:color w:val="000000"/>
              </w:rPr>
            </w:pPr>
            <w:r>
              <w:rPr>
                <w:b/>
                <w:color w:val="000000"/>
                <w:szCs w:val="21"/>
              </w:rPr>
              <w:t>表4-</w:t>
            </w:r>
            <w:r>
              <w:rPr>
                <w:rFonts w:hint="eastAsia"/>
                <w:b/>
                <w:color w:val="000000"/>
                <w:szCs w:val="21"/>
                <w:lang w:val="en-US" w:eastAsia="zh-CN"/>
              </w:rPr>
              <w:t>1</w:t>
            </w:r>
            <w:r>
              <w:rPr>
                <w:rFonts w:hint="eastAsia"/>
                <w:b/>
                <w:color w:val="000000"/>
                <w:szCs w:val="21"/>
              </w:rPr>
              <w:t>9</w:t>
            </w:r>
            <w:r>
              <w:rPr>
                <w:b/>
                <w:color w:val="000000"/>
                <w:szCs w:val="21"/>
              </w:rPr>
              <w:t xml:space="preserve"> 噪声防治措施及投资表</w:t>
            </w:r>
          </w:p>
          <w:tbl>
            <w:tblPr>
              <w:tblStyle w:val="2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1939"/>
              <w:gridCol w:w="2019"/>
              <w:gridCol w:w="1744"/>
            </w:tblGrid>
            <w:tr w14:paraId="23C1B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6" w:type="pct"/>
                  <w:noWrap/>
                  <w:vAlign w:val="center"/>
                </w:tcPr>
                <w:p w14:paraId="1FB435B9">
                  <w:pPr>
                    <w:adjustRightInd w:val="0"/>
                    <w:snapToGrid w:val="0"/>
                    <w:jc w:val="center"/>
                    <w:rPr>
                      <w:b/>
                      <w:color w:val="000000"/>
                      <w:szCs w:val="21"/>
                    </w:rPr>
                  </w:pPr>
                  <w:r>
                    <w:rPr>
                      <w:b/>
                      <w:color w:val="000000"/>
                      <w:szCs w:val="21"/>
                    </w:rPr>
                    <w:t>噪声防治措施名称（类型）</w:t>
                  </w:r>
                </w:p>
              </w:tc>
              <w:tc>
                <w:tcPr>
                  <w:tcW w:w="1177" w:type="pct"/>
                  <w:noWrap/>
                  <w:vAlign w:val="center"/>
                </w:tcPr>
                <w:p w14:paraId="0C99785E">
                  <w:pPr>
                    <w:adjustRightInd w:val="0"/>
                    <w:snapToGrid w:val="0"/>
                    <w:jc w:val="center"/>
                    <w:rPr>
                      <w:b/>
                      <w:color w:val="000000"/>
                      <w:szCs w:val="21"/>
                    </w:rPr>
                  </w:pPr>
                  <w:r>
                    <w:rPr>
                      <w:b/>
                      <w:color w:val="000000"/>
                      <w:szCs w:val="21"/>
                    </w:rPr>
                    <w:t>噪声防治措施规模</w:t>
                  </w:r>
                </w:p>
              </w:tc>
              <w:tc>
                <w:tcPr>
                  <w:tcW w:w="1226" w:type="pct"/>
                  <w:noWrap/>
                  <w:vAlign w:val="center"/>
                </w:tcPr>
                <w:p w14:paraId="6901617E">
                  <w:pPr>
                    <w:adjustRightInd w:val="0"/>
                    <w:snapToGrid w:val="0"/>
                    <w:jc w:val="center"/>
                    <w:rPr>
                      <w:b/>
                      <w:color w:val="000000"/>
                      <w:szCs w:val="21"/>
                    </w:rPr>
                  </w:pPr>
                  <w:r>
                    <w:rPr>
                      <w:b/>
                      <w:color w:val="000000"/>
                      <w:szCs w:val="21"/>
                    </w:rPr>
                    <w:t>噪声防治措施效果</w:t>
                  </w:r>
                </w:p>
              </w:tc>
              <w:tc>
                <w:tcPr>
                  <w:tcW w:w="1059" w:type="pct"/>
                  <w:noWrap/>
                  <w:vAlign w:val="center"/>
                </w:tcPr>
                <w:p w14:paraId="4ED0C409">
                  <w:pPr>
                    <w:adjustRightInd w:val="0"/>
                    <w:snapToGrid w:val="0"/>
                    <w:jc w:val="center"/>
                    <w:rPr>
                      <w:b/>
                      <w:color w:val="000000"/>
                      <w:szCs w:val="21"/>
                      <w:highlight w:val="none"/>
                    </w:rPr>
                  </w:pPr>
                  <w:r>
                    <w:rPr>
                      <w:b/>
                      <w:color w:val="000000"/>
                      <w:szCs w:val="21"/>
                      <w:highlight w:val="none"/>
                    </w:rPr>
                    <w:t>噪声防治措施投资/万元</w:t>
                  </w:r>
                </w:p>
              </w:tc>
            </w:tr>
            <w:tr w14:paraId="17133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6" w:type="pct"/>
                  <w:noWrap/>
                  <w:vAlign w:val="center"/>
                </w:tcPr>
                <w:p w14:paraId="3C47341F">
                  <w:pPr>
                    <w:adjustRightInd w:val="0"/>
                    <w:snapToGrid w:val="0"/>
                    <w:jc w:val="center"/>
                    <w:rPr>
                      <w:color w:val="000000"/>
                      <w:szCs w:val="21"/>
                    </w:rPr>
                  </w:pPr>
                  <w:r>
                    <w:rPr>
                      <w:color w:val="000000"/>
                      <w:szCs w:val="21"/>
                    </w:rPr>
                    <w:t>从噪声传播途径上控制</w:t>
                  </w:r>
                </w:p>
              </w:tc>
              <w:tc>
                <w:tcPr>
                  <w:tcW w:w="1177" w:type="pct"/>
                  <w:noWrap/>
                  <w:vAlign w:val="center"/>
                </w:tcPr>
                <w:p w14:paraId="6EDBFBDE">
                  <w:pPr>
                    <w:adjustRightInd w:val="0"/>
                    <w:snapToGrid w:val="0"/>
                    <w:jc w:val="center"/>
                    <w:rPr>
                      <w:color w:val="000000"/>
                      <w:szCs w:val="21"/>
                    </w:rPr>
                  </w:pPr>
                  <w:r>
                    <w:rPr>
                      <w:color w:val="000000"/>
                      <w:szCs w:val="21"/>
                    </w:rPr>
                    <w:t>中等规模</w:t>
                  </w:r>
                </w:p>
              </w:tc>
              <w:tc>
                <w:tcPr>
                  <w:tcW w:w="1226" w:type="pct"/>
                  <w:noWrap/>
                  <w:vAlign w:val="center"/>
                </w:tcPr>
                <w:p w14:paraId="4A17DB8A">
                  <w:pPr>
                    <w:adjustRightInd w:val="0"/>
                    <w:snapToGrid w:val="0"/>
                    <w:jc w:val="center"/>
                    <w:rPr>
                      <w:color w:val="000000"/>
                      <w:szCs w:val="21"/>
                    </w:rPr>
                  </w:pPr>
                  <w:r>
                    <w:rPr>
                      <w:color w:val="000000"/>
                      <w:szCs w:val="21"/>
                    </w:rPr>
                    <w:t>降噪20dB（A）</w:t>
                  </w:r>
                </w:p>
              </w:tc>
              <w:tc>
                <w:tcPr>
                  <w:tcW w:w="1059" w:type="pct"/>
                  <w:noWrap/>
                  <w:vAlign w:val="center"/>
                </w:tcPr>
                <w:p w14:paraId="72F62F7E">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5</w:t>
                  </w:r>
                </w:p>
              </w:tc>
            </w:tr>
          </w:tbl>
          <w:p w14:paraId="0E4DC8A1">
            <w:pPr>
              <w:keepNext w:val="0"/>
              <w:keepLines w:val="0"/>
              <w:pageBreakBefore w:val="0"/>
              <w:widowControl w:val="0"/>
              <w:kinsoku/>
              <w:wordWrap/>
              <w:overflowPunct/>
              <w:topLinePunct w:val="0"/>
              <w:autoSpaceDE/>
              <w:autoSpaceDN/>
              <w:bidi w:val="0"/>
              <w:spacing w:line="360" w:lineRule="auto"/>
              <w:ind w:firstLine="482" w:firstLineChars="200"/>
              <w:textAlignment w:val="auto"/>
              <w:rPr>
                <w:b/>
                <w:color w:val="000000"/>
                <w:sz w:val="24"/>
              </w:rPr>
            </w:pPr>
            <w:r>
              <w:rPr>
                <w:rFonts w:hint="eastAsia"/>
                <w:b/>
                <w:color w:val="000000"/>
                <w:sz w:val="24"/>
              </w:rPr>
              <w:t>3.3噪声监测计划</w:t>
            </w:r>
          </w:p>
          <w:p w14:paraId="7FF9A8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lang w:val="en-US" w:eastAsia="zh-CN"/>
              </w:rPr>
              <w:t>根据</w:t>
            </w:r>
            <w:r>
              <w:rPr>
                <w:rFonts w:hint="eastAsia"/>
                <w:color w:val="000000"/>
                <w:sz w:val="24"/>
                <w:highlight w:val="none"/>
              </w:rPr>
              <w:t>《排污单位自行监测技术指南 总则》（HJ819-2017）</w:t>
            </w:r>
            <w:r>
              <w:rPr>
                <w:rFonts w:hint="eastAsia"/>
                <w:color w:val="000000"/>
                <w:sz w:val="24"/>
              </w:rPr>
              <w:t>，污染源监测以排污单位自行监测为主，运营期具体监测计划见下表。企业应成立相应部门，定期完成自行监测任务，若企业不具备监测条件，可委托有资质的环境监测单位进行监测。根据监测结果编写自行监测年度报告并上报当地环境保护主管部门。</w:t>
            </w:r>
          </w:p>
          <w:p w14:paraId="75027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定期对厂界进行噪声监测，一季度开展一次，昼、夜间噪声监测，并在噪声监测点附近醒目处设置环境保护图形标志牌。</w:t>
            </w:r>
          </w:p>
          <w:p w14:paraId="7F910C19">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color w:val="000000"/>
                <w:sz w:val="21"/>
                <w:szCs w:val="21"/>
              </w:rPr>
            </w:pPr>
            <w:r>
              <w:rPr>
                <w:rFonts w:hint="eastAsia"/>
                <w:b/>
                <w:color w:val="000000"/>
                <w:sz w:val="21"/>
                <w:szCs w:val="21"/>
              </w:rPr>
              <w:t>表4-</w:t>
            </w:r>
            <w:r>
              <w:rPr>
                <w:rFonts w:hint="eastAsia"/>
                <w:b/>
                <w:color w:val="000000"/>
                <w:sz w:val="21"/>
                <w:szCs w:val="21"/>
                <w:lang w:val="en-US" w:eastAsia="zh-CN"/>
              </w:rPr>
              <w:t>20</w:t>
            </w:r>
            <w:r>
              <w:rPr>
                <w:rFonts w:hint="eastAsia"/>
                <w:b/>
                <w:color w:val="000000"/>
                <w:sz w:val="21"/>
                <w:szCs w:val="21"/>
              </w:rPr>
              <w:t xml:space="preserve"> 噪声环境监测计划表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817"/>
              <w:gridCol w:w="1659"/>
              <w:gridCol w:w="3348"/>
            </w:tblGrid>
            <w:tr w14:paraId="53A20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6" w:type="pct"/>
                  <w:tcBorders>
                    <w:tl2br w:val="nil"/>
                    <w:tr2bl w:val="nil"/>
                  </w:tcBorders>
                  <w:noWrap w:val="0"/>
                  <w:vAlign w:val="center"/>
                </w:tcPr>
                <w:p w14:paraId="37422680">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rPr>
                  </w:pPr>
                  <w:r>
                    <w:rPr>
                      <w:rFonts w:hint="eastAsia"/>
                      <w:b/>
                      <w:color w:val="000000"/>
                      <w:kern w:val="0"/>
                      <w:szCs w:val="21"/>
                    </w:rPr>
                    <w:t>监测位置</w:t>
                  </w:r>
                </w:p>
              </w:tc>
              <w:tc>
                <w:tcPr>
                  <w:tcW w:w="1103" w:type="pct"/>
                  <w:tcBorders>
                    <w:tl2br w:val="nil"/>
                    <w:tr2bl w:val="nil"/>
                  </w:tcBorders>
                  <w:noWrap w:val="0"/>
                  <w:vAlign w:val="center"/>
                </w:tcPr>
                <w:p w14:paraId="0F2C85C6">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rPr>
                  </w:pPr>
                  <w:r>
                    <w:rPr>
                      <w:rFonts w:hint="eastAsia"/>
                      <w:b/>
                      <w:color w:val="000000"/>
                      <w:kern w:val="0"/>
                      <w:szCs w:val="21"/>
                    </w:rPr>
                    <w:t>监测项目</w:t>
                  </w:r>
                </w:p>
              </w:tc>
              <w:tc>
                <w:tcPr>
                  <w:tcW w:w="1007" w:type="pct"/>
                  <w:tcBorders>
                    <w:tl2br w:val="nil"/>
                    <w:tr2bl w:val="nil"/>
                  </w:tcBorders>
                  <w:noWrap w:val="0"/>
                  <w:vAlign w:val="center"/>
                </w:tcPr>
                <w:p w14:paraId="308699A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kern w:val="0"/>
                      <w:szCs w:val="21"/>
                    </w:rPr>
                  </w:pPr>
                  <w:r>
                    <w:rPr>
                      <w:rFonts w:hint="eastAsia"/>
                      <w:b/>
                      <w:color w:val="000000"/>
                      <w:kern w:val="0"/>
                      <w:szCs w:val="21"/>
                    </w:rPr>
                    <w:t>监测频次</w:t>
                  </w:r>
                </w:p>
              </w:tc>
              <w:tc>
                <w:tcPr>
                  <w:tcW w:w="2033" w:type="pct"/>
                  <w:tcBorders>
                    <w:tl2br w:val="nil"/>
                    <w:tr2bl w:val="nil"/>
                  </w:tcBorders>
                  <w:noWrap w:val="0"/>
                  <w:vAlign w:val="center"/>
                </w:tcPr>
                <w:p w14:paraId="5D047BFC">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执行排放标准</w:t>
                  </w:r>
                </w:p>
              </w:tc>
            </w:tr>
            <w:tr w14:paraId="0779C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56" w:type="pct"/>
                  <w:tcBorders>
                    <w:tl2br w:val="nil"/>
                    <w:tr2bl w:val="nil"/>
                  </w:tcBorders>
                  <w:noWrap w:val="0"/>
                  <w:vAlign w:val="center"/>
                </w:tcPr>
                <w:p w14:paraId="7537B79A">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厂界外1m</w:t>
                  </w:r>
                </w:p>
              </w:tc>
              <w:tc>
                <w:tcPr>
                  <w:tcW w:w="1103" w:type="pct"/>
                  <w:tcBorders>
                    <w:tl2br w:val="nil"/>
                    <w:tr2bl w:val="nil"/>
                  </w:tcBorders>
                  <w:noWrap w:val="0"/>
                  <w:vAlign w:val="center"/>
                </w:tcPr>
                <w:p w14:paraId="584823F8">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连续等效A声级</w:t>
                  </w:r>
                </w:p>
              </w:tc>
              <w:tc>
                <w:tcPr>
                  <w:tcW w:w="1007" w:type="pct"/>
                  <w:tcBorders>
                    <w:tl2br w:val="nil"/>
                    <w:tr2bl w:val="nil"/>
                  </w:tcBorders>
                  <w:noWrap w:val="0"/>
                  <w:vAlign w:val="center"/>
                </w:tcPr>
                <w:p w14:paraId="7C3C00A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一</w:t>
                  </w:r>
                  <w:r>
                    <w:rPr>
                      <w:rFonts w:hint="eastAsia"/>
                      <w:color w:val="000000"/>
                      <w:szCs w:val="21"/>
                    </w:rPr>
                    <w:t>季</w:t>
                  </w:r>
                  <w:r>
                    <w:rPr>
                      <w:rFonts w:hint="eastAsia"/>
                      <w:color w:val="000000"/>
                      <w:szCs w:val="21"/>
                      <w:lang w:val="en-US" w:eastAsia="zh-CN"/>
                    </w:rPr>
                    <w:t>一次</w:t>
                  </w:r>
                </w:p>
              </w:tc>
              <w:tc>
                <w:tcPr>
                  <w:tcW w:w="2033" w:type="pct"/>
                  <w:tcBorders>
                    <w:tl2br w:val="nil"/>
                    <w:tr2bl w:val="nil"/>
                  </w:tcBorders>
                  <w:noWrap w:val="0"/>
                  <w:vAlign w:val="center"/>
                </w:tcPr>
                <w:p w14:paraId="77B4D9FF">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《工业企业厂界环境噪声排放标准》（GB12348-2008）</w:t>
                  </w:r>
                  <w:r>
                    <w:rPr>
                      <w:rFonts w:hint="eastAsia"/>
                      <w:color w:val="000000"/>
                      <w:szCs w:val="21"/>
                      <w:lang w:val="en-US" w:eastAsia="zh-CN"/>
                    </w:rPr>
                    <w:t>2</w:t>
                  </w:r>
                  <w:r>
                    <w:rPr>
                      <w:rFonts w:hint="eastAsia"/>
                      <w:color w:val="000000"/>
                      <w:szCs w:val="21"/>
                    </w:rPr>
                    <w:t>类标准</w:t>
                  </w:r>
                </w:p>
              </w:tc>
            </w:tr>
          </w:tbl>
          <w:p w14:paraId="59E52F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b/>
                <w:bCs/>
                <w:snapToGrid w:val="0"/>
                <w:color w:val="auto"/>
                <w:kern w:val="0"/>
                <w:sz w:val="24"/>
              </w:rPr>
            </w:pPr>
            <w:r>
              <w:rPr>
                <w:rFonts w:hint="eastAsia"/>
                <w:b/>
                <w:bCs/>
                <w:snapToGrid w:val="0"/>
                <w:color w:val="auto"/>
                <w:kern w:val="0"/>
                <w:sz w:val="24"/>
                <w:lang w:val="en-US" w:eastAsia="zh-CN"/>
              </w:rPr>
              <w:t>4、</w:t>
            </w:r>
            <w:r>
              <w:rPr>
                <w:rFonts w:hint="eastAsia"/>
                <w:b/>
                <w:bCs/>
                <w:snapToGrid w:val="0"/>
                <w:color w:val="auto"/>
                <w:kern w:val="0"/>
                <w:sz w:val="24"/>
              </w:rPr>
              <w:t>固体废物</w:t>
            </w:r>
          </w:p>
          <w:p w14:paraId="2DCE0F01">
            <w:pPr>
              <w:keepNext w:val="0"/>
              <w:keepLines w:val="0"/>
              <w:pageBreakBefore w:val="0"/>
              <w:widowControl w:val="0"/>
              <w:kinsoku/>
              <w:wordWrap/>
              <w:overflowPunct/>
              <w:topLinePunct w:val="0"/>
              <w:autoSpaceDE/>
              <w:autoSpaceDN/>
              <w:bidi w:val="0"/>
              <w:spacing w:line="360" w:lineRule="auto"/>
              <w:ind w:left="0" w:leftChars="0" w:right="0" w:rightChars="0" w:firstLine="482" w:firstLineChars="200"/>
              <w:textAlignment w:val="auto"/>
              <w:rPr>
                <w:b/>
                <w:color w:val="000000"/>
                <w:sz w:val="24"/>
                <w:highlight w:val="none"/>
              </w:rPr>
            </w:pPr>
            <w:r>
              <w:rPr>
                <w:b/>
                <w:color w:val="000000"/>
                <w:sz w:val="24"/>
                <w:highlight w:val="none"/>
              </w:rPr>
              <w:t>4.1</w:t>
            </w:r>
            <w:r>
              <w:rPr>
                <w:rFonts w:hint="eastAsia"/>
                <w:b/>
                <w:color w:val="000000"/>
                <w:sz w:val="24"/>
                <w:highlight w:val="none"/>
              </w:rPr>
              <w:t>固体废物产生情况</w:t>
            </w:r>
          </w:p>
          <w:p w14:paraId="02AF6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bCs/>
                <w:snapToGrid w:val="0"/>
                <w:color w:val="auto"/>
                <w:kern w:val="0"/>
                <w:sz w:val="24"/>
                <w:highlight w:val="none"/>
              </w:rPr>
            </w:pPr>
            <w:r>
              <w:rPr>
                <w:bCs/>
                <w:snapToGrid w:val="0"/>
                <w:color w:val="auto"/>
                <w:kern w:val="0"/>
                <w:sz w:val="24"/>
                <w:highlight w:val="none"/>
              </w:rPr>
              <w:t>本项目</w:t>
            </w:r>
            <w:r>
              <w:rPr>
                <w:rFonts w:hint="eastAsia"/>
                <w:bCs/>
                <w:snapToGrid w:val="0"/>
                <w:color w:val="auto"/>
                <w:kern w:val="0"/>
                <w:sz w:val="24"/>
                <w:highlight w:val="none"/>
                <w:lang w:val="en-US" w:eastAsia="zh-CN"/>
              </w:rPr>
              <w:t>产生的</w:t>
            </w:r>
            <w:r>
              <w:rPr>
                <w:bCs/>
                <w:snapToGrid w:val="0"/>
                <w:color w:val="auto"/>
                <w:kern w:val="0"/>
                <w:sz w:val="24"/>
                <w:highlight w:val="none"/>
              </w:rPr>
              <w:t>固废主要</w:t>
            </w:r>
            <w:r>
              <w:rPr>
                <w:rFonts w:hint="eastAsia"/>
                <w:bCs/>
                <w:snapToGrid w:val="0"/>
                <w:color w:val="auto"/>
                <w:kern w:val="0"/>
                <w:sz w:val="24"/>
                <w:highlight w:val="none"/>
                <w:lang w:val="en-US" w:eastAsia="zh-CN"/>
              </w:rPr>
              <w:t>有：金属碎屑、不合格品、废布袋、</w:t>
            </w:r>
            <w:r>
              <w:rPr>
                <w:bCs/>
                <w:snapToGrid w:val="0"/>
                <w:color w:val="auto"/>
                <w:kern w:val="0"/>
                <w:sz w:val="24"/>
                <w:highlight w:val="none"/>
              </w:rPr>
              <w:t>废活性炭</w:t>
            </w:r>
            <w:r>
              <w:rPr>
                <w:rFonts w:hint="eastAsia"/>
                <w:bCs/>
                <w:snapToGrid w:val="0"/>
                <w:color w:val="auto"/>
                <w:kern w:val="0"/>
                <w:sz w:val="24"/>
                <w:highlight w:val="none"/>
                <w:lang w:eastAsia="zh-CN"/>
              </w:rPr>
              <w:t>、</w:t>
            </w:r>
            <w:r>
              <w:rPr>
                <w:rFonts w:hint="eastAsia"/>
                <w:bCs/>
                <w:snapToGrid w:val="0"/>
                <w:color w:val="auto"/>
                <w:kern w:val="0"/>
                <w:sz w:val="24"/>
                <w:highlight w:val="none"/>
                <w:lang w:val="en-US" w:eastAsia="zh-CN"/>
              </w:rPr>
              <w:t>蒸发残液、废油桶</w:t>
            </w:r>
            <w:r>
              <w:rPr>
                <w:bCs/>
                <w:snapToGrid w:val="0"/>
                <w:color w:val="auto"/>
                <w:kern w:val="0"/>
                <w:sz w:val="24"/>
                <w:highlight w:val="none"/>
              </w:rPr>
              <w:t>和生活垃圾。</w:t>
            </w:r>
          </w:p>
          <w:p w14:paraId="54CF47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bCs/>
                <w:snapToGrid w:val="0"/>
                <w:color w:val="auto"/>
                <w:kern w:val="0"/>
                <w:sz w:val="24"/>
                <w:lang w:val="en-US" w:eastAsia="zh-CN"/>
              </w:rPr>
            </w:pPr>
            <w:r>
              <w:rPr>
                <w:rFonts w:hint="eastAsia"/>
                <w:bCs/>
                <w:snapToGrid w:val="0"/>
                <w:color w:val="auto"/>
                <w:kern w:val="0"/>
                <w:sz w:val="24"/>
                <w:lang w:eastAsia="zh-CN"/>
              </w:rPr>
              <w:t>（</w:t>
            </w:r>
            <w:r>
              <w:rPr>
                <w:rFonts w:hint="eastAsia"/>
                <w:bCs/>
                <w:snapToGrid w:val="0"/>
                <w:color w:val="auto"/>
                <w:kern w:val="0"/>
                <w:sz w:val="24"/>
                <w:lang w:val="en-US" w:eastAsia="zh-CN"/>
              </w:rPr>
              <w:t>1</w:t>
            </w:r>
            <w:r>
              <w:rPr>
                <w:rFonts w:hint="eastAsia"/>
                <w:bCs/>
                <w:snapToGrid w:val="0"/>
                <w:color w:val="auto"/>
                <w:kern w:val="0"/>
                <w:sz w:val="24"/>
                <w:lang w:eastAsia="zh-CN"/>
              </w:rPr>
              <w:t>）</w:t>
            </w:r>
            <w:r>
              <w:rPr>
                <w:rFonts w:hint="eastAsia"/>
                <w:bCs/>
                <w:snapToGrid w:val="0"/>
                <w:color w:val="auto"/>
                <w:kern w:val="0"/>
                <w:sz w:val="24"/>
                <w:lang w:val="en-US" w:eastAsia="zh-CN"/>
              </w:rPr>
              <w:t>金属碎屑：来源于针柄制作过程，产生量约</w:t>
            </w:r>
            <w:r>
              <w:rPr>
                <w:rFonts w:hint="eastAsia"/>
                <w:bCs/>
                <w:snapToGrid w:val="0"/>
                <w:color w:val="auto"/>
                <w:kern w:val="0"/>
                <w:sz w:val="24"/>
                <w:highlight w:val="none"/>
                <w:lang w:val="en-US" w:eastAsia="zh-CN"/>
              </w:rPr>
              <w:t>为12t/a。</w:t>
            </w:r>
          </w:p>
          <w:p w14:paraId="74A9AB9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bCs/>
                <w:snapToGrid w:val="0"/>
                <w:color w:val="auto"/>
                <w:kern w:val="0"/>
                <w:sz w:val="24"/>
                <w:lang w:val="en-US" w:eastAsia="zh-CN"/>
              </w:rPr>
            </w:pPr>
            <w:r>
              <w:rPr>
                <w:rFonts w:hint="eastAsia"/>
                <w:bCs/>
                <w:snapToGrid w:val="0"/>
                <w:color w:val="auto"/>
                <w:kern w:val="0"/>
                <w:sz w:val="24"/>
                <w:lang w:eastAsia="zh-CN"/>
              </w:rPr>
              <w:t>（</w:t>
            </w:r>
            <w:r>
              <w:rPr>
                <w:rFonts w:hint="eastAsia"/>
                <w:bCs/>
                <w:snapToGrid w:val="0"/>
                <w:color w:val="auto"/>
                <w:kern w:val="0"/>
                <w:sz w:val="24"/>
                <w:lang w:val="en-US" w:eastAsia="zh-CN"/>
              </w:rPr>
              <w:t>2</w:t>
            </w:r>
            <w:r>
              <w:rPr>
                <w:rFonts w:hint="eastAsia"/>
                <w:bCs/>
                <w:snapToGrid w:val="0"/>
                <w:color w:val="auto"/>
                <w:kern w:val="0"/>
                <w:sz w:val="24"/>
                <w:lang w:eastAsia="zh-CN"/>
              </w:rPr>
              <w:t>）</w:t>
            </w:r>
            <w:r>
              <w:rPr>
                <w:rFonts w:hint="eastAsia"/>
                <w:bCs/>
                <w:snapToGrid w:val="0"/>
                <w:color w:val="auto"/>
                <w:kern w:val="0"/>
                <w:sz w:val="24"/>
                <w:lang w:val="en-US" w:eastAsia="zh-CN"/>
              </w:rPr>
              <w:t>不合格品：来源于检验过程，产生量</w:t>
            </w:r>
            <w:r>
              <w:rPr>
                <w:rFonts w:hint="eastAsia"/>
                <w:bCs/>
                <w:snapToGrid w:val="0"/>
                <w:color w:val="auto"/>
                <w:kern w:val="0"/>
                <w:sz w:val="24"/>
                <w:highlight w:val="none"/>
                <w:lang w:val="en-US" w:eastAsia="zh-CN"/>
              </w:rPr>
              <w:t>约为1.5t/a。</w:t>
            </w:r>
          </w:p>
          <w:p w14:paraId="2282105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snapToGrid w:val="0"/>
                <w:color w:val="auto"/>
                <w:kern w:val="0"/>
                <w:sz w:val="24"/>
                <w:lang w:val="en-US" w:eastAsia="zh-CN"/>
              </w:rPr>
            </w:pPr>
            <w:r>
              <w:rPr>
                <w:rFonts w:hint="eastAsia"/>
                <w:bCs/>
                <w:snapToGrid w:val="0"/>
                <w:color w:val="auto"/>
                <w:kern w:val="0"/>
                <w:sz w:val="24"/>
                <w:lang w:val="en-US" w:eastAsia="zh-CN"/>
              </w:rPr>
              <w:t>（3</w:t>
            </w:r>
            <w:r>
              <w:rPr>
                <w:rFonts w:hint="eastAsia" w:ascii="Times New Roman" w:hAnsi="Times New Roman" w:eastAsia="宋体" w:cs="Times New Roman"/>
                <w:bCs/>
                <w:snapToGrid w:val="0"/>
                <w:color w:val="auto"/>
                <w:kern w:val="0"/>
                <w:sz w:val="24"/>
                <w:lang w:val="en-US" w:eastAsia="zh-CN"/>
              </w:rPr>
              <w:t>）废布袋：来源于废气设施的定期更换，产生量约为0.05t/a。</w:t>
            </w:r>
          </w:p>
          <w:p w14:paraId="532354D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w:t>
            </w:r>
            <w:r>
              <w:rPr>
                <w:rFonts w:hint="eastAsia" w:cs="Times New Roman"/>
                <w:bCs/>
                <w:snapToGrid w:val="0"/>
                <w:color w:val="auto"/>
                <w:kern w:val="0"/>
                <w:sz w:val="24"/>
                <w:lang w:val="en-US" w:eastAsia="zh-CN"/>
              </w:rPr>
              <w:t>4</w:t>
            </w:r>
            <w:r>
              <w:rPr>
                <w:rFonts w:hint="eastAsia" w:ascii="Times New Roman" w:hAnsi="Times New Roman" w:eastAsia="宋体" w:cs="Times New Roman"/>
                <w:bCs/>
                <w:snapToGrid w:val="0"/>
                <w:color w:val="auto"/>
                <w:kern w:val="0"/>
                <w:sz w:val="24"/>
                <w:lang w:val="en-US" w:eastAsia="zh-CN"/>
              </w:rPr>
              <w:t>）废活性炭：来源于废气处理设施的定期更换，本项目活性炭年用量共计约</w:t>
            </w:r>
            <w:r>
              <w:rPr>
                <w:rFonts w:hint="eastAsia"/>
                <w:color w:val="000000"/>
                <w:sz w:val="24"/>
                <w:highlight w:val="none"/>
                <w:lang w:val="en-US" w:eastAsia="zh-CN"/>
              </w:rPr>
              <w:t>0.243</w:t>
            </w:r>
            <w:r>
              <w:rPr>
                <w:rFonts w:hint="eastAsia" w:ascii="Times New Roman" w:hAnsi="Times New Roman" w:eastAsia="宋体" w:cs="Times New Roman"/>
                <w:bCs/>
                <w:snapToGrid w:val="0"/>
                <w:color w:val="auto"/>
                <w:kern w:val="0"/>
                <w:sz w:val="24"/>
                <w:lang w:val="en-US" w:eastAsia="zh-CN"/>
              </w:rPr>
              <w:t>t，每年更换</w:t>
            </w:r>
            <w:r>
              <w:rPr>
                <w:rFonts w:hint="eastAsia" w:cs="Times New Roman"/>
                <w:bCs/>
                <w:snapToGrid w:val="0"/>
                <w:color w:val="auto"/>
                <w:kern w:val="0"/>
                <w:sz w:val="24"/>
                <w:lang w:val="en-US" w:eastAsia="zh-CN"/>
              </w:rPr>
              <w:t>3</w:t>
            </w:r>
            <w:r>
              <w:rPr>
                <w:rFonts w:hint="eastAsia" w:ascii="Times New Roman" w:hAnsi="Times New Roman" w:eastAsia="宋体" w:cs="Times New Roman"/>
                <w:bCs/>
                <w:snapToGrid w:val="0"/>
                <w:color w:val="auto"/>
                <w:kern w:val="0"/>
                <w:sz w:val="24"/>
                <w:lang w:val="en-US" w:eastAsia="zh-CN"/>
              </w:rPr>
              <w:t>次，每次填装共计约0.</w:t>
            </w:r>
            <w:r>
              <w:rPr>
                <w:rFonts w:hint="eastAsia" w:cs="Times New Roman"/>
                <w:bCs/>
                <w:snapToGrid w:val="0"/>
                <w:color w:val="auto"/>
                <w:kern w:val="0"/>
                <w:sz w:val="24"/>
                <w:lang w:val="en-US" w:eastAsia="zh-CN"/>
              </w:rPr>
              <w:t>081</w:t>
            </w:r>
            <w:r>
              <w:rPr>
                <w:rFonts w:hint="eastAsia" w:ascii="Times New Roman" w:hAnsi="Times New Roman" w:eastAsia="宋体" w:cs="Times New Roman"/>
                <w:bCs/>
                <w:snapToGrid w:val="0"/>
                <w:color w:val="auto"/>
                <w:kern w:val="0"/>
                <w:sz w:val="24"/>
                <w:lang w:val="en-US" w:eastAsia="zh-CN"/>
              </w:rPr>
              <w:t>t，则产生废活性炭约为</w:t>
            </w:r>
            <w:r>
              <w:rPr>
                <w:rFonts w:hint="eastAsia" w:cs="Times New Roman"/>
                <w:bCs/>
                <w:snapToGrid w:val="0"/>
                <w:color w:val="auto"/>
                <w:kern w:val="0"/>
                <w:sz w:val="24"/>
                <w:lang w:val="en-US" w:eastAsia="zh-CN"/>
              </w:rPr>
              <w:t>0.2665</w:t>
            </w:r>
            <w:r>
              <w:rPr>
                <w:rFonts w:hint="eastAsia" w:ascii="Times New Roman" w:hAnsi="Times New Roman" w:eastAsia="宋体" w:cs="Times New Roman"/>
                <w:bCs/>
                <w:snapToGrid w:val="0"/>
                <w:color w:val="auto"/>
                <w:kern w:val="0"/>
                <w:sz w:val="24"/>
                <w:lang w:val="en-US" w:eastAsia="zh-CN"/>
              </w:rPr>
              <w:t>t/a（含吸附的废气</w:t>
            </w:r>
            <w:r>
              <w:rPr>
                <w:rFonts w:hint="eastAsia" w:cs="Times New Roman"/>
                <w:bCs/>
                <w:snapToGrid w:val="0"/>
                <w:color w:val="auto"/>
                <w:kern w:val="0"/>
                <w:sz w:val="24"/>
                <w:lang w:val="en-US" w:eastAsia="zh-CN"/>
              </w:rPr>
              <w:t>0.02352</w:t>
            </w:r>
            <w:r>
              <w:rPr>
                <w:rFonts w:hint="eastAsia" w:ascii="Times New Roman" w:hAnsi="Times New Roman" w:eastAsia="宋体" w:cs="Times New Roman"/>
                <w:bCs/>
                <w:snapToGrid w:val="0"/>
                <w:color w:val="auto"/>
                <w:kern w:val="0"/>
                <w:sz w:val="24"/>
                <w:lang w:val="en-US" w:eastAsia="zh-CN"/>
              </w:rPr>
              <w:t>t/a）。</w:t>
            </w:r>
          </w:p>
          <w:p w14:paraId="0E1A640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w:t>
            </w:r>
            <w:r>
              <w:rPr>
                <w:rFonts w:hint="eastAsia" w:cs="Times New Roman"/>
                <w:bCs/>
                <w:snapToGrid w:val="0"/>
                <w:color w:val="auto"/>
                <w:kern w:val="0"/>
                <w:sz w:val="24"/>
                <w:highlight w:val="none"/>
                <w:lang w:val="en-US" w:eastAsia="zh-CN"/>
              </w:rPr>
              <w:t>5</w:t>
            </w:r>
            <w:r>
              <w:rPr>
                <w:rFonts w:hint="eastAsia" w:ascii="Times New Roman" w:hAnsi="Times New Roman" w:eastAsia="宋体" w:cs="Times New Roman"/>
                <w:bCs/>
                <w:snapToGrid w:val="0"/>
                <w:color w:val="auto"/>
                <w:kern w:val="0"/>
                <w:sz w:val="24"/>
                <w:highlight w:val="none"/>
                <w:lang w:val="en-US" w:eastAsia="zh-CN"/>
              </w:rPr>
              <w:t>）蒸发残液：来源于废水处理，产生量约为</w:t>
            </w:r>
            <w:r>
              <w:rPr>
                <w:rFonts w:hint="eastAsia" w:cs="Times New Roman"/>
                <w:bCs/>
                <w:snapToGrid w:val="0"/>
                <w:color w:val="auto"/>
                <w:kern w:val="0"/>
                <w:sz w:val="24"/>
                <w:highlight w:val="none"/>
                <w:lang w:val="en-US" w:eastAsia="zh-CN"/>
              </w:rPr>
              <w:t>0.8</w:t>
            </w:r>
            <w:r>
              <w:rPr>
                <w:rFonts w:hint="eastAsia" w:ascii="Times New Roman" w:hAnsi="Times New Roman" w:eastAsia="宋体" w:cs="Times New Roman"/>
                <w:bCs/>
                <w:snapToGrid w:val="0"/>
                <w:color w:val="auto"/>
                <w:kern w:val="0"/>
                <w:sz w:val="24"/>
                <w:highlight w:val="none"/>
                <w:lang w:val="en-US" w:eastAsia="zh-CN"/>
              </w:rPr>
              <w:t>t/a。</w:t>
            </w:r>
          </w:p>
          <w:p w14:paraId="4CEDE69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highlight w:val="none"/>
                <w:lang w:val="en-US" w:eastAsia="zh-CN"/>
              </w:rPr>
              <w:t>（</w:t>
            </w:r>
            <w:r>
              <w:rPr>
                <w:rFonts w:hint="eastAsia" w:cs="Times New Roman"/>
                <w:bCs/>
                <w:snapToGrid w:val="0"/>
                <w:color w:val="auto"/>
                <w:kern w:val="0"/>
                <w:sz w:val="24"/>
                <w:highlight w:val="none"/>
                <w:lang w:val="en-US" w:eastAsia="zh-CN"/>
              </w:rPr>
              <w:t>6</w:t>
            </w:r>
            <w:r>
              <w:rPr>
                <w:rFonts w:hint="eastAsia" w:ascii="Times New Roman" w:hAnsi="Times New Roman" w:eastAsia="宋体" w:cs="Times New Roman"/>
                <w:bCs/>
                <w:snapToGrid w:val="0"/>
                <w:color w:val="auto"/>
                <w:kern w:val="0"/>
                <w:sz w:val="24"/>
                <w:highlight w:val="none"/>
                <w:lang w:val="en-US" w:eastAsia="zh-CN"/>
              </w:rPr>
              <w:t>）废润滑油：来源于日常维保的定期更换，产生量约为0.001t/a。</w:t>
            </w:r>
          </w:p>
          <w:p w14:paraId="3B274A7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snapToGrid w:val="0"/>
                <w:color w:val="auto"/>
                <w:kern w:val="0"/>
                <w:sz w:val="24"/>
                <w:highlight w:val="none"/>
                <w:lang w:val="en-US" w:eastAsia="zh-CN"/>
              </w:rPr>
            </w:pPr>
            <w:r>
              <w:rPr>
                <w:rFonts w:hint="eastAsia" w:ascii="Times New Roman" w:hAnsi="Times New Roman" w:eastAsia="宋体" w:cs="Times New Roman"/>
                <w:bCs/>
                <w:snapToGrid w:val="0"/>
                <w:color w:val="auto"/>
                <w:kern w:val="0"/>
                <w:sz w:val="24"/>
                <w:lang w:val="en-US" w:eastAsia="zh-CN"/>
              </w:rPr>
              <w:t>（</w:t>
            </w:r>
            <w:r>
              <w:rPr>
                <w:rFonts w:hint="eastAsia" w:cs="Times New Roman"/>
                <w:bCs/>
                <w:snapToGrid w:val="0"/>
                <w:color w:val="auto"/>
                <w:kern w:val="0"/>
                <w:sz w:val="24"/>
                <w:lang w:val="en-US" w:eastAsia="zh-CN"/>
              </w:rPr>
              <w:t>7</w:t>
            </w:r>
            <w:r>
              <w:rPr>
                <w:rFonts w:hint="eastAsia" w:ascii="Times New Roman" w:hAnsi="Times New Roman" w:eastAsia="宋体" w:cs="Times New Roman"/>
                <w:bCs/>
                <w:snapToGrid w:val="0"/>
                <w:color w:val="auto"/>
                <w:kern w:val="0"/>
                <w:sz w:val="24"/>
                <w:lang w:val="en-US" w:eastAsia="zh-CN"/>
              </w:rPr>
              <w:t>）</w:t>
            </w:r>
            <w:r>
              <w:rPr>
                <w:rFonts w:hint="eastAsia" w:cs="Times New Roman"/>
                <w:bCs/>
                <w:snapToGrid w:val="0"/>
                <w:color w:val="auto"/>
                <w:kern w:val="0"/>
                <w:sz w:val="24"/>
                <w:lang w:val="en-US" w:eastAsia="zh-CN"/>
              </w:rPr>
              <w:t>废油桶：来源于润滑油的使用，产生量约为0.001t/a。</w:t>
            </w:r>
          </w:p>
          <w:p w14:paraId="5929BA8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snapToGrid w:val="0"/>
                <w:color w:val="auto"/>
                <w:kern w:val="0"/>
                <w:sz w:val="24"/>
                <w:lang w:val="en-US" w:eastAsia="zh-CN"/>
              </w:rPr>
            </w:pPr>
            <w:r>
              <w:rPr>
                <w:rFonts w:hint="eastAsia" w:ascii="Times New Roman" w:hAnsi="Times New Roman" w:eastAsia="宋体" w:cs="Times New Roman"/>
                <w:bCs/>
                <w:snapToGrid w:val="0"/>
                <w:color w:val="auto"/>
                <w:kern w:val="0"/>
                <w:sz w:val="24"/>
                <w:lang w:val="en-US" w:eastAsia="zh-CN"/>
              </w:rPr>
              <w:t>（</w:t>
            </w:r>
            <w:r>
              <w:rPr>
                <w:rFonts w:hint="eastAsia" w:cs="Times New Roman"/>
                <w:bCs/>
                <w:snapToGrid w:val="0"/>
                <w:color w:val="auto"/>
                <w:kern w:val="0"/>
                <w:sz w:val="24"/>
                <w:lang w:val="en-US" w:eastAsia="zh-CN"/>
              </w:rPr>
              <w:t>8</w:t>
            </w:r>
            <w:r>
              <w:rPr>
                <w:rFonts w:hint="eastAsia" w:ascii="Times New Roman" w:hAnsi="Times New Roman" w:eastAsia="宋体" w:cs="Times New Roman"/>
                <w:bCs/>
                <w:snapToGrid w:val="0"/>
                <w:color w:val="auto"/>
                <w:kern w:val="0"/>
                <w:sz w:val="24"/>
                <w:lang w:val="en-US" w:eastAsia="zh-CN"/>
              </w:rPr>
              <w:t>）生活垃圾：本项目新增员工</w:t>
            </w:r>
            <w:r>
              <w:rPr>
                <w:rFonts w:hint="eastAsia" w:cs="Times New Roman"/>
                <w:bCs/>
                <w:snapToGrid w:val="0"/>
                <w:color w:val="auto"/>
                <w:kern w:val="0"/>
                <w:sz w:val="24"/>
                <w:lang w:val="en-US" w:eastAsia="zh-CN"/>
              </w:rPr>
              <w:t>65</w:t>
            </w:r>
            <w:r>
              <w:rPr>
                <w:rFonts w:hint="eastAsia" w:ascii="Times New Roman" w:hAnsi="Times New Roman" w:eastAsia="宋体" w:cs="Times New Roman"/>
                <w:bCs/>
                <w:snapToGrid w:val="0"/>
                <w:color w:val="auto"/>
                <w:kern w:val="0"/>
                <w:sz w:val="24"/>
                <w:lang w:val="en-US" w:eastAsia="zh-CN"/>
              </w:rPr>
              <w:t>人，工作</w:t>
            </w:r>
            <w:r>
              <w:rPr>
                <w:rFonts w:hint="eastAsia" w:cs="Times New Roman"/>
                <w:bCs/>
                <w:snapToGrid w:val="0"/>
                <w:color w:val="auto"/>
                <w:kern w:val="0"/>
                <w:sz w:val="24"/>
                <w:lang w:val="en-US" w:eastAsia="zh-CN"/>
              </w:rPr>
              <w:t>260</w:t>
            </w:r>
            <w:r>
              <w:rPr>
                <w:rFonts w:hint="eastAsia" w:ascii="Times New Roman" w:hAnsi="Times New Roman" w:eastAsia="宋体" w:cs="Times New Roman"/>
                <w:bCs/>
                <w:snapToGrid w:val="0"/>
                <w:color w:val="auto"/>
                <w:kern w:val="0"/>
                <w:sz w:val="24"/>
                <w:lang w:val="en-US" w:eastAsia="zh-CN"/>
              </w:rPr>
              <w:t>天，按1kg/d·人计，生活垃圾产生量为</w:t>
            </w:r>
            <w:r>
              <w:rPr>
                <w:rFonts w:hint="eastAsia" w:cs="Times New Roman"/>
                <w:bCs/>
                <w:snapToGrid w:val="0"/>
                <w:color w:val="auto"/>
                <w:kern w:val="0"/>
                <w:sz w:val="24"/>
                <w:lang w:val="en-US" w:eastAsia="zh-CN"/>
              </w:rPr>
              <w:t>16.9</w:t>
            </w:r>
            <w:r>
              <w:rPr>
                <w:rFonts w:hint="eastAsia" w:ascii="Times New Roman" w:hAnsi="Times New Roman" w:eastAsia="宋体" w:cs="Times New Roman"/>
                <w:bCs/>
                <w:snapToGrid w:val="0"/>
                <w:color w:val="auto"/>
                <w:kern w:val="0"/>
                <w:sz w:val="24"/>
                <w:lang w:val="en-US" w:eastAsia="zh-CN"/>
              </w:rPr>
              <w:t>t/a，由环卫部门统一处理。</w:t>
            </w:r>
          </w:p>
          <w:p w14:paraId="50C93E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rFonts w:hint="eastAsia"/>
                <w:b/>
                <w:color w:val="000000"/>
                <w:sz w:val="24"/>
              </w:rPr>
              <w:t>4.2固体废物判定情况</w:t>
            </w:r>
          </w:p>
          <w:p w14:paraId="37A7AE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
                <w:color w:val="auto"/>
              </w:rPr>
            </w:pPr>
            <w:r>
              <w:rPr>
                <w:color w:val="auto"/>
                <w:sz w:val="24"/>
              </w:rPr>
              <w:t>根据《固体废物鉴别标准</w:t>
            </w:r>
            <w:r>
              <w:rPr>
                <w:rFonts w:hint="eastAsia"/>
                <w:color w:val="auto"/>
                <w:sz w:val="24"/>
                <w:lang w:val="en-US" w:eastAsia="zh-CN"/>
              </w:rPr>
              <w:t xml:space="preserve"> </w:t>
            </w:r>
            <w:r>
              <w:rPr>
                <w:color w:val="auto"/>
                <w:sz w:val="24"/>
              </w:rPr>
              <w:t>通则</w:t>
            </w:r>
            <w:r>
              <w:rPr>
                <w:rFonts w:hint="eastAsia"/>
                <w:color w:val="auto"/>
                <w:sz w:val="24"/>
              </w:rPr>
              <w:t>（</w:t>
            </w:r>
            <w:r>
              <w:rPr>
                <w:color w:val="auto"/>
                <w:sz w:val="24"/>
              </w:rPr>
              <w:t>GB34330-2017</w:t>
            </w:r>
            <w:r>
              <w:rPr>
                <w:rFonts w:hint="eastAsia"/>
                <w:color w:val="auto"/>
                <w:sz w:val="24"/>
              </w:rPr>
              <w:t>）</w:t>
            </w:r>
            <w:r>
              <w:rPr>
                <w:color w:val="auto"/>
                <w:sz w:val="24"/>
              </w:rPr>
              <w:t>》的规定，判断其是否属于固体废物，给出判定依据及结果，见表4-</w:t>
            </w:r>
            <w:r>
              <w:rPr>
                <w:rFonts w:hint="eastAsia"/>
                <w:color w:val="auto"/>
                <w:sz w:val="24"/>
                <w:lang w:val="en-US" w:eastAsia="zh-CN"/>
              </w:rPr>
              <w:t>21</w:t>
            </w:r>
            <w:r>
              <w:rPr>
                <w:color w:val="auto"/>
                <w:sz w:val="24"/>
              </w:rPr>
              <w:t>。</w:t>
            </w:r>
          </w:p>
          <w:p w14:paraId="7B077AAC">
            <w:pPr>
              <w:adjustRightInd w:val="0"/>
              <w:snapToGrid w:val="0"/>
              <w:jc w:val="center"/>
              <w:rPr>
                <w:rFonts w:hint="eastAsia"/>
                <w:b/>
                <w:color w:val="auto"/>
              </w:rPr>
            </w:pPr>
            <w:r>
              <w:rPr>
                <w:rFonts w:hint="eastAsia"/>
                <w:b/>
                <w:color w:val="auto"/>
              </w:rPr>
              <w:t>表4-</w:t>
            </w:r>
            <w:r>
              <w:rPr>
                <w:rFonts w:hint="eastAsia"/>
                <w:b/>
                <w:color w:val="auto"/>
                <w:lang w:val="en-US" w:eastAsia="zh-CN"/>
              </w:rPr>
              <w:t xml:space="preserve">21 </w:t>
            </w:r>
            <w:r>
              <w:rPr>
                <w:rFonts w:hint="eastAsia"/>
                <w:b/>
                <w:color w:val="auto"/>
              </w:rPr>
              <w:t>本项目副产物产生情况汇总表</w:t>
            </w:r>
          </w:p>
          <w:tbl>
            <w:tblPr>
              <w:tblStyle w:val="20"/>
              <w:tblpPr w:leftFromText="180" w:rightFromText="180" w:vertAnchor="text" w:tblpX="1"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150"/>
              <w:gridCol w:w="1263"/>
              <w:gridCol w:w="536"/>
              <w:gridCol w:w="1492"/>
              <w:gridCol w:w="761"/>
              <w:gridCol w:w="633"/>
              <w:gridCol w:w="747"/>
              <w:gridCol w:w="1162"/>
            </w:tblGrid>
            <w:tr w14:paraId="4D7B7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vMerge w:val="restart"/>
                  <w:tcBorders>
                    <w:tl2br w:val="nil"/>
                    <w:tr2bl w:val="nil"/>
                  </w:tcBorders>
                  <w:noWrap w:val="0"/>
                  <w:tcMar>
                    <w:top w:w="0" w:type="dxa"/>
                    <w:left w:w="28" w:type="dxa"/>
                    <w:bottom w:w="0" w:type="dxa"/>
                    <w:right w:w="28" w:type="dxa"/>
                  </w:tcMar>
                  <w:vAlign w:val="center"/>
                </w:tcPr>
                <w:p w14:paraId="7B066764">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序号</w:t>
                  </w:r>
                </w:p>
              </w:tc>
              <w:tc>
                <w:tcPr>
                  <w:tcW w:w="698" w:type="pct"/>
                  <w:vMerge w:val="restart"/>
                  <w:tcBorders>
                    <w:tl2br w:val="nil"/>
                    <w:tr2bl w:val="nil"/>
                  </w:tcBorders>
                  <w:noWrap w:val="0"/>
                  <w:tcMar>
                    <w:top w:w="0" w:type="dxa"/>
                    <w:left w:w="28" w:type="dxa"/>
                    <w:bottom w:w="0" w:type="dxa"/>
                    <w:right w:w="28" w:type="dxa"/>
                  </w:tcMar>
                  <w:vAlign w:val="center"/>
                </w:tcPr>
                <w:p w14:paraId="0AE06FCD">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副产物名称</w:t>
                  </w:r>
                </w:p>
              </w:tc>
              <w:tc>
                <w:tcPr>
                  <w:tcW w:w="766" w:type="pct"/>
                  <w:vMerge w:val="restart"/>
                  <w:tcBorders>
                    <w:tl2br w:val="nil"/>
                    <w:tr2bl w:val="nil"/>
                  </w:tcBorders>
                  <w:noWrap w:val="0"/>
                  <w:tcMar>
                    <w:top w:w="0" w:type="dxa"/>
                    <w:left w:w="28" w:type="dxa"/>
                    <w:bottom w:w="0" w:type="dxa"/>
                    <w:right w:w="28" w:type="dxa"/>
                  </w:tcMar>
                  <w:vAlign w:val="center"/>
                </w:tcPr>
                <w:p w14:paraId="1D10FCD3">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产生工序</w:t>
                  </w:r>
                </w:p>
              </w:tc>
              <w:tc>
                <w:tcPr>
                  <w:tcW w:w="325" w:type="pct"/>
                  <w:vMerge w:val="restart"/>
                  <w:tcBorders>
                    <w:tl2br w:val="nil"/>
                    <w:tr2bl w:val="nil"/>
                  </w:tcBorders>
                  <w:noWrap w:val="0"/>
                  <w:tcMar>
                    <w:top w:w="0" w:type="dxa"/>
                    <w:left w:w="28" w:type="dxa"/>
                    <w:bottom w:w="0" w:type="dxa"/>
                    <w:right w:w="28" w:type="dxa"/>
                  </w:tcMar>
                  <w:vAlign w:val="center"/>
                </w:tcPr>
                <w:p w14:paraId="59305854">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形态</w:t>
                  </w:r>
                </w:p>
              </w:tc>
              <w:tc>
                <w:tcPr>
                  <w:tcW w:w="905" w:type="pct"/>
                  <w:vMerge w:val="restart"/>
                  <w:tcBorders>
                    <w:tl2br w:val="nil"/>
                    <w:tr2bl w:val="nil"/>
                  </w:tcBorders>
                  <w:noWrap w:val="0"/>
                  <w:tcMar>
                    <w:top w:w="0" w:type="dxa"/>
                    <w:left w:w="28" w:type="dxa"/>
                    <w:bottom w:w="0" w:type="dxa"/>
                    <w:right w:w="28" w:type="dxa"/>
                  </w:tcMar>
                  <w:vAlign w:val="center"/>
                </w:tcPr>
                <w:p w14:paraId="439A3D70">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主要成分</w:t>
                  </w:r>
                </w:p>
              </w:tc>
              <w:tc>
                <w:tcPr>
                  <w:tcW w:w="462" w:type="pct"/>
                  <w:vMerge w:val="restart"/>
                  <w:tcBorders>
                    <w:tl2br w:val="nil"/>
                    <w:tr2bl w:val="nil"/>
                  </w:tcBorders>
                  <w:noWrap w:val="0"/>
                  <w:tcMar>
                    <w:top w:w="0" w:type="dxa"/>
                    <w:left w:w="28" w:type="dxa"/>
                    <w:bottom w:w="0" w:type="dxa"/>
                    <w:right w:w="28" w:type="dxa"/>
                  </w:tcMar>
                  <w:vAlign w:val="center"/>
                </w:tcPr>
                <w:p w14:paraId="5865066D">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t>预测产生量（t/a）</w:t>
                  </w:r>
                </w:p>
              </w:tc>
              <w:tc>
                <w:tcPr>
                  <w:tcW w:w="1543" w:type="pct"/>
                  <w:gridSpan w:val="3"/>
                  <w:tcBorders>
                    <w:tl2br w:val="nil"/>
                    <w:tr2bl w:val="nil"/>
                  </w:tcBorders>
                  <w:noWrap w:val="0"/>
                  <w:tcMar>
                    <w:top w:w="0" w:type="dxa"/>
                    <w:left w:w="28" w:type="dxa"/>
                    <w:bottom w:w="0" w:type="dxa"/>
                    <w:right w:w="28" w:type="dxa"/>
                  </w:tcMar>
                  <w:vAlign w:val="center"/>
                </w:tcPr>
                <w:p w14:paraId="77D443F3">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t>种类判断</w:t>
                  </w:r>
                </w:p>
              </w:tc>
            </w:tr>
            <w:tr w14:paraId="23525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vMerge w:val="continue"/>
                  <w:tcBorders>
                    <w:tl2br w:val="nil"/>
                    <w:tr2bl w:val="nil"/>
                  </w:tcBorders>
                  <w:noWrap w:val="0"/>
                  <w:vAlign w:val="center"/>
                </w:tcPr>
                <w:p w14:paraId="51EFC445">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szCs w:val="21"/>
                    </w:rPr>
                  </w:pPr>
                </w:p>
              </w:tc>
              <w:tc>
                <w:tcPr>
                  <w:tcW w:w="698" w:type="pct"/>
                  <w:vMerge w:val="continue"/>
                  <w:tcBorders>
                    <w:tl2br w:val="nil"/>
                    <w:tr2bl w:val="nil"/>
                  </w:tcBorders>
                  <w:noWrap w:val="0"/>
                  <w:vAlign w:val="center"/>
                </w:tcPr>
                <w:p w14:paraId="49021C28">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szCs w:val="21"/>
                    </w:rPr>
                  </w:pPr>
                </w:p>
              </w:tc>
              <w:tc>
                <w:tcPr>
                  <w:tcW w:w="766" w:type="pct"/>
                  <w:vMerge w:val="continue"/>
                  <w:tcBorders>
                    <w:tl2br w:val="nil"/>
                    <w:tr2bl w:val="nil"/>
                  </w:tcBorders>
                  <w:noWrap w:val="0"/>
                  <w:vAlign w:val="center"/>
                </w:tcPr>
                <w:p w14:paraId="726DFCD8">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szCs w:val="21"/>
                    </w:rPr>
                  </w:pPr>
                </w:p>
              </w:tc>
              <w:tc>
                <w:tcPr>
                  <w:tcW w:w="325" w:type="pct"/>
                  <w:vMerge w:val="continue"/>
                  <w:tcBorders>
                    <w:tl2br w:val="nil"/>
                    <w:tr2bl w:val="nil"/>
                  </w:tcBorders>
                  <w:noWrap w:val="0"/>
                  <w:vAlign w:val="center"/>
                </w:tcPr>
                <w:p w14:paraId="6E300A2F">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szCs w:val="21"/>
                    </w:rPr>
                  </w:pPr>
                </w:p>
              </w:tc>
              <w:tc>
                <w:tcPr>
                  <w:tcW w:w="905" w:type="pct"/>
                  <w:vMerge w:val="continue"/>
                  <w:tcBorders>
                    <w:tl2br w:val="nil"/>
                    <w:tr2bl w:val="nil"/>
                  </w:tcBorders>
                  <w:noWrap w:val="0"/>
                  <w:vAlign w:val="center"/>
                </w:tcPr>
                <w:p w14:paraId="2892B20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szCs w:val="21"/>
                    </w:rPr>
                  </w:pPr>
                </w:p>
              </w:tc>
              <w:tc>
                <w:tcPr>
                  <w:tcW w:w="462" w:type="pct"/>
                  <w:vMerge w:val="continue"/>
                  <w:tcBorders>
                    <w:tl2br w:val="nil"/>
                    <w:tr2bl w:val="nil"/>
                  </w:tcBorders>
                  <w:noWrap w:val="0"/>
                  <w:vAlign w:val="center"/>
                </w:tcPr>
                <w:p w14:paraId="5F893534">
                  <w:pPr>
                    <w:keepNext w:val="0"/>
                    <w:keepLines w:val="0"/>
                    <w:pageBreakBefore w:val="0"/>
                    <w:widowControl/>
                    <w:kinsoku/>
                    <w:wordWrap/>
                    <w:overflowPunct/>
                    <w:topLinePunct w:val="0"/>
                    <w:autoSpaceDE/>
                    <w:autoSpaceDN/>
                    <w:bidi w:val="0"/>
                    <w:adjustRightInd w:val="0"/>
                    <w:snapToGrid w:val="0"/>
                    <w:ind w:firstLine="0"/>
                    <w:jc w:val="center"/>
                    <w:textAlignment w:val="auto"/>
                    <w:rPr>
                      <w:b/>
                      <w:color w:val="000000"/>
                      <w:szCs w:val="21"/>
                    </w:rPr>
                  </w:pPr>
                </w:p>
              </w:tc>
              <w:tc>
                <w:tcPr>
                  <w:tcW w:w="384" w:type="pct"/>
                  <w:tcBorders>
                    <w:tl2br w:val="nil"/>
                    <w:tr2bl w:val="nil"/>
                  </w:tcBorders>
                  <w:noWrap w:val="0"/>
                  <w:tcMar>
                    <w:top w:w="0" w:type="dxa"/>
                    <w:left w:w="28" w:type="dxa"/>
                    <w:bottom w:w="0" w:type="dxa"/>
                    <w:right w:w="28" w:type="dxa"/>
                  </w:tcMar>
                  <w:vAlign w:val="center"/>
                </w:tcPr>
                <w:p w14:paraId="5C706D04">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固体废物</w:t>
                  </w:r>
                </w:p>
              </w:tc>
              <w:tc>
                <w:tcPr>
                  <w:tcW w:w="453" w:type="pct"/>
                  <w:tcBorders>
                    <w:tl2br w:val="nil"/>
                    <w:tr2bl w:val="nil"/>
                  </w:tcBorders>
                  <w:noWrap w:val="0"/>
                  <w:tcMar>
                    <w:top w:w="0" w:type="dxa"/>
                    <w:left w:w="28" w:type="dxa"/>
                    <w:bottom w:w="0" w:type="dxa"/>
                    <w:right w:w="28" w:type="dxa"/>
                  </w:tcMar>
                  <w:vAlign w:val="center"/>
                </w:tcPr>
                <w:p w14:paraId="6EC8301F">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副产品</w:t>
                  </w:r>
                </w:p>
              </w:tc>
              <w:tc>
                <w:tcPr>
                  <w:tcW w:w="705" w:type="pct"/>
                  <w:tcBorders>
                    <w:tl2br w:val="nil"/>
                    <w:tr2bl w:val="nil"/>
                  </w:tcBorders>
                  <w:noWrap w:val="0"/>
                  <w:tcMar>
                    <w:top w:w="0" w:type="dxa"/>
                    <w:left w:w="28" w:type="dxa"/>
                    <w:bottom w:w="0" w:type="dxa"/>
                    <w:right w:w="28" w:type="dxa"/>
                  </w:tcMar>
                  <w:vAlign w:val="center"/>
                </w:tcPr>
                <w:p w14:paraId="6A8F68D4">
                  <w:pPr>
                    <w:keepNext w:val="0"/>
                    <w:keepLines w:val="0"/>
                    <w:pageBreakBefore w:val="0"/>
                    <w:kinsoku/>
                    <w:wordWrap/>
                    <w:overflowPunct/>
                    <w:topLinePunct w:val="0"/>
                    <w:autoSpaceDE/>
                    <w:autoSpaceDN/>
                    <w:bidi w:val="0"/>
                    <w:adjustRightInd w:val="0"/>
                    <w:snapToGrid w:val="0"/>
                    <w:ind w:firstLine="0"/>
                    <w:jc w:val="center"/>
                    <w:textAlignment w:val="auto"/>
                    <w:rPr>
                      <w:b/>
                      <w:color w:val="000000"/>
                      <w:szCs w:val="21"/>
                    </w:rPr>
                  </w:pPr>
                  <w:r>
                    <w:rPr>
                      <w:b/>
                      <w:color w:val="000000"/>
                      <w:szCs w:val="21"/>
                    </w:rPr>
                    <w:t>判定依据</w:t>
                  </w:r>
                </w:p>
              </w:tc>
            </w:tr>
            <w:tr w14:paraId="5CFFF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576E2676">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1</w:t>
                  </w:r>
                </w:p>
              </w:tc>
              <w:tc>
                <w:tcPr>
                  <w:tcW w:w="698" w:type="pct"/>
                  <w:tcBorders>
                    <w:tl2br w:val="nil"/>
                    <w:tr2bl w:val="nil"/>
                  </w:tcBorders>
                  <w:noWrap w:val="0"/>
                  <w:tcMar>
                    <w:top w:w="0" w:type="dxa"/>
                    <w:left w:w="28" w:type="dxa"/>
                    <w:bottom w:w="0" w:type="dxa"/>
                    <w:right w:w="28" w:type="dxa"/>
                  </w:tcMar>
                  <w:vAlign w:val="center"/>
                </w:tcPr>
                <w:p w14:paraId="6DA43915">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金属碎屑</w:t>
                  </w:r>
                </w:p>
              </w:tc>
              <w:tc>
                <w:tcPr>
                  <w:tcW w:w="766" w:type="pct"/>
                  <w:tcBorders>
                    <w:tl2br w:val="nil"/>
                    <w:tr2bl w:val="nil"/>
                  </w:tcBorders>
                  <w:noWrap w:val="0"/>
                  <w:tcMar>
                    <w:top w:w="0" w:type="dxa"/>
                    <w:left w:w="28" w:type="dxa"/>
                    <w:bottom w:w="0" w:type="dxa"/>
                    <w:right w:w="28" w:type="dxa"/>
                  </w:tcMar>
                  <w:vAlign w:val="center"/>
                </w:tcPr>
                <w:p w14:paraId="679160EE">
                  <w:pPr>
                    <w:keepNext w:val="0"/>
                    <w:keepLines w:val="0"/>
                    <w:pageBreakBefore w:val="0"/>
                    <w:kinsoku/>
                    <w:wordWrap/>
                    <w:overflowPunct/>
                    <w:topLinePunct w:val="0"/>
                    <w:autoSpaceDE/>
                    <w:autoSpaceDN/>
                    <w:bidi w:val="0"/>
                    <w:adjustRightInd w:val="0"/>
                    <w:snapToGrid w:val="0"/>
                    <w:ind w:firstLine="0"/>
                    <w:jc w:val="center"/>
                    <w:textAlignment w:val="auto"/>
                    <w:rPr>
                      <w:rFonts w:hint="default"/>
                      <w:color w:val="000000"/>
                      <w:szCs w:val="21"/>
                      <w:highlight w:val="none"/>
                      <w:lang w:val="en-US"/>
                    </w:rPr>
                  </w:pPr>
                  <w:r>
                    <w:rPr>
                      <w:rFonts w:hint="default"/>
                      <w:color w:val="000000"/>
                      <w:szCs w:val="21"/>
                      <w:highlight w:val="none"/>
                      <w:lang w:val="en-US"/>
                    </w:rPr>
                    <w:t>针柄制作</w:t>
                  </w:r>
                </w:p>
              </w:tc>
              <w:tc>
                <w:tcPr>
                  <w:tcW w:w="325" w:type="pct"/>
                  <w:tcBorders>
                    <w:tl2br w:val="nil"/>
                    <w:tr2bl w:val="nil"/>
                  </w:tcBorders>
                  <w:noWrap w:val="0"/>
                  <w:tcMar>
                    <w:top w:w="0" w:type="dxa"/>
                    <w:left w:w="28" w:type="dxa"/>
                    <w:bottom w:w="0" w:type="dxa"/>
                    <w:right w:w="28" w:type="dxa"/>
                  </w:tcMar>
                  <w:vAlign w:val="center"/>
                </w:tcPr>
                <w:p w14:paraId="242F5DEB">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固态</w:t>
                  </w:r>
                </w:p>
              </w:tc>
              <w:tc>
                <w:tcPr>
                  <w:tcW w:w="905" w:type="pct"/>
                  <w:tcBorders>
                    <w:tl2br w:val="nil"/>
                    <w:tr2bl w:val="nil"/>
                  </w:tcBorders>
                  <w:noWrap w:val="0"/>
                  <w:tcMar>
                    <w:top w:w="0" w:type="dxa"/>
                    <w:left w:w="28" w:type="dxa"/>
                    <w:bottom w:w="0" w:type="dxa"/>
                    <w:right w:w="28" w:type="dxa"/>
                  </w:tcMar>
                  <w:vAlign w:val="center"/>
                </w:tcPr>
                <w:p w14:paraId="3816E772">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eastAsia="宋体"/>
                      <w:color w:val="000000"/>
                      <w:szCs w:val="21"/>
                      <w:highlight w:val="none"/>
                      <w:lang w:val="en-US" w:eastAsia="zh-CN"/>
                    </w:rPr>
                    <w:t>金属</w:t>
                  </w:r>
                </w:p>
              </w:tc>
              <w:tc>
                <w:tcPr>
                  <w:tcW w:w="462" w:type="pct"/>
                  <w:tcBorders>
                    <w:tl2br w:val="nil"/>
                    <w:tr2bl w:val="nil"/>
                  </w:tcBorders>
                  <w:noWrap w:val="0"/>
                  <w:tcMar>
                    <w:top w:w="0" w:type="dxa"/>
                    <w:left w:w="28" w:type="dxa"/>
                    <w:bottom w:w="0" w:type="dxa"/>
                    <w:right w:w="28" w:type="dxa"/>
                  </w:tcMar>
                  <w:vAlign w:val="center"/>
                </w:tcPr>
                <w:p w14:paraId="46ACA43B">
                  <w:pPr>
                    <w:keepNext w:val="0"/>
                    <w:keepLines w:val="0"/>
                    <w:pageBreakBefore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12</w:t>
                  </w:r>
                </w:p>
              </w:tc>
              <w:tc>
                <w:tcPr>
                  <w:tcW w:w="384" w:type="pct"/>
                  <w:tcBorders>
                    <w:tl2br w:val="nil"/>
                    <w:tr2bl w:val="nil"/>
                  </w:tcBorders>
                  <w:noWrap w:val="0"/>
                  <w:tcMar>
                    <w:top w:w="0" w:type="dxa"/>
                    <w:left w:w="28" w:type="dxa"/>
                    <w:bottom w:w="0" w:type="dxa"/>
                    <w:right w:w="28" w:type="dxa"/>
                  </w:tcMar>
                  <w:vAlign w:val="center"/>
                </w:tcPr>
                <w:p w14:paraId="670C0BB2">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0151831B">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w:t>
                  </w:r>
                </w:p>
              </w:tc>
              <w:tc>
                <w:tcPr>
                  <w:tcW w:w="705" w:type="pct"/>
                  <w:vMerge w:val="restart"/>
                  <w:tcBorders>
                    <w:tl2br w:val="nil"/>
                    <w:tr2bl w:val="nil"/>
                  </w:tcBorders>
                  <w:noWrap w:val="0"/>
                  <w:tcMar>
                    <w:top w:w="0" w:type="dxa"/>
                    <w:left w:w="28" w:type="dxa"/>
                    <w:bottom w:w="0" w:type="dxa"/>
                    <w:right w:w="28" w:type="dxa"/>
                  </w:tcMar>
                  <w:vAlign w:val="center"/>
                </w:tcPr>
                <w:p w14:paraId="7D1B28B7">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r>
                    <w:rPr>
                      <w:color w:val="000000"/>
                      <w:szCs w:val="21"/>
                    </w:rPr>
                    <w:t>《固体废物鉴别标准</w:t>
                  </w:r>
                  <w:r>
                    <w:rPr>
                      <w:rFonts w:hint="eastAsia"/>
                      <w:color w:val="000000"/>
                      <w:szCs w:val="21"/>
                    </w:rPr>
                    <w:t xml:space="preserve"> </w:t>
                  </w:r>
                  <w:r>
                    <w:rPr>
                      <w:color w:val="000000"/>
                      <w:szCs w:val="21"/>
                    </w:rPr>
                    <w:t>通则》（GB34330-2017）</w:t>
                  </w:r>
                </w:p>
              </w:tc>
            </w:tr>
            <w:tr w14:paraId="58551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61521E3F">
                  <w:pPr>
                    <w:keepNext w:val="0"/>
                    <w:keepLines w:val="0"/>
                    <w:pageBreakBefore w:val="0"/>
                    <w:kinsoku/>
                    <w:wordWrap/>
                    <w:overflowPunct/>
                    <w:topLinePunct w:val="0"/>
                    <w:autoSpaceDE/>
                    <w:autoSpaceDN/>
                    <w:bidi w:val="0"/>
                    <w:adjustRightInd w:val="0"/>
                    <w:snapToGrid w:val="0"/>
                    <w:ind w:firstLine="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2</w:t>
                  </w:r>
                </w:p>
              </w:tc>
              <w:tc>
                <w:tcPr>
                  <w:tcW w:w="698" w:type="pct"/>
                  <w:tcBorders>
                    <w:tl2br w:val="nil"/>
                    <w:tr2bl w:val="nil"/>
                  </w:tcBorders>
                  <w:noWrap w:val="0"/>
                  <w:tcMar>
                    <w:top w:w="0" w:type="dxa"/>
                    <w:left w:w="28" w:type="dxa"/>
                    <w:bottom w:w="0" w:type="dxa"/>
                    <w:right w:w="28" w:type="dxa"/>
                  </w:tcMar>
                  <w:vAlign w:val="center"/>
                </w:tcPr>
                <w:p w14:paraId="7772EC8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不合格品</w:t>
                  </w:r>
                </w:p>
              </w:tc>
              <w:tc>
                <w:tcPr>
                  <w:tcW w:w="766" w:type="pct"/>
                  <w:tcBorders>
                    <w:tl2br w:val="nil"/>
                    <w:tr2bl w:val="nil"/>
                  </w:tcBorders>
                  <w:noWrap w:val="0"/>
                  <w:tcMar>
                    <w:top w:w="0" w:type="dxa"/>
                    <w:left w:w="28" w:type="dxa"/>
                    <w:bottom w:w="0" w:type="dxa"/>
                    <w:right w:w="28" w:type="dxa"/>
                  </w:tcMar>
                  <w:vAlign w:val="center"/>
                </w:tcPr>
                <w:p w14:paraId="1A800E5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检验</w:t>
                  </w:r>
                </w:p>
              </w:tc>
              <w:tc>
                <w:tcPr>
                  <w:tcW w:w="325" w:type="pct"/>
                  <w:tcBorders>
                    <w:tl2br w:val="nil"/>
                    <w:tr2bl w:val="nil"/>
                  </w:tcBorders>
                  <w:noWrap w:val="0"/>
                  <w:tcMar>
                    <w:top w:w="0" w:type="dxa"/>
                    <w:left w:w="28" w:type="dxa"/>
                    <w:bottom w:w="0" w:type="dxa"/>
                    <w:right w:w="28" w:type="dxa"/>
                  </w:tcMar>
                  <w:vAlign w:val="center"/>
                </w:tcPr>
                <w:p w14:paraId="789B21D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固态</w:t>
                  </w:r>
                </w:p>
              </w:tc>
              <w:tc>
                <w:tcPr>
                  <w:tcW w:w="905" w:type="pct"/>
                  <w:tcBorders>
                    <w:tl2br w:val="nil"/>
                    <w:tr2bl w:val="nil"/>
                  </w:tcBorders>
                  <w:noWrap w:val="0"/>
                  <w:tcMar>
                    <w:top w:w="0" w:type="dxa"/>
                    <w:left w:w="28" w:type="dxa"/>
                    <w:bottom w:w="0" w:type="dxa"/>
                    <w:right w:w="28" w:type="dxa"/>
                  </w:tcMar>
                  <w:vAlign w:val="center"/>
                </w:tcPr>
                <w:p w14:paraId="168706E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金属</w:t>
                  </w:r>
                </w:p>
              </w:tc>
              <w:tc>
                <w:tcPr>
                  <w:tcW w:w="462" w:type="pct"/>
                  <w:tcBorders>
                    <w:tl2br w:val="nil"/>
                    <w:tr2bl w:val="nil"/>
                  </w:tcBorders>
                  <w:noWrap w:val="0"/>
                  <w:tcMar>
                    <w:top w:w="0" w:type="dxa"/>
                    <w:left w:w="28" w:type="dxa"/>
                    <w:bottom w:w="0" w:type="dxa"/>
                    <w:right w:w="28" w:type="dxa"/>
                  </w:tcMar>
                  <w:vAlign w:val="center"/>
                </w:tcPr>
                <w:p w14:paraId="34D550F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1.5</w:t>
                  </w:r>
                </w:p>
              </w:tc>
              <w:tc>
                <w:tcPr>
                  <w:tcW w:w="384" w:type="pct"/>
                  <w:tcBorders>
                    <w:tl2br w:val="nil"/>
                    <w:tr2bl w:val="nil"/>
                  </w:tcBorders>
                  <w:noWrap w:val="0"/>
                  <w:tcMar>
                    <w:top w:w="0" w:type="dxa"/>
                    <w:left w:w="28" w:type="dxa"/>
                    <w:bottom w:w="0" w:type="dxa"/>
                    <w:right w:w="28" w:type="dxa"/>
                  </w:tcMar>
                  <w:vAlign w:val="center"/>
                </w:tcPr>
                <w:p w14:paraId="53CDA80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1ADF550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705" w:type="pct"/>
                  <w:vMerge w:val="continue"/>
                  <w:tcBorders>
                    <w:tl2br w:val="nil"/>
                    <w:tr2bl w:val="nil"/>
                  </w:tcBorders>
                  <w:noWrap w:val="0"/>
                  <w:tcMar>
                    <w:top w:w="0" w:type="dxa"/>
                    <w:left w:w="28" w:type="dxa"/>
                    <w:bottom w:w="0" w:type="dxa"/>
                    <w:right w:w="28" w:type="dxa"/>
                  </w:tcMar>
                  <w:vAlign w:val="center"/>
                </w:tcPr>
                <w:p w14:paraId="6095A1F3">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r w14:paraId="1EF0F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138D70D1">
                  <w:pPr>
                    <w:keepNext w:val="0"/>
                    <w:keepLines w:val="0"/>
                    <w:pageBreakBefore w:val="0"/>
                    <w:kinsoku/>
                    <w:wordWrap/>
                    <w:overflowPunct/>
                    <w:topLinePunct w:val="0"/>
                    <w:autoSpaceDE/>
                    <w:autoSpaceDN/>
                    <w:bidi w:val="0"/>
                    <w:adjustRightInd w:val="0"/>
                    <w:snapToGrid w:val="0"/>
                    <w:ind w:firstLine="0"/>
                    <w:jc w:val="center"/>
                    <w:textAlignment w:val="auto"/>
                    <w:rPr>
                      <w:rFonts w:hint="default"/>
                      <w:color w:val="000000"/>
                      <w:szCs w:val="21"/>
                      <w:highlight w:val="none"/>
                      <w:lang w:val="en-US" w:eastAsia="zh-CN"/>
                    </w:rPr>
                  </w:pPr>
                  <w:r>
                    <w:rPr>
                      <w:rFonts w:hint="eastAsia"/>
                      <w:color w:val="000000"/>
                      <w:szCs w:val="21"/>
                      <w:highlight w:val="none"/>
                      <w:lang w:val="en-US" w:eastAsia="zh-CN"/>
                    </w:rPr>
                    <w:t>3</w:t>
                  </w:r>
                </w:p>
              </w:tc>
              <w:tc>
                <w:tcPr>
                  <w:tcW w:w="698" w:type="pct"/>
                  <w:tcBorders>
                    <w:tl2br w:val="nil"/>
                    <w:tr2bl w:val="nil"/>
                  </w:tcBorders>
                  <w:noWrap w:val="0"/>
                  <w:tcMar>
                    <w:top w:w="0" w:type="dxa"/>
                    <w:left w:w="28" w:type="dxa"/>
                    <w:bottom w:w="0" w:type="dxa"/>
                    <w:right w:w="28" w:type="dxa"/>
                  </w:tcMar>
                  <w:vAlign w:val="center"/>
                </w:tcPr>
                <w:p w14:paraId="2DD43A7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废布袋</w:t>
                  </w:r>
                </w:p>
              </w:tc>
              <w:tc>
                <w:tcPr>
                  <w:tcW w:w="766" w:type="pct"/>
                  <w:tcBorders>
                    <w:tl2br w:val="nil"/>
                    <w:tr2bl w:val="nil"/>
                  </w:tcBorders>
                  <w:noWrap w:val="0"/>
                  <w:tcMar>
                    <w:top w:w="0" w:type="dxa"/>
                    <w:left w:w="28" w:type="dxa"/>
                    <w:bottom w:w="0" w:type="dxa"/>
                    <w:right w:w="28" w:type="dxa"/>
                  </w:tcMar>
                  <w:vAlign w:val="center"/>
                </w:tcPr>
                <w:p w14:paraId="3CE0ABD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废气处理</w:t>
                  </w:r>
                </w:p>
              </w:tc>
              <w:tc>
                <w:tcPr>
                  <w:tcW w:w="325" w:type="pct"/>
                  <w:tcBorders>
                    <w:tl2br w:val="nil"/>
                    <w:tr2bl w:val="nil"/>
                  </w:tcBorders>
                  <w:noWrap w:val="0"/>
                  <w:tcMar>
                    <w:top w:w="0" w:type="dxa"/>
                    <w:left w:w="28" w:type="dxa"/>
                    <w:bottom w:w="0" w:type="dxa"/>
                    <w:right w:w="28" w:type="dxa"/>
                  </w:tcMar>
                  <w:vAlign w:val="center"/>
                </w:tcPr>
                <w:p w14:paraId="35E4AE3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固态</w:t>
                  </w:r>
                </w:p>
              </w:tc>
              <w:tc>
                <w:tcPr>
                  <w:tcW w:w="905" w:type="pct"/>
                  <w:tcBorders>
                    <w:tl2br w:val="nil"/>
                    <w:tr2bl w:val="nil"/>
                  </w:tcBorders>
                  <w:noWrap w:val="0"/>
                  <w:tcMar>
                    <w:top w:w="0" w:type="dxa"/>
                    <w:left w:w="28" w:type="dxa"/>
                    <w:bottom w:w="0" w:type="dxa"/>
                    <w:right w:w="28" w:type="dxa"/>
                  </w:tcMar>
                  <w:vAlign w:val="center"/>
                </w:tcPr>
                <w:p w14:paraId="7FA53B9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布纤维</w:t>
                  </w:r>
                </w:p>
              </w:tc>
              <w:tc>
                <w:tcPr>
                  <w:tcW w:w="462" w:type="pct"/>
                  <w:tcBorders>
                    <w:tl2br w:val="nil"/>
                    <w:tr2bl w:val="nil"/>
                  </w:tcBorders>
                  <w:noWrap w:val="0"/>
                  <w:tcMar>
                    <w:top w:w="0" w:type="dxa"/>
                    <w:left w:w="28" w:type="dxa"/>
                    <w:bottom w:w="0" w:type="dxa"/>
                    <w:right w:w="28" w:type="dxa"/>
                  </w:tcMar>
                  <w:vAlign w:val="center"/>
                </w:tcPr>
                <w:p w14:paraId="6D91AC2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0.05</w:t>
                  </w:r>
                </w:p>
              </w:tc>
              <w:tc>
                <w:tcPr>
                  <w:tcW w:w="384" w:type="pct"/>
                  <w:tcBorders>
                    <w:tl2br w:val="nil"/>
                    <w:tr2bl w:val="nil"/>
                  </w:tcBorders>
                  <w:noWrap w:val="0"/>
                  <w:tcMar>
                    <w:top w:w="0" w:type="dxa"/>
                    <w:left w:w="28" w:type="dxa"/>
                    <w:bottom w:w="0" w:type="dxa"/>
                    <w:right w:w="28" w:type="dxa"/>
                  </w:tcMar>
                  <w:vAlign w:val="center"/>
                </w:tcPr>
                <w:p w14:paraId="5C0AC7A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13AE7D6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705" w:type="pct"/>
                  <w:vMerge w:val="continue"/>
                  <w:tcBorders>
                    <w:tl2br w:val="nil"/>
                    <w:tr2bl w:val="nil"/>
                  </w:tcBorders>
                  <w:noWrap w:val="0"/>
                  <w:tcMar>
                    <w:top w:w="0" w:type="dxa"/>
                    <w:left w:w="28" w:type="dxa"/>
                    <w:bottom w:w="0" w:type="dxa"/>
                    <w:right w:w="28" w:type="dxa"/>
                  </w:tcMar>
                  <w:vAlign w:val="center"/>
                </w:tcPr>
                <w:p w14:paraId="2427536C">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r w14:paraId="61CB2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64E521F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4</w:t>
                  </w:r>
                </w:p>
              </w:tc>
              <w:tc>
                <w:tcPr>
                  <w:tcW w:w="698" w:type="pct"/>
                  <w:tcBorders>
                    <w:tl2br w:val="nil"/>
                    <w:tr2bl w:val="nil"/>
                  </w:tcBorders>
                  <w:noWrap w:val="0"/>
                  <w:tcMar>
                    <w:top w:w="0" w:type="dxa"/>
                    <w:left w:w="28" w:type="dxa"/>
                    <w:bottom w:w="0" w:type="dxa"/>
                    <w:right w:w="28" w:type="dxa"/>
                  </w:tcMar>
                  <w:vAlign w:val="center"/>
                </w:tcPr>
                <w:p w14:paraId="492572E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766" w:type="pct"/>
                  <w:tcBorders>
                    <w:tl2br w:val="nil"/>
                    <w:tr2bl w:val="nil"/>
                  </w:tcBorders>
                  <w:noWrap w:val="0"/>
                  <w:tcMar>
                    <w:top w:w="0" w:type="dxa"/>
                    <w:left w:w="28" w:type="dxa"/>
                    <w:bottom w:w="0" w:type="dxa"/>
                    <w:right w:w="28" w:type="dxa"/>
                  </w:tcMar>
                  <w:vAlign w:val="center"/>
                </w:tcPr>
                <w:p w14:paraId="797515D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废气设施</w:t>
                  </w:r>
                </w:p>
              </w:tc>
              <w:tc>
                <w:tcPr>
                  <w:tcW w:w="325" w:type="pct"/>
                  <w:tcBorders>
                    <w:tl2br w:val="nil"/>
                    <w:tr2bl w:val="nil"/>
                  </w:tcBorders>
                  <w:noWrap w:val="0"/>
                  <w:tcMar>
                    <w:top w:w="0" w:type="dxa"/>
                    <w:left w:w="28" w:type="dxa"/>
                    <w:bottom w:w="0" w:type="dxa"/>
                    <w:right w:w="28" w:type="dxa"/>
                  </w:tcMar>
                  <w:vAlign w:val="center"/>
                </w:tcPr>
                <w:p w14:paraId="5EA0AAC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固态</w:t>
                  </w:r>
                </w:p>
              </w:tc>
              <w:tc>
                <w:tcPr>
                  <w:tcW w:w="905" w:type="pct"/>
                  <w:tcBorders>
                    <w:tl2br w:val="nil"/>
                    <w:tr2bl w:val="nil"/>
                  </w:tcBorders>
                  <w:noWrap w:val="0"/>
                  <w:tcMar>
                    <w:top w:w="0" w:type="dxa"/>
                    <w:left w:w="28" w:type="dxa"/>
                    <w:bottom w:w="0" w:type="dxa"/>
                    <w:right w:w="28" w:type="dxa"/>
                  </w:tcMar>
                  <w:vAlign w:val="center"/>
                </w:tcPr>
                <w:p w14:paraId="7F57045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废气、活性炭</w:t>
                  </w:r>
                </w:p>
              </w:tc>
              <w:tc>
                <w:tcPr>
                  <w:tcW w:w="462" w:type="pct"/>
                  <w:tcBorders>
                    <w:tl2br w:val="nil"/>
                    <w:tr2bl w:val="nil"/>
                  </w:tcBorders>
                  <w:noWrap w:val="0"/>
                  <w:tcMar>
                    <w:top w:w="0" w:type="dxa"/>
                    <w:left w:w="28" w:type="dxa"/>
                    <w:bottom w:w="0" w:type="dxa"/>
                    <w:right w:w="28" w:type="dxa"/>
                  </w:tcMar>
                  <w:vAlign w:val="center"/>
                </w:tcPr>
                <w:p w14:paraId="628F3F5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0.2665</w:t>
                  </w:r>
                </w:p>
              </w:tc>
              <w:tc>
                <w:tcPr>
                  <w:tcW w:w="384" w:type="pct"/>
                  <w:tcBorders>
                    <w:tl2br w:val="nil"/>
                    <w:tr2bl w:val="nil"/>
                  </w:tcBorders>
                  <w:noWrap w:val="0"/>
                  <w:tcMar>
                    <w:top w:w="0" w:type="dxa"/>
                    <w:left w:w="28" w:type="dxa"/>
                    <w:bottom w:w="0" w:type="dxa"/>
                    <w:right w:w="28" w:type="dxa"/>
                  </w:tcMar>
                  <w:vAlign w:val="center"/>
                </w:tcPr>
                <w:p w14:paraId="55C9658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55241D0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705" w:type="pct"/>
                  <w:vMerge w:val="continue"/>
                  <w:tcBorders>
                    <w:tl2br w:val="nil"/>
                    <w:tr2bl w:val="nil"/>
                  </w:tcBorders>
                  <w:noWrap w:val="0"/>
                  <w:tcMar>
                    <w:top w:w="0" w:type="dxa"/>
                    <w:left w:w="28" w:type="dxa"/>
                    <w:bottom w:w="0" w:type="dxa"/>
                    <w:right w:w="28" w:type="dxa"/>
                  </w:tcMar>
                  <w:vAlign w:val="center"/>
                </w:tcPr>
                <w:p w14:paraId="47B651C3">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r w14:paraId="67266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48217DE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szCs w:val="21"/>
                      <w:highlight w:val="none"/>
                      <w:lang w:val="en-US" w:eastAsia="zh-CN"/>
                    </w:rPr>
                  </w:pPr>
                  <w:r>
                    <w:rPr>
                      <w:rFonts w:hint="eastAsia"/>
                      <w:color w:val="000000"/>
                      <w:szCs w:val="21"/>
                      <w:highlight w:val="none"/>
                      <w:lang w:val="en-US" w:eastAsia="zh-CN"/>
                    </w:rPr>
                    <w:t>5</w:t>
                  </w:r>
                </w:p>
              </w:tc>
              <w:tc>
                <w:tcPr>
                  <w:tcW w:w="698" w:type="pct"/>
                  <w:tcBorders>
                    <w:tl2br w:val="nil"/>
                    <w:tr2bl w:val="nil"/>
                  </w:tcBorders>
                  <w:noWrap w:val="0"/>
                  <w:tcMar>
                    <w:top w:w="0" w:type="dxa"/>
                    <w:left w:w="28" w:type="dxa"/>
                    <w:bottom w:w="0" w:type="dxa"/>
                    <w:right w:w="28" w:type="dxa"/>
                  </w:tcMar>
                  <w:vAlign w:val="center"/>
                </w:tcPr>
                <w:p w14:paraId="697EF5E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废润滑油</w:t>
                  </w:r>
                </w:p>
              </w:tc>
              <w:tc>
                <w:tcPr>
                  <w:tcW w:w="766" w:type="pct"/>
                  <w:tcBorders>
                    <w:tl2br w:val="nil"/>
                    <w:tr2bl w:val="nil"/>
                  </w:tcBorders>
                  <w:noWrap w:val="0"/>
                  <w:tcMar>
                    <w:top w:w="0" w:type="dxa"/>
                    <w:left w:w="28" w:type="dxa"/>
                    <w:bottom w:w="0" w:type="dxa"/>
                    <w:right w:w="28" w:type="dxa"/>
                  </w:tcMar>
                  <w:vAlign w:val="center"/>
                </w:tcPr>
                <w:p w14:paraId="2770CD8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日常维保</w:t>
                  </w:r>
                </w:p>
              </w:tc>
              <w:tc>
                <w:tcPr>
                  <w:tcW w:w="325" w:type="pct"/>
                  <w:tcBorders>
                    <w:tl2br w:val="nil"/>
                    <w:tr2bl w:val="nil"/>
                  </w:tcBorders>
                  <w:noWrap w:val="0"/>
                  <w:tcMar>
                    <w:top w:w="0" w:type="dxa"/>
                    <w:left w:w="28" w:type="dxa"/>
                    <w:bottom w:w="0" w:type="dxa"/>
                    <w:right w:w="28" w:type="dxa"/>
                  </w:tcMar>
                  <w:vAlign w:val="center"/>
                </w:tcPr>
                <w:p w14:paraId="51E8673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液态</w:t>
                  </w:r>
                </w:p>
              </w:tc>
              <w:tc>
                <w:tcPr>
                  <w:tcW w:w="905" w:type="pct"/>
                  <w:tcBorders>
                    <w:tl2br w:val="nil"/>
                    <w:tr2bl w:val="nil"/>
                  </w:tcBorders>
                  <w:noWrap w:val="0"/>
                  <w:tcMar>
                    <w:top w:w="0" w:type="dxa"/>
                    <w:left w:w="28" w:type="dxa"/>
                    <w:bottom w:w="0" w:type="dxa"/>
                    <w:right w:w="28" w:type="dxa"/>
                  </w:tcMar>
                  <w:vAlign w:val="center"/>
                </w:tcPr>
                <w:p w14:paraId="30F9A9E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润滑油</w:t>
                  </w:r>
                </w:p>
              </w:tc>
              <w:tc>
                <w:tcPr>
                  <w:tcW w:w="462" w:type="pct"/>
                  <w:tcBorders>
                    <w:tl2br w:val="nil"/>
                    <w:tr2bl w:val="nil"/>
                  </w:tcBorders>
                  <w:noWrap w:val="0"/>
                  <w:tcMar>
                    <w:top w:w="0" w:type="dxa"/>
                    <w:left w:w="28" w:type="dxa"/>
                    <w:bottom w:w="0" w:type="dxa"/>
                    <w:right w:w="28" w:type="dxa"/>
                  </w:tcMar>
                  <w:vAlign w:val="center"/>
                </w:tcPr>
                <w:p w14:paraId="125B42C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c>
                <w:tcPr>
                  <w:tcW w:w="384" w:type="pct"/>
                  <w:tcBorders>
                    <w:tl2br w:val="nil"/>
                    <w:tr2bl w:val="nil"/>
                  </w:tcBorders>
                  <w:noWrap w:val="0"/>
                  <w:tcMar>
                    <w:top w:w="0" w:type="dxa"/>
                    <w:left w:w="28" w:type="dxa"/>
                    <w:bottom w:w="0" w:type="dxa"/>
                    <w:right w:w="28" w:type="dxa"/>
                  </w:tcMar>
                  <w:vAlign w:val="center"/>
                </w:tcPr>
                <w:p w14:paraId="23C5A8B4">
                  <w:pPr>
                    <w:keepNext w:val="0"/>
                    <w:keepLines w:val="0"/>
                    <w:pageBreakBefore w:val="0"/>
                    <w:kinsoku/>
                    <w:wordWrap/>
                    <w:overflowPunct/>
                    <w:topLinePunct w:val="0"/>
                    <w:autoSpaceDE/>
                    <w:autoSpaceDN/>
                    <w:bidi w:val="0"/>
                    <w:adjustRightInd w:val="0"/>
                    <w:snapToGrid w:val="0"/>
                    <w:ind w:firstLine="0" w:firstLineChars="0"/>
                    <w:jc w:val="center"/>
                    <w:textAlignment w:val="auto"/>
                    <w:rPr>
                      <w:color w:val="000000"/>
                      <w:szCs w:val="21"/>
                      <w:highlight w:val="none"/>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2FE475C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w:t>
                  </w:r>
                </w:p>
              </w:tc>
              <w:tc>
                <w:tcPr>
                  <w:tcW w:w="705" w:type="pct"/>
                  <w:vMerge w:val="continue"/>
                  <w:tcBorders>
                    <w:tl2br w:val="nil"/>
                    <w:tr2bl w:val="nil"/>
                  </w:tcBorders>
                  <w:noWrap w:val="0"/>
                  <w:tcMar>
                    <w:top w:w="0" w:type="dxa"/>
                    <w:left w:w="28" w:type="dxa"/>
                    <w:bottom w:w="0" w:type="dxa"/>
                    <w:right w:w="28" w:type="dxa"/>
                  </w:tcMar>
                  <w:vAlign w:val="center"/>
                </w:tcPr>
                <w:p w14:paraId="74406DD2">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r w14:paraId="3D9A8C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5DD1181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6</w:t>
                  </w:r>
                </w:p>
              </w:tc>
              <w:tc>
                <w:tcPr>
                  <w:tcW w:w="698" w:type="pct"/>
                  <w:tcBorders>
                    <w:tl2br w:val="nil"/>
                    <w:tr2bl w:val="nil"/>
                  </w:tcBorders>
                  <w:noWrap w:val="0"/>
                  <w:tcMar>
                    <w:top w:w="0" w:type="dxa"/>
                    <w:left w:w="28" w:type="dxa"/>
                    <w:bottom w:w="0" w:type="dxa"/>
                    <w:right w:w="28" w:type="dxa"/>
                  </w:tcMar>
                  <w:vAlign w:val="center"/>
                </w:tcPr>
                <w:p w14:paraId="29986F4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废油桶</w:t>
                  </w:r>
                </w:p>
              </w:tc>
              <w:tc>
                <w:tcPr>
                  <w:tcW w:w="766" w:type="pct"/>
                  <w:tcBorders>
                    <w:tl2br w:val="nil"/>
                    <w:tr2bl w:val="nil"/>
                  </w:tcBorders>
                  <w:noWrap w:val="0"/>
                  <w:tcMar>
                    <w:top w:w="0" w:type="dxa"/>
                    <w:left w:w="28" w:type="dxa"/>
                    <w:bottom w:w="0" w:type="dxa"/>
                    <w:right w:w="28" w:type="dxa"/>
                  </w:tcMar>
                  <w:vAlign w:val="center"/>
                </w:tcPr>
                <w:p w14:paraId="197F027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原辅料使用</w:t>
                  </w:r>
                </w:p>
              </w:tc>
              <w:tc>
                <w:tcPr>
                  <w:tcW w:w="325" w:type="pct"/>
                  <w:tcBorders>
                    <w:tl2br w:val="nil"/>
                    <w:tr2bl w:val="nil"/>
                  </w:tcBorders>
                  <w:noWrap w:val="0"/>
                  <w:tcMar>
                    <w:top w:w="0" w:type="dxa"/>
                    <w:left w:w="28" w:type="dxa"/>
                    <w:bottom w:w="0" w:type="dxa"/>
                    <w:right w:w="28" w:type="dxa"/>
                  </w:tcMar>
                  <w:vAlign w:val="center"/>
                </w:tcPr>
                <w:p w14:paraId="61CBA69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固态</w:t>
                  </w:r>
                </w:p>
              </w:tc>
              <w:tc>
                <w:tcPr>
                  <w:tcW w:w="905" w:type="pct"/>
                  <w:tcBorders>
                    <w:tl2br w:val="nil"/>
                    <w:tr2bl w:val="nil"/>
                  </w:tcBorders>
                  <w:noWrap w:val="0"/>
                  <w:tcMar>
                    <w:top w:w="0" w:type="dxa"/>
                    <w:left w:w="28" w:type="dxa"/>
                    <w:bottom w:w="0" w:type="dxa"/>
                    <w:right w:w="28" w:type="dxa"/>
                  </w:tcMar>
                  <w:vAlign w:val="center"/>
                </w:tcPr>
                <w:p w14:paraId="22017FF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润滑油、桶</w:t>
                  </w:r>
                </w:p>
              </w:tc>
              <w:tc>
                <w:tcPr>
                  <w:tcW w:w="462" w:type="pct"/>
                  <w:tcBorders>
                    <w:tl2br w:val="nil"/>
                    <w:tr2bl w:val="nil"/>
                  </w:tcBorders>
                  <w:noWrap w:val="0"/>
                  <w:tcMar>
                    <w:top w:w="0" w:type="dxa"/>
                    <w:left w:w="28" w:type="dxa"/>
                    <w:bottom w:w="0" w:type="dxa"/>
                    <w:right w:w="28" w:type="dxa"/>
                  </w:tcMar>
                  <w:vAlign w:val="center"/>
                </w:tcPr>
                <w:p w14:paraId="350A3B3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c>
                <w:tcPr>
                  <w:tcW w:w="384" w:type="pct"/>
                  <w:tcBorders>
                    <w:tl2br w:val="nil"/>
                    <w:tr2bl w:val="nil"/>
                  </w:tcBorders>
                  <w:noWrap w:val="0"/>
                  <w:tcMar>
                    <w:top w:w="0" w:type="dxa"/>
                    <w:left w:w="28" w:type="dxa"/>
                    <w:bottom w:w="0" w:type="dxa"/>
                    <w:right w:w="28" w:type="dxa"/>
                  </w:tcMar>
                  <w:vAlign w:val="center"/>
                </w:tcPr>
                <w:p w14:paraId="011F951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5CE9651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705" w:type="pct"/>
                  <w:vMerge w:val="continue"/>
                  <w:tcBorders>
                    <w:tl2br w:val="nil"/>
                    <w:tr2bl w:val="nil"/>
                  </w:tcBorders>
                  <w:noWrap w:val="0"/>
                  <w:tcMar>
                    <w:top w:w="0" w:type="dxa"/>
                    <w:left w:w="28" w:type="dxa"/>
                    <w:bottom w:w="0" w:type="dxa"/>
                    <w:right w:w="28" w:type="dxa"/>
                  </w:tcMar>
                  <w:vAlign w:val="center"/>
                </w:tcPr>
                <w:p w14:paraId="5E5BB6F8">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r w14:paraId="70C33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4749CFD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7</w:t>
                  </w:r>
                </w:p>
              </w:tc>
              <w:tc>
                <w:tcPr>
                  <w:tcW w:w="698" w:type="pct"/>
                  <w:tcBorders>
                    <w:tl2br w:val="nil"/>
                    <w:tr2bl w:val="nil"/>
                  </w:tcBorders>
                  <w:noWrap w:val="0"/>
                  <w:tcMar>
                    <w:top w:w="0" w:type="dxa"/>
                    <w:left w:w="28" w:type="dxa"/>
                    <w:bottom w:w="0" w:type="dxa"/>
                    <w:right w:w="28" w:type="dxa"/>
                  </w:tcMar>
                  <w:vAlign w:val="center"/>
                </w:tcPr>
                <w:p w14:paraId="51AC69C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蒸发残液</w:t>
                  </w:r>
                </w:p>
              </w:tc>
              <w:tc>
                <w:tcPr>
                  <w:tcW w:w="766" w:type="pct"/>
                  <w:tcBorders>
                    <w:tl2br w:val="nil"/>
                    <w:tr2bl w:val="nil"/>
                  </w:tcBorders>
                  <w:noWrap w:val="0"/>
                  <w:tcMar>
                    <w:top w:w="0" w:type="dxa"/>
                    <w:left w:w="28" w:type="dxa"/>
                    <w:bottom w:w="0" w:type="dxa"/>
                    <w:right w:w="28" w:type="dxa"/>
                  </w:tcMar>
                  <w:vAlign w:val="center"/>
                </w:tcPr>
                <w:p w14:paraId="4FCF753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废水设施</w:t>
                  </w:r>
                </w:p>
              </w:tc>
              <w:tc>
                <w:tcPr>
                  <w:tcW w:w="325" w:type="pct"/>
                  <w:tcBorders>
                    <w:tl2br w:val="nil"/>
                    <w:tr2bl w:val="nil"/>
                  </w:tcBorders>
                  <w:noWrap w:val="0"/>
                  <w:tcMar>
                    <w:top w:w="0" w:type="dxa"/>
                    <w:left w:w="28" w:type="dxa"/>
                    <w:bottom w:w="0" w:type="dxa"/>
                    <w:right w:w="28" w:type="dxa"/>
                  </w:tcMar>
                  <w:vAlign w:val="center"/>
                </w:tcPr>
                <w:p w14:paraId="725B635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液态</w:t>
                  </w:r>
                </w:p>
              </w:tc>
              <w:tc>
                <w:tcPr>
                  <w:tcW w:w="905" w:type="pct"/>
                  <w:tcBorders>
                    <w:tl2br w:val="nil"/>
                    <w:tr2bl w:val="nil"/>
                  </w:tcBorders>
                  <w:noWrap w:val="0"/>
                  <w:tcMar>
                    <w:top w:w="0" w:type="dxa"/>
                    <w:left w:w="28" w:type="dxa"/>
                    <w:bottom w:w="0" w:type="dxa"/>
                    <w:right w:w="28" w:type="dxa"/>
                  </w:tcMar>
                  <w:vAlign w:val="center"/>
                </w:tcPr>
                <w:p w14:paraId="142D589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水、洗洁精</w:t>
                  </w:r>
                </w:p>
              </w:tc>
              <w:tc>
                <w:tcPr>
                  <w:tcW w:w="462" w:type="pct"/>
                  <w:tcBorders>
                    <w:tl2br w:val="nil"/>
                    <w:tr2bl w:val="nil"/>
                  </w:tcBorders>
                  <w:noWrap w:val="0"/>
                  <w:tcMar>
                    <w:top w:w="0" w:type="dxa"/>
                    <w:left w:w="28" w:type="dxa"/>
                    <w:bottom w:w="0" w:type="dxa"/>
                    <w:right w:w="28" w:type="dxa"/>
                  </w:tcMar>
                  <w:vAlign w:val="center"/>
                </w:tcPr>
                <w:p w14:paraId="7FA88F5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384" w:type="pct"/>
                  <w:tcBorders>
                    <w:tl2br w:val="nil"/>
                    <w:tr2bl w:val="nil"/>
                  </w:tcBorders>
                  <w:noWrap w:val="0"/>
                  <w:tcMar>
                    <w:top w:w="0" w:type="dxa"/>
                    <w:left w:w="28" w:type="dxa"/>
                    <w:bottom w:w="0" w:type="dxa"/>
                    <w:right w:w="28" w:type="dxa"/>
                  </w:tcMar>
                  <w:vAlign w:val="center"/>
                </w:tcPr>
                <w:p w14:paraId="0CBF69A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453" w:type="pct"/>
                  <w:tcBorders>
                    <w:tl2br w:val="nil"/>
                    <w:tr2bl w:val="nil"/>
                  </w:tcBorders>
                  <w:noWrap w:val="0"/>
                  <w:tcMar>
                    <w:top w:w="0" w:type="dxa"/>
                    <w:left w:w="28" w:type="dxa"/>
                    <w:bottom w:w="0" w:type="dxa"/>
                    <w:right w:w="28" w:type="dxa"/>
                  </w:tcMar>
                  <w:vAlign w:val="center"/>
                </w:tcPr>
                <w:p w14:paraId="53DF6EB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c>
                <w:tcPr>
                  <w:tcW w:w="705" w:type="pct"/>
                  <w:vMerge w:val="continue"/>
                  <w:tcBorders>
                    <w:tl2br w:val="nil"/>
                    <w:tr2bl w:val="nil"/>
                  </w:tcBorders>
                  <w:noWrap w:val="0"/>
                  <w:tcMar>
                    <w:top w:w="0" w:type="dxa"/>
                    <w:left w:w="28" w:type="dxa"/>
                    <w:bottom w:w="0" w:type="dxa"/>
                    <w:right w:w="28" w:type="dxa"/>
                  </w:tcMar>
                  <w:vAlign w:val="center"/>
                </w:tcPr>
                <w:p w14:paraId="296B1E26">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r w14:paraId="32665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98" w:type="pct"/>
                  <w:tcBorders>
                    <w:tl2br w:val="nil"/>
                    <w:tr2bl w:val="nil"/>
                  </w:tcBorders>
                  <w:noWrap w:val="0"/>
                  <w:tcMar>
                    <w:top w:w="0" w:type="dxa"/>
                    <w:left w:w="28" w:type="dxa"/>
                    <w:bottom w:w="0" w:type="dxa"/>
                    <w:right w:w="28" w:type="dxa"/>
                  </w:tcMar>
                  <w:vAlign w:val="center"/>
                </w:tcPr>
                <w:p w14:paraId="55A19697">
                  <w:pPr>
                    <w:keepNext w:val="0"/>
                    <w:keepLines w:val="0"/>
                    <w:pageBreakBefore w:val="0"/>
                    <w:kinsoku/>
                    <w:wordWrap/>
                    <w:overflowPunct/>
                    <w:topLinePunct w:val="0"/>
                    <w:autoSpaceDE/>
                    <w:autoSpaceDN/>
                    <w:bidi w:val="0"/>
                    <w:adjustRightInd w:val="0"/>
                    <w:snapToGrid w:val="0"/>
                    <w:ind w:firstLine="0"/>
                    <w:jc w:val="center"/>
                    <w:textAlignment w:val="auto"/>
                    <w:rPr>
                      <w:rFonts w:hint="default"/>
                      <w:color w:val="000000"/>
                      <w:szCs w:val="21"/>
                      <w:highlight w:val="none"/>
                      <w:lang w:val="en-US" w:eastAsia="zh-CN"/>
                    </w:rPr>
                  </w:pPr>
                  <w:r>
                    <w:rPr>
                      <w:rFonts w:hint="eastAsia"/>
                      <w:color w:val="000000"/>
                      <w:szCs w:val="21"/>
                      <w:highlight w:val="none"/>
                      <w:lang w:val="en-US" w:eastAsia="zh-CN"/>
                    </w:rPr>
                    <w:t>8</w:t>
                  </w:r>
                </w:p>
              </w:tc>
              <w:tc>
                <w:tcPr>
                  <w:tcW w:w="698" w:type="pct"/>
                  <w:tcBorders>
                    <w:tl2br w:val="nil"/>
                    <w:tr2bl w:val="nil"/>
                  </w:tcBorders>
                  <w:noWrap w:val="0"/>
                  <w:tcMar>
                    <w:top w:w="0" w:type="dxa"/>
                    <w:left w:w="28" w:type="dxa"/>
                    <w:bottom w:w="0" w:type="dxa"/>
                    <w:right w:w="28" w:type="dxa"/>
                  </w:tcMar>
                  <w:vAlign w:val="center"/>
                </w:tcPr>
                <w:p w14:paraId="05C95AD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生活垃圾</w:t>
                  </w:r>
                </w:p>
              </w:tc>
              <w:tc>
                <w:tcPr>
                  <w:tcW w:w="766" w:type="pct"/>
                  <w:tcBorders>
                    <w:tl2br w:val="nil"/>
                    <w:tr2bl w:val="nil"/>
                  </w:tcBorders>
                  <w:noWrap w:val="0"/>
                  <w:tcMar>
                    <w:top w:w="0" w:type="dxa"/>
                    <w:left w:w="28" w:type="dxa"/>
                    <w:bottom w:w="0" w:type="dxa"/>
                    <w:right w:w="28" w:type="dxa"/>
                  </w:tcMar>
                  <w:vAlign w:val="center"/>
                </w:tcPr>
                <w:p w14:paraId="3E293BA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员工生活</w:t>
                  </w:r>
                </w:p>
              </w:tc>
              <w:tc>
                <w:tcPr>
                  <w:tcW w:w="325" w:type="pct"/>
                  <w:tcBorders>
                    <w:tl2br w:val="nil"/>
                    <w:tr2bl w:val="nil"/>
                  </w:tcBorders>
                  <w:noWrap w:val="0"/>
                  <w:tcMar>
                    <w:top w:w="0" w:type="dxa"/>
                    <w:left w:w="28" w:type="dxa"/>
                    <w:bottom w:w="0" w:type="dxa"/>
                    <w:right w:w="28" w:type="dxa"/>
                  </w:tcMar>
                  <w:vAlign w:val="center"/>
                </w:tcPr>
                <w:p w14:paraId="7E99544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固态</w:t>
                  </w:r>
                </w:p>
              </w:tc>
              <w:tc>
                <w:tcPr>
                  <w:tcW w:w="905" w:type="pct"/>
                  <w:tcBorders>
                    <w:tl2br w:val="nil"/>
                    <w:tr2bl w:val="nil"/>
                  </w:tcBorders>
                  <w:noWrap w:val="0"/>
                  <w:tcMar>
                    <w:top w:w="0" w:type="dxa"/>
                    <w:left w:w="28" w:type="dxa"/>
                    <w:bottom w:w="0" w:type="dxa"/>
                    <w:right w:w="28" w:type="dxa"/>
                  </w:tcMar>
                  <w:vAlign w:val="center"/>
                </w:tcPr>
                <w:p w14:paraId="0A8161B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办公垃圾</w:t>
                  </w:r>
                </w:p>
              </w:tc>
              <w:tc>
                <w:tcPr>
                  <w:tcW w:w="462" w:type="pct"/>
                  <w:tcBorders>
                    <w:tl2br w:val="nil"/>
                    <w:tr2bl w:val="nil"/>
                  </w:tcBorders>
                  <w:noWrap w:val="0"/>
                  <w:tcMar>
                    <w:top w:w="0" w:type="dxa"/>
                    <w:left w:w="28" w:type="dxa"/>
                    <w:bottom w:w="0" w:type="dxa"/>
                    <w:right w:w="28" w:type="dxa"/>
                  </w:tcMar>
                  <w:vAlign w:val="center"/>
                </w:tcPr>
                <w:p w14:paraId="4171C91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16.9</w:t>
                  </w:r>
                </w:p>
              </w:tc>
              <w:tc>
                <w:tcPr>
                  <w:tcW w:w="384" w:type="pct"/>
                  <w:tcBorders>
                    <w:tl2br w:val="nil"/>
                    <w:tr2bl w:val="nil"/>
                  </w:tcBorders>
                  <w:noWrap w:val="0"/>
                  <w:tcMar>
                    <w:top w:w="0" w:type="dxa"/>
                    <w:left w:w="28" w:type="dxa"/>
                    <w:bottom w:w="0" w:type="dxa"/>
                    <w:right w:w="28" w:type="dxa"/>
                  </w:tcMar>
                  <w:vAlign w:val="center"/>
                </w:tcPr>
                <w:p w14:paraId="67B5BEB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lang w:val="en-US" w:eastAsia="zh-CN" w:bidi="ar-SA"/>
                    </w:rPr>
                  </w:pPr>
                  <w:r>
                    <w:rPr>
                      <w:color w:val="000000"/>
                      <w:szCs w:val="21"/>
                    </w:rPr>
                    <w:t>√</w:t>
                  </w:r>
                </w:p>
              </w:tc>
              <w:tc>
                <w:tcPr>
                  <w:tcW w:w="453" w:type="pct"/>
                  <w:tcBorders>
                    <w:tl2br w:val="nil"/>
                    <w:tr2bl w:val="nil"/>
                  </w:tcBorders>
                  <w:noWrap w:val="0"/>
                  <w:tcMar>
                    <w:top w:w="0" w:type="dxa"/>
                    <w:left w:w="28" w:type="dxa"/>
                    <w:bottom w:w="0" w:type="dxa"/>
                    <w:right w:w="28" w:type="dxa"/>
                  </w:tcMar>
                  <w:vAlign w:val="center"/>
                </w:tcPr>
                <w:p w14:paraId="6C4AE51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ascii="Times New Roman" w:hAnsi="Times New Roman" w:eastAsia="宋体" w:cs="Times New Roman"/>
                      <w:color w:val="000000"/>
                      <w:kern w:val="2"/>
                      <w:sz w:val="21"/>
                      <w:szCs w:val="21"/>
                      <w:lang w:val="en-US" w:eastAsia="zh-CN" w:bidi="ar-SA"/>
                    </w:rPr>
                  </w:pPr>
                  <w:r>
                    <w:rPr>
                      <w:color w:val="000000"/>
                      <w:szCs w:val="21"/>
                    </w:rPr>
                    <w:t>/</w:t>
                  </w:r>
                </w:p>
              </w:tc>
              <w:tc>
                <w:tcPr>
                  <w:tcW w:w="705" w:type="pct"/>
                  <w:vMerge w:val="continue"/>
                  <w:tcBorders>
                    <w:tl2br w:val="nil"/>
                    <w:tr2bl w:val="nil"/>
                  </w:tcBorders>
                  <w:noWrap w:val="0"/>
                  <w:tcMar>
                    <w:top w:w="0" w:type="dxa"/>
                    <w:left w:w="28" w:type="dxa"/>
                    <w:bottom w:w="0" w:type="dxa"/>
                    <w:right w:w="28" w:type="dxa"/>
                  </w:tcMar>
                  <w:vAlign w:val="center"/>
                </w:tcPr>
                <w:p w14:paraId="2C386941">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yellow"/>
                    </w:rPr>
                  </w:pPr>
                </w:p>
              </w:tc>
            </w:tr>
          </w:tbl>
          <w:p w14:paraId="3A13E2C6">
            <w:pPr>
              <w:keepNext w:val="0"/>
              <w:keepLines w:val="0"/>
              <w:pageBreakBefore w:val="0"/>
              <w:widowControl w:val="0"/>
              <w:kinsoku/>
              <w:wordWrap/>
              <w:overflowPunct/>
              <w:topLinePunct w:val="0"/>
              <w:bidi w:val="0"/>
              <w:spacing w:line="360" w:lineRule="auto"/>
              <w:ind w:firstLine="482" w:firstLineChars="200"/>
              <w:textAlignment w:val="auto"/>
              <w:rPr>
                <w:b/>
                <w:color w:val="000000"/>
                <w:sz w:val="24"/>
              </w:rPr>
            </w:pPr>
            <w:r>
              <w:rPr>
                <w:b/>
                <w:color w:val="000000"/>
                <w:sz w:val="24"/>
              </w:rPr>
              <w:t>4.2 固体废物产生情况汇总</w:t>
            </w:r>
          </w:p>
          <w:p w14:paraId="4006861A">
            <w:pPr>
              <w:pStyle w:val="34"/>
              <w:keepNext w:val="0"/>
              <w:keepLines w:val="0"/>
              <w:pageBreakBefore w:val="0"/>
              <w:widowControl w:val="0"/>
              <w:kinsoku/>
              <w:wordWrap/>
              <w:overflowPunct/>
              <w:topLinePunct w:val="0"/>
              <w:bidi w:val="0"/>
              <w:adjustRightInd w:val="0"/>
              <w:spacing w:line="360" w:lineRule="auto"/>
              <w:ind w:firstLine="480" w:firstLineChars="200"/>
              <w:jc w:val="both"/>
              <w:textAlignment w:val="auto"/>
              <w:rPr>
                <w:rFonts w:eastAsia="宋体"/>
                <w:color w:val="000000"/>
                <w:sz w:val="24"/>
                <w:szCs w:val="24"/>
              </w:rPr>
            </w:pPr>
            <w:r>
              <w:rPr>
                <w:rFonts w:hint="eastAsia" w:eastAsia="宋体"/>
                <w:color w:val="000000"/>
                <w:sz w:val="24"/>
                <w:szCs w:val="24"/>
              </w:rPr>
              <w:t>本项目固体废物汇总见表4-</w:t>
            </w:r>
            <w:r>
              <w:rPr>
                <w:rFonts w:hint="eastAsia" w:eastAsia="宋体"/>
                <w:color w:val="000000"/>
                <w:sz w:val="24"/>
                <w:szCs w:val="24"/>
                <w:lang w:val="en-US" w:eastAsia="zh-CN"/>
              </w:rPr>
              <w:t>22</w:t>
            </w:r>
            <w:r>
              <w:rPr>
                <w:rFonts w:hint="eastAsia" w:eastAsia="宋体"/>
                <w:color w:val="000000"/>
                <w:sz w:val="24"/>
                <w:szCs w:val="24"/>
              </w:rPr>
              <w:t>：</w:t>
            </w:r>
          </w:p>
          <w:p w14:paraId="7C740B2E">
            <w:pPr>
              <w:pStyle w:val="34"/>
              <w:keepNext w:val="0"/>
              <w:keepLines w:val="0"/>
              <w:pageBreakBefore w:val="0"/>
              <w:widowControl w:val="0"/>
              <w:kinsoku/>
              <w:wordWrap/>
              <w:overflowPunct/>
              <w:topLinePunct w:val="0"/>
              <w:autoSpaceDE w:val="0"/>
              <w:autoSpaceDN w:val="0"/>
              <w:bidi w:val="0"/>
              <w:adjustRightInd/>
              <w:snapToGrid w:val="0"/>
              <w:spacing w:line="240" w:lineRule="auto"/>
              <w:ind w:firstLine="0"/>
              <w:textAlignment w:val="auto"/>
              <w:rPr>
                <w:rFonts w:eastAsia="宋体"/>
                <w:b/>
                <w:color w:val="000000"/>
                <w:sz w:val="21"/>
                <w:szCs w:val="21"/>
              </w:rPr>
            </w:pPr>
            <w:r>
              <w:rPr>
                <w:rFonts w:hint="eastAsia" w:eastAsia="宋体"/>
                <w:b/>
                <w:color w:val="000000"/>
                <w:sz w:val="21"/>
                <w:szCs w:val="21"/>
              </w:rPr>
              <w:t>表4-</w:t>
            </w:r>
            <w:r>
              <w:rPr>
                <w:rFonts w:hint="eastAsia" w:eastAsia="宋体"/>
                <w:b/>
                <w:color w:val="000000"/>
                <w:sz w:val="21"/>
                <w:szCs w:val="21"/>
                <w:lang w:val="en-US" w:eastAsia="zh-CN"/>
              </w:rPr>
              <w:t>22</w:t>
            </w:r>
            <w:r>
              <w:rPr>
                <w:rFonts w:hint="eastAsia" w:eastAsia="宋体"/>
                <w:b/>
                <w:color w:val="000000"/>
                <w:sz w:val="21"/>
                <w:szCs w:val="21"/>
              </w:rPr>
              <w:t xml:space="preserve"> 本项目固体废物分析结果汇总表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2"/>
              <w:gridCol w:w="1111"/>
              <w:gridCol w:w="463"/>
              <w:gridCol w:w="775"/>
              <w:gridCol w:w="476"/>
              <w:gridCol w:w="849"/>
              <w:gridCol w:w="995"/>
              <w:gridCol w:w="532"/>
              <w:gridCol w:w="634"/>
              <w:gridCol w:w="1165"/>
              <w:gridCol w:w="743"/>
            </w:tblGrid>
            <w:tr w14:paraId="01367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7061147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序号</w:t>
                  </w:r>
                </w:p>
              </w:tc>
              <w:tc>
                <w:tcPr>
                  <w:tcW w:w="674" w:type="pct"/>
                  <w:tcBorders>
                    <w:tl2br w:val="nil"/>
                    <w:tr2bl w:val="nil"/>
                  </w:tcBorders>
                  <w:noWrap w:val="0"/>
                  <w:vAlign w:val="center"/>
                </w:tcPr>
                <w:p w14:paraId="388C68E5">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固废名称</w:t>
                  </w:r>
                </w:p>
              </w:tc>
              <w:tc>
                <w:tcPr>
                  <w:tcW w:w="281" w:type="pct"/>
                  <w:tcBorders>
                    <w:tl2br w:val="nil"/>
                    <w:tr2bl w:val="nil"/>
                  </w:tcBorders>
                  <w:noWrap w:val="0"/>
                  <w:vAlign w:val="center"/>
                </w:tcPr>
                <w:p w14:paraId="3084033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属性</w:t>
                  </w:r>
                </w:p>
              </w:tc>
              <w:tc>
                <w:tcPr>
                  <w:tcW w:w="470" w:type="pct"/>
                  <w:tcBorders>
                    <w:tl2br w:val="nil"/>
                    <w:tr2bl w:val="nil"/>
                  </w:tcBorders>
                  <w:noWrap w:val="0"/>
                  <w:vAlign w:val="center"/>
                </w:tcPr>
                <w:p w14:paraId="28F9181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产生工序</w:t>
                  </w:r>
                </w:p>
              </w:tc>
              <w:tc>
                <w:tcPr>
                  <w:tcW w:w="289" w:type="pct"/>
                  <w:tcBorders>
                    <w:tl2br w:val="nil"/>
                    <w:tr2bl w:val="nil"/>
                  </w:tcBorders>
                  <w:noWrap w:val="0"/>
                  <w:vAlign w:val="center"/>
                </w:tcPr>
                <w:p w14:paraId="4D5DFF9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形态</w:t>
                  </w:r>
                </w:p>
              </w:tc>
              <w:tc>
                <w:tcPr>
                  <w:tcW w:w="515" w:type="pct"/>
                  <w:tcBorders>
                    <w:tl2br w:val="nil"/>
                    <w:tr2bl w:val="nil"/>
                  </w:tcBorders>
                  <w:noWrap w:val="0"/>
                  <w:vAlign w:val="center"/>
                </w:tcPr>
                <w:p w14:paraId="2917D4C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主要</w:t>
                  </w:r>
                </w:p>
                <w:p w14:paraId="646E6B4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成分</w:t>
                  </w:r>
                </w:p>
              </w:tc>
              <w:tc>
                <w:tcPr>
                  <w:tcW w:w="604" w:type="pct"/>
                  <w:tcBorders>
                    <w:tl2br w:val="nil"/>
                    <w:tr2bl w:val="nil"/>
                  </w:tcBorders>
                  <w:noWrap w:val="0"/>
                  <w:vAlign w:val="center"/>
                </w:tcPr>
                <w:p w14:paraId="5FF4C53D">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危险特性鉴别方法</w:t>
                  </w:r>
                </w:p>
              </w:tc>
              <w:tc>
                <w:tcPr>
                  <w:tcW w:w="323" w:type="pct"/>
                  <w:tcBorders>
                    <w:tl2br w:val="nil"/>
                    <w:tr2bl w:val="nil"/>
                  </w:tcBorders>
                  <w:noWrap w:val="0"/>
                  <w:vAlign w:val="center"/>
                </w:tcPr>
                <w:p w14:paraId="101A9C7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危险</w:t>
                  </w:r>
                </w:p>
                <w:p w14:paraId="63AA1550">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特性</w:t>
                  </w:r>
                </w:p>
              </w:tc>
              <w:tc>
                <w:tcPr>
                  <w:tcW w:w="384" w:type="pct"/>
                  <w:tcBorders>
                    <w:tl2br w:val="nil"/>
                    <w:tr2bl w:val="nil"/>
                  </w:tcBorders>
                  <w:noWrap w:val="0"/>
                  <w:vAlign w:val="center"/>
                </w:tcPr>
                <w:p w14:paraId="1DFC9CD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废物</w:t>
                  </w:r>
                </w:p>
                <w:p w14:paraId="1FE496A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类别</w:t>
                  </w:r>
                </w:p>
              </w:tc>
              <w:tc>
                <w:tcPr>
                  <w:tcW w:w="707" w:type="pct"/>
                  <w:tcBorders>
                    <w:tl2br w:val="nil"/>
                    <w:tr2bl w:val="nil"/>
                  </w:tcBorders>
                  <w:noWrap w:val="0"/>
                  <w:vAlign w:val="center"/>
                </w:tcPr>
                <w:p w14:paraId="741BC25A">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废物</w:t>
                  </w:r>
                </w:p>
                <w:p w14:paraId="0A1AF59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代码</w:t>
                  </w:r>
                </w:p>
              </w:tc>
              <w:tc>
                <w:tcPr>
                  <w:tcW w:w="451" w:type="pct"/>
                  <w:tcBorders>
                    <w:tl2br w:val="nil"/>
                    <w:tr2bl w:val="nil"/>
                  </w:tcBorders>
                  <w:noWrap w:val="0"/>
                  <w:vAlign w:val="center"/>
                </w:tcPr>
                <w:p w14:paraId="5A831E58">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估算产生量（</w:t>
                  </w:r>
                  <w:r>
                    <w:rPr>
                      <w:b/>
                      <w:color w:val="000000"/>
                      <w:szCs w:val="21"/>
                      <w:highlight w:val="none"/>
                    </w:rPr>
                    <w:t>t/a</w:t>
                  </w:r>
                  <w:r>
                    <w:rPr>
                      <w:rFonts w:hint="eastAsia"/>
                      <w:b/>
                      <w:color w:val="000000"/>
                      <w:szCs w:val="21"/>
                      <w:highlight w:val="none"/>
                    </w:rPr>
                    <w:t>）</w:t>
                  </w:r>
                </w:p>
              </w:tc>
            </w:tr>
            <w:tr w14:paraId="7D7D4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6640EE3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1</w:t>
                  </w:r>
                </w:p>
              </w:tc>
              <w:tc>
                <w:tcPr>
                  <w:tcW w:w="674" w:type="pct"/>
                  <w:tcBorders>
                    <w:tl2br w:val="nil"/>
                    <w:tr2bl w:val="nil"/>
                  </w:tcBorders>
                  <w:noWrap w:val="0"/>
                  <w:vAlign w:val="center"/>
                </w:tcPr>
                <w:p w14:paraId="40A92DB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金属碎屑</w:t>
                  </w:r>
                </w:p>
              </w:tc>
              <w:tc>
                <w:tcPr>
                  <w:tcW w:w="281" w:type="pct"/>
                  <w:vMerge w:val="restart"/>
                  <w:tcBorders>
                    <w:tl2br w:val="nil"/>
                    <w:tr2bl w:val="nil"/>
                  </w:tcBorders>
                  <w:noWrap w:val="0"/>
                  <w:vAlign w:val="center"/>
                </w:tcPr>
                <w:p w14:paraId="3AB7578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一般</w:t>
                  </w:r>
                </w:p>
                <w:p w14:paraId="303D8EC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固废</w:t>
                  </w:r>
                </w:p>
              </w:tc>
              <w:tc>
                <w:tcPr>
                  <w:tcW w:w="470" w:type="pct"/>
                  <w:tcBorders>
                    <w:tl2br w:val="nil"/>
                    <w:tr2bl w:val="nil"/>
                  </w:tcBorders>
                  <w:noWrap w:val="0"/>
                  <w:vAlign w:val="center"/>
                </w:tcPr>
                <w:p w14:paraId="2A74DA2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default"/>
                      <w:color w:val="000000"/>
                      <w:szCs w:val="21"/>
                      <w:highlight w:val="none"/>
                      <w:lang w:val="en-US"/>
                    </w:rPr>
                    <w:t>针柄制作</w:t>
                  </w:r>
                </w:p>
              </w:tc>
              <w:tc>
                <w:tcPr>
                  <w:tcW w:w="289" w:type="pct"/>
                  <w:tcBorders>
                    <w:tl2br w:val="nil"/>
                    <w:tr2bl w:val="nil"/>
                  </w:tcBorders>
                  <w:noWrap w:val="0"/>
                  <w:vAlign w:val="center"/>
                </w:tcPr>
                <w:p w14:paraId="5DE92A6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固态</w:t>
                  </w:r>
                </w:p>
              </w:tc>
              <w:tc>
                <w:tcPr>
                  <w:tcW w:w="515" w:type="pct"/>
                  <w:tcBorders>
                    <w:tl2br w:val="nil"/>
                    <w:tr2bl w:val="nil"/>
                  </w:tcBorders>
                  <w:noWrap w:val="0"/>
                  <w:vAlign w:val="center"/>
                </w:tcPr>
                <w:p w14:paraId="0E59A3E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eastAsia="宋体"/>
                      <w:color w:val="000000"/>
                      <w:szCs w:val="21"/>
                      <w:highlight w:val="none"/>
                      <w:lang w:val="en-US" w:eastAsia="zh-CN"/>
                    </w:rPr>
                    <w:t>金属</w:t>
                  </w:r>
                </w:p>
              </w:tc>
              <w:tc>
                <w:tcPr>
                  <w:tcW w:w="604" w:type="pct"/>
                  <w:vMerge w:val="restart"/>
                  <w:tcBorders>
                    <w:tl2br w:val="nil"/>
                    <w:tr2bl w:val="nil"/>
                  </w:tcBorders>
                  <w:noWrap w:val="0"/>
                  <w:vAlign w:val="center"/>
                </w:tcPr>
                <w:p w14:paraId="6185605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《固体废物分类与代码目录》</w:t>
                  </w:r>
                </w:p>
              </w:tc>
              <w:tc>
                <w:tcPr>
                  <w:tcW w:w="323" w:type="pct"/>
                  <w:tcBorders>
                    <w:tl2br w:val="nil"/>
                    <w:tr2bl w:val="nil"/>
                  </w:tcBorders>
                  <w:noWrap w:val="0"/>
                  <w:vAlign w:val="center"/>
                </w:tcPr>
                <w:p w14:paraId="7490F5B3">
                  <w:pPr>
                    <w:adjustRightInd w:val="0"/>
                    <w:snapToGrid w:val="0"/>
                    <w:jc w:val="center"/>
                    <w:rPr>
                      <w:color w:val="000000"/>
                      <w:sz w:val="21"/>
                      <w:szCs w:val="21"/>
                      <w:highlight w:val="yellow"/>
                    </w:rPr>
                  </w:pPr>
                  <w:r>
                    <w:rPr>
                      <w:rFonts w:hint="eastAsia"/>
                      <w:color w:val="000000"/>
                      <w:sz w:val="21"/>
                      <w:szCs w:val="21"/>
                    </w:rPr>
                    <w:t>/</w:t>
                  </w:r>
                </w:p>
              </w:tc>
              <w:tc>
                <w:tcPr>
                  <w:tcW w:w="384" w:type="pct"/>
                  <w:tcBorders>
                    <w:tl2br w:val="nil"/>
                    <w:tr2bl w:val="nil"/>
                  </w:tcBorders>
                  <w:noWrap w:val="0"/>
                  <w:vAlign w:val="center"/>
                </w:tcPr>
                <w:p w14:paraId="13A1021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kern w:val="2"/>
                      <w:sz w:val="21"/>
                      <w:szCs w:val="21"/>
                      <w:highlight w:val="none"/>
                      <w:lang w:val="en-US" w:eastAsia="zh-CN" w:bidi="ar-SA"/>
                    </w:rPr>
                  </w:pPr>
                  <w:r>
                    <w:rPr>
                      <w:rFonts w:hint="eastAsia"/>
                      <w:sz w:val="21"/>
                      <w:szCs w:val="21"/>
                      <w:highlight w:val="none"/>
                    </w:rPr>
                    <w:t>SW</w:t>
                  </w:r>
                  <w:r>
                    <w:rPr>
                      <w:rFonts w:hint="eastAsia"/>
                      <w:sz w:val="21"/>
                      <w:szCs w:val="21"/>
                      <w:highlight w:val="none"/>
                      <w:lang w:val="en-US" w:eastAsia="zh-CN"/>
                    </w:rPr>
                    <w:t>17</w:t>
                  </w:r>
                </w:p>
              </w:tc>
              <w:tc>
                <w:tcPr>
                  <w:tcW w:w="707" w:type="pct"/>
                  <w:tcBorders>
                    <w:tl2br w:val="nil"/>
                    <w:tr2bl w:val="nil"/>
                  </w:tcBorders>
                  <w:noWrap w:val="0"/>
                  <w:vAlign w:val="center"/>
                </w:tcPr>
                <w:p w14:paraId="12002E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kern w:val="2"/>
                      <w:sz w:val="21"/>
                      <w:szCs w:val="21"/>
                      <w:highlight w:val="none"/>
                      <w:lang w:val="en-US" w:eastAsia="zh-CN" w:bidi="ar-SA"/>
                    </w:rPr>
                  </w:pPr>
                  <w:r>
                    <w:rPr>
                      <w:rFonts w:hint="eastAsia"/>
                      <w:sz w:val="21"/>
                      <w:szCs w:val="21"/>
                      <w:highlight w:val="none"/>
                    </w:rPr>
                    <w:t>900-0</w:t>
                  </w:r>
                  <w:r>
                    <w:rPr>
                      <w:rFonts w:hint="eastAsia"/>
                      <w:sz w:val="21"/>
                      <w:szCs w:val="21"/>
                      <w:highlight w:val="none"/>
                      <w:lang w:val="en-US" w:eastAsia="zh-CN"/>
                    </w:rPr>
                    <w:t>01</w:t>
                  </w:r>
                  <w:r>
                    <w:rPr>
                      <w:rFonts w:hint="eastAsia"/>
                      <w:sz w:val="21"/>
                      <w:szCs w:val="21"/>
                      <w:highlight w:val="none"/>
                    </w:rPr>
                    <w:t>-S</w:t>
                  </w:r>
                  <w:r>
                    <w:rPr>
                      <w:rFonts w:hint="eastAsia"/>
                      <w:sz w:val="21"/>
                      <w:szCs w:val="21"/>
                      <w:highlight w:val="none"/>
                      <w:lang w:val="en-US" w:eastAsia="zh-CN"/>
                    </w:rPr>
                    <w:t>17</w:t>
                  </w:r>
                </w:p>
              </w:tc>
              <w:tc>
                <w:tcPr>
                  <w:tcW w:w="451" w:type="pct"/>
                  <w:tcBorders>
                    <w:tl2br w:val="nil"/>
                    <w:tr2bl w:val="nil"/>
                  </w:tcBorders>
                  <w:noWrap w:val="0"/>
                  <w:vAlign w:val="center"/>
                </w:tcPr>
                <w:p w14:paraId="2CCA0B8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12</w:t>
                  </w:r>
                </w:p>
              </w:tc>
            </w:tr>
            <w:tr w14:paraId="3EB61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2DA6F15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szCs w:val="21"/>
                      <w:highlight w:val="none"/>
                      <w:lang w:val="en-US" w:eastAsia="zh-CN"/>
                    </w:rPr>
                  </w:pPr>
                  <w:r>
                    <w:rPr>
                      <w:rFonts w:hint="eastAsia"/>
                      <w:color w:val="000000"/>
                      <w:szCs w:val="21"/>
                      <w:highlight w:val="none"/>
                      <w:lang w:val="en-US" w:eastAsia="zh-CN"/>
                    </w:rPr>
                    <w:t>2</w:t>
                  </w:r>
                </w:p>
              </w:tc>
              <w:tc>
                <w:tcPr>
                  <w:tcW w:w="674" w:type="pct"/>
                  <w:tcBorders>
                    <w:tl2br w:val="nil"/>
                    <w:tr2bl w:val="nil"/>
                  </w:tcBorders>
                  <w:noWrap w:val="0"/>
                  <w:vAlign w:val="center"/>
                </w:tcPr>
                <w:p w14:paraId="70C924B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不合格品</w:t>
                  </w:r>
                </w:p>
              </w:tc>
              <w:tc>
                <w:tcPr>
                  <w:tcW w:w="281" w:type="pct"/>
                  <w:vMerge w:val="continue"/>
                  <w:tcBorders>
                    <w:tl2br w:val="nil"/>
                    <w:tr2bl w:val="nil"/>
                  </w:tcBorders>
                  <w:noWrap w:val="0"/>
                  <w:vAlign w:val="center"/>
                </w:tcPr>
                <w:p w14:paraId="1862126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p>
              </w:tc>
              <w:tc>
                <w:tcPr>
                  <w:tcW w:w="470" w:type="pct"/>
                  <w:tcBorders>
                    <w:tl2br w:val="nil"/>
                    <w:tr2bl w:val="nil"/>
                  </w:tcBorders>
                  <w:noWrap w:val="0"/>
                  <w:vAlign w:val="center"/>
                </w:tcPr>
                <w:p w14:paraId="24C0FAD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检验</w:t>
                  </w:r>
                </w:p>
              </w:tc>
              <w:tc>
                <w:tcPr>
                  <w:tcW w:w="289" w:type="pct"/>
                  <w:tcBorders>
                    <w:tl2br w:val="nil"/>
                    <w:tr2bl w:val="nil"/>
                  </w:tcBorders>
                  <w:noWrap w:val="0"/>
                  <w:vAlign w:val="center"/>
                </w:tcPr>
                <w:p w14:paraId="45E33CB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固态</w:t>
                  </w:r>
                </w:p>
              </w:tc>
              <w:tc>
                <w:tcPr>
                  <w:tcW w:w="515" w:type="pct"/>
                  <w:tcBorders>
                    <w:tl2br w:val="nil"/>
                    <w:tr2bl w:val="nil"/>
                  </w:tcBorders>
                  <w:noWrap w:val="0"/>
                  <w:vAlign w:val="center"/>
                </w:tcPr>
                <w:p w14:paraId="581CF20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金属</w:t>
                  </w:r>
                </w:p>
              </w:tc>
              <w:tc>
                <w:tcPr>
                  <w:tcW w:w="604" w:type="pct"/>
                  <w:vMerge w:val="continue"/>
                  <w:tcBorders>
                    <w:tl2br w:val="nil"/>
                    <w:tr2bl w:val="nil"/>
                  </w:tcBorders>
                  <w:noWrap w:val="0"/>
                  <w:vAlign w:val="center"/>
                </w:tcPr>
                <w:p w14:paraId="7A60CD81">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p>
              </w:tc>
              <w:tc>
                <w:tcPr>
                  <w:tcW w:w="323" w:type="pct"/>
                  <w:tcBorders>
                    <w:tl2br w:val="nil"/>
                    <w:tr2bl w:val="nil"/>
                  </w:tcBorders>
                  <w:noWrap w:val="0"/>
                  <w:vAlign w:val="center"/>
                </w:tcPr>
                <w:p w14:paraId="590B99A8">
                  <w:pPr>
                    <w:adjustRightInd w:val="0"/>
                    <w:snapToGrid w:val="0"/>
                    <w:jc w:val="center"/>
                    <w:rPr>
                      <w:rFonts w:hint="eastAsia" w:eastAsia="宋体"/>
                      <w:color w:val="000000"/>
                      <w:sz w:val="21"/>
                      <w:szCs w:val="21"/>
                      <w:lang w:val="en-US" w:eastAsia="zh-CN"/>
                    </w:rPr>
                  </w:pPr>
                  <w:r>
                    <w:rPr>
                      <w:rFonts w:hint="eastAsia"/>
                      <w:color w:val="000000"/>
                      <w:sz w:val="21"/>
                      <w:szCs w:val="21"/>
                      <w:lang w:val="en-US" w:eastAsia="zh-CN"/>
                    </w:rPr>
                    <w:t>/</w:t>
                  </w:r>
                </w:p>
              </w:tc>
              <w:tc>
                <w:tcPr>
                  <w:tcW w:w="384" w:type="pct"/>
                  <w:tcBorders>
                    <w:tl2br w:val="nil"/>
                    <w:tr2bl w:val="nil"/>
                  </w:tcBorders>
                  <w:noWrap w:val="0"/>
                  <w:vAlign w:val="center"/>
                </w:tcPr>
                <w:p w14:paraId="5866935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kern w:val="2"/>
                      <w:sz w:val="21"/>
                      <w:szCs w:val="21"/>
                      <w:highlight w:val="yellow"/>
                      <w:lang w:val="en-US" w:eastAsia="zh-CN" w:bidi="ar-SA"/>
                    </w:rPr>
                  </w:pPr>
                  <w:r>
                    <w:rPr>
                      <w:rFonts w:hint="eastAsia"/>
                      <w:sz w:val="21"/>
                      <w:szCs w:val="21"/>
                      <w:highlight w:val="none"/>
                    </w:rPr>
                    <w:t>SW</w:t>
                  </w:r>
                  <w:r>
                    <w:rPr>
                      <w:rFonts w:hint="eastAsia"/>
                      <w:sz w:val="21"/>
                      <w:szCs w:val="21"/>
                      <w:highlight w:val="none"/>
                      <w:lang w:val="en-US" w:eastAsia="zh-CN"/>
                    </w:rPr>
                    <w:t>17</w:t>
                  </w:r>
                </w:p>
              </w:tc>
              <w:tc>
                <w:tcPr>
                  <w:tcW w:w="707" w:type="pct"/>
                  <w:tcBorders>
                    <w:tl2br w:val="nil"/>
                    <w:tr2bl w:val="nil"/>
                  </w:tcBorders>
                  <w:noWrap w:val="0"/>
                  <w:vAlign w:val="center"/>
                </w:tcPr>
                <w:p w14:paraId="3937420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kern w:val="2"/>
                      <w:sz w:val="21"/>
                      <w:szCs w:val="21"/>
                      <w:highlight w:val="yellow"/>
                      <w:lang w:val="en-US" w:eastAsia="zh-CN" w:bidi="ar-SA"/>
                    </w:rPr>
                  </w:pPr>
                  <w:r>
                    <w:rPr>
                      <w:rFonts w:hint="eastAsia"/>
                      <w:kern w:val="2"/>
                      <w:sz w:val="21"/>
                      <w:szCs w:val="21"/>
                      <w:highlight w:val="none"/>
                      <w:lang w:val="en-US" w:eastAsia="zh-CN" w:bidi="ar-SA"/>
                    </w:rPr>
                    <w:t>900-002-</w:t>
                  </w:r>
                  <w:r>
                    <w:rPr>
                      <w:rFonts w:hint="eastAsia"/>
                      <w:sz w:val="21"/>
                      <w:szCs w:val="21"/>
                      <w:highlight w:val="none"/>
                    </w:rPr>
                    <w:t>S</w:t>
                  </w:r>
                  <w:r>
                    <w:rPr>
                      <w:rFonts w:hint="eastAsia"/>
                      <w:sz w:val="21"/>
                      <w:szCs w:val="21"/>
                      <w:highlight w:val="none"/>
                      <w:lang w:val="en-US" w:eastAsia="zh-CN"/>
                    </w:rPr>
                    <w:t>17</w:t>
                  </w:r>
                </w:p>
              </w:tc>
              <w:tc>
                <w:tcPr>
                  <w:tcW w:w="451" w:type="pct"/>
                  <w:tcBorders>
                    <w:tl2br w:val="nil"/>
                    <w:tr2bl w:val="nil"/>
                  </w:tcBorders>
                  <w:noWrap w:val="0"/>
                  <w:vAlign w:val="center"/>
                </w:tcPr>
                <w:p w14:paraId="32C3C30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1.5</w:t>
                  </w:r>
                </w:p>
              </w:tc>
            </w:tr>
            <w:tr w14:paraId="7E1F5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1" w:hRule="atLeast"/>
                <w:jc w:val="center"/>
              </w:trPr>
              <w:tc>
                <w:tcPr>
                  <w:tcW w:w="298" w:type="pct"/>
                  <w:tcBorders>
                    <w:tl2br w:val="nil"/>
                    <w:tr2bl w:val="nil"/>
                  </w:tcBorders>
                  <w:noWrap w:val="0"/>
                  <w:vAlign w:val="center"/>
                </w:tcPr>
                <w:p w14:paraId="768755C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3</w:t>
                  </w:r>
                </w:p>
              </w:tc>
              <w:tc>
                <w:tcPr>
                  <w:tcW w:w="674" w:type="pct"/>
                  <w:tcBorders>
                    <w:tl2br w:val="nil"/>
                    <w:tr2bl w:val="nil"/>
                  </w:tcBorders>
                  <w:noWrap w:val="0"/>
                  <w:vAlign w:val="center"/>
                </w:tcPr>
                <w:p w14:paraId="24C6CFB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废布袋</w:t>
                  </w:r>
                </w:p>
              </w:tc>
              <w:tc>
                <w:tcPr>
                  <w:tcW w:w="281" w:type="pct"/>
                  <w:vMerge w:val="continue"/>
                  <w:tcBorders>
                    <w:tl2br w:val="nil"/>
                    <w:tr2bl w:val="nil"/>
                  </w:tcBorders>
                  <w:noWrap w:val="0"/>
                  <w:vAlign w:val="center"/>
                </w:tcPr>
                <w:p w14:paraId="1EF45BB9">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p>
              </w:tc>
              <w:tc>
                <w:tcPr>
                  <w:tcW w:w="470" w:type="pct"/>
                  <w:tcBorders>
                    <w:tl2br w:val="nil"/>
                    <w:tr2bl w:val="nil"/>
                  </w:tcBorders>
                  <w:noWrap w:val="0"/>
                  <w:vAlign w:val="center"/>
                </w:tcPr>
                <w:p w14:paraId="4F7AE3F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废气处理</w:t>
                  </w:r>
                </w:p>
              </w:tc>
              <w:tc>
                <w:tcPr>
                  <w:tcW w:w="289" w:type="pct"/>
                  <w:tcBorders>
                    <w:tl2br w:val="nil"/>
                    <w:tr2bl w:val="nil"/>
                  </w:tcBorders>
                  <w:noWrap w:val="0"/>
                  <w:vAlign w:val="center"/>
                </w:tcPr>
                <w:p w14:paraId="4C087CE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固态</w:t>
                  </w:r>
                </w:p>
              </w:tc>
              <w:tc>
                <w:tcPr>
                  <w:tcW w:w="515" w:type="pct"/>
                  <w:tcBorders>
                    <w:tl2br w:val="nil"/>
                    <w:tr2bl w:val="nil"/>
                  </w:tcBorders>
                  <w:noWrap w:val="0"/>
                  <w:vAlign w:val="center"/>
                </w:tcPr>
                <w:p w14:paraId="1D00BA0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布纤维</w:t>
                  </w:r>
                </w:p>
              </w:tc>
              <w:tc>
                <w:tcPr>
                  <w:tcW w:w="604" w:type="pct"/>
                  <w:vMerge w:val="continue"/>
                  <w:tcBorders>
                    <w:tl2br w:val="nil"/>
                    <w:tr2bl w:val="nil"/>
                  </w:tcBorders>
                  <w:noWrap w:val="0"/>
                  <w:vAlign w:val="center"/>
                </w:tcPr>
                <w:p w14:paraId="0AABB77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color w:val="000000"/>
                      <w:szCs w:val="21"/>
                      <w:highlight w:val="none"/>
                    </w:rPr>
                  </w:pPr>
                </w:p>
              </w:tc>
              <w:tc>
                <w:tcPr>
                  <w:tcW w:w="323" w:type="pct"/>
                  <w:tcBorders>
                    <w:tl2br w:val="nil"/>
                    <w:tr2bl w:val="nil"/>
                  </w:tcBorders>
                  <w:noWrap w:val="0"/>
                  <w:vAlign w:val="center"/>
                </w:tcPr>
                <w:p w14:paraId="6C3EE5A3">
                  <w:pPr>
                    <w:adjustRightInd w:val="0"/>
                    <w:snapToGrid w:val="0"/>
                    <w:jc w:val="center"/>
                    <w:rPr>
                      <w:rFonts w:hint="eastAsia" w:eastAsia="宋体"/>
                      <w:color w:val="000000"/>
                      <w:sz w:val="21"/>
                      <w:szCs w:val="21"/>
                      <w:lang w:val="en-US" w:eastAsia="zh-CN"/>
                    </w:rPr>
                  </w:pPr>
                  <w:r>
                    <w:rPr>
                      <w:rFonts w:hint="eastAsia"/>
                      <w:color w:val="000000"/>
                      <w:sz w:val="21"/>
                      <w:szCs w:val="21"/>
                      <w:lang w:val="en-US" w:eastAsia="zh-CN"/>
                    </w:rPr>
                    <w:t>/</w:t>
                  </w:r>
                </w:p>
              </w:tc>
              <w:tc>
                <w:tcPr>
                  <w:tcW w:w="384" w:type="pct"/>
                  <w:tcBorders>
                    <w:tl2br w:val="nil"/>
                    <w:tr2bl w:val="nil"/>
                  </w:tcBorders>
                  <w:noWrap w:val="0"/>
                  <w:vAlign w:val="center"/>
                </w:tcPr>
                <w:p w14:paraId="040BEF7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SW59</w:t>
                  </w:r>
                </w:p>
              </w:tc>
              <w:tc>
                <w:tcPr>
                  <w:tcW w:w="707" w:type="pct"/>
                  <w:tcBorders>
                    <w:tl2br w:val="nil"/>
                    <w:tr2bl w:val="nil"/>
                  </w:tcBorders>
                  <w:noWrap w:val="0"/>
                  <w:vAlign w:val="center"/>
                </w:tcPr>
                <w:p w14:paraId="64C53BE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900-0</w:t>
                  </w:r>
                  <w:r>
                    <w:rPr>
                      <w:rFonts w:hint="eastAsia" w:ascii="Times New Roman" w:hAnsi="Times New Roman" w:eastAsia="宋体" w:cs="Times New Roman"/>
                      <w:sz w:val="21"/>
                      <w:szCs w:val="21"/>
                      <w:highlight w:val="none"/>
                      <w:lang w:val="en-US" w:eastAsia="zh-CN"/>
                    </w:rPr>
                    <w:t>0</w:t>
                  </w:r>
                  <w:r>
                    <w:rPr>
                      <w:rFonts w:hint="eastAsia" w:ascii="Times New Roman" w:hAnsi="Times New Roman" w:eastAsia="宋体" w:cs="Times New Roman"/>
                      <w:sz w:val="21"/>
                      <w:szCs w:val="21"/>
                      <w:highlight w:val="none"/>
                    </w:rPr>
                    <w:t>9-S59</w:t>
                  </w:r>
                </w:p>
              </w:tc>
              <w:tc>
                <w:tcPr>
                  <w:tcW w:w="451" w:type="pct"/>
                  <w:tcBorders>
                    <w:tl2br w:val="nil"/>
                    <w:tr2bl w:val="nil"/>
                  </w:tcBorders>
                  <w:noWrap w:val="0"/>
                  <w:vAlign w:val="center"/>
                </w:tcPr>
                <w:p w14:paraId="6445586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0.05</w:t>
                  </w:r>
                </w:p>
              </w:tc>
            </w:tr>
            <w:tr w14:paraId="70FDE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298" w:type="pct"/>
                  <w:tcBorders>
                    <w:tl2br w:val="nil"/>
                    <w:tr2bl w:val="nil"/>
                  </w:tcBorders>
                  <w:noWrap w:val="0"/>
                  <w:vAlign w:val="center"/>
                </w:tcPr>
                <w:p w14:paraId="113D50D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w:t>
                  </w:r>
                </w:p>
              </w:tc>
              <w:tc>
                <w:tcPr>
                  <w:tcW w:w="674" w:type="pct"/>
                  <w:tcBorders>
                    <w:tl2br w:val="nil"/>
                    <w:tr2bl w:val="nil"/>
                  </w:tcBorders>
                  <w:noWrap w:val="0"/>
                  <w:vAlign w:val="center"/>
                </w:tcPr>
                <w:p w14:paraId="325615E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281" w:type="pct"/>
                  <w:vMerge w:val="restart"/>
                  <w:tcBorders>
                    <w:tl2br w:val="nil"/>
                    <w:tr2bl w:val="nil"/>
                  </w:tcBorders>
                  <w:noWrap w:val="0"/>
                  <w:vAlign w:val="center"/>
                </w:tcPr>
                <w:p w14:paraId="73E21F9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kern w:val="2"/>
                      <w:sz w:val="21"/>
                      <w:szCs w:val="21"/>
                      <w:highlight w:val="none"/>
                      <w:lang w:val="en-US" w:eastAsia="zh-CN" w:bidi="ar-SA"/>
                    </w:rPr>
                  </w:pPr>
                  <w:r>
                    <w:rPr>
                      <w:rFonts w:hint="eastAsia"/>
                      <w:color w:val="000000"/>
                      <w:kern w:val="2"/>
                      <w:sz w:val="21"/>
                      <w:szCs w:val="21"/>
                      <w:highlight w:val="none"/>
                      <w:lang w:val="en-US" w:eastAsia="zh-CN" w:bidi="ar-SA"/>
                    </w:rPr>
                    <w:t>危险</w:t>
                  </w:r>
                </w:p>
                <w:p w14:paraId="17F913E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szCs w:val="21"/>
                      <w:highlight w:val="none"/>
                    </w:rPr>
                  </w:pPr>
                  <w:r>
                    <w:rPr>
                      <w:rFonts w:hint="eastAsia"/>
                      <w:color w:val="000000"/>
                      <w:kern w:val="2"/>
                      <w:sz w:val="21"/>
                      <w:szCs w:val="21"/>
                      <w:highlight w:val="none"/>
                      <w:lang w:val="en-US" w:eastAsia="zh-CN" w:bidi="ar-SA"/>
                    </w:rPr>
                    <w:t>废物</w:t>
                  </w:r>
                </w:p>
              </w:tc>
              <w:tc>
                <w:tcPr>
                  <w:tcW w:w="470" w:type="pct"/>
                  <w:tcBorders>
                    <w:tl2br w:val="nil"/>
                    <w:tr2bl w:val="nil"/>
                  </w:tcBorders>
                  <w:noWrap w:val="0"/>
                  <w:vAlign w:val="center"/>
                </w:tcPr>
                <w:p w14:paraId="151D33F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废气设施</w:t>
                  </w:r>
                </w:p>
              </w:tc>
              <w:tc>
                <w:tcPr>
                  <w:tcW w:w="289" w:type="pct"/>
                  <w:tcBorders>
                    <w:tl2br w:val="nil"/>
                    <w:tr2bl w:val="nil"/>
                  </w:tcBorders>
                  <w:noWrap w:val="0"/>
                  <w:vAlign w:val="center"/>
                </w:tcPr>
                <w:p w14:paraId="61A91FD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固态</w:t>
                  </w:r>
                </w:p>
              </w:tc>
              <w:tc>
                <w:tcPr>
                  <w:tcW w:w="515" w:type="pct"/>
                  <w:tcBorders>
                    <w:tl2br w:val="nil"/>
                    <w:tr2bl w:val="nil"/>
                  </w:tcBorders>
                  <w:noWrap w:val="0"/>
                  <w:vAlign w:val="center"/>
                </w:tcPr>
                <w:p w14:paraId="578ACBA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废气、活性炭</w:t>
                  </w:r>
                </w:p>
              </w:tc>
              <w:tc>
                <w:tcPr>
                  <w:tcW w:w="604" w:type="pct"/>
                  <w:vMerge w:val="restart"/>
                  <w:tcBorders>
                    <w:tl2br w:val="nil"/>
                    <w:tr2bl w:val="nil"/>
                  </w:tcBorders>
                  <w:noWrap w:val="0"/>
                  <w:vAlign w:val="center"/>
                </w:tcPr>
                <w:p w14:paraId="4A164E6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kern w:val="2"/>
                      <w:sz w:val="21"/>
                      <w:szCs w:val="21"/>
                      <w:highlight w:val="none"/>
                      <w:lang w:val="en-US" w:eastAsia="zh-CN" w:bidi="ar-SA"/>
                    </w:rPr>
                  </w:pPr>
                </w:p>
                <w:p w14:paraId="08F4AE8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lang w:val="en-US" w:eastAsia="zh-CN"/>
                    </w:rPr>
                  </w:pPr>
                  <w:r>
                    <w:rPr>
                      <w:rFonts w:hint="eastAsia"/>
                      <w:color w:val="000000"/>
                      <w:szCs w:val="21"/>
                      <w:highlight w:val="none"/>
                    </w:rPr>
                    <w:t>《国家危险废物名录》（2025年版）</w:t>
                  </w:r>
                </w:p>
                <w:p w14:paraId="25E119D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323" w:type="pct"/>
                  <w:tcBorders>
                    <w:tl2br w:val="nil"/>
                    <w:tr2bl w:val="nil"/>
                  </w:tcBorders>
                  <w:noWrap w:val="0"/>
                  <w:vAlign w:val="center"/>
                </w:tcPr>
                <w:p w14:paraId="2DC3142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kern w:val="2"/>
                      <w:sz w:val="21"/>
                      <w:szCs w:val="21"/>
                      <w:highlight w:val="none"/>
                      <w:lang w:val="en-US" w:eastAsia="zh-CN" w:bidi="ar-SA"/>
                    </w:rPr>
                  </w:pPr>
                  <w:r>
                    <w:rPr>
                      <w:color w:val="000000"/>
                      <w:sz w:val="21"/>
                      <w:szCs w:val="21"/>
                      <w:highlight w:val="none"/>
                    </w:rPr>
                    <w:t>T</w:t>
                  </w:r>
                </w:p>
              </w:tc>
              <w:tc>
                <w:tcPr>
                  <w:tcW w:w="384" w:type="pct"/>
                  <w:tcBorders>
                    <w:tl2br w:val="nil"/>
                    <w:tr2bl w:val="nil"/>
                  </w:tcBorders>
                  <w:noWrap w:val="0"/>
                  <w:vAlign w:val="center"/>
                </w:tcPr>
                <w:p w14:paraId="769CAD2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kern w:val="2"/>
                      <w:sz w:val="21"/>
                      <w:szCs w:val="21"/>
                      <w:highlight w:val="none"/>
                      <w:lang w:val="en-US" w:eastAsia="zh-CN" w:bidi="ar-SA"/>
                    </w:rPr>
                  </w:pPr>
                  <w:r>
                    <w:rPr>
                      <w:color w:val="000000"/>
                      <w:sz w:val="21"/>
                      <w:szCs w:val="21"/>
                      <w:highlight w:val="none"/>
                    </w:rPr>
                    <w:t>HW49</w:t>
                  </w:r>
                </w:p>
              </w:tc>
              <w:tc>
                <w:tcPr>
                  <w:tcW w:w="707" w:type="pct"/>
                  <w:tcBorders>
                    <w:tl2br w:val="nil"/>
                    <w:tr2bl w:val="nil"/>
                  </w:tcBorders>
                  <w:noWrap w:val="0"/>
                  <w:vAlign w:val="center"/>
                </w:tcPr>
                <w:p w14:paraId="5A7A42B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cs="TimesNewRomanPSMT"/>
                      <w:color w:val="000000"/>
                      <w:kern w:val="0"/>
                      <w:sz w:val="21"/>
                      <w:szCs w:val="21"/>
                      <w:highlight w:val="none"/>
                      <w:lang w:val="en-US" w:eastAsia="zh-CN" w:bidi="ar-SA"/>
                    </w:rPr>
                  </w:pPr>
                  <w:r>
                    <w:rPr>
                      <w:rFonts w:cs="TimesNewRomanPSMT"/>
                      <w:color w:val="000000"/>
                      <w:kern w:val="0"/>
                      <w:sz w:val="21"/>
                      <w:szCs w:val="21"/>
                      <w:highlight w:val="none"/>
                    </w:rPr>
                    <w:t>900-</w:t>
                  </w:r>
                  <w:r>
                    <w:rPr>
                      <w:rFonts w:hint="eastAsia" w:cs="TimesNewRomanPSMT"/>
                      <w:color w:val="000000"/>
                      <w:kern w:val="0"/>
                      <w:sz w:val="21"/>
                      <w:szCs w:val="21"/>
                      <w:highlight w:val="none"/>
                    </w:rPr>
                    <w:t>039</w:t>
                  </w:r>
                  <w:r>
                    <w:rPr>
                      <w:rFonts w:cs="TimesNewRomanPSMT"/>
                      <w:color w:val="000000"/>
                      <w:kern w:val="0"/>
                      <w:sz w:val="21"/>
                      <w:szCs w:val="21"/>
                      <w:highlight w:val="none"/>
                    </w:rPr>
                    <w:t>-49</w:t>
                  </w:r>
                </w:p>
              </w:tc>
              <w:tc>
                <w:tcPr>
                  <w:tcW w:w="451" w:type="pct"/>
                  <w:tcBorders>
                    <w:tl2br w:val="nil"/>
                    <w:tr2bl w:val="nil"/>
                  </w:tcBorders>
                  <w:noWrap w:val="0"/>
                  <w:vAlign w:val="center"/>
                </w:tcPr>
                <w:p w14:paraId="32D3BE6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0.2665</w:t>
                  </w:r>
                </w:p>
              </w:tc>
            </w:tr>
            <w:tr w14:paraId="23A17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298" w:type="pct"/>
                  <w:tcBorders>
                    <w:tl2br w:val="nil"/>
                    <w:tr2bl w:val="nil"/>
                  </w:tcBorders>
                  <w:noWrap w:val="0"/>
                  <w:vAlign w:val="center"/>
                </w:tcPr>
                <w:p w14:paraId="63DAB4E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w:t>
                  </w:r>
                </w:p>
              </w:tc>
              <w:tc>
                <w:tcPr>
                  <w:tcW w:w="674" w:type="pct"/>
                  <w:tcBorders>
                    <w:tl2br w:val="nil"/>
                    <w:tr2bl w:val="nil"/>
                  </w:tcBorders>
                  <w:noWrap w:val="0"/>
                  <w:vAlign w:val="center"/>
                </w:tcPr>
                <w:p w14:paraId="61C4021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废润滑油</w:t>
                  </w:r>
                </w:p>
              </w:tc>
              <w:tc>
                <w:tcPr>
                  <w:tcW w:w="281" w:type="pct"/>
                  <w:vMerge w:val="continue"/>
                  <w:tcBorders>
                    <w:tl2br w:val="nil"/>
                    <w:tr2bl w:val="nil"/>
                  </w:tcBorders>
                  <w:noWrap w:val="0"/>
                  <w:vAlign w:val="center"/>
                </w:tcPr>
                <w:p w14:paraId="5479C76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470" w:type="pct"/>
                  <w:tcBorders>
                    <w:tl2br w:val="nil"/>
                    <w:tr2bl w:val="nil"/>
                  </w:tcBorders>
                  <w:noWrap w:val="0"/>
                  <w:vAlign w:val="center"/>
                </w:tcPr>
                <w:p w14:paraId="5C07743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日常维保</w:t>
                  </w:r>
                </w:p>
              </w:tc>
              <w:tc>
                <w:tcPr>
                  <w:tcW w:w="289" w:type="pct"/>
                  <w:tcBorders>
                    <w:tl2br w:val="nil"/>
                    <w:tr2bl w:val="nil"/>
                  </w:tcBorders>
                  <w:noWrap w:val="0"/>
                  <w:vAlign w:val="center"/>
                </w:tcPr>
                <w:p w14:paraId="68AA76B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液态</w:t>
                  </w:r>
                </w:p>
              </w:tc>
              <w:tc>
                <w:tcPr>
                  <w:tcW w:w="515" w:type="pct"/>
                  <w:tcBorders>
                    <w:tl2br w:val="nil"/>
                    <w:tr2bl w:val="nil"/>
                  </w:tcBorders>
                  <w:noWrap w:val="0"/>
                  <w:vAlign w:val="center"/>
                </w:tcPr>
                <w:p w14:paraId="250BBA2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润滑油</w:t>
                  </w:r>
                </w:p>
              </w:tc>
              <w:tc>
                <w:tcPr>
                  <w:tcW w:w="604" w:type="pct"/>
                  <w:vMerge w:val="continue"/>
                  <w:tcBorders>
                    <w:tl2br w:val="nil"/>
                    <w:tr2bl w:val="nil"/>
                  </w:tcBorders>
                  <w:noWrap w:val="0"/>
                  <w:vAlign w:val="center"/>
                </w:tcPr>
                <w:p w14:paraId="1E67B6D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323" w:type="pct"/>
                  <w:tcBorders>
                    <w:tl2br w:val="nil"/>
                    <w:tr2bl w:val="nil"/>
                  </w:tcBorders>
                  <w:noWrap w:val="0"/>
                  <w:vAlign w:val="center"/>
                </w:tcPr>
                <w:p w14:paraId="5F82108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sz w:val="21"/>
                      <w:szCs w:val="21"/>
                      <w:highlight w:val="none"/>
                    </w:rPr>
                  </w:pPr>
                  <w:r>
                    <w:rPr>
                      <w:rFonts w:hint="eastAsia" w:ascii="Times New Roman" w:hAnsi="Times New Roman" w:eastAsia="宋体" w:cs="Times New Roman"/>
                      <w:color w:val="000000"/>
                      <w:sz w:val="21"/>
                      <w:szCs w:val="21"/>
                      <w:highlight w:val="none"/>
                    </w:rPr>
                    <w:t>T，I</w:t>
                  </w:r>
                </w:p>
              </w:tc>
              <w:tc>
                <w:tcPr>
                  <w:tcW w:w="384" w:type="pct"/>
                  <w:tcBorders>
                    <w:tl2br w:val="nil"/>
                    <w:tr2bl w:val="nil"/>
                  </w:tcBorders>
                  <w:noWrap w:val="0"/>
                  <w:vAlign w:val="center"/>
                </w:tcPr>
                <w:p w14:paraId="581BF19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sz w:val="21"/>
                      <w:szCs w:val="21"/>
                      <w:highlight w:val="none"/>
                    </w:rPr>
                  </w:pPr>
                  <w:r>
                    <w:rPr>
                      <w:rFonts w:hint="eastAsia" w:ascii="Times New Roman" w:hAnsi="Times New Roman" w:eastAsia="宋体" w:cs="Times New Roman"/>
                      <w:color w:val="000000"/>
                      <w:sz w:val="21"/>
                      <w:szCs w:val="21"/>
                      <w:highlight w:val="none"/>
                    </w:rPr>
                    <w:t>HW0</w:t>
                  </w:r>
                  <w:r>
                    <w:rPr>
                      <w:rFonts w:hint="eastAsia" w:ascii="Times New Roman" w:hAnsi="Times New Roman" w:eastAsia="宋体" w:cs="Times New Roman"/>
                      <w:color w:val="000000"/>
                      <w:sz w:val="21"/>
                      <w:szCs w:val="21"/>
                      <w:highlight w:val="none"/>
                      <w:lang w:val="en-US" w:eastAsia="zh-CN"/>
                    </w:rPr>
                    <w:t>8</w:t>
                  </w:r>
                </w:p>
              </w:tc>
              <w:tc>
                <w:tcPr>
                  <w:tcW w:w="707" w:type="pct"/>
                  <w:tcBorders>
                    <w:tl2br w:val="nil"/>
                    <w:tr2bl w:val="nil"/>
                  </w:tcBorders>
                  <w:noWrap w:val="0"/>
                  <w:vAlign w:val="center"/>
                </w:tcPr>
                <w:p w14:paraId="0A6D20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cs="TimesNewRomanPSMT"/>
                      <w:color w:val="000000"/>
                      <w:kern w:val="0"/>
                      <w:sz w:val="21"/>
                      <w:szCs w:val="21"/>
                      <w:highlight w:val="none"/>
                    </w:rPr>
                  </w:pPr>
                  <w:r>
                    <w:rPr>
                      <w:rFonts w:hint="eastAsia" w:ascii="Times New Roman" w:hAnsi="Times New Roman" w:eastAsia="宋体" w:cs="Times New Roman"/>
                      <w:color w:val="000000"/>
                      <w:sz w:val="21"/>
                      <w:szCs w:val="21"/>
                      <w:highlight w:val="none"/>
                    </w:rPr>
                    <w:t>900-</w:t>
                  </w:r>
                  <w:r>
                    <w:rPr>
                      <w:rFonts w:hint="eastAsia" w:ascii="Times New Roman" w:hAnsi="Times New Roman" w:eastAsia="宋体" w:cs="Times New Roman"/>
                      <w:color w:val="000000"/>
                      <w:sz w:val="21"/>
                      <w:szCs w:val="21"/>
                      <w:highlight w:val="none"/>
                      <w:lang w:val="en-US" w:eastAsia="zh-CN"/>
                    </w:rPr>
                    <w:t>217</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8</w:t>
                  </w:r>
                </w:p>
              </w:tc>
              <w:tc>
                <w:tcPr>
                  <w:tcW w:w="451" w:type="pct"/>
                  <w:tcBorders>
                    <w:tl2br w:val="nil"/>
                    <w:tr2bl w:val="nil"/>
                  </w:tcBorders>
                  <w:noWrap w:val="0"/>
                  <w:vAlign w:val="center"/>
                </w:tcPr>
                <w:p w14:paraId="5A4F2FB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0.001</w:t>
                  </w:r>
                </w:p>
              </w:tc>
            </w:tr>
            <w:tr w14:paraId="0BF14B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1C352F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color w:val="000000"/>
                      <w:szCs w:val="21"/>
                      <w:lang w:val="en-US" w:eastAsia="zh-CN"/>
                    </w:rPr>
                    <w:t>6</w:t>
                  </w:r>
                </w:p>
              </w:tc>
              <w:tc>
                <w:tcPr>
                  <w:tcW w:w="674" w:type="pct"/>
                  <w:tcBorders>
                    <w:tl2br w:val="nil"/>
                    <w:tr2bl w:val="nil"/>
                  </w:tcBorders>
                  <w:noWrap w:val="0"/>
                  <w:vAlign w:val="center"/>
                </w:tcPr>
                <w:p w14:paraId="729DB82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废油桶</w:t>
                  </w:r>
                </w:p>
              </w:tc>
              <w:tc>
                <w:tcPr>
                  <w:tcW w:w="281" w:type="pct"/>
                  <w:vMerge w:val="continue"/>
                  <w:tcBorders>
                    <w:tl2br w:val="nil"/>
                    <w:tr2bl w:val="nil"/>
                  </w:tcBorders>
                  <w:noWrap w:val="0"/>
                  <w:vAlign w:val="center"/>
                </w:tcPr>
                <w:p w14:paraId="2E7FC98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470" w:type="pct"/>
                  <w:tcBorders>
                    <w:tl2br w:val="nil"/>
                    <w:tr2bl w:val="nil"/>
                  </w:tcBorders>
                  <w:noWrap w:val="0"/>
                  <w:vAlign w:val="center"/>
                </w:tcPr>
                <w:p w14:paraId="0CC4272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原辅料使用</w:t>
                  </w:r>
                </w:p>
              </w:tc>
              <w:tc>
                <w:tcPr>
                  <w:tcW w:w="289" w:type="pct"/>
                  <w:tcBorders>
                    <w:tl2br w:val="nil"/>
                    <w:tr2bl w:val="nil"/>
                  </w:tcBorders>
                  <w:noWrap w:val="0"/>
                  <w:vAlign w:val="center"/>
                </w:tcPr>
                <w:p w14:paraId="4C8CB29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固态</w:t>
                  </w:r>
                </w:p>
              </w:tc>
              <w:tc>
                <w:tcPr>
                  <w:tcW w:w="515" w:type="pct"/>
                  <w:tcBorders>
                    <w:tl2br w:val="nil"/>
                    <w:tr2bl w:val="nil"/>
                  </w:tcBorders>
                  <w:noWrap w:val="0"/>
                  <w:vAlign w:val="center"/>
                </w:tcPr>
                <w:p w14:paraId="4C314B2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润滑油、桶</w:t>
                  </w:r>
                </w:p>
              </w:tc>
              <w:tc>
                <w:tcPr>
                  <w:tcW w:w="604" w:type="pct"/>
                  <w:vMerge w:val="continue"/>
                  <w:tcBorders>
                    <w:tl2br w:val="nil"/>
                    <w:tr2bl w:val="nil"/>
                  </w:tcBorders>
                  <w:noWrap w:val="0"/>
                  <w:vAlign w:val="center"/>
                </w:tcPr>
                <w:p w14:paraId="3197B8A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yellow"/>
                    </w:rPr>
                  </w:pPr>
                </w:p>
              </w:tc>
              <w:tc>
                <w:tcPr>
                  <w:tcW w:w="323" w:type="pct"/>
                  <w:tcBorders>
                    <w:tl2br w:val="nil"/>
                    <w:tr2bl w:val="nil"/>
                  </w:tcBorders>
                  <w:noWrap w:val="0"/>
                  <w:vAlign w:val="center"/>
                </w:tcPr>
                <w:p w14:paraId="74B2665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T，I</w:t>
                  </w:r>
                </w:p>
              </w:tc>
              <w:tc>
                <w:tcPr>
                  <w:tcW w:w="384" w:type="pct"/>
                  <w:tcBorders>
                    <w:tl2br w:val="nil"/>
                    <w:tr2bl w:val="nil"/>
                  </w:tcBorders>
                  <w:noWrap w:val="0"/>
                  <w:vAlign w:val="center"/>
                </w:tcPr>
                <w:p w14:paraId="00CBE91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color w:val="000000"/>
                      <w:sz w:val="21"/>
                      <w:szCs w:val="21"/>
                      <w:highlight w:val="none"/>
                    </w:rPr>
                    <w:t>H</w:t>
                  </w:r>
                  <w:r>
                    <w:rPr>
                      <w:rFonts w:hint="eastAsia" w:ascii="Times New Roman" w:hAnsi="Times New Roman" w:eastAsia="宋体" w:cs="Times New Roman"/>
                      <w:color w:val="000000"/>
                      <w:sz w:val="21"/>
                      <w:szCs w:val="21"/>
                      <w:highlight w:val="none"/>
                      <w:lang w:val="en-US" w:eastAsia="zh-CN"/>
                    </w:rPr>
                    <w:t>W08</w:t>
                  </w:r>
                </w:p>
              </w:tc>
              <w:tc>
                <w:tcPr>
                  <w:tcW w:w="707" w:type="pct"/>
                  <w:tcBorders>
                    <w:tl2br w:val="nil"/>
                    <w:tr2bl w:val="nil"/>
                  </w:tcBorders>
                  <w:noWrap w:val="0"/>
                  <w:vAlign w:val="center"/>
                </w:tcPr>
                <w:p w14:paraId="52745C5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NewRomanPSMT"/>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900-249-08</w:t>
                  </w:r>
                </w:p>
              </w:tc>
              <w:tc>
                <w:tcPr>
                  <w:tcW w:w="451" w:type="pct"/>
                  <w:tcBorders>
                    <w:tl2br w:val="nil"/>
                    <w:tr2bl w:val="nil"/>
                  </w:tcBorders>
                  <w:noWrap w:val="0"/>
                  <w:vAlign w:val="center"/>
                </w:tcPr>
                <w:p w14:paraId="4E611F5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r>
            <w:tr w14:paraId="4EEA8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225BF0E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color w:val="000000"/>
                      <w:szCs w:val="21"/>
                      <w:lang w:val="en-US" w:eastAsia="zh-CN"/>
                    </w:rPr>
                    <w:t>7</w:t>
                  </w:r>
                </w:p>
              </w:tc>
              <w:tc>
                <w:tcPr>
                  <w:tcW w:w="674" w:type="pct"/>
                  <w:tcBorders>
                    <w:tl2br w:val="nil"/>
                    <w:tr2bl w:val="nil"/>
                  </w:tcBorders>
                  <w:noWrap w:val="0"/>
                  <w:vAlign w:val="center"/>
                </w:tcPr>
                <w:p w14:paraId="3F878D7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蒸发残液</w:t>
                  </w:r>
                </w:p>
              </w:tc>
              <w:tc>
                <w:tcPr>
                  <w:tcW w:w="281" w:type="pct"/>
                  <w:vMerge w:val="continue"/>
                  <w:tcBorders>
                    <w:tl2br w:val="nil"/>
                    <w:tr2bl w:val="nil"/>
                  </w:tcBorders>
                  <w:noWrap w:val="0"/>
                  <w:vAlign w:val="center"/>
                </w:tcPr>
                <w:p w14:paraId="53AD589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470" w:type="pct"/>
                  <w:tcBorders>
                    <w:tl2br w:val="nil"/>
                    <w:tr2bl w:val="nil"/>
                  </w:tcBorders>
                  <w:noWrap w:val="0"/>
                  <w:vAlign w:val="center"/>
                </w:tcPr>
                <w:p w14:paraId="638062C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废水设施</w:t>
                  </w:r>
                </w:p>
              </w:tc>
              <w:tc>
                <w:tcPr>
                  <w:tcW w:w="289" w:type="pct"/>
                  <w:tcBorders>
                    <w:tl2br w:val="nil"/>
                    <w:tr2bl w:val="nil"/>
                  </w:tcBorders>
                  <w:noWrap w:val="0"/>
                  <w:vAlign w:val="center"/>
                </w:tcPr>
                <w:p w14:paraId="20D1F48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液态</w:t>
                  </w:r>
                </w:p>
              </w:tc>
              <w:tc>
                <w:tcPr>
                  <w:tcW w:w="515" w:type="pct"/>
                  <w:tcBorders>
                    <w:tl2br w:val="nil"/>
                    <w:tr2bl w:val="nil"/>
                  </w:tcBorders>
                  <w:noWrap w:val="0"/>
                  <w:vAlign w:val="center"/>
                </w:tcPr>
                <w:p w14:paraId="4E0F417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水、洗洁精</w:t>
                  </w:r>
                </w:p>
              </w:tc>
              <w:tc>
                <w:tcPr>
                  <w:tcW w:w="604" w:type="pct"/>
                  <w:vMerge w:val="continue"/>
                  <w:tcBorders>
                    <w:tl2br w:val="nil"/>
                    <w:tr2bl w:val="nil"/>
                  </w:tcBorders>
                  <w:noWrap w:val="0"/>
                  <w:vAlign w:val="center"/>
                </w:tcPr>
                <w:p w14:paraId="7D6EB85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yellow"/>
                    </w:rPr>
                  </w:pPr>
                </w:p>
              </w:tc>
              <w:tc>
                <w:tcPr>
                  <w:tcW w:w="323" w:type="pct"/>
                  <w:tcBorders>
                    <w:tl2br w:val="nil"/>
                    <w:tr2bl w:val="nil"/>
                  </w:tcBorders>
                  <w:noWrap w:val="0"/>
                  <w:vAlign w:val="center"/>
                </w:tcPr>
                <w:p w14:paraId="0C02B45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T/In</w:t>
                  </w:r>
                  <w:r>
                    <w:rPr>
                      <w:rFonts w:hint="eastAsia"/>
                      <w:sz w:val="21"/>
                      <w:szCs w:val="21"/>
                      <w:highlight w:val="none"/>
                      <w:lang w:val="en-US" w:eastAsia="zh-CN"/>
                    </w:rPr>
                    <w:t xml:space="preserve"> </w:t>
                  </w:r>
                </w:p>
              </w:tc>
              <w:tc>
                <w:tcPr>
                  <w:tcW w:w="384" w:type="pct"/>
                  <w:tcBorders>
                    <w:tl2br w:val="nil"/>
                    <w:tr2bl w:val="nil"/>
                  </w:tcBorders>
                  <w:shd w:val="clear" w:color="auto" w:fill="auto"/>
                  <w:noWrap w:val="0"/>
                  <w:vAlign w:val="center"/>
                </w:tcPr>
                <w:p w14:paraId="4C67A6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color w:val="000000"/>
                      <w:sz w:val="21"/>
                      <w:szCs w:val="21"/>
                      <w:highlight w:val="none"/>
                    </w:rPr>
                    <w:t>H</w:t>
                  </w:r>
                  <w:r>
                    <w:rPr>
                      <w:rFonts w:hint="eastAsia" w:ascii="Times New Roman" w:hAnsi="Times New Roman" w:eastAsia="宋体" w:cs="Times New Roman"/>
                      <w:color w:val="000000"/>
                      <w:sz w:val="21"/>
                      <w:szCs w:val="21"/>
                      <w:highlight w:val="none"/>
                      <w:lang w:val="en-US" w:eastAsia="zh-CN"/>
                    </w:rPr>
                    <w:t>W</w:t>
                  </w:r>
                  <w:r>
                    <w:rPr>
                      <w:rFonts w:hint="eastAsia" w:cs="Times New Roman"/>
                      <w:color w:val="000000"/>
                      <w:sz w:val="21"/>
                      <w:szCs w:val="21"/>
                      <w:highlight w:val="none"/>
                      <w:lang w:val="en-US" w:eastAsia="zh-CN"/>
                    </w:rPr>
                    <w:t>49</w:t>
                  </w:r>
                </w:p>
              </w:tc>
              <w:tc>
                <w:tcPr>
                  <w:tcW w:w="707" w:type="pct"/>
                  <w:tcBorders>
                    <w:tl2br w:val="nil"/>
                    <w:tr2bl w:val="nil"/>
                  </w:tcBorders>
                  <w:shd w:val="clear" w:color="auto" w:fill="auto"/>
                  <w:noWrap w:val="0"/>
                  <w:vAlign w:val="center"/>
                </w:tcPr>
                <w:p w14:paraId="678ACA7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NewRomanPSMT"/>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 xml:space="preserve">772-006-49 </w:t>
                  </w:r>
                </w:p>
              </w:tc>
              <w:tc>
                <w:tcPr>
                  <w:tcW w:w="451" w:type="pct"/>
                  <w:tcBorders>
                    <w:tl2br w:val="nil"/>
                    <w:tr2bl w:val="nil"/>
                  </w:tcBorders>
                  <w:noWrap w:val="0"/>
                  <w:vAlign w:val="center"/>
                </w:tcPr>
                <w:p w14:paraId="0B14DDD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r>
            <w:tr w14:paraId="30EB3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98" w:type="pct"/>
                  <w:tcBorders>
                    <w:tl2br w:val="nil"/>
                    <w:tr2bl w:val="nil"/>
                  </w:tcBorders>
                  <w:noWrap w:val="0"/>
                  <w:vAlign w:val="center"/>
                </w:tcPr>
                <w:p w14:paraId="67329CA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8</w:t>
                  </w:r>
                </w:p>
              </w:tc>
              <w:tc>
                <w:tcPr>
                  <w:tcW w:w="674" w:type="pct"/>
                  <w:tcBorders>
                    <w:tl2br w:val="nil"/>
                    <w:tr2bl w:val="nil"/>
                  </w:tcBorders>
                  <w:noWrap w:val="0"/>
                  <w:vAlign w:val="center"/>
                </w:tcPr>
                <w:p w14:paraId="6F4493D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生活垃圾</w:t>
                  </w:r>
                </w:p>
              </w:tc>
              <w:tc>
                <w:tcPr>
                  <w:tcW w:w="281" w:type="pct"/>
                  <w:tcBorders>
                    <w:tl2br w:val="nil"/>
                    <w:tr2bl w:val="nil"/>
                  </w:tcBorders>
                  <w:noWrap w:val="0"/>
                  <w:vAlign w:val="center"/>
                </w:tcPr>
                <w:p w14:paraId="0C290E0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生活垃圾</w:t>
                  </w:r>
                </w:p>
              </w:tc>
              <w:tc>
                <w:tcPr>
                  <w:tcW w:w="470" w:type="pct"/>
                  <w:tcBorders>
                    <w:tl2br w:val="nil"/>
                    <w:tr2bl w:val="nil"/>
                  </w:tcBorders>
                  <w:noWrap w:val="0"/>
                  <w:vAlign w:val="center"/>
                </w:tcPr>
                <w:p w14:paraId="62E6B34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员工生活</w:t>
                  </w:r>
                </w:p>
              </w:tc>
              <w:tc>
                <w:tcPr>
                  <w:tcW w:w="289" w:type="pct"/>
                  <w:tcBorders>
                    <w:tl2br w:val="nil"/>
                    <w:tr2bl w:val="nil"/>
                  </w:tcBorders>
                  <w:noWrap w:val="0"/>
                  <w:vAlign w:val="center"/>
                </w:tcPr>
                <w:p w14:paraId="002F338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固态</w:t>
                  </w:r>
                </w:p>
              </w:tc>
              <w:tc>
                <w:tcPr>
                  <w:tcW w:w="515" w:type="pct"/>
                  <w:tcBorders>
                    <w:tl2br w:val="nil"/>
                    <w:tr2bl w:val="nil"/>
                  </w:tcBorders>
                  <w:noWrap w:val="0"/>
                  <w:vAlign w:val="center"/>
                </w:tcPr>
                <w:p w14:paraId="7EB3271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办公垃圾</w:t>
                  </w:r>
                </w:p>
              </w:tc>
              <w:tc>
                <w:tcPr>
                  <w:tcW w:w="604" w:type="pct"/>
                  <w:tcBorders>
                    <w:tl2br w:val="nil"/>
                    <w:tr2bl w:val="nil"/>
                  </w:tcBorders>
                  <w:noWrap w:val="0"/>
                  <w:vAlign w:val="center"/>
                </w:tcPr>
                <w:p w14:paraId="54DD7BC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《固体废物分类与代码目录》</w:t>
                  </w:r>
                </w:p>
              </w:tc>
              <w:tc>
                <w:tcPr>
                  <w:tcW w:w="323" w:type="pct"/>
                  <w:tcBorders>
                    <w:tl2br w:val="nil"/>
                    <w:tr2bl w:val="nil"/>
                  </w:tcBorders>
                  <w:noWrap w:val="0"/>
                  <w:vAlign w:val="center"/>
                </w:tcPr>
                <w:p w14:paraId="7BA77C1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 w:val="21"/>
                      <w:szCs w:val="21"/>
                    </w:rPr>
                  </w:pPr>
                  <w:r>
                    <w:rPr>
                      <w:color w:val="000000"/>
                      <w:sz w:val="21"/>
                      <w:szCs w:val="21"/>
                    </w:rPr>
                    <w:t>/</w:t>
                  </w:r>
                </w:p>
              </w:tc>
              <w:tc>
                <w:tcPr>
                  <w:tcW w:w="384" w:type="pct"/>
                  <w:tcBorders>
                    <w:tl2br w:val="nil"/>
                    <w:tr2bl w:val="nil"/>
                  </w:tcBorders>
                  <w:noWrap w:val="0"/>
                  <w:vAlign w:val="center"/>
                </w:tcPr>
                <w:p w14:paraId="4A25265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 w:val="21"/>
                      <w:szCs w:val="21"/>
                    </w:rPr>
                  </w:pPr>
                  <w:r>
                    <w:rPr>
                      <w:rFonts w:hint="eastAsia"/>
                      <w:color w:val="000000"/>
                      <w:sz w:val="21"/>
                      <w:szCs w:val="21"/>
                    </w:rPr>
                    <w:t>SW64</w:t>
                  </w:r>
                </w:p>
              </w:tc>
              <w:tc>
                <w:tcPr>
                  <w:tcW w:w="707" w:type="pct"/>
                  <w:tcBorders>
                    <w:tl2br w:val="nil"/>
                    <w:tr2bl w:val="nil"/>
                  </w:tcBorders>
                  <w:noWrap w:val="0"/>
                  <w:vAlign w:val="center"/>
                </w:tcPr>
                <w:p w14:paraId="6904D2D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 w:val="21"/>
                      <w:szCs w:val="21"/>
                    </w:rPr>
                  </w:pPr>
                  <w:r>
                    <w:rPr>
                      <w:rFonts w:hint="eastAsia"/>
                      <w:color w:val="000000"/>
                      <w:sz w:val="21"/>
                      <w:szCs w:val="21"/>
                    </w:rPr>
                    <w:t>900-099-S64</w:t>
                  </w:r>
                </w:p>
              </w:tc>
              <w:tc>
                <w:tcPr>
                  <w:tcW w:w="451" w:type="pct"/>
                  <w:tcBorders>
                    <w:tl2br w:val="nil"/>
                    <w:tr2bl w:val="nil"/>
                  </w:tcBorders>
                  <w:noWrap w:val="0"/>
                  <w:vAlign w:val="center"/>
                </w:tcPr>
                <w:p w14:paraId="2361190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16.9</w:t>
                  </w:r>
                </w:p>
              </w:tc>
            </w:tr>
          </w:tbl>
          <w:p w14:paraId="1ED1D8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b/>
                <w:color w:val="000000"/>
                <w:sz w:val="24"/>
              </w:rPr>
              <w:t xml:space="preserve">4.3 </w:t>
            </w:r>
            <w:r>
              <w:rPr>
                <w:rFonts w:hint="eastAsia"/>
                <w:b/>
                <w:color w:val="000000"/>
                <w:sz w:val="24"/>
              </w:rPr>
              <w:t>固体废物利用处置方式</w:t>
            </w:r>
          </w:p>
          <w:p w14:paraId="0DDAA9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color w:val="000000"/>
                <w:kern w:val="1"/>
                <w:sz w:val="24"/>
              </w:rPr>
              <w:t>根据《建设项目危险废物环境影响评价指南》，明确危险废物收集、贮存、运输、利用、处置环节采取的污染防治措施，</w:t>
            </w:r>
            <w:r>
              <w:rPr>
                <w:rFonts w:hint="eastAsia"/>
                <w:color w:val="000000"/>
                <w:sz w:val="24"/>
              </w:rPr>
              <w:t>本项目固体废物处置方式见表4-2</w:t>
            </w:r>
            <w:r>
              <w:rPr>
                <w:rFonts w:hint="eastAsia"/>
                <w:color w:val="000000"/>
                <w:sz w:val="24"/>
                <w:lang w:val="en-US" w:eastAsia="zh-CN"/>
              </w:rPr>
              <w:t>3</w:t>
            </w:r>
            <w:r>
              <w:rPr>
                <w:rFonts w:hint="eastAsia"/>
                <w:color w:val="000000"/>
                <w:sz w:val="24"/>
              </w:rPr>
              <w:t>：</w:t>
            </w:r>
          </w:p>
          <w:p w14:paraId="7BEB88A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bCs/>
                <w:color w:val="000000"/>
                <w:sz w:val="21"/>
                <w:szCs w:val="21"/>
              </w:rPr>
            </w:pPr>
            <w:r>
              <w:rPr>
                <w:rFonts w:hint="eastAsia"/>
                <w:b/>
                <w:bCs/>
                <w:color w:val="000000"/>
                <w:sz w:val="21"/>
                <w:szCs w:val="21"/>
              </w:rPr>
              <w:t>表4-2</w:t>
            </w:r>
            <w:r>
              <w:rPr>
                <w:rFonts w:hint="eastAsia"/>
                <w:b/>
                <w:bCs/>
                <w:color w:val="000000"/>
                <w:sz w:val="21"/>
                <w:szCs w:val="21"/>
                <w:lang w:val="en-US" w:eastAsia="zh-CN"/>
              </w:rPr>
              <w:t>3</w:t>
            </w:r>
            <w:r>
              <w:rPr>
                <w:rFonts w:hint="eastAsia"/>
                <w:b/>
                <w:bCs/>
                <w:color w:val="000000"/>
                <w:sz w:val="21"/>
                <w:szCs w:val="21"/>
              </w:rPr>
              <w:t xml:space="preserve"> 项目固体废物利用处置方式</w:t>
            </w:r>
          </w:p>
          <w:tbl>
            <w:tblPr>
              <w:tblStyle w:val="2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530"/>
              <w:gridCol w:w="1170"/>
              <w:gridCol w:w="1357"/>
              <w:gridCol w:w="1007"/>
              <w:gridCol w:w="1357"/>
              <w:gridCol w:w="1117"/>
            </w:tblGrid>
            <w:tr w14:paraId="3D9CE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8" w:type="pct"/>
                  <w:tcBorders>
                    <w:tl2br w:val="nil"/>
                    <w:tr2bl w:val="nil"/>
                  </w:tcBorders>
                  <w:noWrap w:val="0"/>
                  <w:vAlign w:val="center"/>
                </w:tcPr>
                <w:p w14:paraId="31BAF78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序号</w:t>
                  </w:r>
                </w:p>
              </w:tc>
              <w:tc>
                <w:tcPr>
                  <w:tcW w:w="929" w:type="pct"/>
                  <w:tcBorders>
                    <w:tl2br w:val="nil"/>
                    <w:tr2bl w:val="nil"/>
                  </w:tcBorders>
                  <w:noWrap w:val="0"/>
                  <w:vAlign w:val="center"/>
                </w:tcPr>
                <w:p w14:paraId="6E57A25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固体废物名称</w:t>
                  </w:r>
                </w:p>
              </w:tc>
              <w:tc>
                <w:tcPr>
                  <w:tcW w:w="711" w:type="pct"/>
                  <w:tcBorders>
                    <w:tl2br w:val="nil"/>
                    <w:tr2bl w:val="nil"/>
                  </w:tcBorders>
                  <w:noWrap w:val="0"/>
                  <w:vAlign w:val="center"/>
                </w:tcPr>
                <w:p w14:paraId="5936850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属性</w:t>
                  </w:r>
                </w:p>
              </w:tc>
              <w:tc>
                <w:tcPr>
                  <w:tcW w:w="824" w:type="pct"/>
                  <w:tcBorders>
                    <w:tl2br w:val="nil"/>
                    <w:tr2bl w:val="nil"/>
                  </w:tcBorders>
                  <w:noWrap w:val="0"/>
                  <w:vAlign w:val="center"/>
                </w:tcPr>
                <w:p w14:paraId="3D58CDA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废物代码</w:t>
                  </w:r>
                </w:p>
              </w:tc>
              <w:tc>
                <w:tcPr>
                  <w:tcW w:w="612" w:type="pct"/>
                  <w:tcBorders>
                    <w:tl2br w:val="nil"/>
                    <w:tr2bl w:val="nil"/>
                  </w:tcBorders>
                  <w:noWrap w:val="0"/>
                  <w:vAlign w:val="center"/>
                </w:tcPr>
                <w:p w14:paraId="262C5C5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产生量（</w:t>
                  </w:r>
                  <w:r>
                    <w:rPr>
                      <w:b/>
                      <w:color w:val="000000"/>
                      <w:szCs w:val="21"/>
                    </w:rPr>
                    <w:t>t/a</w:t>
                  </w:r>
                  <w:r>
                    <w:rPr>
                      <w:rFonts w:hint="eastAsia"/>
                      <w:b/>
                      <w:color w:val="000000"/>
                      <w:szCs w:val="21"/>
                    </w:rPr>
                    <w:t>）</w:t>
                  </w:r>
                </w:p>
              </w:tc>
              <w:tc>
                <w:tcPr>
                  <w:tcW w:w="824" w:type="pct"/>
                  <w:tcBorders>
                    <w:tl2br w:val="nil"/>
                    <w:tr2bl w:val="nil"/>
                  </w:tcBorders>
                  <w:noWrap w:val="0"/>
                  <w:vAlign w:val="center"/>
                </w:tcPr>
                <w:p w14:paraId="270C610B">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利用处置方式</w:t>
                  </w:r>
                </w:p>
              </w:tc>
              <w:tc>
                <w:tcPr>
                  <w:tcW w:w="678" w:type="pct"/>
                  <w:tcBorders>
                    <w:tl2br w:val="nil"/>
                    <w:tr2bl w:val="nil"/>
                  </w:tcBorders>
                  <w:noWrap w:val="0"/>
                  <w:vAlign w:val="center"/>
                </w:tcPr>
                <w:p w14:paraId="6A425B88">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rPr>
                  </w:pPr>
                  <w:r>
                    <w:rPr>
                      <w:rFonts w:hint="eastAsia"/>
                      <w:b/>
                      <w:color w:val="000000"/>
                      <w:szCs w:val="21"/>
                    </w:rPr>
                    <w:t>利用处置单位</w:t>
                  </w:r>
                </w:p>
              </w:tc>
            </w:tr>
            <w:tr w14:paraId="1FCA6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8" w:type="pct"/>
                  <w:tcBorders>
                    <w:tl2br w:val="nil"/>
                    <w:tr2bl w:val="nil"/>
                  </w:tcBorders>
                  <w:noWrap w:val="0"/>
                  <w:vAlign w:val="center"/>
                </w:tcPr>
                <w:p w14:paraId="31F62BC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1</w:t>
                  </w:r>
                </w:p>
              </w:tc>
              <w:tc>
                <w:tcPr>
                  <w:tcW w:w="929" w:type="pct"/>
                  <w:tcBorders>
                    <w:tl2br w:val="nil"/>
                    <w:tr2bl w:val="nil"/>
                  </w:tcBorders>
                  <w:noWrap w:val="0"/>
                  <w:vAlign w:val="center"/>
                </w:tcPr>
                <w:p w14:paraId="311147D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金属碎屑</w:t>
                  </w:r>
                </w:p>
              </w:tc>
              <w:tc>
                <w:tcPr>
                  <w:tcW w:w="711" w:type="pct"/>
                  <w:vMerge w:val="restart"/>
                  <w:tcBorders>
                    <w:tl2br w:val="nil"/>
                    <w:tr2bl w:val="nil"/>
                  </w:tcBorders>
                  <w:noWrap w:val="0"/>
                  <w:vAlign w:val="center"/>
                </w:tcPr>
                <w:p w14:paraId="682BD70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szCs w:val="21"/>
                    </w:rPr>
                  </w:pPr>
                  <w:r>
                    <w:rPr>
                      <w:rFonts w:hint="eastAsia"/>
                      <w:color w:val="000000"/>
                      <w:szCs w:val="21"/>
                    </w:rPr>
                    <w:t>一般固废</w:t>
                  </w:r>
                </w:p>
              </w:tc>
              <w:tc>
                <w:tcPr>
                  <w:tcW w:w="824" w:type="pct"/>
                  <w:tcBorders>
                    <w:tl2br w:val="nil"/>
                    <w:tr2bl w:val="nil"/>
                  </w:tcBorders>
                  <w:noWrap w:val="0"/>
                  <w:vAlign w:val="center"/>
                </w:tcPr>
                <w:p w14:paraId="4E1FD98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SW17</w:t>
                  </w:r>
                </w:p>
                <w:p w14:paraId="57A5AA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kern w:val="2"/>
                      <w:sz w:val="21"/>
                      <w:szCs w:val="21"/>
                      <w:highlight w:val="none"/>
                      <w:lang w:val="en-US" w:eastAsia="zh-CN" w:bidi="ar-SA"/>
                    </w:rPr>
                  </w:pPr>
                  <w:r>
                    <w:rPr>
                      <w:rFonts w:hint="eastAsia"/>
                      <w:sz w:val="21"/>
                      <w:szCs w:val="21"/>
                      <w:highlight w:val="none"/>
                    </w:rPr>
                    <w:t>900-0</w:t>
                  </w:r>
                  <w:r>
                    <w:rPr>
                      <w:rFonts w:hint="eastAsia"/>
                      <w:sz w:val="21"/>
                      <w:szCs w:val="21"/>
                      <w:highlight w:val="none"/>
                      <w:lang w:val="en-US" w:eastAsia="zh-CN"/>
                    </w:rPr>
                    <w:t>01</w:t>
                  </w:r>
                  <w:r>
                    <w:rPr>
                      <w:rFonts w:hint="eastAsia"/>
                      <w:sz w:val="21"/>
                      <w:szCs w:val="21"/>
                      <w:highlight w:val="none"/>
                    </w:rPr>
                    <w:t>-S</w:t>
                  </w:r>
                  <w:r>
                    <w:rPr>
                      <w:rFonts w:hint="eastAsia"/>
                      <w:sz w:val="21"/>
                      <w:szCs w:val="21"/>
                      <w:highlight w:val="none"/>
                      <w:lang w:val="en-US" w:eastAsia="zh-CN"/>
                    </w:rPr>
                    <w:t>17</w:t>
                  </w:r>
                </w:p>
              </w:tc>
              <w:tc>
                <w:tcPr>
                  <w:tcW w:w="612" w:type="pct"/>
                  <w:tcBorders>
                    <w:tl2br w:val="nil"/>
                    <w:tr2bl w:val="nil"/>
                  </w:tcBorders>
                  <w:noWrap w:val="0"/>
                  <w:vAlign w:val="center"/>
                </w:tcPr>
                <w:p w14:paraId="13B1636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szCs w:val="21"/>
                      <w:highlight w:val="none"/>
                      <w:lang w:val="en-US" w:eastAsia="zh-CN"/>
                    </w:rPr>
                    <w:t>12</w:t>
                  </w:r>
                </w:p>
              </w:tc>
              <w:tc>
                <w:tcPr>
                  <w:tcW w:w="824" w:type="pct"/>
                  <w:tcBorders>
                    <w:tl2br w:val="nil"/>
                    <w:tr2bl w:val="nil"/>
                  </w:tcBorders>
                  <w:noWrap w:val="0"/>
                  <w:vAlign w:val="center"/>
                </w:tcPr>
                <w:p w14:paraId="4D8BECA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sz w:val="21"/>
                      <w:szCs w:val="21"/>
                      <w:highlight w:val="none"/>
                    </w:rPr>
                    <w:t>收集外售</w:t>
                  </w:r>
                </w:p>
              </w:tc>
              <w:tc>
                <w:tcPr>
                  <w:tcW w:w="678" w:type="pct"/>
                  <w:tcBorders>
                    <w:tl2br w:val="nil"/>
                    <w:tr2bl w:val="nil"/>
                  </w:tcBorders>
                  <w:noWrap w:val="0"/>
                  <w:vAlign w:val="center"/>
                </w:tcPr>
                <w:p w14:paraId="1DD4DBF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w:t>
                  </w:r>
                </w:p>
              </w:tc>
            </w:tr>
            <w:tr w14:paraId="097489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8" w:type="pct"/>
                  <w:tcBorders>
                    <w:tl2br w:val="nil"/>
                    <w:tr2bl w:val="nil"/>
                  </w:tcBorders>
                  <w:noWrap w:val="0"/>
                  <w:vAlign w:val="center"/>
                </w:tcPr>
                <w:p w14:paraId="1D0DC83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2</w:t>
                  </w:r>
                </w:p>
              </w:tc>
              <w:tc>
                <w:tcPr>
                  <w:tcW w:w="929" w:type="pct"/>
                  <w:tcBorders>
                    <w:tl2br w:val="nil"/>
                    <w:tr2bl w:val="nil"/>
                  </w:tcBorders>
                  <w:noWrap w:val="0"/>
                  <w:vAlign w:val="center"/>
                </w:tcPr>
                <w:p w14:paraId="6511BD7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不合格品</w:t>
                  </w:r>
                </w:p>
              </w:tc>
              <w:tc>
                <w:tcPr>
                  <w:tcW w:w="711" w:type="pct"/>
                  <w:vMerge w:val="continue"/>
                  <w:tcBorders>
                    <w:tl2br w:val="nil"/>
                    <w:tr2bl w:val="nil"/>
                  </w:tcBorders>
                  <w:noWrap w:val="0"/>
                  <w:vAlign w:val="center"/>
                </w:tcPr>
                <w:p w14:paraId="1269016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szCs w:val="21"/>
                    </w:rPr>
                  </w:pPr>
                </w:p>
              </w:tc>
              <w:tc>
                <w:tcPr>
                  <w:tcW w:w="824" w:type="pct"/>
                  <w:tcBorders>
                    <w:tl2br w:val="nil"/>
                    <w:tr2bl w:val="nil"/>
                  </w:tcBorders>
                  <w:noWrap w:val="0"/>
                  <w:vAlign w:val="center"/>
                </w:tcPr>
                <w:p w14:paraId="6768B59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1"/>
                      <w:szCs w:val="21"/>
                      <w:highlight w:val="none"/>
                      <w:lang w:val="en-US" w:eastAsia="zh-CN"/>
                    </w:rPr>
                  </w:pPr>
                  <w:r>
                    <w:rPr>
                      <w:rFonts w:hint="eastAsia"/>
                      <w:sz w:val="21"/>
                      <w:szCs w:val="21"/>
                      <w:highlight w:val="none"/>
                    </w:rPr>
                    <w:t>SW</w:t>
                  </w:r>
                  <w:r>
                    <w:rPr>
                      <w:rFonts w:hint="eastAsia"/>
                      <w:sz w:val="21"/>
                      <w:szCs w:val="21"/>
                      <w:highlight w:val="none"/>
                      <w:lang w:val="en-US" w:eastAsia="zh-CN"/>
                    </w:rPr>
                    <w:t>17</w:t>
                  </w:r>
                </w:p>
                <w:p w14:paraId="054BCDB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sz w:val="21"/>
                      <w:szCs w:val="21"/>
                      <w:highlight w:val="none"/>
                      <w:lang w:val="en-US" w:eastAsia="zh-CN"/>
                    </w:rPr>
                  </w:pPr>
                  <w:r>
                    <w:rPr>
                      <w:rFonts w:hint="eastAsia"/>
                      <w:kern w:val="2"/>
                      <w:sz w:val="21"/>
                      <w:szCs w:val="21"/>
                      <w:highlight w:val="none"/>
                      <w:lang w:val="en-US" w:eastAsia="zh-CN" w:bidi="ar-SA"/>
                    </w:rPr>
                    <w:t>900-002-</w:t>
                  </w:r>
                  <w:r>
                    <w:rPr>
                      <w:rFonts w:hint="eastAsia"/>
                      <w:sz w:val="21"/>
                      <w:szCs w:val="21"/>
                      <w:highlight w:val="none"/>
                    </w:rPr>
                    <w:t>S</w:t>
                  </w:r>
                  <w:r>
                    <w:rPr>
                      <w:rFonts w:hint="eastAsia"/>
                      <w:sz w:val="21"/>
                      <w:szCs w:val="21"/>
                      <w:highlight w:val="none"/>
                      <w:lang w:val="en-US" w:eastAsia="zh-CN"/>
                    </w:rPr>
                    <w:t>17</w:t>
                  </w:r>
                </w:p>
              </w:tc>
              <w:tc>
                <w:tcPr>
                  <w:tcW w:w="612" w:type="pct"/>
                  <w:tcBorders>
                    <w:tl2br w:val="nil"/>
                    <w:tr2bl w:val="nil"/>
                  </w:tcBorders>
                  <w:noWrap w:val="0"/>
                  <w:vAlign w:val="center"/>
                </w:tcPr>
                <w:p w14:paraId="7002E1F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1.5</w:t>
                  </w:r>
                </w:p>
              </w:tc>
              <w:tc>
                <w:tcPr>
                  <w:tcW w:w="824" w:type="pct"/>
                  <w:tcBorders>
                    <w:tl2br w:val="nil"/>
                    <w:tr2bl w:val="nil"/>
                  </w:tcBorders>
                  <w:noWrap w:val="0"/>
                  <w:vAlign w:val="center"/>
                </w:tcPr>
                <w:p w14:paraId="41A00D3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sz w:val="21"/>
                      <w:szCs w:val="21"/>
                      <w:highlight w:val="none"/>
                    </w:rPr>
                    <w:t>收集外售</w:t>
                  </w:r>
                </w:p>
              </w:tc>
              <w:tc>
                <w:tcPr>
                  <w:tcW w:w="678" w:type="pct"/>
                  <w:tcBorders>
                    <w:tl2br w:val="nil"/>
                    <w:tr2bl w:val="nil"/>
                  </w:tcBorders>
                  <w:noWrap w:val="0"/>
                  <w:vAlign w:val="center"/>
                </w:tcPr>
                <w:p w14:paraId="5A3DD6A3">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w:t>
                  </w:r>
                </w:p>
              </w:tc>
            </w:tr>
            <w:tr w14:paraId="1F424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18" w:type="pct"/>
                  <w:tcBorders>
                    <w:tl2br w:val="nil"/>
                    <w:tr2bl w:val="nil"/>
                  </w:tcBorders>
                  <w:noWrap w:val="0"/>
                  <w:vAlign w:val="center"/>
                </w:tcPr>
                <w:p w14:paraId="1CCF7FF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3</w:t>
                  </w:r>
                </w:p>
              </w:tc>
              <w:tc>
                <w:tcPr>
                  <w:tcW w:w="929" w:type="pct"/>
                  <w:tcBorders>
                    <w:tl2br w:val="nil"/>
                    <w:tr2bl w:val="nil"/>
                  </w:tcBorders>
                  <w:noWrap w:val="0"/>
                  <w:vAlign w:val="center"/>
                </w:tcPr>
                <w:p w14:paraId="1B6DED8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废布袋</w:t>
                  </w:r>
                </w:p>
              </w:tc>
              <w:tc>
                <w:tcPr>
                  <w:tcW w:w="711" w:type="pct"/>
                  <w:vMerge w:val="continue"/>
                  <w:tcBorders>
                    <w:tl2br w:val="nil"/>
                    <w:tr2bl w:val="nil"/>
                  </w:tcBorders>
                  <w:noWrap w:val="0"/>
                  <w:vAlign w:val="center"/>
                </w:tcPr>
                <w:p w14:paraId="0F6F08D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szCs w:val="21"/>
                    </w:rPr>
                  </w:pPr>
                </w:p>
              </w:tc>
              <w:tc>
                <w:tcPr>
                  <w:tcW w:w="824" w:type="pct"/>
                  <w:tcBorders>
                    <w:tl2br w:val="nil"/>
                    <w:tr2bl w:val="nil"/>
                  </w:tcBorders>
                  <w:noWrap w:val="0"/>
                  <w:vAlign w:val="center"/>
                </w:tcPr>
                <w:p w14:paraId="717F322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1"/>
                      <w:szCs w:val="21"/>
                      <w:highlight w:val="none"/>
                      <w:lang w:val="en-US" w:eastAsia="zh-CN"/>
                    </w:rPr>
                  </w:pPr>
                  <w:r>
                    <w:rPr>
                      <w:rFonts w:hint="eastAsia"/>
                      <w:sz w:val="21"/>
                      <w:szCs w:val="21"/>
                      <w:highlight w:val="none"/>
                      <w:lang w:val="en-US" w:eastAsia="zh-CN"/>
                    </w:rPr>
                    <w:t>SW59</w:t>
                  </w:r>
                </w:p>
                <w:p w14:paraId="623CECC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1"/>
                      <w:szCs w:val="21"/>
                      <w:highlight w:val="none"/>
                    </w:rPr>
                  </w:pPr>
                  <w:r>
                    <w:rPr>
                      <w:rFonts w:hint="eastAsia"/>
                      <w:sz w:val="21"/>
                      <w:szCs w:val="21"/>
                      <w:highlight w:val="none"/>
                    </w:rPr>
                    <w:t>900-0</w:t>
                  </w:r>
                  <w:r>
                    <w:rPr>
                      <w:rFonts w:hint="eastAsia"/>
                      <w:sz w:val="21"/>
                      <w:szCs w:val="21"/>
                      <w:highlight w:val="none"/>
                      <w:lang w:val="en-US" w:eastAsia="zh-CN"/>
                    </w:rPr>
                    <w:t>0</w:t>
                  </w:r>
                  <w:r>
                    <w:rPr>
                      <w:rFonts w:hint="eastAsia"/>
                      <w:sz w:val="21"/>
                      <w:szCs w:val="21"/>
                      <w:highlight w:val="none"/>
                    </w:rPr>
                    <w:t>9-S59</w:t>
                  </w:r>
                </w:p>
              </w:tc>
              <w:tc>
                <w:tcPr>
                  <w:tcW w:w="612" w:type="pct"/>
                  <w:tcBorders>
                    <w:tl2br w:val="nil"/>
                    <w:tr2bl w:val="nil"/>
                  </w:tcBorders>
                  <w:noWrap w:val="0"/>
                  <w:vAlign w:val="center"/>
                </w:tcPr>
                <w:p w14:paraId="23E8261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0.05</w:t>
                  </w:r>
                </w:p>
              </w:tc>
              <w:tc>
                <w:tcPr>
                  <w:tcW w:w="824" w:type="pct"/>
                  <w:tcBorders>
                    <w:tl2br w:val="nil"/>
                    <w:tr2bl w:val="nil"/>
                  </w:tcBorders>
                  <w:noWrap w:val="0"/>
                  <w:vAlign w:val="center"/>
                </w:tcPr>
                <w:p w14:paraId="48A2A9A6">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sz w:val="21"/>
                      <w:szCs w:val="21"/>
                      <w:highlight w:val="none"/>
                    </w:rPr>
                  </w:pPr>
                  <w:r>
                    <w:rPr>
                      <w:rFonts w:hint="eastAsia"/>
                      <w:sz w:val="21"/>
                      <w:szCs w:val="21"/>
                      <w:highlight w:val="none"/>
                    </w:rPr>
                    <w:t>收集外售</w:t>
                  </w:r>
                </w:p>
              </w:tc>
              <w:tc>
                <w:tcPr>
                  <w:tcW w:w="678" w:type="pct"/>
                  <w:tcBorders>
                    <w:tl2br w:val="nil"/>
                    <w:tr2bl w:val="nil"/>
                  </w:tcBorders>
                  <w:noWrap w:val="0"/>
                  <w:vAlign w:val="center"/>
                </w:tcPr>
                <w:p w14:paraId="6C7F3C5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color w:val="000000"/>
                      <w:szCs w:val="21"/>
                      <w:highlight w:val="none"/>
                      <w:lang w:val="en-US" w:eastAsia="zh-CN"/>
                    </w:rPr>
                  </w:pPr>
                  <w:r>
                    <w:rPr>
                      <w:rFonts w:hint="eastAsia"/>
                      <w:color w:val="000000"/>
                      <w:szCs w:val="21"/>
                      <w:highlight w:val="none"/>
                      <w:lang w:val="en-US" w:eastAsia="zh-CN"/>
                    </w:rPr>
                    <w:t>/</w:t>
                  </w:r>
                </w:p>
              </w:tc>
            </w:tr>
            <w:tr w14:paraId="237D4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18" w:type="pct"/>
                  <w:tcBorders>
                    <w:tl2br w:val="nil"/>
                    <w:tr2bl w:val="nil"/>
                  </w:tcBorders>
                  <w:noWrap w:val="0"/>
                  <w:vAlign w:val="center"/>
                </w:tcPr>
                <w:p w14:paraId="349D923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w:t>
                  </w:r>
                </w:p>
              </w:tc>
              <w:tc>
                <w:tcPr>
                  <w:tcW w:w="929" w:type="pct"/>
                  <w:tcBorders>
                    <w:tl2br w:val="nil"/>
                    <w:tr2bl w:val="nil"/>
                  </w:tcBorders>
                  <w:noWrap w:val="0"/>
                  <w:vAlign w:val="center"/>
                </w:tcPr>
                <w:p w14:paraId="591CE08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711" w:type="pct"/>
                  <w:vMerge w:val="restart"/>
                  <w:tcBorders>
                    <w:tl2br w:val="nil"/>
                    <w:tr2bl w:val="nil"/>
                  </w:tcBorders>
                  <w:noWrap w:val="0"/>
                  <w:vAlign w:val="center"/>
                </w:tcPr>
                <w:p w14:paraId="66C12A6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color w:val="000000"/>
                      <w:szCs w:val="21"/>
                      <w:highlight w:val="none"/>
                    </w:rPr>
                  </w:pPr>
                  <w:r>
                    <w:rPr>
                      <w:rFonts w:hint="eastAsia"/>
                      <w:color w:val="000000"/>
                      <w:kern w:val="2"/>
                      <w:sz w:val="21"/>
                      <w:szCs w:val="21"/>
                      <w:highlight w:val="none"/>
                      <w:lang w:val="en-US" w:eastAsia="zh-CN" w:bidi="ar-SA"/>
                    </w:rPr>
                    <w:t>危险废物</w:t>
                  </w:r>
                </w:p>
              </w:tc>
              <w:tc>
                <w:tcPr>
                  <w:tcW w:w="824" w:type="pct"/>
                  <w:tcBorders>
                    <w:tl2br w:val="nil"/>
                    <w:tr2bl w:val="nil"/>
                  </w:tcBorders>
                  <w:noWrap w:val="0"/>
                  <w:vAlign w:val="center"/>
                </w:tcPr>
                <w:p w14:paraId="515426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s="TimesNewRomanPSMT"/>
                      <w:color w:val="000000"/>
                      <w:kern w:val="0"/>
                      <w:sz w:val="21"/>
                      <w:szCs w:val="21"/>
                      <w:highlight w:val="none"/>
                      <w:lang w:val="en-US" w:eastAsia="zh-CN"/>
                    </w:rPr>
                  </w:pPr>
                  <w:r>
                    <w:rPr>
                      <w:rFonts w:hint="eastAsia" w:cs="TimesNewRomanPSMT"/>
                      <w:color w:val="000000"/>
                      <w:kern w:val="0"/>
                      <w:sz w:val="21"/>
                      <w:szCs w:val="21"/>
                      <w:highlight w:val="none"/>
                      <w:lang w:val="en-US" w:eastAsia="zh-CN"/>
                    </w:rPr>
                    <w:t>HW49</w:t>
                  </w:r>
                </w:p>
                <w:p w14:paraId="114F3C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NewRomanPSMT"/>
                      <w:color w:val="000000"/>
                      <w:kern w:val="0"/>
                      <w:sz w:val="21"/>
                      <w:szCs w:val="21"/>
                      <w:highlight w:val="none"/>
                      <w:lang w:val="en-US" w:eastAsia="zh-CN" w:bidi="ar-SA"/>
                    </w:rPr>
                  </w:pPr>
                  <w:r>
                    <w:rPr>
                      <w:rFonts w:cs="TimesNewRomanPSMT"/>
                      <w:color w:val="000000"/>
                      <w:kern w:val="0"/>
                      <w:sz w:val="21"/>
                      <w:szCs w:val="21"/>
                      <w:highlight w:val="none"/>
                    </w:rPr>
                    <w:t>900-</w:t>
                  </w:r>
                  <w:r>
                    <w:rPr>
                      <w:rFonts w:hint="eastAsia" w:cs="TimesNewRomanPSMT"/>
                      <w:color w:val="000000"/>
                      <w:kern w:val="0"/>
                      <w:sz w:val="21"/>
                      <w:szCs w:val="21"/>
                      <w:highlight w:val="none"/>
                    </w:rPr>
                    <w:t>039</w:t>
                  </w:r>
                  <w:r>
                    <w:rPr>
                      <w:rFonts w:cs="TimesNewRomanPSMT"/>
                      <w:color w:val="000000"/>
                      <w:kern w:val="0"/>
                      <w:sz w:val="21"/>
                      <w:szCs w:val="21"/>
                      <w:highlight w:val="none"/>
                    </w:rPr>
                    <w:t>-49</w:t>
                  </w:r>
                </w:p>
              </w:tc>
              <w:tc>
                <w:tcPr>
                  <w:tcW w:w="612" w:type="pct"/>
                  <w:tcBorders>
                    <w:tl2br w:val="nil"/>
                    <w:tr2bl w:val="nil"/>
                  </w:tcBorders>
                  <w:noWrap w:val="0"/>
                  <w:vAlign w:val="center"/>
                </w:tcPr>
                <w:p w14:paraId="6833B69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0.2665</w:t>
                  </w:r>
                </w:p>
              </w:tc>
              <w:tc>
                <w:tcPr>
                  <w:tcW w:w="824" w:type="pct"/>
                  <w:tcBorders>
                    <w:tl2br w:val="nil"/>
                    <w:tr2bl w:val="nil"/>
                  </w:tcBorders>
                  <w:noWrap w:val="0"/>
                  <w:vAlign w:val="center"/>
                </w:tcPr>
                <w:p w14:paraId="5B87794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rPr>
                    <w:t>委托有资质单位处理</w:t>
                  </w:r>
                </w:p>
              </w:tc>
              <w:tc>
                <w:tcPr>
                  <w:tcW w:w="678" w:type="pct"/>
                  <w:tcBorders>
                    <w:tl2br w:val="nil"/>
                    <w:tr2bl w:val="nil"/>
                  </w:tcBorders>
                  <w:noWrap w:val="0"/>
                  <w:vAlign w:val="center"/>
                </w:tcPr>
                <w:p w14:paraId="35DDF12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color w:val="000000"/>
                      <w:szCs w:val="21"/>
                      <w:highlight w:val="none"/>
                    </w:rPr>
                    <w:t>/</w:t>
                  </w:r>
                </w:p>
              </w:tc>
            </w:tr>
            <w:tr w14:paraId="345D1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18" w:type="pct"/>
                  <w:tcBorders>
                    <w:tl2br w:val="nil"/>
                    <w:tr2bl w:val="nil"/>
                  </w:tcBorders>
                  <w:noWrap w:val="0"/>
                  <w:vAlign w:val="center"/>
                </w:tcPr>
                <w:p w14:paraId="12966A0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w:t>
                  </w:r>
                </w:p>
              </w:tc>
              <w:tc>
                <w:tcPr>
                  <w:tcW w:w="929" w:type="pct"/>
                  <w:tcBorders>
                    <w:tl2br w:val="nil"/>
                    <w:tr2bl w:val="nil"/>
                  </w:tcBorders>
                  <w:noWrap w:val="0"/>
                  <w:vAlign w:val="center"/>
                </w:tcPr>
                <w:p w14:paraId="685052C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s="Times New Roman"/>
                      <w:color w:val="000000"/>
                      <w:kern w:val="2"/>
                      <w:sz w:val="21"/>
                      <w:szCs w:val="21"/>
                      <w:highlight w:val="none"/>
                      <w:lang w:val="en-US" w:eastAsia="zh-CN" w:bidi="ar-SA"/>
                    </w:rPr>
                  </w:pPr>
                  <w:r>
                    <w:rPr>
                      <w:rFonts w:hint="eastAsia"/>
                      <w:color w:val="000000"/>
                      <w:szCs w:val="21"/>
                      <w:highlight w:val="none"/>
                      <w:lang w:val="en-US" w:eastAsia="zh-CN"/>
                    </w:rPr>
                    <w:t>废润滑油</w:t>
                  </w:r>
                </w:p>
              </w:tc>
              <w:tc>
                <w:tcPr>
                  <w:tcW w:w="711" w:type="pct"/>
                  <w:vMerge w:val="continue"/>
                  <w:tcBorders>
                    <w:tl2br w:val="nil"/>
                    <w:tr2bl w:val="nil"/>
                  </w:tcBorders>
                  <w:noWrap w:val="0"/>
                  <w:vAlign w:val="center"/>
                </w:tcPr>
                <w:p w14:paraId="63AE5FC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824" w:type="pct"/>
                  <w:tcBorders>
                    <w:tl2br w:val="nil"/>
                    <w:tr2bl w:val="nil"/>
                  </w:tcBorders>
                  <w:noWrap w:val="0"/>
                  <w:vAlign w:val="center"/>
                </w:tcPr>
                <w:p w14:paraId="575905A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rPr>
                    <w:t>HW0</w:t>
                  </w:r>
                  <w:r>
                    <w:rPr>
                      <w:rFonts w:hint="eastAsia" w:ascii="Times New Roman" w:hAnsi="Times New Roman" w:eastAsia="宋体" w:cs="Times New Roman"/>
                      <w:color w:val="000000"/>
                      <w:sz w:val="21"/>
                      <w:szCs w:val="21"/>
                      <w:highlight w:val="none"/>
                      <w:lang w:val="en-US" w:eastAsia="zh-CN"/>
                    </w:rPr>
                    <w:t>8</w:t>
                  </w:r>
                </w:p>
                <w:p w14:paraId="438701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rPr>
                    <w:t>900-</w:t>
                  </w:r>
                  <w:r>
                    <w:rPr>
                      <w:rFonts w:hint="eastAsia" w:ascii="Times New Roman" w:hAnsi="Times New Roman" w:eastAsia="宋体" w:cs="Times New Roman"/>
                      <w:color w:val="000000"/>
                      <w:sz w:val="21"/>
                      <w:szCs w:val="21"/>
                      <w:highlight w:val="none"/>
                      <w:lang w:val="en-US" w:eastAsia="zh-CN"/>
                    </w:rPr>
                    <w:t>217</w:t>
                  </w:r>
                  <w:r>
                    <w:rPr>
                      <w:rFonts w:hint="eastAsia"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8</w:t>
                  </w:r>
                </w:p>
              </w:tc>
              <w:tc>
                <w:tcPr>
                  <w:tcW w:w="612" w:type="pct"/>
                  <w:tcBorders>
                    <w:tl2br w:val="nil"/>
                    <w:tr2bl w:val="nil"/>
                  </w:tcBorders>
                  <w:noWrap w:val="0"/>
                  <w:vAlign w:val="center"/>
                </w:tcPr>
                <w:p w14:paraId="52108A3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c>
                <w:tcPr>
                  <w:tcW w:w="824" w:type="pct"/>
                  <w:tcBorders>
                    <w:tl2br w:val="nil"/>
                    <w:tr2bl w:val="nil"/>
                  </w:tcBorders>
                  <w:noWrap w:val="0"/>
                  <w:vAlign w:val="center"/>
                </w:tcPr>
                <w:p w14:paraId="72C79A1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szCs w:val="21"/>
                      <w:highlight w:val="none"/>
                    </w:rPr>
                  </w:pPr>
                  <w:r>
                    <w:rPr>
                      <w:rFonts w:hint="eastAsia"/>
                      <w:color w:val="000000"/>
                      <w:szCs w:val="21"/>
                      <w:highlight w:val="none"/>
                    </w:rPr>
                    <w:t>委托有资质单位处理</w:t>
                  </w:r>
                </w:p>
              </w:tc>
              <w:tc>
                <w:tcPr>
                  <w:tcW w:w="678" w:type="pct"/>
                  <w:tcBorders>
                    <w:tl2br w:val="nil"/>
                    <w:tr2bl w:val="nil"/>
                  </w:tcBorders>
                  <w:noWrap w:val="0"/>
                  <w:vAlign w:val="center"/>
                </w:tcPr>
                <w:p w14:paraId="1DEF53F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szCs w:val="21"/>
                      <w:highlight w:val="none"/>
                      <w:lang w:val="en-US" w:eastAsia="zh-CN"/>
                    </w:rPr>
                  </w:pPr>
                  <w:r>
                    <w:rPr>
                      <w:rFonts w:hint="eastAsia"/>
                      <w:color w:val="000000"/>
                      <w:szCs w:val="21"/>
                      <w:highlight w:val="none"/>
                      <w:lang w:val="en-US" w:eastAsia="zh-CN"/>
                    </w:rPr>
                    <w:t>/</w:t>
                  </w:r>
                </w:p>
              </w:tc>
            </w:tr>
            <w:tr w14:paraId="514E0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8" w:type="pct"/>
                  <w:tcBorders>
                    <w:tl2br w:val="nil"/>
                    <w:tr2bl w:val="nil"/>
                  </w:tcBorders>
                  <w:noWrap w:val="0"/>
                  <w:vAlign w:val="center"/>
                </w:tcPr>
                <w:p w14:paraId="1968BD9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szCs w:val="21"/>
                      <w:lang w:val="en-US" w:eastAsia="zh-CN"/>
                    </w:rPr>
                    <w:t>6</w:t>
                  </w:r>
                </w:p>
              </w:tc>
              <w:tc>
                <w:tcPr>
                  <w:tcW w:w="929" w:type="pct"/>
                  <w:tcBorders>
                    <w:tl2br w:val="nil"/>
                    <w:tr2bl w:val="nil"/>
                  </w:tcBorders>
                  <w:noWrap w:val="0"/>
                  <w:vAlign w:val="center"/>
                </w:tcPr>
                <w:p w14:paraId="0853E5D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废油桶</w:t>
                  </w:r>
                </w:p>
              </w:tc>
              <w:tc>
                <w:tcPr>
                  <w:tcW w:w="711" w:type="pct"/>
                  <w:vMerge w:val="continue"/>
                  <w:tcBorders>
                    <w:tl2br w:val="nil"/>
                    <w:tr2bl w:val="nil"/>
                  </w:tcBorders>
                  <w:noWrap w:val="0"/>
                  <w:vAlign w:val="center"/>
                </w:tcPr>
                <w:p w14:paraId="08BE68A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824" w:type="pct"/>
                  <w:tcBorders>
                    <w:tl2br w:val="nil"/>
                    <w:tr2bl w:val="nil"/>
                  </w:tcBorders>
                  <w:noWrap w:val="0"/>
                  <w:vAlign w:val="center"/>
                </w:tcPr>
                <w:p w14:paraId="7AB3ADC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rPr>
                    <w:t>H</w:t>
                  </w:r>
                  <w:r>
                    <w:rPr>
                      <w:rFonts w:hint="eastAsia" w:ascii="Times New Roman" w:hAnsi="Times New Roman" w:eastAsia="宋体" w:cs="Times New Roman"/>
                      <w:color w:val="000000"/>
                      <w:sz w:val="21"/>
                      <w:szCs w:val="21"/>
                      <w:highlight w:val="none"/>
                      <w:lang w:val="en-US" w:eastAsia="zh-CN"/>
                    </w:rPr>
                    <w:t>W08</w:t>
                  </w:r>
                </w:p>
                <w:p w14:paraId="74D77D7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900-249-08</w:t>
                  </w:r>
                </w:p>
              </w:tc>
              <w:tc>
                <w:tcPr>
                  <w:tcW w:w="612" w:type="pct"/>
                  <w:tcBorders>
                    <w:tl2br w:val="nil"/>
                    <w:tr2bl w:val="nil"/>
                  </w:tcBorders>
                  <w:noWrap w:val="0"/>
                  <w:vAlign w:val="center"/>
                </w:tcPr>
                <w:p w14:paraId="04788C2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c>
                <w:tcPr>
                  <w:tcW w:w="824" w:type="pct"/>
                  <w:tcBorders>
                    <w:tl2br w:val="nil"/>
                    <w:tr2bl w:val="nil"/>
                  </w:tcBorders>
                  <w:noWrap w:val="0"/>
                  <w:vAlign w:val="center"/>
                </w:tcPr>
                <w:p w14:paraId="1A8D151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委托有资质单位处理</w:t>
                  </w:r>
                </w:p>
              </w:tc>
              <w:tc>
                <w:tcPr>
                  <w:tcW w:w="678" w:type="pct"/>
                  <w:tcBorders>
                    <w:tl2br w:val="nil"/>
                    <w:tr2bl w:val="nil"/>
                  </w:tcBorders>
                  <w:noWrap w:val="0"/>
                  <w:vAlign w:val="center"/>
                </w:tcPr>
                <w:p w14:paraId="40B1D62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w:t>
                  </w:r>
                </w:p>
              </w:tc>
            </w:tr>
            <w:tr w14:paraId="5CBD8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8" w:type="pct"/>
                  <w:tcBorders>
                    <w:tl2br w:val="nil"/>
                    <w:tr2bl w:val="nil"/>
                  </w:tcBorders>
                  <w:noWrap w:val="0"/>
                  <w:vAlign w:val="center"/>
                </w:tcPr>
                <w:p w14:paraId="6A78704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7</w:t>
                  </w:r>
                </w:p>
              </w:tc>
              <w:tc>
                <w:tcPr>
                  <w:tcW w:w="929" w:type="pct"/>
                  <w:tcBorders>
                    <w:tl2br w:val="nil"/>
                    <w:tr2bl w:val="nil"/>
                  </w:tcBorders>
                  <w:noWrap w:val="0"/>
                  <w:vAlign w:val="center"/>
                </w:tcPr>
                <w:p w14:paraId="6074CD4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蒸发残液</w:t>
                  </w:r>
                </w:p>
              </w:tc>
              <w:tc>
                <w:tcPr>
                  <w:tcW w:w="711" w:type="pct"/>
                  <w:vMerge w:val="continue"/>
                  <w:tcBorders>
                    <w:tl2br w:val="nil"/>
                    <w:tr2bl w:val="nil"/>
                  </w:tcBorders>
                  <w:noWrap w:val="0"/>
                  <w:vAlign w:val="center"/>
                </w:tcPr>
                <w:p w14:paraId="7F97A82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824" w:type="pct"/>
                  <w:tcBorders>
                    <w:tl2br w:val="nil"/>
                    <w:tr2bl w:val="nil"/>
                  </w:tcBorders>
                  <w:noWrap w:val="0"/>
                  <w:vAlign w:val="center"/>
                </w:tcPr>
                <w:p w14:paraId="0F3E281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sz w:val="21"/>
                      <w:szCs w:val="21"/>
                      <w:highlight w:val="none"/>
                      <w:lang w:val="en-US" w:eastAsia="zh-CN"/>
                    </w:rPr>
                  </w:pPr>
                  <w:r>
                    <w:rPr>
                      <w:sz w:val="21"/>
                      <w:szCs w:val="21"/>
                      <w:highlight w:val="none"/>
                    </w:rPr>
                    <w:t>HW</w:t>
                  </w:r>
                  <w:r>
                    <w:rPr>
                      <w:rFonts w:hint="eastAsia"/>
                      <w:sz w:val="21"/>
                      <w:szCs w:val="21"/>
                      <w:highlight w:val="none"/>
                      <w:lang w:val="en-US" w:eastAsia="zh-CN"/>
                    </w:rPr>
                    <w:t>49</w:t>
                  </w:r>
                </w:p>
                <w:p w14:paraId="09F1F93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cs="TimesNewRomanPSMT"/>
                      <w:kern w:val="0"/>
                      <w:sz w:val="21"/>
                      <w:szCs w:val="21"/>
                      <w:highlight w:val="none"/>
                      <w:lang w:val="en-US" w:eastAsia="zh-CN"/>
                    </w:rPr>
                    <w:t xml:space="preserve">772-006-49 </w:t>
                  </w:r>
                </w:p>
              </w:tc>
              <w:tc>
                <w:tcPr>
                  <w:tcW w:w="612" w:type="pct"/>
                  <w:tcBorders>
                    <w:tl2br w:val="nil"/>
                    <w:tr2bl w:val="nil"/>
                  </w:tcBorders>
                  <w:noWrap w:val="0"/>
                  <w:vAlign w:val="center"/>
                </w:tcPr>
                <w:p w14:paraId="11044A5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824" w:type="pct"/>
                  <w:tcBorders>
                    <w:tl2br w:val="nil"/>
                    <w:tr2bl w:val="nil"/>
                  </w:tcBorders>
                  <w:noWrap w:val="0"/>
                  <w:vAlign w:val="center"/>
                </w:tcPr>
                <w:p w14:paraId="22F6207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委托有资质单位处理</w:t>
                  </w:r>
                </w:p>
              </w:tc>
              <w:tc>
                <w:tcPr>
                  <w:tcW w:w="678" w:type="pct"/>
                  <w:tcBorders>
                    <w:tl2br w:val="nil"/>
                    <w:tr2bl w:val="nil"/>
                  </w:tcBorders>
                  <w:noWrap w:val="0"/>
                  <w:vAlign w:val="center"/>
                </w:tcPr>
                <w:p w14:paraId="70B1407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w:t>
                  </w:r>
                </w:p>
              </w:tc>
            </w:tr>
            <w:tr w14:paraId="6A289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418" w:type="pct"/>
                  <w:tcBorders>
                    <w:tl2br w:val="nil"/>
                    <w:tr2bl w:val="nil"/>
                  </w:tcBorders>
                  <w:noWrap w:val="0"/>
                  <w:vAlign w:val="center"/>
                </w:tcPr>
                <w:p w14:paraId="34D88CF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8</w:t>
                  </w:r>
                </w:p>
              </w:tc>
              <w:tc>
                <w:tcPr>
                  <w:tcW w:w="929" w:type="pct"/>
                  <w:tcBorders>
                    <w:tl2br w:val="nil"/>
                    <w:tr2bl w:val="nil"/>
                  </w:tcBorders>
                  <w:noWrap w:val="0"/>
                  <w:vAlign w:val="center"/>
                </w:tcPr>
                <w:p w14:paraId="5CABADF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生活垃圾</w:t>
                  </w:r>
                </w:p>
              </w:tc>
              <w:tc>
                <w:tcPr>
                  <w:tcW w:w="711" w:type="pct"/>
                  <w:tcBorders>
                    <w:tl2br w:val="nil"/>
                    <w:tr2bl w:val="nil"/>
                  </w:tcBorders>
                  <w:noWrap w:val="0"/>
                  <w:vAlign w:val="center"/>
                </w:tcPr>
                <w:p w14:paraId="20576655">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生活垃圾</w:t>
                  </w:r>
                </w:p>
              </w:tc>
              <w:tc>
                <w:tcPr>
                  <w:tcW w:w="824" w:type="pct"/>
                  <w:tcBorders>
                    <w:tl2br w:val="nil"/>
                    <w:tr2bl w:val="nil"/>
                  </w:tcBorders>
                  <w:noWrap w:val="0"/>
                  <w:vAlign w:val="center"/>
                </w:tcPr>
                <w:p w14:paraId="2970196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SW64</w:t>
                  </w:r>
                </w:p>
                <w:p w14:paraId="3857DD4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900-099-S64</w:t>
                  </w:r>
                </w:p>
              </w:tc>
              <w:tc>
                <w:tcPr>
                  <w:tcW w:w="612" w:type="pct"/>
                  <w:tcBorders>
                    <w:tl2br w:val="nil"/>
                    <w:tr2bl w:val="nil"/>
                  </w:tcBorders>
                  <w:noWrap w:val="0"/>
                  <w:vAlign w:val="center"/>
                </w:tcPr>
                <w:p w14:paraId="5BA91BC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16.9</w:t>
                  </w:r>
                </w:p>
              </w:tc>
              <w:tc>
                <w:tcPr>
                  <w:tcW w:w="824" w:type="pct"/>
                  <w:tcBorders>
                    <w:tl2br w:val="nil"/>
                    <w:tr2bl w:val="nil"/>
                  </w:tcBorders>
                  <w:noWrap w:val="0"/>
                  <w:vAlign w:val="center"/>
                </w:tcPr>
                <w:p w14:paraId="043C9F0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环卫部门统一清运</w:t>
                  </w:r>
                </w:p>
              </w:tc>
              <w:tc>
                <w:tcPr>
                  <w:tcW w:w="678" w:type="pct"/>
                  <w:tcBorders>
                    <w:tl2br w:val="nil"/>
                    <w:tr2bl w:val="nil"/>
                  </w:tcBorders>
                  <w:noWrap w:val="0"/>
                  <w:vAlign w:val="center"/>
                </w:tcPr>
                <w:p w14:paraId="5F9CB8A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rPr>
                  </w:pPr>
                  <w:r>
                    <w:rPr>
                      <w:rFonts w:hint="eastAsia"/>
                      <w:color w:val="000000"/>
                      <w:szCs w:val="21"/>
                    </w:rPr>
                    <w:t>环卫部门</w:t>
                  </w:r>
                </w:p>
              </w:tc>
            </w:tr>
          </w:tbl>
          <w:p w14:paraId="02281C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b/>
                <w:color w:val="000000"/>
                <w:sz w:val="24"/>
              </w:rPr>
              <w:t>4.4</w:t>
            </w:r>
            <w:r>
              <w:rPr>
                <w:rFonts w:hint="eastAsia"/>
                <w:b/>
                <w:color w:val="000000"/>
                <w:sz w:val="24"/>
              </w:rPr>
              <w:t>危险废物汇总分析</w:t>
            </w:r>
          </w:p>
          <w:p w14:paraId="267E7B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本项目危废汇总见表4-2</w:t>
            </w:r>
            <w:r>
              <w:rPr>
                <w:rFonts w:hint="eastAsia"/>
                <w:color w:val="000000"/>
                <w:sz w:val="24"/>
                <w:lang w:val="en-US" w:eastAsia="zh-CN"/>
              </w:rPr>
              <w:t>4</w:t>
            </w:r>
            <w:r>
              <w:rPr>
                <w:rFonts w:hint="eastAsia"/>
                <w:color w:val="000000"/>
                <w:sz w:val="24"/>
              </w:rPr>
              <w:t>：</w:t>
            </w:r>
          </w:p>
          <w:p w14:paraId="0002DD40">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b/>
                <w:color w:val="000000"/>
                <w:sz w:val="21"/>
                <w:szCs w:val="21"/>
              </w:rPr>
            </w:pPr>
            <w:r>
              <w:rPr>
                <w:rFonts w:hint="eastAsia"/>
                <w:b/>
                <w:color w:val="000000"/>
                <w:sz w:val="21"/>
                <w:szCs w:val="21"/>
              </w:rPr>
              <w:t>表4</w:t>
            </w:r>
            <w:r>
              <w:rPr>
                <w:b/>
                <w:color w:val="000000"/>
                <w:sz w:val="21"/>
                <w:szCs w:val="21"/>
              </w:rPr>
              <w:t>-</w:t>
            </w:r>
            <w:r>
              <w:rPr>
                <w:rFonts w:hint="eastAsia"/>
                <w:b/>
                <w:color w:val="000000"/>
                <w:sz w:val="21"/>
                <w:szCs w:val="21"/>
              </w:rPr>
              <w:t>2</w:t>
            </w:r>
            <w:r>
              <w:rPr>
                <w:rFonts w:hint="eastAsia"/>
                <w:b/>
                <w:color w:val="000000"/>
                <w:sz w:val="21"/>
                <w:szCs w:val="21"/>
                <w:lang w:val="en-US" w:eastAsia="zh-CN"/>
              </w:rPr>
              <w:t>4</w:t>
            </w:r>
            <w:r>
              <w:rPr>
                <w:rFonts w:hint="eastAsia"/>
                <w:b/>
                <w:color w:val="000000"/>
                <w:sz w:val="21"/>
                <w:szCs w:val="21"/>
              </w:rPr>
              <w:t xml:space="preserve"> 本项目危险废物汇总表</w:t>
            </w:r>
          </w:p>
          <w:tbl>
            <w:tblPr>
              <w:tblStyle w:val="20"/>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3"/>
              <w:gridCol w:w="951"/>
              <w:gridCol w:w="680"/>
              <w:gridCol w:w="772"/>
              <w:gridCol w:w="709"/>
              <w:gridCol w:w="976"/>
              <w:gridCol w:w="394"/>
              <w:gridCol w:w="794"/>
              <w:gridCol w:w="711"/>
              <w:gridCol w:w="676"/>
              <w:gridCol w:w="580"/>
              <w:gridCol w:w="689"/>
            </w:tblGrid>
            <w:tr w14:paraId="45149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 w:type="pct"/>
                  <w:tcBorders>
                    <w:tl2br w:val="nil"/>
                    <w:tr2bl w:val="nil"/>
                  </w:tcBorders>
                  <w:noWrap w:val="0"/>
                  <w:vAlign w:val="center"/>
                </w:tcPr>
                <w:p w14:paraId="45F20AD7">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序号</w:t>
                  </w:r>
                </w:p>
              </w:tc>
              <w:tc>
                <w:tcPr>
                  <w:tcW w:w="577" w:type="pct"/>
                  <w:tcBorders>
                    <w:tl2br w:val="nil"/>
                    <w:tr2bl w:val="nil"/>
                  </w:tcBorders>
                  <w:noWrap w:val="0"/>
                  <w:vAlign w:val="center"/>
                </w:tcPr>
                <w:p w14:paraId="30141DDD">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危险废物名称</w:t>
                  </w:r>
                </w:p>
              </w:tc>
              <w:tc>
                <w:tcPr>
                  <w:tcW w:w="412" w:type="pct"/>
                  <w:tcBorders>
                    <w:tl2br w:val="nil"/>
                    <w:tr2bl w:val="nil"/>
                  </w:tcBorders>
                  <w:noWrap w:val="0"/>
                  <w:vAlign w:val="center"/>
                </w:tcPr>
                <w:p w14:paraId="1E45AD59">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危险废物类别</w:t>
                  </w:r>
                </w:p>
              </w:tc>
              <w:tc>
                <w:tcPr>
                  <w:tcW w:w="468" w:type="pct"/>
                  <w:tcBorders>
                    <w:tl2br w:val="nil"/>
                    <w:tr2bl w:val="nil"/>
                  </w:tcBorders>
                  <w:noWrap w:val="0"/>
                  <w:vAlign w:val="center"/>
                </w:tcPr>
                <w:p w14:paraId="4E04AE51">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危险废物代码</w:t>
                  </w:r>
                </w:p>
              </w:tc>
              <w:tc>
                <w:tcPr>
                  <w:tcW w:w="430" w:type="pct"/>
                  <w:tcBorders>
                    <w:tl2br w:val="nil"/>
                    <w:tr2bl w:val="nil"/>
                  </w:tcBorders>
                  <w:noWrap w:val="0"/>
                  <w:vAlign w:val="center"/>
                </w:tcPr>
                <w:p w14:paraId="01EFED0B">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产生量（</w:t>
                  </w:r>
                  <w:r>
                    <w:rPr>
                      <w:b/>
                      <w:color w:val="000000"/>
                      <w:sz w:val="21"/>
                      <w:szCs w:val="21"/>
                    </w:rPr>
                    <w:t>t/a</w:t>
                  </w:r>
                  <w:r>
                    <w:rPr>
                      <w:rFonts w:hint="eastAsia"/>
                      <w:b/>
                      <w:color w:val="000000"/>
                      <w:sz w:val="21"/>
                      <w:szCs w:val="21"/>
                    </w:rPr>
                    <w:t>）</w:t>
                  </w:r>
                </w:p>
              </w:tc>
              <w:tc>
                <w:tcPr>
                  <w:tcW w:w="592" w:type="pct"/>
                  <w:tcBorders>
                    <w:tl2br w:val="nil"/>
                    <w:tr2bl w:val="nil"/>
                  </w:tcBorders>
                  <w:noWrap w:val="0"/>
                  <w:vAlign w:val="center"/>
                </w:tcPr>
                <w:p w14:paraId="75D22A72">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产生工序及装置</w:t>
                  </w:r>
                </w:p>
              </w:tc>
              <w:tc>
                <w:tcPr>
                  <w:tcW w:w="239" w:type="pct"/>
                  <w:tcBorders>
                    <w:tl2br w:val="nil"/>
                    <w:tr2bl w:val="nil"/>
                  </w:tcBorders>
                  <w:noWrap w:val="0"/>
                  <w:vAlign w:val="center"/>
                </w:tcPr>
                <w:p w14:paraId="75479231">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形态</w:t>
                  </w:r>
                </w:p>
              </w:tc>
              <w:tc>
                <w:tcPr>
                  <w:tcW w:w="482" w:type="pct"/>
                  <w:tcBorders>
                    <w:tl2br w:val="nil"/>
                    <w:tr2bl w:val="nil"/>
                  </w:tcBorders>
                  <w:noWrap w:val="0"/>
                  <w:vAlign w:val="center"/>
                </w:tcPr>
                <w:p w14:paraId="1CC8B0B9">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主要成分</w:t>
                  </w:r>
                </w:p>
              </w:tc>
              <w:tc>
                <w:tcPr>
                  <w:tcW w:w="431" w:type="pct"/>
                  <w:tcBorders>
                    <w:tl2br w:val="nil"/>
                    <w:tr2bl w:val="nil"/>
                  </w:tcBorders>
                  <w:noWrap w:val="0"/>
                  <w:vAlign w:val="center"/>
                </w:tcPr>
                <w:p w14:paraId="3AE84CBF">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有害成分</w:t>
                  </w:r>
                </w:p>
              </w:tc>
              <w:tc>
                <w:tcPr>
                  <w:tcW w:w="410" w:type="pct"/>
                  <w:tcBorders>
                    <w:tl2br w:val="nil"/>
                    <w:tr2bl w:val="nil"/>
                  </w:tcBorders>
                  <w:noWrap w:val="0"/>
                  <w:vAlign w:val="center"/>
                </w:tcPr>
                <w:p w14:paraId="28035EC8">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highlight w:val="none"/>
                    </w:rPr>
                  </w:pPr>
                  <w:r>
                    <w:rPr>
                      <w:rFonts w:hint="eastAsia"/>
                      <w:b/>
                      <w:color w:val="000000"/>
                      <w:sz w:val="21"/>
                      <w:szCs w:val="21"/>
                      <w:highlight w:val="none"/>
                    </w:rPr>
                    <w:t>产废周期</w:t>
                  </w:r>
                </w:p>
              </w:tc>
              <w:tc>
                <w:tcPr>
                  <w:tcW w:w="352" w:type="pct"/>
                  <w:tcBorders>
                    <w:tl2br w:val="nil"/>
                    <w:tr2bl w:val="nil"/>
                  </w:tcBorders>
                  <w:noWrap w:val="0"/>
                  <w:vAlign w:val="center"/>
                </w:tcPr>
                <w:p w14:paraId="2F049527">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危险</w:t>
                  </w:r>
                </w:p>
                <w:p w14:paraId="4E4E19BE">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特性</w:t>
                  </w:r>
                </w:p>
              </w:tc>
              <w:tc>
                <w:tcPr>
                  <w:tcW w:w="418" w:type="pct"/>
                  <w:tcBorders>
                    <w:tl2br w:val="nil"/>
                    <w:tr2bl w:val="nil"/>
                  </w:tcBorders>
                  <w:noWrap w:val="0"/>
                  <w:vAlign w:val="center"/>
                </w:tcPr>
                <w:p w14:paraId="3436AB92">
                  <w:pPr>
                    <w:keepNext w:val="0"/>
                    <w:keepLines w:val="0"/>
                    <w:pageBreakBefore w:val="0"/>
                    <w:widowControl w:val="0"/>
                    <w:kinsoku/>
                    <w:wordWrap/>
                    <w:overflowPunct/>
                    <w:autoSpaceDE/>
                    <w:autoSpaceDN/>
                    <w:bidi w:val="0"/>
                    <w:adjustRightInd w:val="0"/>
                    <w:snapToGrid w:val="0"/>
                    <w:ind w:left="-105" w:leftChars="-50" w:right="-105" w:rightChars="-50" w:firstLine="0"/>
                    <w:jc w:val="center"/>
                    <w:textAlignment w:val="auto"/>
                    <w:rPr>
                      <w:b/>
                      <w:color w:val="000000"/>
                      <w:sz w:val="21"/>
                      <w:szCs w:val="21"/>
                    </w:rPr>
                  </w:pPr>
                  <w:r>
                    <w:rPr>
                      <w:rFonts w:hint="eastAsia"/>
                      <w:b/>
                      <w:color w:val="000000"/>
                      <w:sz w:val="21"/>
                      <w:szCs w:val="21"/>
                    </w:rPr>
                    <w:t>污染防治措施</w:t>
                  </w:r>
                </w:p>
              </w:tc>
            </w:tr>
            <w:tr w14:paraId="3BF75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 w:type="pct"/>
                  <w:tcBorders>
                    <w:tl2br w:val="nil"/>
                    <w:tr2bl w:val="nil"/>
                  </w:tcBorders>
                  <w:noWrap w:val="0"/>
                  <w:vAlign w:val="center"/>
                </w:tcPr>
                <w:p w14:paraId="6538274B">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1</w:t>
                  </w:r>
                </w:p>
              </w:tc>
              <w:tc>
                <w:tcPr>
                  <w:tcW w:w="577" w:type="pct"/>
                  <w:tcBorders>
                    <w:tl2br w:val="nil"/>
                    <w:tr2bl w:val="nil"/>
                  </w:tcBorders>
                  <w:noWrap w:val="0"/>
                  <w:vAlign w:val="center"/>
                </w:tcPr>
                <w:p w14:paraId="54D551B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412" w:type="pct"/>
                  <w:tcBorders>
                    <w:tl2br w:val="nil"/>
                    <w:tr2bl w:val="nil"/>
                  </w:tcBorders>
                  <w:noWrap w:val="0"/>
                  <w:vAlign w:val="center"/>
                </w:tcPr>
                <w:p w14:paraId="3D44717A">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color w:val="000000"/>
                      <w:sz w:val="21"/>
                      <w:szCs w:val="21"/>
                      <w:highlight w:val="none"/>
                    </w:rPr>
                    <w:t>HW49</w:t>
                  </w:r>
                </w:p>
              </w:tc>
              <w:tc>
                <w:tcPr>
                  <w:tcW w:w="468" w:type="pct"/>
                  <w:tcBorders>
                    <w:tl2br w:val="nil"/>
                    <w:tr2bl w:val="nil"/>
                  </w:tcBorders>
                  <w:noWrap w:val="0"/>
                  <w:vAlign w:val="center"/>
                </w:tcPr>
                <w:p w14:paraId="4835B773">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NewRomanPSMT"/>
                      <w:color w:val="000000"/>
                      <w:kern w:val="0"/>
                      <w:sz w:val="21"/>
                      <w:szCs w:val="21"/>
                      <w:highlight w:val="none"/>
                      <w:lang w:val="en-US" w:eastAsia="zh-CN" w:bidi="ar-SA"/>
                    </w:rPr>
                  </w:pPr>
                  <w:r>
                    <w:rPr>
                      <w:rFonts w:cs="TimesNewRomanPSMT"/>
                      <w:color w:val="000000"/>
                      <w:kern w:val="0"/>
                      <w:sz w:val="21"/>
                      <w:szCs w:val="21"/>
                      <w:highlight w:val="none"/>
                    </w:rPr>
                    <w:t>900-</w:t>
                  </w:r>
                  <w:r>
                    <w:rPr>
                      <w:rFonts w:hint="eastAsia" w:cs="TimesNewRomanPSMT"/>
                      <w:color w:val="000000"/>
                      <w:kern w:val="0"/>
                      <w:sz w:val="21"/>
                      <w:szCs w:val="21"/>
                      <w:highlight w:val="none"/>
                    </w:rPr>
                    <w:t>039</w:t>
                  </w:r>
                  <w:r>
                    <w:rPr>
                      <w:rFonts w:cs="TimesNewRomanPSMT"/>
                      <w:color w:val="000000"/>
                      <w:kern w:val="0"/>
                      <w:sz w:val="21"/>
                      <w:szCs w:val="21"/>
                      <w:highlight w:val="none"/>
                    </w:rPr>
                    <w:t>-49</w:t>
                  </w:r>
                </w:p>
              </w:tc>
              <w:tc>
                <w:tcPr>
                  <w:tcW w:w="430" w:type="pct"/>
                  <w:tcBorders>
                    <w:tl2br w:val="nil"/>
                    <w:tr2bl w:val="nil"/>
                  </w:tcBorders>
                  <w:noWrap w:val="0"/>
                  <w:vAlign w:val="center"/>
                </w:tcPr>
                <w:p w14:paraId="06A0EEB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0.2665</w:t>
                  </w:r>
                </w:p>
              </w:tc>
              <w:tc>
                <w:tcPr>
                  <w:tcW w:w="592" w:type="pct"/>
                  <w:tcBorders>
                    <w:tl2br w:val="nil"/>
                    <w:tr2bl w:val="nil"/>
                  </w:tcBorders>
                  <w:noWrap w:val="0"/>
                  <w:vAlign w:val="center"/>
                </w:tcPr>
                <w:p w14:paraId="69EF4094">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废气设施</w:t>
                  </w:r>
                </w:p>
              </w:tc>
              <w:tc>
                <w:tcPr>
                  <w:tcW w:w="239" w:type="pct"/>
                  <w:tcBorders>
                    <w:tl2br w:val="nil"/>
                    <w:tr2bl w:val="nil"/>
                  </w:tcBorders>
                  <w:noWrap w:val="0"/>
                  <w:vAlign w:val="center"/>
                </w:tcPr>
                <w:p w14:paraId="611BC528">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固态</w:t>
                  </w:r>
                </w:p>
              </w:tc>
              <w:tc>
                <w:tcPr>
                  <w:tcW w:w="482" w:type="pct"/>
                  <w:tcBorders>
                    <w:tl2br w:val="nil"/>
                    <w:tr2bl w:val="nil"/>
                  </w:tcBorders>
                  <w:noWrap w:val="0"/>
                  <w:vAlign w:val="center"/>
                </w:tcPr>
                <w:p w14:paraId="4352786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废气、活性炭</w:t>
                  </w:r>
                </w:p>
              </w:tc>
              <w:tc>
                <w:tcPr>
                  <w:tcW w:w="431" w:type="pct"/>
                  <w:tcBorders>
                    <w:tl2br w:val="nil"/>
                    <w:tr2bl w:val="nil"/>
                  </w:tcBorders>
                  <w:noWrap w:val="0"/>
                  <w:vAlign w:val="center"/>
                </w:tcPr>
                <w:p w14:paraId="34084927">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废气、活性炭</w:t>
                  </w:r>
                </w:p>
              </w:tc>
              <w:tc>
                <w:tcPr>
                  <w:tcW w:w="410" w:type="pct"/>
                  <w:tcBorders>
                    <w:tl2br w:val="nil"/>
                    <w:tr2bl w:val="nil"/>
                  </w:tcBorders>
                  <w:noWrap w:val="0"/>
                  <w:vAlign w:val="center"/>
                </w:tcPr>
                <w:p w14:paraId="68930CEF">
                  <w:pPr>
                    <w:keepNext w:val="0"/>
                    <w:keepLines w:val="0"/>
                    <w:pageBreakBefore w:val="0"/>
                    <w:widowControl w:val="0"/>
                    <w:kinsoku/>
                    <w:wordWrap/>
                    <w:overflowPunct/>
                    <w:topLinePunct/>
                    <w:autoSpaceDE/>
                    <w:autoSpaceDN/>
                    <w:bidi w:val="0"/>
                    <w:adjustRightInd w:val="0"/>
                    <w:snapToGrid w:val="0"/>
                    <w:ind w:left="-105" w:leftChars="-50" w:right="-105" w:rightChars="-50" w:firstLine="0" w:firstLineChars="0"/>
                    <w:jc w:val="center"/>
                    <w:textAlignment w:val="auto"/>
                    <w:rPr>
                      <w:rFonts w:hint="eastAsia" w:eastAsia="宋体"/>
                      <w:color w:val="000000"/>
                      <w:kern w:val="2"/>
                      <w:sz w:val="21"/>
                      <w:szCs w:val="21"/>
                      <w:highlight w:val="none"/>
                      <w:lang w:val="en-US" w:eastAsia="zh-CN" w:bidi="ar-SA"/>
                    </w:rPr>
                  </w:pPr>
                  <w:r>
                    <w:rPr>
                      <w:rFonts w:hint="eastAsia" w:eastAsia="宋体"/>
                      <w:color w:val="000000"/>
                      <w:kern w:val="2"/>
                      <w:sz w:val="21"/>
                      <w:szCs w:val="21"/>
                      <w:highlight w:val="none"/>
                      <w:lang w:val="en-US" w:eastAsia="zh-CN" w:bidi="ar-SA"/>
                    </w:rPr>
                    <w:t>3个月</w:t>
                  </w:r>
                </w:p>
              </w:tc>
              <w:tc>
                <w:tcPr>
                  <w:tcW w:w="352" w:type="pct"/>
                  <w:tcBorders>
                    <w:tl2br w:val="nil"/>
                    <w:tr2bl w:val="nil"/>
                  </w:tcBorders>
                  <w:noWrap w:val="0"/>
                  <w:vAlign w:val="center"/>
                </w:tcPr>
                <w:p w14:paraId="54D1D452">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color w:val="000000"/>
                      <w:sz w:val="21"/>
                      <w:szCs w:val="21"/>
                      <w:highlight w:val="none"/>
                    </w:rPr>
                    <w:t>T</w:t>
                  </w:r>
                </w:p>
              </w:tc>
              <w:tc>
                <w:tcPr>
                  <w:tcW w:w="418" w:type="pct"/>
                  <w:vMerge w:val="restart"/>
                  <w:tcBorders>
                    <w:tl2br w:val="nil"/>
                    <w:tr2bl w:val="nil"/>
                  </w:tcBorders>
                  <w:noWrap w:val="0"/>
                  <w:vAlign w:val="center"/>
                </w:tcPr>
                <w:p w14:paraId="2072DCD3">
                  <w:pPr>
                    <w:keepNext w:val="0"/>
                    <w:keepLines w:val="0"/>
                    <w:pageBreakBefore w:val="0"/>
                    <w:widowControl w:val="0"/>
                    <w:kinsoku/>
                    <w:wordWrap/>
                    <w:overflowPunct/>
                    <w:topLinePunct/>
                    <w:autoSpaceDE/>
                    <w:autoSpaceDN/>
                    <w:bidi w:val="0"/>
                    <w:adjustRightInd w:val="0"/>
                    <w:snapToGrid w:val="0"/>
                    <w:ind w:left="-105" w:leftChars="-50" w:right="-105" w:rightChars="-50" w:firstLine="0"/>
                    <w:jc w:val="center"/>
                    <w:textAlignment w:val="auto"/>
                    <w:rPr>
                      <w:color w:val="000000"/>
                      <w:sz w:val="21"/>
                      <w:szCs w:val="21"/>
                      <w:highlight w:val="yellow"/>
                    </w:rPr>
                  </w:pPr>
                  <w:r>
                    <w:rPr>
                      <w:rFonts w:hint="eastAsia"/>
                      <w:color w:val="000000"/>
                      <w:sz w:val="21"/>
                      <w:szCs w:val="21"/>
                      <w:highlight w:val="none"/>
                    </w:rPr>
                    <w:t>堆放于危废</w:t>
                  </w:r>
                  <w:r>
                    <w:rPr>
                      <w:rFonts w:hint="eastAsia"/>
                      <w:color w:val="000000"/>
                      <w:sz w:val="21"/>
                      <w:szCs w:val="21"/>
                      <w:highlight w:val="none"/>
                      <w:lang w:val="en-US" w:eastAsia="zh-CN"/>
                    </w:rPr>
                    <w:t>仓库</w:t>
                  </w:r>
                  <w:r>
                    <w:rPr>
                      <w:rFonts w:hint="eastAsia"/>
                      <w:color w:val="000000"/>
                      <w:sz w:val="21"/>
                      <w:szCs w:val="21"/>
                      <w:highlight w:val="none"/>
                    </w:rPr>
                    <w:t>，定期</w:t>
                  </w:r>
                  <w:r>
                    <w:rPr>
                      <w:rFonts w:hint="eastAsia"/>
                      <w:color w:val="000000"/>
                      <w:sz w:val="21"/>
                      <w:szCs w:val="21"/>
                      <w:highlight w:val="none"/>
                      <w:lang w:val="en-US" w:eastAsia="zh-CN"/>
                    </w:rPr>
                    <w:t>交由</w:t>
                  </w:r>
                  <w:r>
                    <w:rPr>
                      <w:rFonts w:hint="eastAsia"/>
                      <w:color w:val="000000"/>
                      <w:sz w:val="21"/>
                      <w:szCs w:val="21"/>
                      <w:highlight w:val="none"/>
                    </w:rPr>
                    <w:t>资质单位处置</w:t>
                  </w:r>
                </w:p>
              </w:tc>
            </w:tr>
            <w:tr w14:paraId="357F1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 w:type="pct"/>
                  <w:tcBorders>
                    <w:tl2br w:val="nil"/>
                    <w:tr2bl w:val="nil"/>
                  </w:tcBorders>
                  <w:noWrap w:val="0"/>
                  <w:vAlign w:val="center"/>
                </w:tcPr>
                <w:p w14:paraId="2EBB75A9">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cs="Times New Roman"/>
                      <w:color w:val="000000"/>
                      <w:szCs w:val="21"/>
                      <w:highlight w:val="none"/>
                      <w:lang w:val="en-US" w:eastAsia="zh-CN"/>
                    </w:rPr>
                  </w:pPr>
                  <w:r>
                    <w:rPr>
                      <w:rFonts w:hint="eastAsia" w:cs="Times New Roman"/>
                      <w:color w:val="000000"/>
                      <w:szCs w:val="21"/>
                      <w:highlight w:val="none"/>
                      <w:lang w:val="en-US" w:eastAsia="zh-CN"/>
                    </w:rPr>
                    <w:t>2</w:t>
                  </w:r>
                </w:p>
              </w:tc>
              <w:tc>
                <w:tcPr>
                  <w:tcW w:w="577" w:type="pct"/>
                  <w:tcBorders>
                    <w:tl2br w:val="nil"/>
                    <w:tr2bl w:val="nil"/>
                  </w:tcBorders>
                  <w:noWrap w:val="0"/>
                  <w:vAlign w:val="center"/>
                </w:tcPr>
                <w:p w14:paraId="78DE956E">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废润滑油</w:t>
                  </w:r>
                </w:p>
              </w:tc>
              <w:tc>
                <w:tcPr>
                  <w:tcW w:w="412" w:type="pct"/>
                  <w:tcBorders>
                    <w:tl2br w:val="nil"/>
                    <w:tr2bl w:val="nil"/>
                  </w:tcBorders>
                  <w:noWrap w:val="0"/>
                  <w:vAlign w:val="center"/>
                </w:tcPr>
                <w:p w14:paraId="0A57E8F2">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color w:val="000000"/>
                      <w:sz w:val="21"/>
                      <w:szCs w:val="21"/>
                      <w:highlight w:val="none"/>
                    </w:rPr>
                  </w:pPr>
                  <w:r>
                    <w:rPr>
                      <w:rFonts w:hint="eastAsia" w:ascii="Times New Roman" w:hAnsi="Times New Roman" w:eastAsia="宋体" w:cs="Times New Roman"/>
                      <w:color w:val="000000"/>
                      <w:szCs w:val="21"/>
                      <w:highlight w:val="none"/>
                      <w:lang w:val="en-US" w:eastAsia="zh-CN"/>
                    </w:rPr>
                    <w:t>HW08</w:t>
                  </w:r>
                </w:p>
              </w:tc>
              <w:tc>
                <w:tcPr>
                  <w:tcW w:w="468" w:type="pct"/>
                  <w:tcBorders>
                    <w:tl2br w:val="nil"/>
                    <w:tr2bl w:val="nil"/>
                  </w:tcBorders>
                  <w:noWrap w:val="0"/>
                  <w:vAlign w:val="center"/>
                </w:tcPr>
                <w:p w14:paraId="56E9CB10">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cs="TimesNewRomanPSMT"/>
                      <w:color w:val="000000"/>
                      <w:kern w:val="0"/>
                      <w:sz w:val="21"/>
                      <w:szCs w:val="21"/>
                      <w:highlight w:val="none"/>
                    </w:rPr>
                  </w:pPr>
                  <w:r>
                    <w:rPr>
                      <w:rFonts w:hint="eastAsia" w:ascii="Times New Roman" w:hAnsi="Times New Roman" w:eastAsia="宋体" w:cs="Times New Roman"/>
                      <w:color w:val="000000"/>
                      <w:szCs w:val="21"/>
                      <w:highlight w:val="none"/>
                      <w:lang w:val="en-US" w:eastAsia="zh-CN"/>
                    </w:rPr>
                    <w:t>900-217-08</w:t>
                  </w:r>
                </w:p>
              </w:tc>
              <w:tc>
                <w:tcPr>
                  <w:tcW w:w="430" w:type="pct"/>
                  <w:tcBorders>
                    <w:tl2br w:val="nil"/>
                    <w:tr2bl w:val="nil"/>
                  </w:tcBorders>
                  <w:noWrap w:val="0"/>
                  <w:vAlign w:val="center"/>
                </w:tcPr>
                <w:p w14:paraId="16E2C01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0.001</w:t>
                  </w:r>
                </w:p>
              </w:tc>
              <w:tc>
                <w:tcPr>
                  <w:tcW w:w="592" w:type="pct"/>
                  <w:tcBorders>
                    <w:tl2br w:val="nil"/>
                    <w:tr2bl w:val="nil"/>
                  </w:tcBorders>
                  <w:noWrap w:val="0"/>
                  <w:vAlign w:val="center"/>
                </w:tcPr>
                <w:p w14:paraId="1404E39E">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日常维保</w:t>
                  </w:r>
                </w:p>
              </w:tc>
              <w:tc>
                <w:tcPr>
                  <w:tcW w:w="239" w:type="pct"/>
                  <w:tcBorders>
                    <w:tl2br w:val="nil"/>
                    <w:tr2bl w:val="nil"/>
                  </w:tcBorders>
                  <w:noWrap w:val="0"/>
                  <w:vAlign w:val="center"/>
                </w:tcPr>
                <w:p w14:paraId="6ED20226">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液态</w:t>
                  </w:r>
                </w:p>
              </w:tc>
              <w:tc>
                <w:tcPr>
                  <w:tcW w:w="482" w:type="pct"/>
                  <w:tcBorders>
                    <w:tl2br w:val="nil"/>
                    <w:tr2bl w:val="nil"/>
                  </w:tcBorders>
                  <w:noWrap w:val="0"/>
                  <w:vAlign w:val="center"/>
                </w:tcPr>
                <w:p w14:paraId="76CD01A4">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润滑油</w:t>
                  </w:r>
                </w:p>
              </w:tc>
              <w:tc>
                <w:tcPr>
                  <w:tcW w:w="431" w:type="pct"/>
                  <w:tcBorders>
                    <w:tl2br w:val="nil"/>
                    <w:tr2bl w:val="nil"/>
                  </w:tcBorders>
                  <w:noWrap w:val="0"/>
                  <w:vAlign w:val="center"/>
                </w:tcPr>
                <w:p w14:paraId="1ADACB3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润滑油</w:t>
                  </w:r>
                </w:p>
              </w:tc>
              <w:tc>
                <w:tcPr>
                  <w:tcW w:w="410" w:type="pct"/>
                  <w:tcBorders>
                    <w:tl2br w:val="nil"/>
                    <w:tr2bl w:val="nil"/>
                  </w:tcBorders>
                  <w:noWrap w:val="0"/>
                  <w:vAlign w:val="center"/>
                </w:tcPr>
                <w:p w14:paraId="35110B33">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eastAsia="宋体"/>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3个月</w:t>
                  </w:r>
                </w:p>
              </w:tc>
              <w:tc>
                <w:tcPr>
                  <w:tcW w:w="352" w:type="pct"/>
                  <w:tcBorders>
                    <w:tl2br w:val="nil"/>
                    <w:tr2bl w:val="nil"/>
                  </w:tcBorders>
                  <w:noWrap w:val="0"/>
                  <w:vAlign w:val="center"/>
                </w:tcPr>
                <w:p w14:paraId="676DDD6E">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color w:val="000000"/>
                      <w:sz w:val="21"/>
                      <w:szCs w:val="21"/>
                      <w:highlight w:val="none"/>
                    </w:rPr>
                  </w:pPr>
                  <w:r>
                    <w:rPr>
                      <w:rFonts w:hint="eastAsia" w:ascii="Times New Roman" w:hAnsi="Times New Roman" w:eastAsia="宋体" w:cs="Times New Roman"/>
                      <w:color w:val="000000"/>
                      <w:szCs w:val="21"/>
                      <w:highlight w:val="none"/>
                      <w:lang w:val="en-US" w:eastAsia="zh-CN"/>
                    </w:rPr>
                    <w:t>T，I</w:t>
                  </w:r>
                </w:p>
              </w:tc>
              <w:tc>
                <w:tcPr>
                  <w:tcW w:w="418" w:type="pct"/>
                  <w:vMerge w:val="continue"/>
                  <w:tcBorders>
                    <w:tl2br w:val="nil"/>
                    <w:tr2bl w:val="nil"/>
                  </w:tcBorders>
                  <w:noWrap w:val="0"/>
                  <w:vAlign w:val="center"/>
                </w:tcPr>
                <w:p w14:paraId="358ED6E9">
                  <w:pPr>
                    <w:keepNext w:val="0"/>
                    <w:keepLines w:val="0"/>
                    <w:pageBreakBefore w:val="0"/>
                    <w:widowControl w:val="0"/>
                    <w:kinsoku/>
                    <w:wordWrap/>
                    <w:overflowPunct/>
                    <w:topLinePunct/>
                    <w:autoSpaceDE/>
                    <w:autoSpaceDN/>
                    <w:bidi w:val="0"/>
                    <w:adjustRightInd w:val="0"/>
                    <w:snapToGrid w:val="0"/>
                    <w:ind w:left="-105" w:leftChars="-50" w:right="-105" w:rightChars="-50" w:firstLine="0"/>
                    <w:jc w:val="center"/>
                    <w:textAlignment w:val="auto"/>
                    <w:rPr>
                      <w:rFonts w:hint="eastAsia"/>
                      <w:color w:val="000000"/>
                      <w:sz w:val="21"/>
                      <w:szCs w:val="21"/>
                      <w:highlight w:val="none"/>
                    </w:rPr>
                  </w:pPr>
                </w:p>
              </w:tc>
            </w:tr>
            <w:tr w14:paraId="07201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 w:type="pct"/>
                  <w:tcBorders>
                    <w:tl2br w:val="nil"/>
                    <w:tr2bl w:val="nil"/>
                  </w:tcBorders>
                  <w:noWrap w:val="0"/>
                  <w:vAlign w:val="center"/>
                </w:tcPr>
                <w:p w14:paraId="7D2C603F">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3</w:t>
                  </w:r>
                </w:p>
              </w:tc>
              <w:tc>
                <w:tcPr>
                  <w:tcW w:w="577" w:type="pct"/>
                  <w:tcBorders>
                    <w:tl2br w:val="nil"/>
                    <w:tr2bl w:val="nil"/>
                  </w:tcBorders>
                  <w:noWrap w:val="0"/>
                  <w:vAlign w:val="center"/>
                </w:tcPr>
                <w:p w14:paraId="7DE6AF9F">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废油桶</w:t>
                  </w:r>
                </w:p>
              </w:tc>
              <w:tc>
                <w:tcPr>
                  <w:tcW w:w="412" w:type="pct"/>
                  <w:tcBorders>
                    <w:tl2br w:val="nil"/>
                    <w:tr2bl w:val="nil"/>
                  </w:tcBorders>
                  <w:noWrap w:val="0"/>
                  <w:vAlign w:val="center"/>
                </w:tcPr>
                <w:p w14:paraId="72F67C35">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color w:val="000000"/>
                      <w:sz w:val="21"/>
                      <w:szCs w:val="21"/>
                      <w:highlight w:val="none"/>
                    </w:rPr>
                    <w:t>H</w:t>
                  </w:r>
                  <w:r>
                    <w:rPr>
                      <w:rFonts w:hint="eastAsia"/>
                      <w:color w:val="000000"/>
                      <w:sz w:val="21"/>
                      <w:szCs w:val="21"/>
                      <w:highlight w:val="none"/>
                      <w:lang w:val="en-US" w:eastAsia="zh-CN"/>
                    </w:rPr>
                    <w:t>W08</w:t>
                  </w:r>
                </w:p>
              </w:tc>
              <w:tc>
                <w:tcPr>
                  <w:tcW w:w="468" w:type="pct"/>
                  <w:tcBorders>
                    <w:tl2br w:val="nil"/>
                    <w:tr2bl w:val="nil"/>
                  </w:tcBorders>
                  <w:noWrap w:val="0"/>
                  <w:vAlign w:val="center"/>
                </w:tcPr>
                <w:p w14:paraId="28507ABA">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NewRomanPSMT"/>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900-249-08</w:t>
                  </w:r>
                </w:p>
              </w:tc>
              <w:tc>
                <w:tcPr>
                  <w:tcW w:w="430" w:type="pct"/>
                  <w:tcBorders>
                    <w:tl2br w:val="nil"/>
                    <w:tr2bl w:val="nil"/>
                  </w:tcBorders>
                  <w:noWrap w:val="0"/>
                  <w:vAlign w:val="center"/>
                </w:tcPr>
                <w:p w14:paraId="294EE9E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c>
                <w:tcPr>
                  <w:tcW w:w="592" w:type="pct"/>
                  <w:tcBorders>
                    <w:tl2br w:val="nil"/>
                    <w:tr2bl w:val="nil"/>
                  </w:tcBorders>
                  <w:noWrap w:val="0"/>
                  <w:vAlign w:val="center"/>
                </w:tcPr>
                <w:p w14:paraId="5A62A17C">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原辅料使用</w:t>
                  </w:r>
                </w:p>
              </w:tc>
              <w:tc>
                <w:tcPr>
                  <w:tcW w:w="239" w:type="pct"/>
                  <w:tcBorders>
                    <w:tl2br w:val="nil"/>
                    <w:tr2bl w:val="nil"/>
                  </w:tcBorders>
                  <w:noWrap w:val="0"/>
                  <w:vAlign w:val="center"/>
                </w:tcPr>
                <w:p w14:paraId="08DA5BBD">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固态</w:t>
                  </w:r>
                </w:p>
              </w:tc>
              <w:tc>
                <w:tcPr>
                  <w:tcW w:w="482" w:type="pct"/>
                  <w:tcBorders>
                    <w:tl2br w:val="nil"/>
                    <w:tr2bl w:val="nil"/>
                  </w:tcBorders>
                  <w:noWrap w:val="0"/>
                  <w:vAlign w:val="center"/>
                </w:tcPr>
                <w:p w14:paraId="145E1C4B">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润滑油、桶</w:t>
                  </w:r>
                </w:p>
              </w:tc>
              <w:tc>
                <w:tcPr>
                  <w:tcW w:w="431" w:type="pct"/>
                  <w:tcBorders>
                    <w:tl2br w:val="nil"/>
                    <w:tr2bl w:val="nil"/>
                  </w:tcBorders>
                  <w:noWrap w:val="0"/>
                  <w:vAlign w:val="center"/>
                </w:tcPr>
                <w:p w14:paraId="7724D8C5">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润滑油</w:t>
                  </w:r>
                </w:p>
              </w:tc>
              <w:tc>
                <w:tcPr>
                  <w:tcW w:w="410" w:type="pct"/>
                  <w:tcBorders>
                    <w:tl2br w:val="nil"/>
                    <w:tr2bl w:val="nil"/>
                  </w:tcBorders>
                  <w:noWrap w:val="0"/>
                  <w:vAlign w:val="center"/>
                </w:tcPr>
                <w:p w14:paraId="7BB4D3B9">
                  <w:pPr>
                    <w:keepNext w:val="0"/>
                    <w:keepLines w:val="0"/>
                    <w:pageBreakBefore w:val="0"/>
                    <w:widowControl w:val="0"/>
                    <w:kinsoku/>
                    <w:wordWrap/>
                    <w:overflowPunct/>
                    <w:topLinePunct/>
                    <w:autoSpaceDE/>
                    <w:autoSpaceDN/>
                    <w:bidi w:val="0"/>
                    <w:adjustRightInd w:val="0"/>
                    <w:snapToGrid w:val="0"/>
                    <w:ind w:left="-105" w:leftChars="-50" w:right="-105" w:rightChars="-50" w:firstLine="0" w:firstLineChars="0"/>
                    <w:jc w:val="center"/>
                    <w:textAlignment w:val="auto"/>
                    <w:rPr>
                      <w:rFonts w:hint="default" w:eastAsia="宋体"/>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3个月</w:t>
                  </w:r>
                </w:p>
              </w:tc>
              <w:tc>
                <w:tcPr>
                  <w:tcW w:w="352" w:type="pct"/>
                  <w:tcBorders>
                    <w:tl2br w:val="nil"/>
                    <w:tr2bl w:val="nil"/>
                  </w:tcBorders>
                  <w:noWrap w:val="0"/>
                  <w:vAlign w:val="center"/>
                </w:tcPr>
                <w:p w14:paraId="2055984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T，I</w:t>
                  </w:r>
                </w:p>
              </w:tc>
              <w:tc>
                <w:tcPr>
                  <w:tcW w:w="418" w:type="pct"/>
                  <w:vMerge w:val="continue"/>
                  <w:tcBorders>
                    <w:tl2br w:val="nil"/>
                    <w:tr2bl w:val="nil"/>
                  </w:tcBorders>
                  <w:noWrap w:val="0"/>
                  <w:vAlign w:val="center"/>
                </w:tcPr>
                <w:p w14:paraId="1B167C6E">
                  <w:pPr>
                    <w:keepNext w:val="0"/>
                    <w:keepLines w:val="0"/>
                    <w:pageBreakBefore w:val="0"/>
                    <w:widowControl w:val="0"/>
                    <w:kinsoku/>
                    <w:wordWrap/>
                    <w:overflowPunct/>
                    <w:topLinePunct/>
                    <w:autoSpaceDE/>
                    <w:autoSpaceDN/>
                    <w:bidi w:val="0"/>
                    <w:adjustRightInd w:val="0"/>
                    <w:snapToGrid w:val="0"/>
                    <w:ind w:left="-105" w:leftChars="-50" w:right="-105" w:rightChars="-50" w:firstLine="0"/>
                    <w:jc w:val="center"/>
                    <w:textAlignment w:val="auto"/>
                    <w:rPr>
                      <w:color w:val="000000"/>
                      <w:sz w:val="21"/>
                      <w:szCs w:val="21"/>
                      <w:highlight w:val="yellow"/>
                    </w:rPr>
                  </w:pPr>
                </w:p>
              </w:tc>
            </w:tr>
            <w:tr w14:paraId="5BB90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3" w:type="pct"/>
                  <w:tcBorders>
                    <w:tl2br w:val="nil"/>
                    <w:tr2bl w:val="nil"/>
                  </w:tcBorders>
                  <w:noWrap w:val="0"/>
                  <w:vAlign w:val="center"/>
                </w:tcPr>
                <w:p w14:paraId="6C913664">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4</w:t>
                  </w:r>
                </w:p>
              </w:tc>
              <w:tc>
                <w:tcPr>
                  <w:tcW w:w="577" w:type="pct"/>
                  <w:tcBorders>
                    <w:tl2br w:val="nil"/>
                    <w:tr2bl w:val="nil"/>
                  </w:tcBorders>
                  <w:noWrap w:val="0"/>
                  <w:vAlign w:val="center"/>
                </w:tcPr>
                <w:p w14:paraId="500C09AA">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蒸发残液</w:t>
                  </w:r>
                </w:p>
              </w:tc>
              <w:tc>
                <w:tcPr>
                  <w:tcW w:w="412" w:type="pct"/>
                  <w:tcBorders>
                    <w:tl2br w:val="nil"/>
                    <w:tr2bl w:val="nil"/>
                  </w:tcBorders>
                  <w:noWrap w:val="0"/>
                  <w:vAlign w:val="center"/>
                </w:tcPr>
                <w:p w14:paraId="44941BF9">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both"/>
                    <w:textAlignment w:val="auto"/>
                    <w:rPr>
                      <w:rFonts w:hint="default" w:ascii="Times New Roman" w:hAnsi="Times New Roman" w:eastAsia="宋体" w:cs="Times New Roman"/>
                      <w:kern w:val="2"/>
                      <w:sz w:val="21"/>
                      <w:szCs w:val="21"/>
                      <w:highlight w:val="none"/>
                      <w:lang w:val="en-US" w:eastAsia="zh-CN" w:bidi="ar-SA"/>
                    </w:rPr>
                  </w:pPr>
                  <w:r>
                    <w:rPr>
                      <w:color w:val="000000"/>
                      <w:sz w:val="21"/>
                      <w:szCs w:val="21"/>
                      <w:highlight w:val="none"/>
                    </w:rPr>
                    <w:t>H</w:t>
                  </w:r>
                  <w:r>
                    <w:rPr>
                      <w:rFonts w:hint="eastAsia"/>
                      <w:color w:val="000000"/>
                      <w:sz w:val="21"/>
                      <w:szCs w:val="21"/>
                      <w:highlight w:val="none"/>
                      <w:lang w:val="en-US" w:eastAsia="zh-CN"/>
                    </w:rPr>
                    <w:t>W49</w:t>
                  </w:r>
                </w:p>
              </w:tc>
              <w:tc>
                <w:tcPr>
                  <w:tcW w:w="468" w:type="pct"/>
                  <w:tcBorders>
                    <w:tl2br w:val="nil"/>
                    <w:tr2bl w:val="nil"/>
                  </w:tcBorders>
                  <w:noWrap w:val="0"/>
                  <w:vAlign w:val="center"/>
                </w:tcPr>
                <w:p w14:paraId="2B70D156">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NewRomanPSMT"/>
                      <w:kern w:val="0"/>
                      <w:sz w:val="21"/>
                      <w:szCs w:val="21"/>
                      <w:highlight w:val="none"/>
                      <w:lang w:val="en-US" w:eastAsia="zh-CN" w:bidi="ar-SA"/>
                    </w:rPr>
                  </w:pPr>
                  <w:r>
                    <w:rPr>
                      <w:rFonts w:hint="eastAsia" w:cs="TimesNewRomanPSMT"/>
                      <w:kern w:val="0"/>
                      <w:sz w:val="21"/>
                      <w:szCs w:val="21"/>
                      <w:highlight w:val="none"/>
                      <w:lang w:val="en-US" w:eastAsia="zh-CN"/>
                    </w:rPr>
                    <w:t xml:space="preserve">772-006-49 </w:t>
                  </w:r>
                </w:p>
              </w:tc>
              <w:tc>
                <w:tcPr>
                  <w:tcW w:w="430" w:type="pct"/>
                  <w:tcBorders>
                    <w:tl2br w:val="nil"/>
                    <w:tr2bl w:val="nil"/>
                  </w:tcBorders>
                  <w:noWrap w:val="0"/>
                  <w:vAlign w:val="center"/>
                </w:tcPr>
                <w:p w14:paraId="73D51FC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592" w:type="pct"/>
                  <w:tcBorders>
                    <w:tl2br w:val="nil"/>
                    <w:tr2bl w:val="nil"/>
                  </w:tcBorders>
                  <w:noWrap w:val="0"/>
                  <w:vAlign w:val="center"/>
                </w:tcPr>
                <w:p w14:paraId="6B055688">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废水设施</w:t>
                  </w:r>
                </w:p>
              </w:tc>
              <w:tc>
                <w:tcPr>
                  <w:tcW w:w="239" w:type="pct"/>
                  <w:tcBorders>
                    <w:tl2br w:val="nil"/>
                    <w:tr2bl w:val="nil"/>
                  </w:tcBorders>
                  <w:noWrap w:val="0"/>
                  <w:vAlign w:val="center"/>
                </w:tcPr>
                <w:p w14:paraId="2FD5A7BE">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液态</w:t>
                  </w:r>
                </w:p>
              </w:tc>
              <w:tc>
                <w:tcPr>
                  <w:tcW w:w="482" w:type="pct"/>
                  <w:tcBorders>
                    <w:tl2br w:val="nil"/>
                    <w:tr2bl w:val="nil"/>
                  </w:tcBorders>
                  <w:noWrap w:val="0"/>
                  <w:vAlign w:val="center"/>
                </w:tcPr>
                <w:p w14:paraId="25C244D5">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水、洗洁精</w:t>
                  </w:r>
                </w:p>
              </w:tc>
              <w:tc>
                <w:tcPr>
                  <w:tcW w:w="431" w:type="pct"/>
                  <w:tcBorders>
                    <w:tl2br w:val="nil"/>
                    <w:tr2bl w:val="nil"/>
                  </w:tcBorders>
                  <w:noWrap w:val="0"/>
                  <w:vAlign w:val="center"/>
                </w:tcPr>
                <w:p w14:paraId="038EEAF0">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洗洁精</w:t>
                  </w:r>
                </w:p>
              </w:tc>
              <w:tc>
                <w:tcPr>
                  <w:tcW w:w="410" w:type="pct"/>
                  <w:tcBorders>
                    <w:tl2br w:val="nil"/>
                    <w:tr2bl w:val="nil"/>
                  </w:tcBorders>
                  <w:noWrap w:val="0"/>
                  <w:vAlign w:val="center"/>
                </w:tcPr>
                <w:p w14:paraId="219A6A3E">
                  <w:pPr>
                    <w:keepNext w:val="0"/>
                    <w:keepLines w:val="0"/>
                    <w:pageBreakBefore w:val="0"/>
                    <w:widowControl w:val="0"/>
                    <w:kinsoku/>
                    <w:wordWrap/>
                    <w:overflowPunct/>
                    <w:topLinePunct/>
                    <w:autoSpaceDE/>
                    <w:autoSpaceDN/>
                    <w:bidi w:val="0"/>
                    <w:adjustRightInd w:val="0"/>
                    <w:snapToGrid w:val="0"/>
                    <w:ind w:left="-105" w:leftChars="-50" w:right="-105" w:rightChars="-50" w:firstLine="0" w:firstLineChars="0"/>
                    <w:jc w:val="center"/>
                    <w:textAlignment w:val="auto"/>
                    <w:rPr>
                      <w:rFonts w:hint="default" w:eastAsia="宋体"/>
                      <w:color w:val="000000"/>
                      <w:kern w:val="2"/>
                      <w:sz w:val="21"/>
                      <w:szCs w:val="21"/>
                      <w:highlight w:val="none"/>
                      <w:lang w:val="en-US" w:eastAsia="zh-CN" w:bidi="ar-SA"/>
                    </w:rPr>
                  </w:pPr>
                  <w:r>
                    <w:rPr>
                      <w:rFonts w:hint="eastAsia" w:eastAsia="宋体"/>
                      <w:color w:val="000000"/>
                      <w:kern w:val="2"/>
                      <w:sz w:val="21"/>
                      <w:szCs w:val="21"/>
                      <w:highlight w:val="none"/>
                      <w:lang w:val="en-US" w:eastAsia="zh-CN" w:bidi="ar-SA"/>
                    </w:rPr>
                    <w:t>每月</w:t>
                  </w:r>
                </w:p>
              </w:tc>
              <w:tc>
                <w:tcPr>
                  <w:tcW w:w="352" w:type="pct"/>
                  <w:tcBorders>
                    <w:tl2br w:val="nil"/>
                    <w:tr2bl w:val="nil"/>
                  </w:tcBorders>
                  <w:noWrap w:val="0"/>
                  <w:vAlign w:val="center"/>
                </w:tcPr>
                <w:p w14:paraId="2FD2F6F1">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eastAsia="宋体"/>
                      <w:kern w:val="2"/>
                      <w:sz w:val="21"/>
                      <w:szCs w:val="21"/>
                      <w:highlight w:val="none"/>
                      <w:lang w:val="en-US" w:eastAsia="zh-CN" w:bidi="ar-SA"/>
                    </w:rPr>
                  </w:pPr>
                  <w:r>
                    <w:rPr>
                      <w:rFonts w:hint="eastAsia"/>
                      <w:sz w:val="21"/>
                      <w:szCs w:val="21"/>
                      <w:highlight w:val="none"/>
                      <w:lang w:val="en-US" w:eastAsia="zh-CN"/>
                    </w:rPr>
                    <w:t>T/In</w:t>
                  </w:r>
                </w:p>
              </w:tc>
              <w:tc>
                <w:tcPr>
                  <w:tcW w:w="418" w:type="pct"/>
                  <w:vMerge w:val="continue"/>
                  <w:tcBorders>
                    <w:tl2br w:val="nil"/>
                    <w:tr2bl w:val="nil"/>
                  </w:tcBorders>
                  <w:noWrap w:val="0"/>
                  <w:vAlign w:val="center"/>
                </w:tcPr>
                <w:p w14:paraId="20F2177F">
                  <w:pPr>
                    <w:keepNext w:val="0"/>
                    <w:keepLines w:val="0"/>
                    <w:pageBreakBefore w:val="0"/>
                    <w:widowControl w:val="0"/>
                    <w:kinsoku/>
                    <w:wordWrap/>
                    <w:overflowPunct/>
                    <w:topLinePunct/>
                    <w:autoSpaceDE/>
                    <w:autoSpaceDN/>
                    <w:bidi w:val="0"/>
                    <w:adjustRightInd w:val="0"/>
                    <w:snapToGrid w:val="0"/>
                    <w:ind w:left="-105" w:leftChars="-50" w:right="-105" w:rightChars="-50" w:firstLine="0"/>
                    <w:jc w:val="center"/>
                    <w:textAlignment w:val="auto"/>
                    <w:rPr>
                      <w:color w:val="000000"/>
                      <w:sz w:val="21"/>
                      <w:szCs w:val="21"/>
                      <w:highlight w:val="yellow"/>
                    </w:rPr>
                  </w:pPr>
                </w:p>
              </w:tc>
            </w:tr>
          </w:tbl>
          <w:p w14:paraId="215ED0F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b/>
                <w:color w:val="000000"/>
                <w:sz w:val="24"/>
              </w:rPr>
              <w:t>4.</w:t>
            </w:r>
            <w:r>
              <w:rPr>
                <w:rFonts w:hint="eastAsia"/>
                <w:b/>
                <w:color w:val="000000"/>
                <w:sz w:val="24"/>
              </w:rPr>
              <w:t>5固体废物暂存情况分析</w:t>
            </w:r>
          </w:p>
          <w:p w14:paraId="01AD52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hAnsi="宋体"/>
                <w:color w:val="000000"/>
                <w:sz w:val="24"/>
              </w:rPr>
              <w:t>本项目一般固废由企业收集外售，危险废物委托有资质的单位处置，生活垃圾由环卫部门定期清运。本项目固废不外排，对周围环境不造成二次污染。</w:t>
            </w:r>
          </w:p>
          <w:p w14:paraId="0D88F6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000000"/>
                <w:sz w:val="24"/>
              </w:rPr>
            </w:pPr>
            <w:r>
              <w:rPr>
                <w:rFonts w:hint="eastAsia" w:hAnsi="宋体"/>
                <w:bCs/>
                <w:color w:val="000000"/>
                <w:sz w:val="24"/>
              </w:rPr>
              <w:t>依据固废的种类、产生量及管理的全过程可能造成的环境影响进行针对性</w:t>
            </w:r>
            <w:r>
              <w:rPr>
                <w:rFonts w:hint="eastAsia" w:hAnsi="宋体"/>
                <w:bCs/>
                <w:color w:val="000000"/>
                <w:sz w:val="24"/>
                <w:lang w:eastAsia="zh-CN"/>
              </w:rPr>
              <w:t>地</w:t>
            </w:r>
            <w:r>
              <w:rPr>
                <w:rFonts w:hint="eastAsia" w:hAnsi="宋体"/>
                <w:bCs/>
                <w:color w:val="000000"/>
                <w:sz w:val="24"/>
              </w:rPr>
              <w:t>分析如下：</w:t>
            </w:r>
          </w:p>
          <w:p w14:paraId="743A5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000000"/>
                <w:sz w:val="24"/>
              </w:rPr>
            </w:pPr>
            <w:r>
              <w:rPr>
                <w:rFonts w:hint="eastAsia" w:hAnsi="宋体"/>
                <w:bCs/>
                <w:color w:val="000000"/>
                <w:sz w:val="24"/>
              </w:rPr>
              <w:t>（</w:t>
            </w:r>
            <w:r>
              <w:rPr>
                <w:bCs/>
                <w:color w:val="000000"/>
                <w:sz w:val="24"/>
              </w:rPr>
              <w:t>1</w:t>
            </w:r>
            <w:r>
              <w:rPr>
                <w:rFonts w:hint="eastAsia" w:hAnsi="宋体"/>
                <w:bCs/>
                <w:color w:val="000000"/>
                <w:sz w:val="24"/>
              </w:rPr>
              <w:t>）固体废物的分类收集、贮存，危险废物与一般工业固体废物、生活垃圾的混放会对环境产生一定的影响。本项目严格固体废物分类收集、贮存，危险废物与一般工业固体废物、生活垃圾不得混放，因此对环境影响较小。</w:t>
            </w:r>
          </w:p>
          <w:p w14:paraId="0061A6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000000"/>
                <w:sz w:val="24"/>
              </w:rPr>
            </w:pPr>
            <w:r>
              <w:rPr>
                <w:rFonts w:hint="eastAsia" w:hAnsi="宋体"/>
                <w:bCs/>
                <w:color w:val="000000"/>
                <w:sz w:val="24"/>
              </w:rPr>
              <w:t>（</w:t>
            </w:r>
            <w:r>
              <w:rPr>
                <w:bCs/>
                <w:color w:val="000000"/>
                <w:sz w:val="24"/>
              </w:rPr>
              <w:t>2</w:t>
            </w:r>
            <w:r>
              <w:rPr>
                <w:rFonts w:hint="eastAsia" w:hAnsi="宋体"/>
                <w:bCs/>
                <w:color w:val="000000"/>
                <w:sz w:val="24"/>
              </w:rPr>
              <w:t>）须严格控制运输过程中危废散落、泄漏，减少对环境影响。本项目危废运输须按照《危险废物收集贮存运输技术规范》（</w:t>
            </w:r>
            <w:r>
              <w:rPr>
                <w:bCs/>
                <w:color w:val="000000"/>
                <w:sz w:val="24"/>
              </w:rPr>
              <w:t>HJ2025-2012</w:t>
            </w:r>
            <w:r>
              <w:rPr>
                <w:rFonts w:hint="eastAsia" w:hAnsi="宋体"/>
                <w:bCs/>
                <w:color w:val="000000"/>
                <w:sz w:val="24"/>
              </w:rPr>
              <w:t>）、《关于印发江苏省危险废物贮存规范化管理专项整治行动方案的通知》（苏环办</w:t>
            </w:r>
            <w:r>
              <w:rPr>
                <w:rFonts w:hint="eastAsia"/>
                <w:bCs/>
                <w:color w:val="000000"/>
                <w:sz w:val="24"/>
                <w:lang w:eastAsia="zh-CN"/>
              </w:rPr>
              <w:t>〔</w:t>
            </w:r>
            <w:r>
              <w:rPr>
                <w:bCs/>
                <w:color w:val="000000"/>
                <w:sz w:val="24"/>
              </w:rPr>
              <w:t>2019</w:t>
            </w:r>
            <w:r>
              <w:rPr>
                <w:rFonts w:hint="eastAsia"/>
                <w:bCs/>
                <w:color w:val="000000"/>
                <w:sz w:val="24"/>
                <w:lang w:eastAsia="zh-CN"/>
              </w:rPr>
              <w:t>〕</w:t>
            </w:r>
            <w:r>
              <w:rPr>
                <w:bCs/>
                <w:color w:val="000000"/>
                <w:sz w:val="24"/>
              </w:rPr>
              <w:t>149</w:t>
            </w:r>
            <w:r>
              <w:rPr>
                <w:rFonts w:hint="eastAsia" w:hAnsi="宋体"/>
                <w:bCs/>
                <w:color w:val="000000"/>
                <w:sz w:val="24"/>
              </w:rPr>
              <w:t>号）、《苏州市危险废物贮存规范化管理专项整治行动方案配套实施意见》</w:t>
            </w:r>
            <w:r>
              <w:rPr>
                <w:rFonts w:hint="eastAsia"/>
                <w:bCs/>
                <w:color w:val="000000"/>
                <w:sz w:val="24"/>
              </w:rPr>
              <w:t>（</w:t>
            </w:r>
            <w:r>
              <w:rPr>
                <w:rFonts w:hint="eastAsia" w:hAnsi="宋体"/>
                <w:bCs/>
                <w:color w:val="000000"/>
                <w:sz w:val="24"/>
              </w:rPr>
              <w:t>苏环管字</w:t>
            </w:r>
            <w:r>
              <w:rPr>
                <w:rFonts w:hint="eastAsia"/>
                <w:bCs/>
                <w:color w:val="000000"/>
                <w:sz w:val="24"/>
                <w:lang w:eastAsia="zh-CN"/>
              </w:rPr>
              <w:t>〔</w:t>
            </w:r>
            <w:r>
              <w:rPr>
                <w:bCs/>
                <w:color w:val="000000"/>
                <w:sz w:val="24"/>
              </w:rPr>
              <w:t>2019</w:t>
            </w:r>
            <w:r>
              <w:rPr>
                <w:rFonts w:hint="eastAsia"/>
                <w:bCs/>
                <w:color w:val="000000"/>
                <w:sz w:val="24"/>
                <w:lang w:eastAsia="zh-CN"/>
              </w:rPr>
              <w:t>〕</w:t>
            </w:r>
            <w:r>
              <w:rPr>
                <w:bCs/>
                <w:color w:val="000000"/>
                <w:sz w:val="24"/>
              </w:rPr>
              <w:t>53</w:t>
            </w:r>
            <w:r>
              <w:rPr>
                <w:rFonts w:hint="eastAsia" w:hAnsi="宋体"/>
                <w:bCs/>
                <w:color w:val="000000"/>
                <w:sz w:val="24"/>
              </w:rPr>
              <w:t>号</w:t>
            </w:r>
            <w:r>
              <w:rPr>
                <w:rFonts w:hint="eastAsia"/>
                <w:bCs/>
                <w:color w:val="000000"/>
                <w:sz w:val="24"/>
              </w:rPr>
              <w:t>）</w:t>
            </w:r>
            <w:r>
              <w:rPr>
                <w:rFonts w:hint="eastAsia"/>
                <w:bCs/>
                <w:color w:val="000000"/>
                <w:sz w:val="24"/>
                <w:lang w:eastAsia="zh-CN"/>
              </w:rPr>
              <w:t>、《</w:t>
            </w:r>
            <w:r>
              <w:rPr>
                <w:rFonts w:hint="eastAsia"/>
                <w:bCs/>
                <w:color w:val="000000"/>
                <w:sz w:val="24"/>
                <w:lang w:val="en-US" w:eastAsia="zh-CN"/>
              </w:rPr>
              <w:t>省生态环境厅关于做好〈危险废物贮存污染控制标准〉等标准规范实施后危险废物环境管理衔接工作的通知</w:t>
            </w:r>
            <w:r>
              <w:rPr>
                <w:rFonts w:hint="eastAsia"/>
                <w:bCs/>
                <w:color w:val="000000"/>
                <w:sz w:val="24"/>
                <w:lang w:eastAsia="zh-CN"/>
              </w:rPr>
              <w:t>》（</w:t>
            </w:r>
            <w:r>
              <w:rPr>
                <w:rFonts w:hint="eastAsia"/>
                <w:bCs/>
                <w:color w:val="000000"/>
                <w:sz w:val="24"/>
                <w:lang w:val="en-US" w:eastAsia="zh-CN"/>
              </w:rPr>
              <w:t>苏环办〔2023〕154号</w:t>
            </w:r>
            <w:r>
              <w:rPr>
                <w:rFonts w:hint="eastAsia"/>
                <w:bCs/>
                <w:color w:val="000000"/>
                <w:sz w:val="24"/>
                <w:lang w:eastAsia="zh-CN"/>
              </w:rPr>
              <w:t>）</w:t>
            </w:r>
            <w:r>
              <w:rPr>
                <w:rFonts w:hint="eastAsia" w:hAnsi="宋体"/>
                <w:bCs/>
                <w:color w:val="000000"/>
                <w:sz w:val="24"/>
              </w:rPr>
              <w:t>等相关规定执行，及时委托有资质单位清运处置。</w:t>
            </w:r>
          </w:p>
          <w:p w14:paraId="79AF6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bCs/>
                <w:color w:val="000000"/>
                <w:sz w:val="24"/>
              </w:rPr>
            </w:pPr>
            <w:r>
              <w:rPr>
                <w:rFonts w:hint="eastAsia" w:hAnsi="宋体"/>
                <w:bCs/>
                <w:color w:val="000000"/>
                <w:sz w:val="24"/>
              </w:rPr>
              <w:t>（</w:t>
            </w:r>
            <w:r>
              <w:rPr>
                <w:bCs/>
                <w:color w:val="000000"/>
                <w:sz w:val="24"/>
              </w:rPr>
              <w:t>3</w:t>
            </w:r>
            <w:r>
              <w:rPr>
                <w:rFonts w:hint="eastAsia" w:hAnsi="宋体"/>
                <w:bCs/>
                <w:color w:val="000000"/>
                <w:sz w:val="24"/>
              </w:rPr>
              <w:t>）堆放、贮存场所的环境影响分析</w:t>
            </w:r>
          </w:p>
          <w:p w14:paraId="10C8A87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bCs/>
                <w:color w:val="000000"/>
                <w:sz w:val="24"/>
                <w:highlight w:val="none"/>
              </w:rPr>
            </w:pPr>
            <w:r>
              <w:rPr>
                <w:rFonts w:hint="eastAsia" w:hAnsi="宋体"/>
                <w:bCs/>
                <w:color w:val="000000"/>
                <w:sz w:val="24"/>
                <w:highlight w:val="none"/>
              </w:rPr>
              <w:t>厂内设置独立一般固废暂存间（面积为</w:t>
            </w:r>
            <w:r>
              <w:rPr>
                <w:rFonts w:hint="eastAsia"/>
                <w:bCs/>
                <w:color w:val="000000"/>
                <w:sz w:val="24"/>
                <w:highlight w:val="none"/>
                <w:lang w:val="en-US" w:eastAsia="zh-CN"/>
              </w:rPr>
              <w:t>15</w:t>
            </w:r>
            <w:r>
              <w:rPr>
                <w:bCs/>
                <w:color w:val="000000"/>
                <w:sz w:val="24"/>
                <w:highlight w:val="none"/>
              </w:rPr>
              <w:t>m</w:t>
            </w:r>
            <w:r>
              <w:rPr>
                <w:bCs/>
                <w:color w:val="000000"/>
                <w:sz w:val="24"/>
                <w:highlight w:val="none"/>
                <w:vertAlign w:val="superscript"/>
              </w:rPr>
              <w:t>2</w:t>
            </w:r>
            <w:r>
              <w:rPr>
                <w:rFonts w:hint="eastAsia" w:hAnsi="宋体"/>
                <w:bCs/>
                <w:color w:val="000000"/>
                <w:sz w:val="24"/>
                <w:highlight w:val="none"/>
              </w:rPr>
              <w:t>）、危废暂存间（面积为</w:t>
            </w:r>
            <w:r>
              <w:rPr>
                <w:rFonts w:hint="eastAsia"/>
                <w:bCs/>
                <w:color w:val="000000"/>
                <w:sz w:val="24"/>
                <w:highlight w:val="none"/>
                <w:lang w:val="en-US" w:eastAsia="zh-CN"/>
              </w:rPr>
              <w:t>10</w:t>
            </w:r>
            <w:r>
              <w:rPr>
                <w:bCs/>
                <w:color w:val="000000"/>
                <w:sz w:val="24"/>
                <w:highlight w:val="none"/>
              </w:rPr>
              <w:t>m</w:t>
            </w:r>
            <w:r>
              <w:rPr>
                <w:bCs/>
                <w:color w:val="000000"/>
                <w:sz w:val="24"/>
                <w:highlight w:val="none"/>
                <w:vertAlign w:val="superscript"/>
              </w:rPr>
              <w:t>2</w:t>
            </w:r>
            <w:r>
              <w:rPr>
                <w:rFonts w:hint="eastAsia" w:hAnsi="宋体"/>
                <w:bCs/>
                <w:color w:val="000000"/>
                <w:sz w:val="24"/>
                <w:highlight w:val="none"/>
              </w:rPr>
              <w:t>）。</w:t>
            </w:r>
          </w:p>
          <w:p w14:paraId="3A1C50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bCs/>
                <w:color w:val="000000"/>
                <w:sz w:val="24"/>
                <w:highlight w:val="yellow"/>
              </w:rPr>
            </w:pPr>
            <w:r>
              <w:rPr>
                <w:rFonts w:hint="eastAsia" w:hAnsi="宋体"/>
                <w:bCs/>
                <w:color w:val="000000"/>
                <w:sz w:val="24"/>
                <w:highlight w:val="none"/>
              </w:rPr>
              <w:t>一般固废应按照《省生态环境厅关于进一步完善一般工业固体废物环境管理的通知》（苏环办</w:t>
            </w:r>
            <w:r>
              <w:rPr>
                <w:rFonts w:hint="eastAsia" w:hAnsi="宋体"/>
                <w:bCs/>
                <w:color w:val="000000"/>
                <w:sz w:val="24"/>
                <w:highlight w:val="none"/>
                <w:lang w:eastAsia="zh-CN"/>
              </w:rPr>
              <w:t>〔</w:t>
            </w:r>
            <w:r>
              <w:rPr>
                <w:rFonts w:hint="eastAsia" w:hAnsi="宋体"/>
                <w:bCs/>
                <w:color w:val="000000"/>
                <w:sz w:val="24"/>
                <w:highlight w:val="none"/>
              </w:rPr>
              <w:t>2023</w:t>
            </w:r>
            <w:r>
              <w:rPr>
                <w:rFonts w:hint="eastAsia" w:hAnsi="宋体"/>
                <w:bCs/>
                <w:color w:val="000000"/>
                <w:sz w:val="24"/>
                <w:highlight w:val="none"/>
                <w:lang w:eastAsia="zh-CN"/>
              </w:rPr>
              <w:t>〕</w:t>
            </w:r>
            <w:r>
              <w:rPr>
                <w:rFonts w:hint="eastAsia" w:hAnsi="宋体"/>
                <w:bCs/>
                <w:color w:val="000000"/>
                <w:sz w:val="24"/>
                <w:highlight w:val="none"/>
              </w:rPr>
              <w:t>327号）要求，建立电子台账，并直</w:t>
            </w:r>
            <w:r>
              <w:rPr>
                <w:rFonts w:hint="eastAsia" w:hAnsi="宋体"/>
                <w:bCs/>
                <w:color w:val="000000"/>
                <w:sz w:val="24"/>
              </w:rPr>
              <w:t>接与江苏省固体废物管理信息系统（以下简称固废系统）数据对接。委托运输、利用、处置一般工业固体废物时，对受托方的主体资格和技术能力进行核实，依法签订书面合同，在合同中约定污染防治要求，并跟踪最终利用处置去向。</w:t>
            </w:r>
          </w:p>
          <w:p w14:paraId="0FC32B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hAnsi="宋体"/>
                <w:bCs/>
                <w:color w:val="000000"/>
                <w:sz w:val="24"/>
              </w:rPr>
              <w:t>危险废物在厂内收集和临时储存应严格执行《危险废物贮存污染控制标准》（</w:t>
            </w:r>
            <w:r>
              <w:rPr>
                <w:bCs/>
                <w:color w:val="000000"/>
                <w:sz w:val="24"/>
              </w:rPr>
              <w:t>GB18597-2023</w:t>
            </w:r>
            <w:r>
              <w:rPr>
                <w:rFonts w:hint="eastAsia" w:hAnsi="宋体"/>
                <w:bCs/>
                <w:color w:val="000000"/>
                <w:sz w:val="24"/>
              </w:rPr>
              <w:t>）相关规定，危废须按照《危险废物收集贮存运输技术规范》（</w:t>
            </w:r>
            <w:r>
              <w:rPr>
                <w:bCs/>
                <w:color w:val="000000"/>
                <w:sz w:val="24"/>
              </w:rPr>
              <w:t>HJ2025-2012</w:t>
            </w:r>
            <w:r>
              <w:rPr>
                <w:rFonts w:hint="eastAsia" w:hAnsi="宋体"/>
                <w:bCs/>
                <w:color w:val="000000"/>
                <w:sz w:val="24"/>
              </w:rPr>
              <w:t>）、《关于印发江苏省危险废物贮存规范化管理专项整治行动方案的通知》（苏环办</w:t>
            </w:r>
            <w:r>
              <w:rPr>
                <w:rFonts w:hint="eastAsia"/>
                <w:bCs/>
                <w:color w:val="000000"/>
                <w:sz w:val="24"/>
                <w:lang w:eastAsia="zh-CN"/>
              </w:rPr>
              <w:t>〔</w:t>
            </w:r>
            <w:r>
              <w:rPr>
                <w:bCs/>
                <w:color w:val="000000"/>
                <w:sz w:val="24"/>
              </w:rPr>
              <w:t>2019</w:t>
            </w:r>
            <w:r>
              <w:rPr>
                <w:rFonts w:hint="eastAsia"/>
                <w:bCs/>
                <w:color w:val="000000"/>
                <w:sz w:val="24"/>
                <w:lang w:eastAsia="zh-CN"/>
              </w:rPr>
              <w:t>〕</w:t>
            </w:r>
            <w:r>
              <w:rPr>
                <w:bCs/>
                <w:color w:val="000000"/>
                <w:sz w:val="24"/>
              </w:rPr>
              <w:t>149</w:t>
            </w:r>
            <w:r>
              <w:rPr>
                <w:rFonts w:hint="eastAsia" w:hAnsi="宋体"/>
                <w:bCs/>
                <w:color w:val="000000"/>
                <w:sz w:val="24"/>
              </w:rPr>
              <w:t>号）、《苏州市危险废物贮存规范化管理专项整治行动方案配套实施意见》</w:t>
            </w:r>
            <w:r>
              <w:rPr>
                <w:rFonts w:hint="eastAsia"/>
                <w:bCs/>
                <w:color w:val="000000"/>
                <w:sz w:val="24"/>
              </w:rPr>
              <w:t>（</w:t>
            </w:r>
            <w:r>
              <w:rPr>
                <w:rFonts w:hint="eastAsia" w:hAnsi="宋体"/>
                <w:bCs/>
                <w:color w:val="000000"/>
                <w:sz w:val="24"/>
              </w:rPr>
              <w:t>苏环管字</w:t>
            </w:r>
            <w:r>
              <w:rPr>
                <w:rFonts w:hint="eastAsia"/>
                <w:bCs/>
                <w:color w:val="000000"/>
                <w:sz w:val="24"/>
                <w:lang w:eastAsia="zh-CN"/>
              </w:rPr>
              <w:t>〔</w:t>
            </w:r>
            <w:r>
              <w:rPr>
                <w:bCs/>
                <w:color w:val="000000"/>
                <w:sz w:val="24"/>
              </w:rPr>
              <w:t>2019</w:t>
            </w:r>
            <w:r>
              <w:rPr>
                <w:rFonts w:hint="eastAsia"/>
                <w:bCs/>
                <w:color w:val="000000"/>
                <w:sz w:val="24"/>
                <w:lang w:eastAsia="zh-CN"/>
              </w:rPr>
              <w:t>〕</w:t>
            </w:r>
            <w:r>
              <w:rPr>
                <w:bCs/>
                <w:color w:val="000000"/>
                <w:sz w:val="24"/>
              </w:rPr>
              <w:t>53</w:t>
            </w:r>
            <w:r>
              <w:rPr>
                <w:rFonts w:hint="eastAsia" w:hAnsi="宋体"/>
                <w:bCs/>
                <w:color w:val="000000"/>
                <w:sz w:val="24"/>
              </w:rPr>
              <w:t>号</w:t>
            </w:r>
            <w:r>
              <w:rPr>
                <w:rFonts w:hint="eastAsia"/>
                <w:bCs/>
                <w:color w:val="000000"/>
                <w:sz w:val="24"/>
              </w:rPr>
              <w:t>）</w:t>
            </w:r>
            <w:r>
              <w:rPr>
                <w:rFonts w:hint="eastAsia" w:hAnsi="宋体"/>
                <w:bCs/>
                <w:color w:val="000000"/>
                <w:sz w:val="24"/>
              </w:rPr>
              <w:t>等相关规定执行。危险废物临时堆场地面涂刷防腐、防渗涂料，防止污染土壤及地下水。</w:t>
            </w:r>
          </w:p>
          <w:p w14:paraId="3C4AC54B">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 w:val="21"/>
                <w:szCs w:val="21"/>
              </w:rPr>
            </w:pPr>
            <w:r>
              <w:rPr>
                <w:rFonts w:hint="eastAsia"/>
                <w:b/>
                <w:color w:val="000000"/>
                <w:sz w:val="21"/>
                <w:szCs w:val="21"/>
              </w:rPr>
              <w:t>表4</w:t>
            </w:r>
            <w:r>
              <w:rPr>
                <w:b/>
                <w:color w:val="000000"/>
                <w:sz w:val="21"/>
                <w:szCs w:val="21"/>
              </w:rPr>
              <w:t>-2</w:t>
            </w:r>
            <w:r>
              <w:rPr>
                <w:rFonts w:hint="eastAsia"/>
                <w:b/>
                <w:color w:val="000000"/>
                <w:sz w:val="21"/>
                <w:szCs w:val="21"/>
                <w:lang w:val="en-US" w:eastAsia="zh-CN"/>
              </w:rPr>
              <w:t>5</w:t>
            </w:r>
            <w:r>
              <w:rPr>
                <w:rFonts w:hint="eastAsia"/>
                <w:b/>
                <w:color w:val="000000"/>
                <w:sz w:val="21"/>
                <w:szCs w:val="21"/>
              </w:rPr>
              <w:t xml:space="preserve"> 本项目危险废物贮存场所（设施）基本情况表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926"/>
              <w:gridCol w:w="670"/>
              <w:gridCol w:w="1091"/>
              <w:gridCol w:w="835"/>
              <w:gridCol w:w="418"/>
              <w:gridCol w:w="546"/>
              <w:gridCol w:w="1191"/>
              <w:gridCol w:w="723"/>
              <w:gridCol w:w="950"/>
              <w:gridCol w:w="5"/>
            </w:tblGrid>
            <w:tr w14:paraId="6FAE4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3" w:type="pct"/>
                  <w:tcBorders>
                    <w:tl2br w:val="nil"/>
                    <w:tr2bl w:val="nil"/>
                  </w:tcBorders>
                  <w:noWrap w:val="0"/>
                  <w:vAlign w:val="center"/>
                </w:tcPr>
                <w:p w14:paraId="3EF3DE0B">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贮存场所（设施）名称</w:t>
                  </w:r>
                </w:p>
              </w:tc>
              <w:tc>
                <w:tcPr>
                  <w:tcW w:w="562" w:type="pct"/>
                  <w:tcBorders>
                    <w:tl2br w:val="nil"/>
                    <w:tr2bl w:val="nil"/>
                  </w:tcBorders>
                  <w:noWrap w:val="0"/>
                  <w:vAlign w:val="center"/>
                </w:tcPr>
                <w:p w14:paraId="1769D194">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危险废物名称</w:t>
                  </w:r>
                </w:p>
              </w:tc>
              <w:tc>
                <w:tcPr>
                  <w:tcW w:w="406" w:type="pct"/>
                  <w:tcBorders>
                    <w:tl2br w:val="nil"/>
                    <w:tr2bl w:val="nil"/>
                  </w:tcBorders>
                  <w:noWrap w:val="0"/>
                  <w:vAlign w:val="center"/>
                </w:tcPr>
                <w:p w14:paraId="1A01AAD1">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危险废物类别</w:t>
                  </w:r>
                </w:p>
              </w:tc>
              <w:tc>
                <w:tcPr>
                  <w:tcW w:w="662" w:type="pct"/>
                  <w:tcBorders>
                    <w:tl2br w:val="nil"/>
                    <w:tr2bl w:val="nil"/>
                  </w:tcBorders>
                  <w:noWrap w:val="0"/>
                  <w:vAlign w:val="center"/>
                </w:tcPr>
                <w:p w14:paraId="3CCF1853">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危险废物代码</w:t>
                  </w:r>
                </w:p>
              </w:tc>
              <w:tc>
                <w:tcPr>
                  <w:tcW w:w="507" w:type="pct"/>
                  <w:tcBorders>
                    <w:tl2br w:val="nil"/>
                    <w:tr2bl w:val="nil"/>
                  </w:tcBorders>
                  <w:noWrap w:val="0"/>
                  <w:vAlign w:val="center"/>
                </w:tcPr>
                <w:p w14:paraId="4434D18A">
                  <w:pPr>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eastAsia="宋体"/>
                      <w:b/>
                      <w:color w:val="000000"/>
                      <w:szCs w:val="21"/>
                      <w:lang w:val="en-US" w:eastAsia="zh-CN"/>
                    </w:rPr>
                  </w:pPr>
                  <w:r>
                    <w:rPr>
                      <w:rFonts w:hint="eastAsia"/>
                      <w:b/>
                      <w:color w:val="000000"/>
                      <w:szCs w:val="21"/>
                      <w:lang w:val="en-US" w:eastAsia="zh-CN"/>
                    </w:rPr>
                    <w:t>产生量（t/a）</w:t>
                  </w:r>
                </w:p>
              </w:tc>
              <w:tc>
                <w:tcPr>
                  <w:tcW w:w="253" w:type="pct"/>
                  <w:tcBorders>
                    <w:tl2br w:val="nil"/>
                    <w:tr2bl w:val="nil"/>
                  </w:tcBorders>
                  <w:noWrap w:val="0"/>
                  <w:vAlign w:val="center"/>
                </w:tcPr>
                <w:p w14:paraId="0072DDD4">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位置</w:t>
                  </w:r>
                </w:p>
              </w:tc>
              <w:tc>
                <w:tcPr>
                  <w:tcW w:w="331" w:type="pct"/>
                  <w:tcBorders>
                    <w:tl2br w:val="nil"/>
                    <w:tr2bl w:val="nil"/>
                  </w:tcBorders>
                  <w:noWrap w:val="0"/>
                  <w:vAlign w:val="center"/>
                </w:tcPr>
                <w:p w14:paraId="66200E38">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占地面积</w:t>
                  </w:r>
                </w:p>
              </w:tc>
              <w:tc>
                <w:tcPr>
                  <w:tcW w:w="723" w:type="pct"/>
                  <w:tcBorders>
                    <w:tl2br w:val="nil"/>
                    <w:tr2bl w:val="nil"/>
                  </w:tcBorders>
                  <w:noWrap w:val="0"/>
                  <w:vAlign w:val="center"/>
                </w:tcPr>
                <w:p w14:paraId="0195CA7F">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贮存方式</w:t>
                  </w:r>
                </w:p>
              </w:tc>
              <w:tc>
                <w:tcPr>
                  <w:tcW w:w="439" w:type="pct"/>
                  <w:tcBorders>
                    <w:tl2br w:val="nil"/>
                    <w:tr2bl w:val="nil"/>
                  </w:tcBorders>
                  <w:noWrap w:val="0"/>
                  <w:vAlign w:val="center"/>
                </w:tcPr>
                <w:p w14:paraId="40BA1D54">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贮存</w:t>
                  </w:r>
                </w:p>
                <w:p w14:paraId="0D9F1519">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能力</w:t>
                  </w:r>
                </w:p>
              </w:tc>
              <w:tc>
                <w:tcPr>
                  <w:tcW w:w="579" w:type="pct"/>
                  <w:gridSpan w:val="2"/>
                  <w:tcBorders>
                    <w:tl2br w:val="nil"/>
                    <w:tr2bl w:val="nil"/>
                  </w:tcBorders>
                  <w:noWrap w:val="0"/>
                  <w:vAlign w:val="center"/>
                </w:tcPr>
                <w:p w14:paraId="4217CDA0">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贮存</w:t>
                  </w:r>
                </w:p>
                <w:p w14:paraId="0A423C9C">
                  <w:pPr>
                    <w:keepNext w:val="0"/>
                    <w:keepLines w:val="0"/>
                    <w:pageBreakBefore w:val="0"/>
                    <w:widowControl w:val="0"/>
                    <w:kinsoku/>
                    <w:wordWrap/>
                    <w:overflowPunct/>
                    <w:topLinePunct/>
                    <w:autoSpaceDE/>
                    <w:autoSpaceDN/>
                    <w:bidi w:val="0"/>
                    <w:adjustRightInd w:val="0"/>
                    <w:snapToGrid w:val="0"/>
                    <w:ind w:firstLine="0"/>
                    <w:jc w:val="center"/>
                    <w:textAlignment w:val="auto"/>
                    <w:rPr>
                      <w:b/>
                      <w:color w:val="000000"/>
                      <w:szCs w:val="21"/>
                    </w:rPr>
                  </w:pPr>
                  <w:r>
                    <w:rPr>
                      <w:rFonts w:hint="eastAsia"/>
                      <w:b/>
                      <w:color w:val="000000"/>
                      <w:szCs w:val="21"/>
                    </w:rPr>
                    <w:t>周期</w:t>
                  </w:r>
                </w:p>
              </w:tc>
            </w:tr>
            <w:tr w14:paraId="1C50B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576" w:hRule="atLeast"/>
              </w:trPr>
              <w:tc>
                <w:tcPr>
                  <w:tcW w:w="533" w:type="pct"/>
                  <w:vMerge w:val="restart"/>
                  <w:tcBorders>
                    <w:tl2br w:val="nil"/>
                    <w:tr2bl w:val="nil"/>
                  </w:tcBorders>
                  <w:noWrap w:val="0"/>
                  <w:vAlign w:val="center"/>
                </w:tcPr>
                <w:p w14:paraId="3E9DE2AA">
                  <w:pPr>
                    <w:keepNext w:val="0"/>
                    <w:keepLines w:val="0"/>
                    <w:pageBreakBefore w:val="0"/>
                    <w:widowControl w:val="0"/>
                    <w:kinsoku/>
                    <w:wordWrap/>
                    <w:overflowPunct/>
                    <w:autoSpaceDE/>
                    <w:autoSpaceDN/>
                    <w:bidi w:val="0"/>
                    <w:adjustRightInd w:val="0"/>
                    <w:snapToGrid w:val="0"/>
                    <w:ind w:firstLine="0"/>
                    <w:jc w:val="center"/>
                    <w:textAlignment w:val="auto"/>
                    <w:rPr>
                      <w:rFonts w:hint="eastAsia" w:eastAsia="宋体"/>
                      <w:color w:val="000000"/>
                      <w:szCs w:val="21"/>
                      <w:highlight w:val="none"/>
                      <w:lang w:eastAsia="zh-CN"/>
                    </w:rPr>
                  </w:pPr>
                  <w:r>
                    <w:rPr>
                      <w:rFonts w:hint="eastAsia"/>
                      <w:color w:val="000000"/>
                      <w:szCs w:val="21"/>
                      <w:highlight w:val="none"/>
                    </w:rPr>
                    <w:t>危险</w:t>
                  </w:r>
                  <w:r>
                    <w:rPr>
                      <w:rFonts w:hint="eastAsia"/>
                      <w:color w:val="000000"/>
                      <w:szCs w:val="21"/>
                      <w:highlight w:val="none"/>
                      <w:lang w:val="en-US" w:eastAsia="zh-CN"/>
                    </w:rPr>
                    <w:t>仓库</w:t>
                  </w:r>
                </w:p>
              </w:tc>
              <w:tc>
                <w:tcPr>
                  <w:tcW w:w="562" w:type="pct"/>
                  <w:tcBorders>
                    <w:tl2br w:val="nil"/>
                    <w:tr2bl w:val="nil"/>
                  </w:tcBorders>
                  <w:noWrap w:val="0"/>
                  <w:vAlign w:val="center"/>
                </w:tcPr>
                <w:p w14:paraId="587AF0C6">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406" w:type="pct"/>
                  <w:tcBorders>
                    <w:tl2br w:val="nil"/>
                    <w:tr2bl w:val="nil"/>
                  </w:tcBorders>
                  <w:noWrap w:val="0"/>
                  <w:vAlign w:val="center"/>
                </w:tcPr>
                <w:p w14:paraId="7FCC9954">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color w:val="000000"/>
                      <w:sz w:val="21"/>
                      <w:szCs w:val="21"/>
                      <w:highlight w:val="none"/>
                    </w:rPr>
                    <w:t>HW49</w:t>
                  </w:r>
                </w:p>
              </w:tc>
              <w:tc>
                <w:tcPr>
                  <w:tcW w:w="662" w:type="pct"/>
                  <w:tcBorders>
                    <w:tl2br w:val="nil"/>
                    <w:tr2bl w:val="nil"/>
                  </w:tcBorders>
                  <w:noWrap w:val="0"/>
                  <w:vAlign w:val="center"/>
                </w:tcPr>
                <w:p w14:paraId="70DBB606">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NewRomanPSMT"/>
                      <w:color w:val="000000"/>
                      <w:kern w:val="0"/>
                      <w:sz w:val="21"/>
                      <w:szCs w:val="21"/>
                      <w:highlight w:val="none"/>
                      <w:lang w:val="en-US" w:eastAsia="zh-CN" w:bidi="ar-SA"/>
                    </w:rPr>
                  </w:pPr>
                  <w:r>
                    <w:rPr>
                      <w:rFonts w:cs="TimesNewRomanPSMT"/>
                      <w:color w:val="000000"/>
                      <w:kern w:val="0"/>
                      <w:sz w:val="21"/>
                      <w:szCs w:val="21"/>
                      <w:highlight w:val="none"/>
                    </w:rPr>
                    <w:t>900-</w:t>
                  </w:r>
                  <w:r>
                    <w:rPr>
                      <w:rFonts w:hint="eastAsia" w:cs="TimesNewRomanPSMT"/>
                      <w:color w:val="000000"/>
                      <w:kern w:val="0"/>
                      <w:sz w:val="21"/>
                      <w:szCs w:val="21"/>
                      <w:highlight w:val="none"/>
                    </w:rPr>
                    <w:t>039</w:t>
                  </w:r>
                  <w:r>
                    <w:rPr>
                      <w:rFonts w:cs="TimesNewRomanPSMT"/>
                      <w:color w:val="000000"/>
                      <w:kern w:val="0"/>
                      <w:sz w:val="21"/>
                      <w:szCs w:val="21"/>
                      <w:highlight w:val="none"/>
                    </w:rPr>
                    <w:t>-49</w:t>
                  </w:r>
                </w:p>
              </w:tc>
              <w:tc>
                <w:tcPr>
                  <w:tcW w:w="507" w:type="pct"/>
                  <w:tcBorders>
                    <w:tl2br w:val="nil"/>
                    <w:tr2bl w:val="nil"/>
                  </w:tcBorders>
                  <w:noWrap w:val="0"/>
                  <w:vAlign w:val="center"/>
                </w:tcPr>
                <w:p w14:paraId="49A0EC2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kern w:val="2"/>
                      <w:sz w:val="21"/>
                      <w:szCs w:val="21"/>
                      <w:highlight w:val="none"/>
                      <w:lang w:val="en-US" w:eastAsia="zh-CN" w:bidi="ar-SA"/>
                    </w:rPr>
                    <w:t>0.2665</w:t>
                  </w:r>
                </w:p>
              </w:tc>
              <w:tc>
                <w:tcPr>
                  <w:tcW w:w="253" w:type="pct"/>
                  <w:vMerge w:val="restart"/>
                  <w:tcBorders>
                    <w:tl2br w:val="nil"/>
                    <w:tr2bl w:val="nil"/>
                  </w:tcBorders>
                  <w:noWrap w:val="0"/>
                  <w:vAlign w:val="center"/>
                </w:tcPr>
                <w:p w14:paraId="57A1153D">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车间西南侧</w:t>
                  </w:r>
                </w:p>
                <w:p w14:paraId="746871A5">
                  <w:pPr>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eastAsia="宋体"/>
                      <w:color w:val="000000"/>
                      <w:szCs w:val="21"/>
                      <w:highlight w:val="none"/>
                      <w:lang w:val="en-US" w:eastAsia="zh-CN"/>
                    </w:rPr>
                  </w:pPr>
                </w:p>
              </w:tc>
              <w:tc>
                <w:tcPr>
                  <w:tcW w:w="331" w:type="pct"/>
                  <w:vMerge w:val="restart"/>
                  <w:tcBorders>
                    <w:tl2br w:val="nil"/>
                    <w:tr2bl w:val="nil"/>
                  </w:tcBorders>
                  <w:noWrap w:val="0"/>
                  <w:vAlign w:val="center"/>
                </w:tcPr>
                <w:p w14:paraId="7CF15C44">
                  <w:pPr>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10m</w:t>
                  </w:r>
                  <w:r>
                    <w:rPr>
                      <w:rFonts w:hint="eastAsia"/>
                      <w:color w:val="000000"/>
                      <w:szCs w:val="21"/>
                      <w:highlight w:val="none"/>
                      <w:vertAlign w:val="superscript"/>
                      <w:lang w:val="en-US" w:eastAsia="zh-CN"/>
                    </w:rPr>
                    <w:t>2</w:t>
                  </w:r>
                </w:p>
              </w:tc>
              <w:tc>
                <w:tcPr>
                  <w:tcW w:w="723" w:type="pct"/>
                  <w:tcBorders>
                    <w:tl2br w:val="nil"/>
                    <w:tr2bl w:val="nil"/>
                  </w:tcBorders>
                  <w:noWrap w:val="0"/>
                  <w:vAlign w:val="center"/>
                </w:tcPr>
                <w:p w14:paraId="060F7996">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置于密封容器中</w:t>
                  </w:r>
                </w:p>
              </w:tc>
              <w:tc>
                <w:tcPr>
                  <w:tcW w:w="439" w:type="pct"/>
                  <w:vMerge w:val="restart"/>
                  <w:tcBorders>
                    <w:tl2br w:val="nil"/>
                    <w:tr2bl w:val="nil"/>
                  </w:tcBorders>
                  <w:noWrap w:val="0"/>
                  <w:vAlign w:val="center"/>
                </w:tcPr>
                <w:p w14:paraId="383C0867">
                  <w:pPr>
                    <w:keepNext w:val="0"/>
                    <w:keepLines w:val="0"/>
                    <w:pageBreakBefore w:val="0"/>
                    <w:widowControl w:val="0"/>
                    <w:kinsoku/>
                    <w:wordWrap/>
                    <w:overflowPunct/>
                    <w:topLinePunct/>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5t</w:t>
                  </w:r>
                </w:p>
              </w:tc>
              <w:tc>
                <w:tcPr>
                  <w:tcW w:w="576" w:type="pct"/>
                  <w:tcBorders>
                    <w:tl2br w:val="nil"/>
                    <w:tr2bl w:val="nil"/>
                  </w:tcBorders>
                  <w:noWrap w:val="0"/>
                  <w:vAlign w:val="center"/>
                </w:tcPr>
                <w:p w14:paraId="2163685C">
                  <w:pPr>
                    <w:keepNext w:val="0"/>
                    <w:keepLines w:val="0"/>
                    <w:pageBreakBefore w:val="0"/>
                    <w:widowControl w:val="0"/>
                    <w:kinsoku/>
                    <w:wordWrap/>
                    <w:overflowPunct/>
                    <w:topLinePunct/>
                    <w:autoSpaceDE/>
                    <w:autoSpaceDN/>
                    <w:bidi w:val="0"/>
                    <w:adjustRightInd w:val="0"/>
                    <w:snapToGrid w:val="0"/>
                    <w:ind w:left="-105" w:leftChars="-50" w:right="-105" w:rightChars="-50"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1年</w:t>
                  </w:r>
                </w:p>
              </w:tc>
            </w:tr>
            <w:tr w14:paraId="34D49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576" w:hRule="atLeast"/>
              </w:trPr>
              <w:tc>
                <w:tcPr>
                  <w:tcW w:w="533" w:type="pct"/>
                  <w:vMerge w:val="continue"/>
                  <w:tcBorders>
                    <w:tl2br w:val="nil"/>
                    <w:tr2bl w:val="nil"/>
                  </w:tcBorders>
                  <w:noWrap w:val="0"/>
                  <w:vAlign w:val="center"/>
                </w:tcPr>
                <w:p w14:paraId="4F149CC4">
                  <w:pPr>
                    <w:keepNext w:val="0"/>
                    <w:keepLines w:val="0"/>
                    <w:pageBreakBefore w:val="0"/>
                    <w:widowControl w:val="0"/>
                    <w:kinsoku/>
                    <w:wordWrap/>
                    <w:overflowPunct/>
                    <w:autoSpaceDE/>
                    <w:autoSpaceDN/>
                    <w:bidi w:val="0"/>
                    <w:adjustRightInd w:val="0"/>
                    <w:snapToGrid w:val="0"/>
                    <w:ind w:firstLine="0"/>
                    <w:jc w:val="center"/>
                    <w:textAlignment w:val="auto"/>
                    <w:rPr>
                      <w:rFonts w:hint="eastAsia"/>
                      <w:color w:val="000000"/>
                      <w:szCs w:val="21"/>
                      <w:highlight w:val="none"/>
                    </w:rPr>
                  </w:pPr>
                  <w:bookmarkStart w:id="7" w:name="_Hlk134280286"/>
                </w:p>
              </w:tc>
              <w:tc>
                <w:tcPr>
                  <w:tcW w:w="562" w:type="pct"/>
                  <w:tcBorders>
                    <w:tl2br w:val="nil"/>
                    <w:tr2bl w:val="nil"/>
                  </w:tcBorders>
                  <w:noWrap w:val="0"/>
                  <w:vAlign w:val="center"/>
                </w:tcPr>
                <w:p w14:paraId="146D66F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废润滑油</w:t>
                  </w:r>
                </w:p>
              </w:tc>
              <w:tc>
                <w:tcPr>
                  <w:tcW w:w="406" w:type="pct"/>
                  <w:tcBorders>
                    <w:tl2br w:val="nil"/>
                    <w:tr2bl w:val="nil"/>
                  </w:tcBorders>
                  <w:noWrap w:val="0"/>
                  <w:vAlign w:val="center"/>
                </w:tcPr>
                <w:p w14:paraId="209B21DC">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color w:val="000000"/>
                      <w:sz w:val="21"/>
                      <w:szCs w:val="21"/>
                      <w:highlight w:val="none"/>
                    </w:rPr>
                  </w:pPr>
                  <w:r>
                    <w:rPr>
                      <w:rFonts w:hint="eastAsia" w:ascii="Times New Roman" w:hAnsi="Times New Roman" w:eastAsia="宋体" w:cs="Times New Roman"/>
                      <w:color w:val="000000"/>
                      <w:szCs w:val="21"/>
                      <w:highlight w:val="none"/>
                      <w:lang w:val="en-US" w:eastAsia="zh-CN"/>
                    </w:rPr>
                    <w:t>HW08</w:t>
                  </w:r>
                </w:p>
              </w:tc>
              <w:tc>
                <w:tcPr>
                  <w:tcW w:w="662" w:type="pct"/>
                  <w:tcBorders>
                    <w:tl2br w:val="nil"/>
                    <w:tr2bl w:val="nil"/>
                  </w:tcBorders>
                  <w:noWrap w:val="0"/>
                  <w:vAlign w:val="center"/>
                </w:tcPr>
                <w:p w14:paraId="65A7668D">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cs="TimesNewRomanPSMT"/>
                      <w:color w:val="000000"/>
                      <w:kern w:val="0"/>
                      <w:sz w:val="21"/>
                      <w:szCs w:val="21"/>
                      <w:highlight w:val="none"/>
                    </w:rPr>
                  </w:pPr>
                  <w:r>
                    <w:rPr>
                      <w:rFonts w:hint="eastAsia" w:ascii="Times New Roman" w:hAnsi="Times New Roman" w:eastAsia="宋体" w:cs="Times New Roman"/>
                      <w:color w:val="000000"/>
                      <w:szCs w:val="21"/>
                      <w:highlight w:val="none"/>
                      <w:lang w:val="en-US" w:eastAsia="zh-CN"/>
                    </w:rPr>
                    <w:t>900-217-08</w:t>
                  </w:r>
                </w:p>
              </w:tc>
              <w:tc>
                <w:tcPr>
                  <w:tcW w:w="507" w:type="pct"/>
                  <w:tcBorders>
                    <w:tl2br w:val="nil"/>
                    <w:tr2bl w:val="nil"/>
                  </w:tcBorders>
                  <w:noWrap w:val="0"/>
                  <w:vAlign w:val="center"/>
                </w:tcPr>
                <w:p w14:paraId="57EAA0D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0.001</w:t>
                  </w:r>
                </w:p>
              </w:tc>
              <w:tc>
                <w:tcPr>
                  <w:tcW w:w="253" w:type="pct"/>
                  <w:vMerge w:val="continue"/>
                  <w:tcBorders>
                    <w:tl2br w:val="nil"/>
                    <w:tr2bl w:val="nil"/>
                  </w:tcBorders>
                  <w:noWrap w:val="0"/>
                  <w:vAlign w:val="center"/>
                </w:tcPr>
                <w:p w14:paraId="210FFD0F">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default" w:eastAsia="宋体"/>
                      <w:color w:val="000000"/>
                      <w:szCs w:val="21"/>
                      <w:highlight w:val="none"/>
                      <w:lang w:val="en-US" w:eastAsia="zh-CN"/>
                    </w:rPr>
                  </w:pPr>
                </w:p>
              </w:tc>
              <w:tc>
                <w:tcPr>
                  <w:tcW w:w="331" w:type="pct"/>
                  <w:vMerge w:val="continue"/>
                  <w:tcBorders>
                    <w:tl2br w:val="nil"/>
                    <w:tr2bl w:val="nil"/>
                  </w:tcBorders>
                  <w:noWrap w:val="0"/>
                  <w:vAlign w:val="center"/>
                </w:tcPr>
                <w:p w14:paraId="213AE5C0">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eastAsia"/>
                      <w:color w:val="000000"/>
                      <w:szCs w:val="21"/>
                      <w:highlight w:val="none"/>
                      <w:lang w:val="en-US" w:eastAsia="zh-CN"/>
                    </w:rPr>
                  </w:pPr>
                </w:p>
              </w:tc>
              <w:tc>
                <w:tcPr>
                  <w:tcW w:w="723" w:type="pct"/>
                  <w:tcBorders>
                    <w:tl2br w:val="nil"/>
                    <w:tr2bl w:val="nil"/>
                  </w:tcBorders>
                  <w:noWrap w:val="0"/>
                  <w:vAlign w:val="center"/>
                </w:tcPr>
                <w:p w14:paraId="70D0D523">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eastAsia"/>
                      <w:color w:val="000000"/>
                      <w:szCs w:val="21"/>
                      <w:highlight w:val="none"/>
                    </w:rPr>
                  </w:pPr>
                  <w:r>
                    <w:rPr>
                      <w:rFonts w:hint="eastAsia"/>
                      <w:color w:val="000000"/>
                      <w:szCs w:val="21"/>
                      <w:highlight w:val="none"/>
                    </w:rPr>
                    <w:t>置于密封容器中</w:t>
                  </w:r>
                </w:p>
              </w:tc>
              <w:tc>
                <w:tcPr>
                  <w:tcW w:w="439" w:type="pct"/>
                  <w:vMerge w:val="continue"/>
                  <w:tcBorders>
                    <w:tl2br w:val="nil"/>
                    <w:tr2bl w:val="nil"/>
                  </w:tcBorders>
                  <w:noWrap w:val="0"/>
                  <w:vAlign w:val="center"/>
                </w:tcPr>
                <w:p w14:paraId="74C19035">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eastAsia"/>
                      <w:color w:val="000000"/>
                      <w:szCs w:val="21"/>
                      <w:highlight w:val="none"/>
                      <w:lang w:val="en-US" w:eastAsia="zh-CN"/>
                    </w:rPr>
                  </w:pPr>
                </w:p>
              </w:tc>
              <w:tc>
                <w:tcPr>
                  <w:tcW w:w="576" w:type="pct"/>
                  <w:tcBorders>
                    <w:tl2br w:val="nil"/>
                    <w:tr2bl w:val="nil"/>
                  </w:tcBorders>
                  <w:noWrap w:val="0"/>
                  <w:vAlign w:val="center"/>
                </w:tcPr>
                <w:p w14:paraId="72FE0CDF">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1年</w:t>
                  </w:r>
                </w:p>
              </w:tc>
            </w:tr>
            <w:tr w14:paraId="5FBEA4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54" w:hRule="atLeast"/>
              </w:trPr>
              <w:tc>
                <w:tcPr>
                  <w:tcW w:w="533" w:type="pct"/>
                  <w:vMerge w:val="continue"/>
                  <w:tcBorders>
                    <w:tl2br w:val="nil"/>
                    <w:tr2bl w:val="nil"/>
                  </w:tcBorders>
                  <w:noWrap w:val="0"/>
                  <w:vAlign w:val="center"/>
                </w:tcPr>
                <w:p w14:paraId="0C979C4A">
                  <w:pPr>
                    <w:keepNext w:val="0"/>
                    <w:keepLines w:val="0"/>
                    <w:pageBreakBefore w:val="0"/>
                    <w:widowControl w:val="0"/>
                    <w:kinsoku/>
                    <w:wordWrap/>
                    <w:overflowPunct/>
                    <w:autoSpaceDE/>
                    <w:autoSpaceDN/>
                    <w:bidi w:val="0"/>
                    <w:adjustRightInd w:val="0"/>
                    <w:snapToGrid w:val="0"/>
                    <w:ind w:firstLine="0"/>
                    <w:jc w:val="center"/>
                    <w:textAlignment w:val="auto"/>
                    <w:rPr>
                      <w:color w:val="000000"/>
                      <w:szCs w:val="21"/>
                      <w:highlight w:val="none"/>
                    </w:rPr>
                  </w:pPr>
                </w:p>
              </w:tc>
              <w:tc>
                <w:tcPr>
                  <w:tcW w:w="562" w:type="pct"/>
                  <w:tcBorders>
                    <w:tl2br w:val="nil"/>
                    <w:tr2bl w:val="nil"/>
                  </w:tcBorders>
                  <w:noWrap w:val="0"/>
                  <w:vAlign w:val="center"/>
                </w:tcPr>
                <w:p w14:paraId="48D0157D">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废油桶</w:t>
                  </w:r>
                </w:p>
              </w:tc>
              <w:tc>
                <w:tcPr>
                  <w:tcW w:w="406" w:type="pct"/>
                  <w:tcBorders>
                    <w:tl2br w:val="nil"/>
                    <w:tr2bl w:val="nil"/>
                  </w:tcBorders>
                  <w:noWrap w:val="0"/>
                  <w:vAlign w:val="center"/>
                </w:tcPr>
                <w:p w14:paraId="710E1CBD">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color w:val="000000"/>
                      <w:sz w:val="21"/>
                      <w:szCs w:val="21"/>
                      <w:highlight w:val="none"/>
                    </w:rPr>
                    <w:t>H</w:t>
                  </w:r>
                  <w:r>
                    <w:rPr>
                      <w:rFonts w:hint="eastAsia"/>
                      <w:color w:val="000000"/>
                      <w:sz w:val="21"/>
                      <w:szCs w:val="21"/>
                      <w:highlight w:val="none"/>
                      <w:lang w:val="en-US" w:eastAsia="zh-CN"/>
                    </w:rPr>
                    <w:t>W08</w:t>
                  </w:r>
                </w:p>
              </w:tc>
              <w:tc>
                <w:tcPr>
                  <w:tcW w:w="662" w:type="pct"/>
                  <w:tcBorders>
                    <w:tl2br w:val="nil"/>
                    <w:tr2bl w:val="nil"/>
                  </w:tcBorders>
                  <w:noWrap w:val="0"/>
                  <w:vAlign w:val="center"/>
                </w:tcPr>
                <w:p w14:paraId="343EC6E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NewRomanPSMT"/>
                      <w:kern w:val="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900-249-08</w:t>
                  </w:r>
                </w:p>
              </w:tc>
              <w:tc>
                <w:tcPr>
                  <w:tcW w:w="507" w:type="pct"/>
                  <w:tcBorders>
                    <w:tl2br w:val="nil"/>
                    <w:tr2bl w:val="nil"/>
                  </w:tcBorders>
                  <w:noWrap w:val="0"/>
                  <w:vAlign w:val="center"/>
                </w:tcPr>
                <w:p w14:paraId="29EE16F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0.001</w:t>
                  </w:r>
                </w:p>
              </w:tc>
              <w:tc>
                <w:tcPr>
                  <w:tcW w:w="253" w:type="pct"/>
                  <w:vMerge w:val="continue"/>
                  <w:tcBorders>
                    <w:tl2br w:val="nil"/>
                    <w:tr2bl w:val="nil"/>
                  </w:tcBorders>
                  <w:noWrap w:val="0"/>
                  <w:vAlign w:val="center"/>
                </w:tcPr>
                <w:p w14:paraId="0892AB31">
                  <w:pPr>
                    <w:keepNext w:val="0"/>
                    <w:keepLines w:val="0"/>
                    <w:pageBreakBefore w:val="0"/>
                    <w:widowControl w:val="0"/>
                    <w:kinsoku/>
                    <w:wordWrap/>
                    <w:overflowPunct/>
                    <w:topLinePunct/>
                    <w:autoSpaceDE/>
                    <w:autoSpaceDN/>
                    <w:bidi w:val="0"/>
                    <w:adjustRightInd w:val="0"/>
                    <w:snapToGrid w:val="0"/>
                    <w:ind w:firstLine="0"/>
                    <w:jc w:val="center"/>
                    <w:textAlignment w:val="auto"/>
                    <w:rPr>
                      <w:color w:val="000000"/>
                      <w:szCs w:val="21"/>
                      <w:highlight w:val="yellow"/>
                    </w:rPr>
                  </w:pPr>
                </w:p>
              </w:tc>
              <w:tc>
                <w:tcPr>
                  <w:tcW w:w="331" w:type="pct"/>
                  <w:vMerge w:val="continue"/>
                  <w:tcBorders>
                    <w:tl2br w:val="nil"/>
                    <w:tr2bl w:val="nil"/>
                  </w:tcBorders>
                  <w:noWrap w:val="0"/>
                  <w:vAlign w:val="center"/>
                </w:tcPr>
                <w:p w14:paraId="13149046">
                  <w:pPr>
                    <w:keepNext w:val="0"/>
                    <w:keepLines w:val="0"/>
                    <w:pageBreakBefore w:val="0"/>
                    <w:widowControl w:val="0"/>
                    <w:kinsoku/>
                    <w:wordWrap/>
                    <w:overflowPunct/>
                    <w:topLinePunct/>
                    <w:autoSpaceDE/>
                    <w:autoSpaceDN/>
                    <w:bidi w:val="0"/>
                    <w:adjustRightInd w:val="0"/>
                    <w:snapToGrid w:val="0"/>
                    <w:ind w:firstLine="0"/>
                    <w:jc w:val="center"/>
                    <w:textAlignment w:val="auto"/>
                    <w:rPr>
                      <w:color w:val="000000"/>
                      <w:szCs w:val="21"/>
                      <w:highlight w:val="yellow"/>
                    </w:rPr>
                  </w:pPr>
                </w:p>
              </w:tc>
              <w:tc>
                <w:tcPr>
                  <w:tcW w:w="723" w:type="pct"/>
                  <w:tcBorders>
                    <w:tl2br w:val="nil"/>
                    <w:tr2bl w:val="nil"/>
                  </w:tcBorders>
                  <w:noWrap w:val="0"/>
                  <w:vAlign w:val="center"/>
                </w:tcPr>
                <w:p w14:paraId="1B554BAE">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置于密封容器中</w:t>
                  </w:r>
                </w:p>
              </w:tc>
              <w:tc>
                <w:tcPr>
                  <w:tcW w:w="439" w:type="pct"/>
                  <w:vMerge w:val="continue"/>
                  <w:tcBorders>
                    <w:tl2br w:val="nil"/>
                    <w:tr2bl w:val="nil"/>
                  </w:tcBorders>
                  <w:noWrap w:val="0"/>
                  <w:vAlign w:val="center"/>
                </w:tcPr>
                <w:p w14:paraId="7D496AFA">
                  <w:pPr>
                    <w:keepNext w:val="0"/>
                    <w:keepLines w:val="0"/>
                    <w:pageBreakBefore w:val="0"/>
                    <w:widowControl w:val="0"/>
                    <w:kinsoku/>
                    <w:wordWrap/>
                    <w:overflowPunct/>
                    <w:topLinePunct/>
                    <w:autoSpaceDE/>
                    <w:autoSpaceDN/>
                    <w:bidi w:val="0"/>
                    <w:adjustRightInd w:val="0"/>
                    <w:snapToGrid w:val="0"/>
                    <w:ind w:firstLine="0"/>
                    <w:jc w:val="center"/>
                    <w:textAlignment w:val="auto"/>
                    <w:rPr>
                      <w:color w:val="000000"/>
                      <w:szCs w:val="21"/>
                      <w:highlight w:val="yellow"/>
                    </w:rPr>
                  </w:pPr>
                </w:p>
              </w:tc>
              <w:tc>
                <w:tcPr>
                  <w:tcW w:w="576" w:type="pct"/>
                  <w:tcBorders>
                    <w:tl2br w:val="nil"/>
                    <w:tr2bl w:val="nil"/>
                  </w:tcBorders>
                  <w:noWrap w:val="0"/>
                  <w:vAlign w:val="center"/>
                </w:tcPr>
                <w:p w14:paraId="519D25AA">
                  <w:pPr>
                    <w:keepNext w:val="0"/>
                    <w:keepLines w:val="0"/>
                    <w:pageBreakBefore w:val="0"/>
                    <w:widowControl w:val="0"/>
                    <w:kinsoku/>
                    <w:wordWrap/>
                    <w:overflowPunct/>
                    <w:topLinePunct/>
                    <w:autoSpaceDE/>
                    <w:autoSpaceDN/>
                    <w:bidi w:val="0"/>
                    <w:adjustRightInd w:val="0"/>
                    <w:snapToGrid w:val="0"/>
                    <w:ind w:left="-105" w:leftChars="-50" w:right="-105" w:rightChars="-50"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1年</w:t>
                  </w:r>
                </w:p>
              </w:tc>
            </w:tr>
            <w:tr w14:paraId="3EB3E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454" w:hRule="atLeast"/>
              </w:trPr>
              <w:tc>
                <w:tcPr>
                  <w:tcW w:w="533" w:type="pct"/>
                  <w:vMerge w:val="continue"/>
                  <w:tcBorders>
                    <w:tl2br w:val="nil"/>
                    <w:tr2bl w:val="nil"/>
                  </w:tcBorders>
                  <w:noWrap w:val="0"/>
                  <w:vAlign w:val="center"/>
                </w:tcPr>
                <w:p w14:paraId="4841E552">
                  <w:pPr>
                    <w:keepNext w:val="0"/>
                    <w:keepLines w:val="0"/>
                    <w:pageBreakBefore w:val="0"/>
                    <w:widowControl w:val="0"/>
                    <w:kinsoku/>
                    <w:wordWrap/>
                    <w:overflowPunct/>
                    <w:autoSpaceDE/>
                    <w:autoSpaceDN/>
                    <w:bidi w:val="0"/>
                    <w:adjustRightInd w:val="0"/>
                    <w:snapToGrid w:val="0"/>
                    <w:ind w:firstLine="0"/>
                    <w:jc w:val="center"/>
                    <w:textAlignment w:val="auto"/>
                    <w:rPr>
                      <w:color w:val="000000"/>
                      <w:szCs w:val="21"/>
                      <w:highlight w:val="none"/>
                    </w:rPr>
                  </w:pPr>
                </w:p>
              </w:tc>
              <w:tc>
                <w:tcPr>
                  <w:tcW w:w="562" w:type="pct"/>
                  <w:tcBorders>
                    <w:tl2br w:val="nil"/>
                    <w:tr2bl w:val="nil"/>
                  </w:tcBorders>
                  <w:noWrap w:val="0"/>
                  <w:vAlign w:val="center"/>
                </w:tcPr>
                <w:p w14:paraId="41EC6716">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蒸发残液</w:t>
                  </w:r>
                </w:p>
              </w:tc>
              <w:tc>
                <w:tcPr>
                  <w:tcW w:w="406" w:type="pct"/>
                  <w:tcBorders>
                    <w:tl2br w:val="nil"/>
                    <w:tr2bl w:val="nil"/>
                  </w:tcBorders>
                  <w:noWrap w:val="0"/>
                  <w:vAlign w:val="center"/>
                </w:tcPr>
                <w:p w14:paraId="0C39543B">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sz w:val="21"/>
                      <w:szCs w:val="21"/>
                      <w:highlight w:val="none"/>
                      <w:lang w:val="en-US" w:eastAsia="zh-CN"/>
                    </w:rPr>
                  </w:pPr>
                  <w:r>
                    <w:rPr>
                      <w:color w:val="000000"/>
                      <w:sz w:val="21"/>
                      <w:szCs w:val="21"/>
                      <w:highlight w:val="none"/>
                    </w:rPr>
                    <w:t>HW</w:t>
                  </w:r>
                  <w:r>
                    <w:rPr>
                      <w:rFonts w:hint="eastAsia"/>
                      <w:color w:val="000000"/>
                      <w:sz w:val="21"/>
                      <w:szCs w:val="21"/>
                      <w:highlight w:val="none"/>
                      <w:lang w:val="en-US" w:eastAsia="zh-CN"/>
                    </w:rPr>
                    <w:t>49</w:t>
                  </w:r>
                </w:p>
              </w:tc>
              <w:tc>
                <w:tcPr>
                  <w:tcW w:w="662" w:type="pct"/>
                  <w:tcBorders>
                    <w:tl2br w:val="nil"/>
                    <w:tr2bl w:val="nil"/>
                  </w:tcBorders>
                  <w:noWrap w:val="0"/>
                  <w:vAlign w:val="center"/>
                </w:tcPr>
                <w:p w14:paraId="27D0974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both"/>
                    <w:textAlignment w:val="auto"/>
                    <w:rPr>
                      <w:rFonts w:hint="eastAsia"/>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772-006-49</w:t>
                  </w:r>
                  <w:r>
                    <w:rPr>
                      <w:rFonts w:hint="eastAsia" w:cs="TimesNewRomanPSMT"/>
                      <w:kern w:val="0"/>
                      <w:sz w:val="21"/>
                      <w:szCs w:val="21"/>
                      <w:highlight w:val="none"/>
                      <w:lang w:val="en-US" w:eastAsia="zh-CN"/>
                    </w:rPr>
                    <w:t xml:space="preserve"> </w:t>
                  </w:r>
                </w:p>
              </w:tc>
              <w:tc>
                <w:tcPr>
                  <w:tcW w:w="507" w:type="pct"/>
                  <w:tcBorders>
                    <w:tl2br w:val="nil"/>
                    <w:tr2bl w:val="nil"/>
                  </w:tcBorders>
                  <w:noWrap w:val="0"/>
                  <w:vAlign w:val="center"/>
                </w:tcPr>
                <w:p w14:paraId="0B5B422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253" w:type="pct"/>
                  <w:vMerge w:val="continue"/>
                  <w:tcBorders>
                    <w:tl2br w:val="nil"/>
                    <w:tr2bl w:val="nil"/>
                  </w:tcBorders>
                  <w:noWrap w:val="0"/>
                  <w:vAlign w:val="center"/>
                </w:tcPr>
                <w:p w14:paraId="57DA8787">
                  <w:pPr>
                    <w:keepNext w:val="0"/>
                    <w:keepLines w:val="0"/>
                    <w:pageBreakBefore w:val="0"/>
                    <w:widowControl w:val="0"/>
                    <w:kinsoku/>
                    <w:wordWrap/>
                    <w:overflowPunct/>
                    <w:topLinePunct/>
                    <w:autoSpaceDE/>
                    <w:autoSpaceDN/>
                    <w:bidi w:val="0"/>
                    <w:adjustRightInd w:val="0"/>
                    <w:snapToGrid w:val="0"/>
                    <w:ind w:firstLine="0"/>
                    <w:jc w:val="center"/>
                    <w:textAlignment w:val="auto"/>
                    <w:rPr>
                      <w:color w:val="000000"/>
                      <w:szCs w:val="21"/>
                      <w:highlight w:val="yellow"/>
                    </w:rPr>
                  </w:pPr>
                </w:p>
              </w:tc>
              <w:tc>
                <w:tcPr>
                  <w:tcW w:w="331" w:type="pct"/>
                  <w:vMerge w:val="continue"/>
                  <w:tcBorders>
                    <w:tl2br w:val="nil"/>
                    <w:tr2bl w:val="nil"/>
                  </w:tcBorders>
                  <w:noWrap w:val="0"/>
                  <w:vAlign w:val="center"/>
                </w:tcPr>
                <w:p w14:paraId="798AA8CD">
                  <w:pPr>
                    <w:keepNext w:val="0"/>
                    <w:keepLines w:val="0"/>
                    <w:pageBreakBefore w:val="0"/>
                    <w:widowControl w:val="0"/>
                    <w:kinsoku/>
                    <w:wordWrap/>
                    <w:overflowPunct/>
                    <w:topLinePunct/>
                    <w:autoSpaceDE/>
                    <w:autoSpaceDN/>
                    <w:bidi w:val="0"/>
                    <w:adjustRightInd w:val="0"/>
                    <w:snapToGrid w:val="0"/>
                    <w:ind w:firstLine="0"/>
                    <w:jc w:val="center"/>
                    <w:textAlignment w:val="auto"/>
                    <w:rPr>
                      <w:color w:val="000000"/>
                      <w:szCs w:val="21"/>
                      <w:highlight w:val="yellow"/>
                    </w:rPr>
                  </w:pPr>
                </w:p>
              </w:tc>
              <w:tc>
                <w:tcPr>
                  <w:tcW w:w="723" w:type="pct"/>
                  <w:tcBorders>
                    <w:tl2br w:val="nil"/>
                    <w:tr2bl w:val="nil"/>
                  </w:tcBorders>
                  <w:noWrap w:val="0"/>
                  <w:vAlign w:val="center"/>
                </w:tcPr>
                <w:p w14:paraId="6EBAA2F0">
                  <w:pPr>
                    <w:keepNext w:val="0"/>
                    <w:keepLines w:val="0"/>
                    <w:pageBreakBefore w:val="0"/>
                    <w:widowControl w:val="0"/>
                    <w:kinsoku/>
                    <w:wordWrap/>
                    <w:overflowPunct/>
                    <w:topLinePunct/>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置于密封容器中</w:t>
                  </w:r>
                </w:p>
              </w:tc>
              <w:tc>
                <w:tcPr>
                  <w:tcW w:w="439" w:type="pct"/>
                  <w:vMerge w:val="continue"/>
                  <w:tcBorders>
                    <w:tl2br w:val="nil"/>
                    <w:tr2bl w:val="nil"/>
                  </w:tcBorders>
                  <w:noWrap w:val="0"/>
                  <w:vAlign w:val="center"/>
                </w:tcPr>
                <w:p w14:paraId="4E2CE03C">
                  <w:pPr>
                    <w:keepNext w:val="0"/>
                    <w:keepLines w:val="0"/>
                    <w:pageBreakBefore w:val="0"/>
                    <w:widowControl w:val="0"/>
                    <w:kinsoku/>
                    <w:wordWrap/>
                    <w:overflowPunct/>
                    <w:topLinePunct/>
                    <w:autoSpaceDE/>
                    <w:autoSpaceDN/>
                    <w:bidi w:val="0"/>
                    <w:adjustRightInd w:val="0"/>
                    <w:snapToGrid w:val="0"/>
                    <w:ind w:firstLine="0"/>
                    <w:jc w:val="center"/>
                    <w:textAlignment w:val="auto"/>
                    <w:rPr>
                      <w:color w:val="000000"/>
                      <w:szCs w:val="21"/>
                      <w:highlight w:val="yellow"/>
                    </w:rPr>
                  </w:pPr>
                </w:p>
              </w:tc>
              <w:tc>
                <w:tcPr>
                  <w:tcW w:w="576" w:type="pct"/>
                  <w:tcBorders>
                    <w:tl2br w:val="nil"/>
                    <w:tr2bl w:val="nil"/>
                  </w:tcBorders>
                  <w:noWrap w:val="0"/>
                  <w:vAlign w:val="center"/>
                </w:tcPr>
                <w:p w14:paraId="23009736">
                  <w:pPr>
                    <w:keepNext w:val="0"/>
                    <w:keepLines w:val="0"/>
                    <w:pageBreakBefore w:val="0"/>
                    <w:widowControl w:val="0"/>
                    <w:kinsoku/>
                    <w:wordWrap/>
                    <w:overflowPunct/>
                    <w:topLinePunct/>
                    <w:autoSpaceDE/>
                    <w:autoSpaceDN/>
                    <w:bidi w:val="0"/>
                    <w:adjustRightInd w:val="0"/>
                    <w:snapToGrid w:val="0"/>
                    <w:ind w:left="-105" w:leftChars="-50" w:right="-105" w:rightChars="-50"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1年</w:t>
                  </w:r>
                </w:p>
              </w:tc>
            </w:tr>
          </w:tbl>
          <w:p w14:paraId="2D340CC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rPr>
            </w:pPr>
            <w:r>
              <w:rPr>
                <w:rFonts w:hint="eastAsia"/>
                <w:color w:val="000000"/>
                <w:sz w:val="24"/>
              </w:rPr>
              <w:t>对照</w:t>
            </w:r>
            <w:r>
              <w:rPr>
                <w:rFonts w:hint="eastAsia" w:hAnsi="宋体"/>
                <w:color w:val="000000"/>
                <w:kern w:val="0"/>
                <w:sz w:val="24"/>
              </w:rPr>
              <w:t>《危险废物贮存污染控制标准》（GB18597-2023）</w:t>
            </w:r>
            <w:r>
              <w:rPr>
                <w:rFonts w:hint="eastAsia"/>
                <w:color w:val="000000"/>
                <w:kern w:val="0"/>
                <w:sz w:val="24"/>
              </w:rPr>
              <w:t>本项目拟建的</w:t>
            </w:r>
            <w:r>
              <w:rPr>
                <w:rFonts w:hint="eastAsia"/>
                <w:color w:val="000000"/>
                <w:kern w:val="0"/>
                <w:sz w:val="24"/>
                <w:lang w:val="en-US" w:eastAsia="zh-CN"/>
              </w:rPr>
              <w:t>危废仓库</w:t>
            </w:r>
            <w:r>
              <w:rPr>
                <w:rFonts w:hint="eastAsia"/>
                <w:color w:val="000000"/>
                <w:sz w:val="24"/>
              </w:rPr>
              <w:t>的主要规范建设要求分析如下：</w:t>
            </w:r>
            <w:bookmarkEnd w:id="7"/>
          </w:p>
          <w:p w14:paraId="1CC213A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 w:val="21"/>
                <w:szCs w:val="21"/>
                <w:highlight w:val="yellow"/>
              </w:rPr>
            </w:pPr>
            <w:r>
              <w:rPr>
                <w:rFonts w:hint="eastAsia"/>
                <w:b/>
                <w:color w:val="000000"/>
                <w:sz w:val="21"/>
                <w:szCs w:val="21"/>
              </w:rPr>
              <w:t>表4</w:t>
            </w:r>
            <w:r>
              <w:rPr>
                <w:b/>
                <w:color w:val="000000"/>
                <w:sz w:val="21"/>
                <w:szCs w:val="21"/>
              </w:rPr>
              <w:t>-2</w:t>
            </w:r>
            <w:r>
              <w:rPr>
                <w:rFonts w:hint="eastAsia"/>
                <w:b/>
                <w:color w:val="000000"/>
                <w:sz w:val="21"/>
                <w:szCs w:val="21"/>
                <w:lang w:val="en-US" w:eastAsia="zh-CN"/>
              </w:rPr>
              <w:t>6</w:t>
            </w:r>
            <w:r>
              <w:rPr>
                <w:b/>
                <w:color w:val="000000"/>
                <w:sz w:val="21"/>
                <w:szCs w:val="21"/>
              </w:rPr>
              <w:t xml:space="preserve"> </w:t>
            </w:r>
            <w:r>
              <w:rPr>
                <w:rFonts w:hint="eastAsia"/>
                <w:b/>
                <w:color w:val="000000"/>
                <w:sz w:val="21"/>
                <w:szCs w:val="21"/>
              </w:rPr>
              <w:t>危险废物贮存场所建设要求对照分析</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420"/>
              <w:gridCol w:w="3611"/>
              <w:gridCol w:w="2992"/>
              <w:gridCol w:w="788"/>
            </w:tblGrid>
            <w:tr w14:paraId="0C85A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tcBorders>
                    <w:tl2br w:val="nil"/>
                    <w:tr2bl w:val="nil"/>
                  </w:tcBorders>
                  <w:noWrap w:val="0"/>
                  <w:vAlign w:val="center"/>
                </w:tcPr>
                <w:p w14:paraId="207807FA">
                  <w:pPr>
                    <w:keepNext w:val="0"/>
                    <w:keepLines w:val="0"/>
                    <w:pageBreakBefore w:val="0"/>
                    <w:widowControl w:val="0"/>
                    <w:kinsoku/>
                    <w:wordWrap/>
                    <w:overflowPunct/>
                    <w:topLinePunct/>
                    <w:bidi w:val="0"/>
                    <w:adjustRightInd w:val="0"/>
                    <w:snapToGrid w:val="0"/>
                    <w:ind w:firstLine="0"/>
                    <w:jc w:val="center"/>
                    <w:textAlignment w:val="auto"/>
                    <w:rPr>
                      <w:b/>
                      <w:color w:val="000000"/>
                      <w:szCs w:val="21"/>
                    </w:rPr>
                  </w:pPr>
                  <w:r>
                    <w:rPr>
                      <w:b/>
                      <w:color w:val="000000"/>
                      <w:szCs w:val="21"/>
                    </w:rPr>
                    <w:t>类别</w:t>
                  </w:r>
                </w:p>
              </w:tc>
              <w:tc>
                <w:tcPr>
                  <w:tcW w:w="2448" w:type="pct"/>
                  <w:gridSpan w:val="2"/>
                  <w:tcBorders>
                    <w:tl2br w:val="nil"/>
                    <w:tr2bl w:val="nil"/>
                  </w:tcBorders>
                  <w:noWrap w:val="0"/>
                  <w:vAlign w:val="center"/>
                </w:tcPr>
                <w:p w14:paraId="42A3851C">
                  <w:pPr>
                    <w:keepNext w:val="0"/>
                    <w:keepLines w:val="0"/>
                    <w:pageBreakBefore w:val="0"/>
                    <w:widowControl w:val="0"/>
                    <w:kinsoku/>
                    <w:wordWrap/>
                    <w:overflowPunct/>
                    <w:topLinePunct/>
                    <w:bidi w:val="0"/>
                    <w:adjustRightInd w:val="0"/>
                    <w:snapToGrid w:val="0"/>
                    <w:ind w:firstLine="0"/>
                    <w:jc w:val="center"/>
                    <w:textAlignment w:val="auto"/>
                    <w:rPr>
                      <w:b/>
                      <w:color w:val="000000"/>
                      <w:szCs w:val="21"/>
                    </w:rPr>
                  </w:pPr>
                  <w:r>
                    <w:rPr>
                      <w:b/>
                      <w:color w:val="000000"/>
                      <w:szCs w:val="21"/>
                    </w:rPr>
                    <w:t>规范建设要求</w:t>
                  </w:r>
                </w:p>
              </w:tc>
              <w:tc>
                <w:tcPr>
                  <w:tcW w:w="1817" w:type="pct"/>
                  <w:tcBorders>
                    <w:tl2br w:val="nil"/>
                    <w:tr2bl w:val="nil"/>
                  </w:tcBorders>
                  <w:noWrap w:val="0"/>
                  <w:vAlign w:val="center"/>
                </w:tcPr>
                <w:p w14:paraId="6EF97279">
                  <w:pPr>
                    <w:keepNext w:val="0"/>
                    <w:keepLines w:val="0"/>
                    <w:pageBreakBefore w:val="0"/>
                    <w:widowControl w:val="0"/>
                    <w:kinsoku/>
                    <w:wordWrap/>
                    <w:overflowPunct/>
                    <w:topLinePunct/>
                    <w:bidi w:val="0"/>
                    <w:adjustRightInd w:val="0"/>
                    <w:snapToGrid w:val="0"/>
                    <w:ind w:firstLine="0"/>
                    <w:jc w:val="center"/>
                    <w:textAlignment w:val="auto"/>
                    <w:rPr>
                      <w:b/>
                      <w:color w:val="000000"/>
                      <w:szCs w:val="21"/>
                    </w:rPr>
                  </w:pPr>
                  <w:r>
                    <w:rPr>
                      <w:b/>
                      <w:color w:val="000000"/>
                      <w:szCs w:val="21"/>
                    </w:rPr>
                    <w:t>本项目</w:t>
                  </w:r>
                  <w:r>
                    <w:rPr>
                      <w:rFonts w:hint="eastAsia"/>
                      <w:b/>
                      <w:color w:val="000000"/>
                      <w:szCs w:val="21"/>
                    </w:rPr>
                    <w:t>情况</w:t>
                  </w:r>
                </w:p>
              </w:tc>
              <w:tc>
                <w:tcPr>
                  <w:tcW w:w="478" w:type="pct"/>
                  <w:tcBorders>
                    <w:tl2br w:val="nil"/>
                    <w:tr2bl w:val="nil"/>
                  </w:tcBorders>
                  <w:noWrap w:val="0"/>
                  <w:vAlign w:val="center"/>
                </w:tcPr>
                <w:p w14:paraId="4398391D">
                  <w:pPr>
                    <w:keepNext w:val="0"/>
                    <w:keepLines w:val="0"/>
                    <w:pageBreakBefore w:val="0"/>
                    <w:widowControl w:val="0"/>
                    <w:kinsoku/>
                    <w:wordWrap/>
                    <w:overflowPunct/>
                    <w:topLinePunct/>
                    <w:bidi w:val="0"/>
                    <w:adjustRightInd w:val="0"/>
                    <w:snapToGrid w:val="0"/>
                    <w:ind w:firstLine="0"/>
                    <w:jc w:val="center"/>
                    <w:textAlignment w:val="auto"/>
                    <w:rPr>
                      <w:b/>
                      <w:color w:val="000000"/>
                      <w:szCs w:val="21"/>
                    </w:rPr>
                  </w:pPr>
                  <w:r>
                    <w:rPr>
                      <w:b/>
                      <w:color w:val="000000"/>
                      <w:szCs w:val="21"/>
                    </w:rPr>
                    <w:t>相符性</w:t>
                  </w:r>
                </w:p>
              </w:tc>
            </w:tr>
            <w:tr w14:paraId="23C0F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4A48AE6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总体要求</w:t>
                  </w:r>
                </w:p>
              </w:tc>
              <w:tc>
                <w:tcPr>
                  <w:tcW w:w="2448" w:type="pct"/>
                  <w:gridSpan w:val="2"/>
                  <w:tcBorders>
                    <w:tl2br w:val="nil"/>
                    <w:tr2bl w:val="nil"/>
                  </w:tcBorders>
                  <w:noWrap w:val="0"/>
                  <w:vAlign w:val="center"/>
                </w:tcPr>
                <w:p w14:paraId="69FD3DA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产生、收集、贮存、利用、处置危险废物的单位应建造危险废物贮存设施或设置贮存场所，并根据需要选择贮存设施类型。</w:t>
                  </w:r>
                </w:p>
              </w:tc>
              <w:tc>
                <w:tcPr>
                  <w:tcW w:w="1817" w:type="pct"/>
                  <w:tcBorders>
                    <w:tl2br w:val="nil"/>
                    <w:tr2bl w:val="nil"/>
                  </w:tcBorders>
                  <w:noWrap w:val="0"/>
                  <w:vAlign w:val="center"/>
                </w:tcPr>
                <w:p w14:paraId="7E2FE44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yellow"/>
                    </w:rPr>
                  </w:pPr>
                  <w:r>
                    <w:rPr>
                      <w:color w:val="000000"/>
                      <w:kern w:val="0"/>
                      <w:szCs w:val="21"/>
                    </w:rPr>
                    <w:t>本项目</w:t>
                  </w:r>
                  <w:r>
                    <w:rPr>
                      <w:color w:val="000000"/>
                      <w:kern w:val="0"/>
                      <w:szCs w:val="21"/>
                      <w:highlight w:val="none"/>
                    </w:rPr>
                    <w:t>设置</w:t>
                  </w:r>
                  <w:r>
                    <w:rPr>
                      <w:rFonts w:hint="eastAsia"/>
                      <w:color w:val="000000"/>
                      <w:kern w:val="0"/>
                      <w:szCs w:val="21"/>
                      <w:highlight w:val="none"/>
                    </w:rPr>
                    <w:t>1</w:t>
                  </w:r>
                  <w:r>
                    <w:rPr>
                      <w:color w:val="000000"/>
                      <w:kern w:val="0"/>
                      <w:szCs w:val="21"/>
                      <w:highlight w:val="none"/>
                    </w:rPr>
                    <w:t>个危废仓库，为仓库式贮存设施，属于贮存库，位于</w:t>
                  </w:r>
                  <w:r>
                    <w:rPr>
                      <w:rFonts w:hint="eastAsia"/>
                      <w:color w:val="000000"/>
                      <w:kern w:val="0"/>
                      <w:szCs w:val="21"/>
                      <w:highlight w:val="none"/>
                      <w:lang w:val="en-US" w:eastAsia="zh-CN"/>
                    </w:rPr>
                    <w:t>生产车间西</w:t>
                  </w:r>
                  <w:r>
                    <w:rPr>
                      <w:rFonts w:hint="eastAsia"/>
                      <w:color w:val="000000"/>
                      <w:szCs w:val="21"/>
                      <w:highlight w:val="none"/>
                      <w:lang w:val="en-US" w:eastAsia="zh-CN"/>
                    </w:rPr>
                    <w:t>南侧</w:t>
                  </w:r>
                </w:p>
              </w:tc>
              <w:tc>
                <w:tcPr>
                  <w:tcW w:w="478" w:type="pct"/>
                  <w:vMerge w:val="restart"/>
                  <w:tcBorders>
                    <w:tl2br w:val="nil"/>
                    <w:tr2bl w:val="nil"/>
                  </w:tcBorders>
                  <w:noWrap w:val="0"/>
                  <w:vAlign w:val="center"/>
                </w:tcPr>
                <w:p w14:paraId="6C98654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1F894B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6215F61D">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780EBCB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贮存危险废物应根据危险废物的类别、数量、形态、物理化学性质和环境风险等因素，确定贮存设施或场所类型和规模。</w:t>
                  </w:r>
                </w:p>
              </w:tc>
              <w:tc>
                <w:tcPr>
                  <w:tcW w:w="1817" w:type="pct"/>
                  <w:tcBorders>
                    <w:tl2br w:val="nil"/>
                    <w:tr2bl w:val="nil"/>
                  </w:tcBorders>
                  <w:noWrap w:val="0"/>
                  <w:vAlign w:val="center"/>
                </w:tcPr>
                <w:p w14:paraId="003C767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根据本项目预测危废产生量</w:t>
                  </w:r>
                  <w:r>
                    <w:rPr>
                      <w:rFonts w:hint="eastAsia"/>
                      <w:color w:val="000000"/>
                      <w:kern w:val="0"/>
                      <w:szCs w:val="21"/>
                      <w:highlight w:val="none"/>
                    </w:rPr>
                    <w:t>及类别</w:t>
                  </w:r>
                  <w:r>
                    <w:rPr>
                      <w:color w:val="000000"/>
                      <w:kern w:val="0"/>
                      <w:szCs w:val="21"/>
                      <w:highlight w:val="none"/>
                    </w:rPr>
                    <w:t>，项目方拟建设</w:t>
                  </w:r>
                  <w:r>
                    <w:rPr>
                      <w:rFonts w:hint="eastAsia"/>
                      <w:color w:val="000000"/>
                      <w:kern w:val="0"/>
                      <w:szCs w:val="21"/>
                      <w:highlight w:val="none"/>
                      <w:lang w:val="en-US" w:eastAsia="zh-CN"/>
                    </w:rPr>
                    <w:t>1</w:t>
                  </w:r>
                  <w:r>
                    <w:rPr>
                      <w:rFonts w:hint="eastAsia"/>
                      <w:color w:val="000000"/>
                      <w:kern w:val="0"/>
                      <w:szCs w:val="21"/>
                      <w:highlight w:val="none"/>
                    </w:rPr>
                    <w:t>个</w:t>
                  </w:r>
                  <w:r>
                    <w:rPr>
                      <w:color w:val="000000"/>
                      <w:kern w:val="0"/>
                      <w:szCs w:val="21"/>
                      <w:highlight w:val="none"/>
                    </w:rPr>
                    <w:t>危废仓库</w:t>
                  </w:r>
                  <w:r>
                    <w:rPr>
                      <w:rFonts w:hint="eastAsia"/>
                      <w:color w:val="000000"/>
                      <w:kern w:val="0"/>
                      <w:szCs w:val="21"/>
                      <w:highlight w:val="none"/>
                    </w:rPr>
                    <w:t>，</w:t>
                  </w:r>
                  <w:r>
                    <w:rPr>
                      <w:rFonts w:hint="eastAsia"/>
                      <w:color w:val="000000"/>
                      <w:kern w:val="0"/>
                      <w:szCs w:val="21"/>
                      <w:highlight w:val="none"/>
                      <w:lang w:val="en-US" w:eastAsia="zh-CN"/>
                    </w:rPr>
                    <w:t>面积</w:t>
                  </w:r>
                  <w:r>
                    <w:rPr>
                      <w:rFonts w:hint="eastAsia"/>
                      <w:color w:val="000000"/>
                      <w:kern w:val="0"/>
                      <w:szCs w:val="21"/>
                      <w:highlight w:val="none"/>
                    </w:rPr>
                    <w:t>为</w:t>
                  </w:r>
                  <w:r>
                    <w:rPr>
                      <w:rFonts w:hint="eastAsia"/>
                      <w:color w:val="000000"/>
                      <w:kern w:val="0"/>
                      <w:szCs w:val="21"/>
                      <w:highlight w:val="none"/>
                      <w:lang w:val="en-US" w:eastAsia="zh-CN"/>
                    </w:rPr>
                    <w:t>10</w:t>
                  </w:r>
                  <w:r>
                    <w:rPr>
                      <w:color w:val="000000"/>
                      <w:kern w:val="0"/>
                      <w:szCs w:val="21"/>
                      <w:highlight w:val="none"/>
                    </w:rPr>
                    <w:t>m</w:t>
                  </w:r>
                  <w:r>
                    <w:rPr>
                      <w:color w:val="000000"/>
                      <w:kern w:val="0"/>
                      <w:szCs w:val="21"/>
                      <w:highlight w:val="none"/>
                      <w:vertAlign w:val="superscript"/>
                    </w:rPr>
                    <w:t>2</w:t>
                  </w:r>
                </w:p>
              </w:tc>
              <w:tc>
                <w:tcPr>
                  <w:tcW w:w="478" w:type="pct"/>
                  <w:vMerge w:val="continue"/>
                  <w:tcBorders>
                    <w:tl2br w:val="nil"/>
                    <w:tr2bl w:val="nil"/>
                  </w:tcBorders>
                  <w:noWrap w:val="0"/>
                  <w:vAlign w:val="center"/>
                </w:tcPr>
                <w:p w14:paraId="33ADFC75">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0C9AF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18C70633">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0BA58A2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贮存危险废物应根据危险废物的类别、形态、物理化学性质和污染防治要求进行分类贮存，且应避免危险废物与不相容的物质或材料接触。</w:t>
                  </w:r>
                </w:p>
              </w:tc>
              <w:tc>
                <w:tcPr>
                  <w:tcW w:w="1817" w:type="pct"/>
                  <w:tcBorders>
                    <w:tl2br w:val="nil"/>
                    <w:tr2bl w:val="nil"/>
                  </w:tcBorders>
                  <w:noWrap w:val="0"/>
                  <w:vAlign w:val="center"/>
                </w:tcPr>
                <w:p w14:paraId="62B968A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本项目危废为</w:t>
                  </w:r>
                  <w:r>
                    <w:rPr>
                      <w:rFonts w:hint="eastAsia"/>
                      <w:color w:val="000000"/>
                      <w:szCs w:val="21"/>
                      <w:highlight w:val="none"/>
                      <w:lang w:val="en-US" w:eastAsia="zh-CN"/>
                    </w:rPr>
                    <w:t>废活性炭、废润滑油、废油桶、蒸发残液，</w:t>
                  </w:r>
                  <w:r>
                    <w:rPr>
                      <w:color w:val="000000"/>
                      <w:szCs w:val="21"/>
                      <w:highlight w:val="none"/>
                    </w:rPr>
                    <w:t>分别装入密封容器中密封暂存，避免危险废物与不相容的物质或材料接触</w:t>
                  </w:r>
                </w:p>
              </w:tc>
              <w:tc>
                <w:tcPr>
                  <w:tcW w:w="478" w:type="pct"/>
                  <w:vMerge w:val="continue"/>
                  <w:tcBorders>
                    <w:tl2br w:val="nil"/>
                    <w:tr2bl w:val="nil"/>
                  </w:tcBorders>
                  <w:noWrap w:val="0"/>
                  <w:vAlign w:val="center"/>
                </w:tcPr>
                <w:p w14:paraId="3066985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33E2D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717B2EA">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6C1DF03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1817" w:type="pct"/>
                  <w:tcBorders>
                    <w:tl2br w:val="nil"/>
                    <w:tr2bl w:val="nil"/>
                  </w:tcBorders>
                  <w:noWrap w:val="0"/>
                  <w:vAlign w:val="center"/>
                </w:tcPr>
                <w:p w14:paraId="7A92559F">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本项目危废为</w:t>
                  </w:r>
                  <w:r>
                    <w:rPr>
                      <w:rFonts w:hint="eastAsia"/>
                      <w:color w:val="000000"/>
                      <w:szCs w:val="21"/>
                      <w:highlight w:val="none"/>
                      <w:lang w:val="en-US" w:eastAsia="zh-CN"/>
                    </w:rPr>
                    <w:t>废活性炭、废润滑油、废油桶、蒸发残液</w:t>
                  </w:r>
                  <w:r>
                    <w:rPr>
                      <w:color w:val="000000"/>
                      <w:szCs w:val="21"/>
                      <w:highlight w:val="none"/>
                    </w:rPr>
                    <w:t>，均为密封暂存，须设置泄漏液体收集装置、气体导出口及净化装置，配备吸附物资，若发生泄漏，可及时收集处理，减少对外环境的污染</w:t>
                  </w:r>
                </w:p>
              </w:tc>
              <w:tc>
                <w:tcPr>
                  <w:tcW w:w="478" w:type="pct"/>
                  <w:vMerge w:val="continue"/>
                  <w:tcBorders>
                    <w:tl2br w:val="nil"/>
                    <w:tr2bl w:val="nil"/>
                  </w:tcBorders>
                  <w:noWrap w:val="0"/>
                  <w:vAlign w:val="center"/>
                </w:tcPr>
                <w:p w14:paraId="06C3D95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6E074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121C157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4D15172A">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危险废物贮存过程产生的液态废物和固态废物应分类收集，按其环境管理要求妥善处理。</w:t>
                  </w:r>
                </w:p>
              </w:tc>
              <w:tc>
                <w:tcPr>
                  <w:tcW w:w="1817" w:type="pct"/>
                  <w:tcBorders>
                    <w:tl2br w:val="nil"/>
                    <w:tr2bl w:val="nil"/>
                  </w:tcBorders>
                  <w:noWrap w:val="0"/>
                  <w:vAlign w:val="center"/>
                </w:tcPr>
                <w:p w14:paraId="0F7A1E86">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本项目危废为</w:t>
                  </w:r>
                  <w:r>
                    <w:rPr>
                      <w:rFonts w:hint="eastAsia"/>
                      <w:color w:val="000000"/>
                      <w:szCs w:val="21"/>
                      <w:highlight w:val="none"/>
                      <w:lang w:val="en-US" w:eastAsia="zh-CN"/>
                    </w:rPr>
                    <w:t>废活性炭、废润滑油、废油桶、蒸发残液</w:t>
                  </w:r>
                  <w:r>
                    <w:rPr>
                      <w:color w:val="000000"/>
                      <w:szCs w:val="21"/>
                      <w:highlight w:val="none"/>
                    </w:rPr>
                    <w:t>，进行分区、分类贮存，按</w:t>
                  </w:r>
                  <w:r>
                    <w:rPr>
                      <w:color w:val="000000"/>
                      <w:kern w:val="0"/>
                      <w:szCs w:val="21"/>
                      <w:highlight w:val="none"/>
                    </w:rPr>
                    <w:t>环境管理要求妥善处理</w:t>
                  </w:r>
                </w:p>
              </w:tc>
              <w:tc>
                <w:tcPr>
                  <w:tcW w:w="478" w:type="pct"/>
                  <w:tcBorders>
                    <w:tl2br w:val="nil"/>
                    <w:tr2bl w:val="nil"/>
                  </w:tcBorders>
                  <w:noWrap w:val="0"/>
                  <w:vAlign w:val="center"/>
                </w:tcPr>
                <w:p w14:paraId="38CEC523">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4A2F48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1D8F84B3">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19C4EFAD">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贮存设施或场所、容器和包装物应按HJ 1276要求设置危险废物贮存设施或场所标志、危险废物贮存分区标志和危险废物标签等危险废物识别标志。</w:t>
                  </w:r>
                </w:p>
              </w:tc>
              <w:tc>
                <w:tcPr>
                  <w:tcW w:w="1817" w:type="pct"/>
                  <w:tcBorders>
                    <w:tl2br w:val="nil"/>
                    <w:tr2bl w:val="nil"/>
                  </w:tcBorders>
                  <w:noWrap w:val="0"/>
                  <w:vAlign w:val="center"/>
                </w:tcPr>
                <w:p w14:paraId="747C90B7">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本项目危废仓库及容器按HJ 1276要求设置危废仓库标志、危废贮存标签等危险废物识别标志</w:t>
                  </w:r>
                </w:p>
              </w:tc>
              <w:tc>
                <w:tcPr>
                  <w:tcW w:w="478" w:type="pct"/>
                  <w:tcBorders>
                    <w:tl2br w:val="nil"/>
                    <w:tr2bl w:val="nil"/>
                  </w:tcBorders>
                  <w:noWrap w:val="0"/>
                  <w:vAlign w:val="center"/>
                </w:tcPr>
                <w:p w14:paraId="37D7B8EE">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09961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7FF3F6F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3F93FAC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HJ 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tc>
              <w:tc>
                <w:tcPr>
                  <w:tcW w:w="1817" w:type="pct"/>
                  <w:tcBorders>
                    <w:tl2br w:val="nil"/>
                    <w:tr2bl w:val="nil"/>
                  </w:tcBorders>
                  <w:noWrap w:val="0"/>
                  <w:vAlign w:val="center"/>
                </w:tcPr>
                <w:p w14:paraId="407785E8">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本项目不涉及</w:t>
                  </w:r>
                </w:p>
              </w:tc>
              <w:tc>
                <w:tcPr>
                  <w:tcW w:w="478" w:type="pct"/>
                  <w:tcBorders>
                    <w:tl2br w:val="nil"/>
                    <w:tr2bl w:val="nil"/>
                  </w:tcBorders>
                  <w:noWrap w:val="0"/>
                  <w:vAlign w:val="center"/>
                </w:tcPr>
                <w:p w14:paraId="29227D8E">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w:t>
                  </w:r>
                </w:p>
              </w:tc>
            </w:tr>
            <w:tr w14:paraId="6E17B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985C41A">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52795436">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1817" w:type="pct"/>
                  <w:tcBorders>
                    <w:tl2br w:val="nil"/>
                    <w:tr2bl w:val="nil"/>
                  </w:tcBorders>
                  <w:noWrap w:val="0"/>
                  <w:vAlign w:val="center"/>
                </w:tcPr>
                <w:p w14:paraId="055136C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本项目危废仓库退役前应妥善处理处置贮存设施内剩余的危险废物，并对危废仓库进行清理，消除污染；依据土壤污染防治相关法律法规履行场地环境风险防控责任</w:t>
                  </w:r>
                </w:p>
              </w:tc>
              <w:tc>
                <w:tcPr>
                  <w:tcW w:w="478" w:type="pct"/>
                  <w:tcBorders>
                    <w:tl2br w:val="nil"/>
                    <w:tr2bl w:val="nil"/>
                  </w:tcBorders>
                  <w:noWrap w:val="0"/>
                  <w:vAlign w:val="center"/>
                </w:tcPr>
                <w:p w14:paraId="413BFA1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2A119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E7107F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01DE33C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在常温常压下易爆、易燃及排出有毒气体的危险废物必须进行预处理，使之稳定后贮存，否则，按易爆、易燃危险品贮存。</w:t>
                  </w:r>
                </w:p>
              </w:tc>
              <w:tc>
                <w:tcPr>
                  <w:tcW w:w="1817" w:type="pct"/>
                  <w:tcBorders>
                    <w:tl2br w:val="nil"/>
                    <w:tr2bl w:val="nil"/>
                  </w:tcBorders>
                  <w:noWrap w:val="0"/>
                  <w:vAlign w:val="center"/>
                </w:tcPr>
                <w:p w14:paraId="2C14D589">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本项目危废为</w:t>
                  </w:r>
                  <w:r>
                    <w:rPr>
                      <w:rFonts w:hint="eastAsia"/>
                      <w:color w:val="000000"/>
                      <w:szCs w:val="21"/>
                      <w:highlight w:val="none"/>
                      <w:lang w:val="en-US" w:eastAsia="zh-CN"/>
                    </w:rPr>
                    <w:t>废活性炭、废润滑油、废油桶、蒸发残液</w:t>
                  </w:r>
                  <w:r>
                    <w:rPr>
                      <w:color w:val="000000"/>
                      <w:szCs w:val="21"/>
                      <w:highlight w:val="none"/>
                    </w:rPr>
                    <w:t>，不涉及有毒废气排出，不属于常温常压下易燃、易爆的危险品，</w:t>
                  </w:r>
                  <w:r>
                    <w:rPr>
                      <w:color w:val="000000"/>
                      <w:kern w:val="0"/>
                      <w:szCs w:val="21"/>
                      <w:highlight w:val="none"/>
                    </w:rPr>
                    <w:t>无须按照易爆、易燃危险品贮存</w:t>
                  </w:r>
                </w:p>
              </w:tc>
              <w:tc>
                <w:tcPr>
                  <w:tcW w:w="478" w:type="pct"/>
                  <w:tcBorders>
                    <w:tl2br w:val="nil"/>
                    <w:tr2bl w:val="nil"/>
                  </w:tcBorders>
                  <w:noWrap w:val="0"/>
                  <w:vAlign w:val="center"/>
                </w:tcPr>
                <w:p w14:paraId="34F3220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2C544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127A794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5B403FC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危险废物贮存除应满足环境保护相关要求外，还应执行国家安全生产、职业健康、交通运输、消防等法律法规和标准的相关要求。</w:t>
                  </w:r>
                </w:p>
              </w:tc>
              <w:tc>
                <w:tcPr>
                  <w:tcW w:w="1817" w:type="pct"/>
                  <w:tcBorders>
                    <w:tl2br w:val="nil"/>
                    <w:tr2bl w:val="nil"/>
                  </w:tcBorders>
                  <w:noWrap w:val="0"/>
                  <w:vAlign w:val="center"/>
                </w:tcPr>
                <w:p w14:paraId="10C0D47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本项目危废仓库在运营期应执行国家安全生产、职业健康、交通运输、消防等法律法规和标准的相关要求</w:t>
                  </w:r>
                </w:p>
              </w:tc>
              <w:tc>
                <w:tcPr>
                  <w:tcW w:w="478" w:type="pct"/>
                  <w:tcBorders>
                    <w:tl2br w:val="nil"/>
                    <w:tr2bl w:val="nil"/>
                  </w:tcBorders>
                  <w:noWrap w:val="0"/>
                  <w:vAlign w:val="center"/>
                </w:tcPr>
                <w:p w14:paraId="313FC8C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3251F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4C4ED32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贮存设施选址要求</w:t>
                  </w:r>
                </w:p>
              </w:tc>
              <w:tc>
                <w:tcPr>
                  <w:tcW w:w="2448" w:type="pct"/>
                  <w:gridSpan w:val="2"/>
                  <w:tcBorders>
                    <w:tl2br w:val="nil"/>
                    <w:tr2bl w:val="nil"/>
                  </w:tcBorders>
                  <w:noWrap w:val="0"/>
                  <w:vAlign w:val="center"/>
                </w:tcPr>
                <w:p w14:paraId="5EF536A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贮存设施选址应满足生态环境保护法律法规、规划</w:t>
                  </w:r>
                  <w:r>
                    <w:rPr>
                      <w:rFonts w:hint="eastAsia" w:ascii="宋体" w:hAnsi="宋体" w:eastAsia="宋体" w:cs="宋体"/>
                      <w:color w:val="000000"/>
                      <w:kern w:val="0"/>
                      <w:szCs w:val="21"/>
                      <w:highlight w:val="none"/>
                    </w:rPr>
                    <w:t>和“三线一单”生</w:t>
                  </w:r>
                  <w:r>
                    <w:rPr>
                      <w:color w:val="000000"/>
                      <w:kern w:val="0"/>
                      <w:szCs w:val="21"/>
                      <w:highlight w:val="none"/>
                    </w:rPr>
                    <w:t>态环境分区管控的要求，建设项目应依法进行环境影响评价。</w:t>
                  </w:r>
                </w:p>
              </w:tc>
              <w:tc>
                <w:tcPr>
                  <w:tcW w:w="1817" w:type="pct"/>
                  <w:tcBorders>
                    <w:tl2br w:val="nil"/>
                    <w:tr2bl w:val="nil"/>
                  </w:tcBorders>
                  <w:noWrap w:val="0"/>
                  <w:vAlign w:val="center"/>
                </w:tcPr>
                <w:p w14:paraId="125A3B2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本项目所在地满足生态环境保护法律法规、符合地方规划、满足</w:t>
                  </w:r>
                  <w:r>
                    <w:rPr>
                      <w:rFonts w:hint="eastAsia" w:ascii="宋体" w:hAnsi="宋体" w:eastAsia="宋体" w:cs="宋体"/>
                      <w:color w:val="000000"/>
                      <w:kern w:val="0"/>
                      <w:szCs w:val="21"/>
                      <w:highlight w:val="none"/>
                    </w:rPr>
                    <w:t>“三线一单”生</w:t>
                  </w:r>
                  <w:r>
                    <w:rPr>
                      <w:color w:val="000000"/>
                      <w:kern w:val="0"/>
                      <w:szCs w:val="21"/>
                      <w:highlight w:val="none"/>
                    </w:rPr>
                    <w:t>态环境分区管控要求，危废仓库纳入本次环境影响评价</w:t>
                  </w:r>
                </w:p>
              </w:tc>
              <w:tc>
                <w:tcPr>
                  <w:tcW w:w="478" w:type="pct"/>
                  <w:tcBorders>
                    <w:tl2br w:val="nil"/>
                    <w:tr2bl w:val="nil"/>
                  </w:tcBorders>
                  <w:noWrap w:val="0"/>
                  <w:vAlign w:val="center"/>
                </w:tcPr>
                <w:p w14:paraId="62D3EC7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03F21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7613A93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448" w:type="pct"/>
                  <w:gridSpan w:val="2"/>
                  <w:tcBorders>
                    <w:tl2br w:val="nil"/>
                    <w:tr2bl w:val="nil"/>
                  </w:tcBorders>
                  <w:noWrap w:val="0"/>
                  <w:vAlign w:val="center"/>
                </w:tcPr>
                <w:p w14:paraId="4F7390F7">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集中贮存设施不应选在生态保护红线区域、永久基本农田和其他需要特别保护的区域内，不应建在溶洞区或易遭受洪水、滑坡、泥石流、潮汐等严重自然灾害影响的地区。</w:t>
                  </w:r>
                </w:p>
              </w:tc>
              <w:tc>
                <w:tcPr>
                  <w:tcW w:w="1817" w:type="pct"/>
                  <w:tcBorders>
                    <w:tl2br w:val="nil"/>
                    <w:tr2bl w:val="nil"/>
                  </w:tcBorders>
                  <w:noWrap w:val="0"/>
                  <w:vAlign w:val="center"/>
                </w:tcPr>
                <w:p w14:paraId="1C865D5F">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本项目不涉及集中贮存设置</w:t>
                  </w:r>
                </w:p>
              </w:tc>
              <w:tc>
                <w:tcPr>
                  <w:tcW w:w="478" w:type="pct"/>
                  <w:tcBorders>
                    <w:tl2br w:val="nil"/>
                    <w:tr2bl w:val="nil"/>
                  </w:tcBorders>
                  <w:noWrap w:val="0"/>
                  <w:vAlign w:val="center"/>
                </w:tcPr>
                <w:p w14:paraId="6F6A24CC">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w:t>
                  </w:r>
                </w:p>
              </w:tc>
            </w:tr>
            <w:tr w14:paraId="0E933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05097E46">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yellow"/>
                    </w:rPr>
                  </w:pPr>
                </w:p>
              </w:tc>
              <w:tc>
                <w:tcPr>
                  <w:tcW w:w="2448" w:type="pct"/>
                  <w:gridSpan w:val="2"/>
                  <w:tcBorders>
                    <w:tl2br w:val="nil"/>
                    <w:tr2bl w:val="nil"/>
                  </w:tcBorders>
                  <w:noWrap w:val="0"/>
                  <w:vAlign w:val="center"/>
                </w:tcPr>
                <w:p w14:paraId="36887D1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贮存设施不应选在江河、湖泊、运河、渠道、水库及其最高水位线以下的滩地和岸坡，以及法律法规规定禁止贮存危险废物的其他地点。</w:t>
                  </w:r>
                </w:p>
              </w:tc>
              <w:tc>
                <w:tcPr>
                  <w:tcW w:w="1817" w:type="pct"/>
                  <w:tcBorders>
                    <w:tl2br w:val="nil"/>
                    <w:tr2bl w:val="nil"/>
                  </w:tcBorders>
                  <w:noWrap w:val="0"/>
                  <w:vAlign w:val="center"/>
                </w:tcPr>
                <w:p w14:paraId="27171805">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本项目危废仓库所在地不属于江河、湖泊、运河、渠道、水库及其最高水位线以下的滩地和岸坡，不属于法律法规规定禁止贮存危险废物的其他地点</w:t>
                  </w:r>
                </w:p>
              </w:tc>
              <w:tc>
                <w:tcPr>
                  <w:tcW w:w="478" w:type="pct"/>
                  <w:tcBorders>
                    <w:tl2br w:val="nil"/>
                    <w:tr2bl w:val="nil"/>
                  </w:tcBorders>
                  <w:noWrap w:val="0"/>
                  <w:vAlign w:val="center"/>
                </w:tcPr>
                <w:p w14:paraId="5BCF0754">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75191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6417598">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yellow"/>
                    </w:rPr>
                  </w:pPr>
                </w:p>
              </w:tc>
              <w:tc>
                <w:tcPr>
                  <w:tcW w:w="2448" w:type="pct"/>
                  <w:gridSpan w:val="2"/>
                  <w:tcBorders>
                    <w:tl2br w:val="nil"/>
                    <w:tr2bl w:val="nil"/>
                  </w:tcBorders>
                  <w:noWrap w:val="0"/>
                  <w:vAlign w:val="center"/>
                </w:tcPr>
                <w:p w14:paraId="3EA3D66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贮存设施场址的位置以及其与周围环境敏感目标的距离应依据环境影响评价文件确定。</w:t>
                  </w:r>
                </w:p>
              </w:tc>
              <w:tc>
                <w:tcPr>
                  <w:tcW w:w="1817" w:type="pct"/>
                  <w:tcBorders>
                    <w:tl2br w:val="nil"/>
                    <w:tr2bl w:val="nil"/>
                  </w:tcBorders>
                  <w:noWrap w:val="0"/>
                  <w:vAlign w:val="center"/>
                </w:tcPr>
                <w:p w14:paraId="1F3376A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本项目不涉及</w:t>
                  </w:r>
                  <w:r>
                    <w:rPr>
                      <w:rFonts w:hint="eastAsia"/>
                      <w:color w:val="000000"/>
                      <w:szCs w:val="21"/>
                    </w:rPr>
                    <w:t>危险贮存场</w:t>
                  </w:r>
                </w:p>
              </w:tc>
              <w:tc>
                <w:tcPr>
                  <w:tcW w:w="478" w:type="pct"/>
                  <w:tcBorders>
                    <w:tl2br w:val="nil"/>
                    <w:tr2bl w:val="nil"/>
                  </w:tcBorders>
                  <w:noWrap w:val="0"/>
                  <w:vAlign w:val="center"/>
                </w:tcPr>
                <w:p w14:paraId="730AAF3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w:t>
                  </w:r>
                </w:p>
              </w:tc>
            </w:tr>
            <w:tr w14:paraId="7E7AA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09D3DB8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r>
                    <w:rPr>
                      <w:color w:val="000000"/>
                      <w:szCs w:val="21"/>
                    </w:rPr>
                    <w:t>贮存设施污染控制要求</w:t>
                  </w:r>
                </w:p>
              </w:tc>
              <w:tc>
                <w:tcPr>
                  <w:tcW w:w="2448" w:type="pct"/>
                  <w:gridSpan w:val="2"/>
                  <w:tcBorders>
                    <w:tl2br w:val="nil"/>
                    <w:tr2bl w:val="nil"/>
                  </w:tcBorders>
                  <w:noWrap w:val="0"/>
                  <w:vAlign w:val="center"/>
                </w:tcPr>
                <w:p w14:paraId="2366B958">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贮存设施应根据危险废物的形态、物理化学性质、包装形式和污染物迁移途径，采取必要的防风、防晒、防雨、防漏、防渗、防腐以及其他环境污染防治措施，不应露天堆放危险废物。</w:t>
                  </w:r>
                </w:p>
              </w:tc>
              <w:tc>
                <w:tcPr>
                  <w:tcW w:w="1817" w:type="pct"/>
                  <w:tcBorders>
                    <w:tl2br w:val="nil"/>
                    <w:tr2bl w:val="nil"/>
                  </w:tcBorders>
                  <w:noWrap w:val="0"/>
                  <w:vAlign w:val="center"/>
                </w:tcPr>
                <w:p w14:paraId="63760987">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本项目危废贮存场所地面应做硬化及防渗处理，设置</w:t>
                  </w:r>
                  <w:r>
                    <w:rPr>
                      <w:color w:val="000000"/>
                      <w:kern w:val="0"/>
                      <w:szCs w:val="21"/>
                    </w:rPr>
                    <w:t>防风、防晒、防雨、防漏、防渗、防腐以及其他环境污染防治措施</w:t>
                  </w:r>
                </w:p>
              </w:tc>
              <w:tc>
                <w:tcPr>
                  <w:tcW w:w="478" w:type="pct"/>
                  <w:vMerge w:val="restart"/>
                  <w:tcBorders>
                    <w:tl2br w:val="nil"/>
                    <w:tr2bl w:val="nil"/>
                  </w:tcBorders>
                  <w:noWrap w:val="0"/>
                  <w:vAlign w:val="center"/>
                </w:tcPr>
                <w:p w14:paraId="09EE11F5">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6C43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0544003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74B6323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贮存设施应根据危险废物的类别、数量、形态、物理化学性质和污染防治等要求设置必要的贮存分区，避免不相容的危险废物接触、混合。</w:t>
                  </w:r>
                </w:p>
              </w:tc>
              <w:tc>
                <w:tcPr>
                  <w:tcW w:w="1817" w:type="pct"/>
                  <w:tcBorders>
                    <w:tl2br w:val="nil"/>
                    <w:tr2bl w:val="nil"/>
                  </w:tcBorders>
                  <w:noWrap w:val="0"/>
                  <w:vAlign w:val="center"/>
                </w:tcPr>
                <w:p w14:paraId="232F486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本项目危废为</w:t>
                  </w:r>
                  <w:r>
                    <w:rPr>
                      <w:rFonts w:hint="eastAsia"/>
                      <w:color w:val="000000"/>
                      <w:szCs w:val="21"/>
                      <w:highlight w:val="none"/>
                      <w:lang w:val="en-US" w:eastAsia="zh-CN"/>
                    </w:rPr>
                    <w:t>废活性炭、废润滑油、废油桶、蒸发残液</w:t>
                  </w:r>
                  <w:r>
                    <w:rPr>
                      <w:color w:val="000000"/>
                      <w:szCs w:val="21"/>
                      <w:highlight w:val="none"/>
                    </w:rPr>
                    <w:t>，分别装入密封容器中，进行分区、分类贮存，不可与</w:t>
                  </w:r>
                  <w:r>
                    <w:rPr>
                      <w:color w:val="000000"/>
                      <w:kern w:val="0"/>
                      <w:szCs w:val="21"/>
                      <w:highlight w:val="none"/>
                    </w:rPr>
                    <w:t>不相容的危险废物接触、混合</w:t>
                  </w:r>
                </w:p>
              </w:tc>
              <w:tc>
                <w:tcPr>
                  <w:tcW w:w="478" w:type="pct"/>
                  <w:vMerge w:val="continue"/>
                  <w:tcBorders>
                    <w:tl2br w:val="nil"/>
                    <w:tr2bl w:val="nil"/>
                  </w:tcBorders>
                  <w:noWrap w:val="0"/>
                  <w:vAlign w:val="center"/>
                </w:tcPr>
                <w:p w14:paraId="200262D6">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73B46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D97FC81">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537FE4C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贮存设施或贮存分区内地面、墙面裙脚、堵截泄漏的围堰、接触危险废物的隔板和墙体等应采用坚固的材料建造，表面无裂缝。</w:t>
                  </w:r>
                </w:p>
              </w:tc>
              <w:tc>
                <w:tcPr>
                  <w:tcW w:w="1817" w:type="pct"/>
                  <w:tcBorders>
                    <w:tl2br w:val="nil"/>
                    <w:tr2bl w:val="nil"/>
                  </w:tcBorders>
                  <w:noWrap w:val="0"/>
                  <w:vAlign w:val="center"/>
                </w:tcPr>
                <w:p w14:paraId="103650ED">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kern w:val="0"/>
                      <w:szCs w:val="21"/>
                    </w:rPr>
                    <w:t>危废仓库地面、墙面裙脚、堵截泄漏的围堰、接触危险废物的隔板和墙体等应采用坚固的材料建造</w:t>
                  </w:r>
                  <w:r>
                    <w:rPr>
                      <w:color w:val="000000"/>
                      <w:szCs w:val="21"/>
                    </w:rPr>
                    <w:t>（涂刷防腐、防渗涂料）</w:t>
                  </w:r>
                  <w:r>
                    <w:rPr>
                      <w:color w:val="000000"/>
                      <w:kern w:val="0"/>
                      <w:szCs w:val="21"/>
                    </w:rPr>
                    <w:t>，表面无裂缝。</w:t>
                  </w:r>
                </w:p>
              </w:tc>
              <w:tc>
                <w:tcPr>
                  <w:tcW w:w="478" w:type="pct"/>
                  <w:vMerge w:val="continue"/>
                  <w:tcBorders>
                    <w:tl2br w:val="nil"/>
                    <w:tr2bl w:val="nil"/>
                  </w:tcBorders>
                  <w:noWrap w:val="0"/>
                  <w:vAlign w:val="center"/>
                </w:tcPr>
                <w:p w14:paraId="19B67D95">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1AAB6D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0BAB13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405EFFF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color w:val="000000"/>
                      <w:kern w:val="0"/>
                      <w:szCs w:val="21"/>
                      <w:vertAlign w:val="superscript"/>
                    </w:rPr>
                    <w:t>-7</w:t>
                  </w:r>
                  <w:r>
                    <w:rPr>
                      <w:color w:val="000000"/>
                      <w:kern w:val="0"/>
                      <w:szCs w:val="21"/>
                    </w:rPr>
                    <w:t>cm/s），或至少2mm 厚高密度聚乙烯膜等人工防渗材料（渗透系数不大于10</w:t>
                  </w:r>
                  <w:r>
                    <w:rPr>
                      <w:color w:val="000000"/>
                      <w:kern w:val="0"/>
                      <w:szCs w:val="21"/>
                      <w:vertAlign w:val="superscript"/>
                    </w:rPr>
                    <w:t>-10</w:t>
                  </w:r>
                  <w:r>
                    <w:rPr>
                      <w:color w:val="000000"/>
                      <w:kern w:val="0"/>
                      <w:szCs w:val="21"/>
                    </w:rPr>
                    <w:t>cm/s），或其他防渗性能等效的材料。</w:t>
                  </w:r>
                </w:p>
              </w:tc>
              <w:tc>
                <w:tcPr>
                  <w:tcW w:w="1817" w:type="pct"/>
                  <w:tcBorders>
                    <w:tl2br w:val="nil"/>
                    <w:tr2bl w:val="nil"/>
                  </w:tcBorders>
                  <w:noWrap w:val="0"/>
                  <w:vAlign w:val="center"/>
                </w:tcPr>
                <w:p w14:paraId="4594471E">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kern w:val="0"/>
                      <w:szCs w:val="21"/>
                    </w:rPr>
                    <w:t>危废仓库地面与裙脚应与所接触的物料或污染物相容，可采用抗渗混凝土、高密度聚乙烯膜、钠基膨润土防水毯或其他防渗性能等效的材料。基础防渗层为至少1m厚黏土层（渗透系数不大于10</w:t>
                  </w:r>
                  <w:r>
                    <w:rPr>
                      <w:color w:val="000000"/>
                      <w:kern w:val="0"/>
                      <w:szCs w:val="21"/>
                      <w:vertAlign w:val="superscript"/>
                    </w:rPr>
                    <w:t>-7</w:t>
                  </w:r>
                  <w:r>
                    <w:rPr>
                      <w:color w:val="000000"/>
                      <w:kern w:val="0"/>
                      <w:szCs w:val="21"/>
                    </w:rPr>
                    <w:t>cm/s），或至少2mm厚高密度聚乙烯膜等人工防渗材料（渗透系数不大于10</w:t>
                  </w:r>
                  <w:r>
                    <w:rPr>
                      <w:color w:val="000000"/>
                      <w:kern w:val="0"/>
                      <w:szCs w:val="21"/>
                      <w:vertAlign w:val="superscript"/>
                    </w:rPr>
                    <w:t>-10</w:t>
                  </w:r>
                  <w:r>
                    <w:rPr>
                      <w:color w:val="000000"/>
                      <w:kern w:val="0"/>
                      <w:szCs w:val="21"/>
                    </w:rPr>
                    <w:t>cm/s）。</w:t>
                  </w:r>
                </w:p>
              </w:tc>
              <w:tc>
                <w:tcPr>
                  <w:tcW w:w="478" w:type="pct"/>
                  <w:vMerge w:val="continue"/>
                  <w:tcBorders>
                    <w:tl2br w:val="nil"/>
                    <w:tr2bl w:val="nil"/>
                  </w:tcBorders>
                  <w:noWrap w:val="0"/>
                  <w:vAlign w:val="center"/>
                </w:tcPr>
                <w:p w14:paraId="61E1D3C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5A31F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B553B1F">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1DF8C9B3">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1817" w:type="pct"/>
                  <w:tcBorders>
                    <w:tl2br w:val="nil"/>
                    <w:tr2bl w:val="nil"/>
                  </w:tcBorders>
                  <w:noWrap w:val="0"/>
                  <w:vAlign w:val="center"/>
                </w:tcPr>
                <w:p w14:paraId="0C06C4B8">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本项目危废为</w:t>
                  </w:r>
                  <w:r>
                    <w:rPr>
                      <w:rFonts w:hint="eastAsia"/>
                      <w:color w:val="000000"/>
                      <w:szCs w:val="21"/>
                      <w:highlight w:val="none"/>
                      <w:lang w:val="en-US" w:eastAsia="zh-CN"/>
                    </w:rPr>
                    <w:t>废活性炭、废润滑油、废油桶、蒸发残液</w:t>
                  </w:r>
                  <w:r>
                    <w:rPr>
                      <w:color w:val="000000"/>
                      <w:szCs w:val="21"/>
                      <w:highlight w:val="none"/>
                    </w:rPr>
                    <w:t>，危废仓库采用</w:t>
                  </w:r>
                  <w:r>
                    <w:rPr>
                      <w:color w:val="000000"/>
                      <w:kern w:val="0"/>
                      <w:szCs w:val="21"/>
                      <w:highlight w:val="none"/>
                    </w:rPr>
                    <w:t>相同的防渗、防腐工艺（包括防渗、防腐结构或材料）</w:t>
                  </w:r>
                </w:p>
              </w:tc>
              <w:tc>
                <w:tcPr>
                  <w:tcW w:w="478" w:type="pct"/>
                  <w:vMerge w:val="continue"/>
                  <w:tcBorders>
                    <w:tl2br w:val="nil"/>
                    <w:tr2bl w:val="nil"/>
                  </w:tcBorders>
                  <w:noWrap w:val="0"/>
                  <w:vAlign w:val="center"/>
                </w:tcPr>
                <w:p w14:paraId="108B9FF1">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0B4B5A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05FA9F39">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6614709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贮存设施应采取技术和管理措施防止无关人员进入。</w:t>
                  </w:r>
                </w:p>
              </w:tc>
              <w:tc>
                <w:tcPr>
                  <w:tcW w:w="1817" w:type="pct"/>
                  <w:tcBorders>
                    <w:tl2br w:val="nil"/>
                    <w:tr2bl w:val="nil"/>
                  </w:tcBorders>
                  <w:noWrap w:val="0"/>
                  <w:vAlign w:val="center"/>
                </w:tcPr>
                <w:p w14:paraId="4ACD7B84">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危废仓库应</w:t>
                  </w:r>
                  <w:r>
                    <w:rPr>
                      <w:color w:val="000000"/>
                      <w:kern w:val="0"/>
                      <w:szCs w:val="21"/>
                    </w:rPr>
                    <w:t>防止无关人员进入</w:t>
                  </w:r>
                </w:p>
              </w:tc>
              <w:tc>
                <w:tcPr>
                  <w:tcW w:w="478" w:type="pct"/>
                  <w:vMerge w:val="continue"/>
                  <w:tcBorders>
                    <w:tl2br w:val="nil"/>
                    <w:tr2bl w:val="nil"/>
                  </w:tcBorders>
                  <w:noWrap w:val="0"/>
                  <w:vAlign w:val="center"/>
                </w:tcPr>
                <w:p w14:paraId="4FFD5E6D">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3CDEF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368566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7BEE65C5">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贮存库：</w:t>
                  </w:r>
                </w:p>
                <w:p w14:paraId="6551A973">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贮存库内不同贮存分区之间应采取隔离措施。隔离措施可根据危险废物特性采用过道、隔板或隔墙等方式。</w:t>
                  </w:r>
                </w:p>
                <w:p w14:paraId="125D290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61D5A07F">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贮存易产生粉尘、VOCs、酸雾、有毒有害大气污染物和刺激性气味气体的危险废物贮存库，应设置气体收集装置和气体净化设施；气体净化设施的排气筒高度应符合GB 16297要求。</w:t>
                  </w:r>
                </w:p>
              </w:tc>
              <w:tc>
                <w:tcPr>
                  <w:tcW w:w="1817" w:type="pct"/>
                  <w:tcBorders>
                    <w:tl2br w:val="nil"/>
                    <w:tr2bl w:val="nil"/>
                  </w:tcBorders>
                  <w:noWrap w:val="0"/>
                  <w:vAlign w:val="center"/>
                </w:tcPr>
                <w:p w14:paraId="5FD8B60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本项目危废仓库各分区采用过道隔离；</w:t>
                  </w:r>
                </w:p>
                <w:p w14:paraId="4B41E2CF">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rFonts w:hint="eastAsia"/>
                      <w:color w:val="000000"/>
                      <w:kern w:val="0"/>
                      <w:szCs w:val="21"/>
                      <w:highlight w:val="none"/>
                    </w:rPr>
                    <w:t>本项目</w:t>
                  </w:r>
                  <w:r>
                    <w:rPr>
                      <w:rFonts w:hint="eastAsia" w:hAnsi="宋体"/>
                      <w:color w:val="000000"/>
                      <w:szCs w:val="21"/>
                      <w:highlight w:val="none"/>
                    </w:rPr>
                    <w:t>危废贮存过程基本不产生废气，故无须设置气体导出口及气体净化装置。</w:t>
                  </w:r>
                </w:p>
              </w:tc>
              <w:tc>
                <w:tcPr>
                  <w:tcW w:w="478" w:type="pct"/>
                  <w:vMerge w:val="continue"/>
                  <w:tcBorders>
                    <w:tl2br w:val="nil"/>
                    <w:tr2bl w:val="nil"/>
                  </w:tcBorders>
                  <w:noWrap w:val="0"/>
                  <w:vAlign w:val="center"/>
                </w:tcPr>
                <w:p w14:paraId="478BBB5D">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53DD81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BA3C1F9">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4CB9192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贮存场</w:t>
                  </w:r>
                </w:p>
                <w:p w14:paraId="7088612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贮存池</w:t>
                  </w:r>
                </w:p>
                <w:p w14:paraId="47EE852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贮存罐</w:t>
                  </w:r>
                </w:p>
              </w:tc>
              <w:tc>
                <w:tcPr>
                  <w:tcW w:w="1817" w:type="pct"/>
                  <w:tcBorders>
                    <w:tl2br w:val="nil"/>
                    <w:tr2bl w:val="nil"/>
                  </w:tcBorders>
                  <w:noWrap w:val="0"/>
                  <w:vAlign w:val="center"/>
                </w:tcPr>
                <w:p w14:paraId="35B2518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不涉及</w:t>
                  </w:r>
                </w:p>
              </w:tc>
              <w:tc>
                <w:tcPr>
                  <w:tcW w:w="478" w:type="pct"/>
                  <w:vMerge w:val="continue"/>
                  <w:tcBorders>
                    <w:tl2br w:val="nil"/>
                    <w:tr2bl w:val="nil"/>
                  </w:tcBorders>
                  <w:noWrap w:val="0"/>
                  <w:vAlign w:val="center"/>
                </w:tcPr>
                <w:p w14:paraId="26457BE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34B17F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194102D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szCs w:val="21"/>
                    </w:rPr>
                    <w:t>容器</w:t>
                  </w:r>
                  <w:r>
                    <w:rPr>
                      <w:color w:val="000000"/>
                      <w:kern w:val="0"/>
                      <w:szCs w:val="21"/>
                    </w:rPr>
                    <w:t>和包装物污染控制要求</w:t>
                  </w:r>
                </w:p>
              </w:tc>
              <w:tc>
                <w:tcPr>
                  <w:tcW w:w="2448" w:type="pct"/>
                  <w:gridSpan w:val="2"/>
                  <w:tcBorders>
                    <w:tl2br w:val="nil"/>
                    <w:tr2bl w:val="nil"/>
                  </w:tcBorders>
                  <w:noWrap w:val="0"/>
                  <w:vAlign w:val="center"/>
                </w:tcPr>
                <w:p w14:paraId="242A541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容器和包装物材质、内衬应与盛装的危险废物相容。</w:t>
                  </w:r>
                </w:p>
              </w:tc>
              <w:tc>
                <w:tcPr>
                  <w:tcW w:w="1817" w:type="pct"/>
                  <w:vMerge w:val="restart"/>
                  <w:tcBorders>
                    <w:tl2br w:val="nil"/>
                    <w:tr2bl w:val="nil"/>
                  </w:tcBorders>
                  <w:noWrap w:val="0"/>
                  <w:vAlign w:val="center"/>
                </w:tcPr>
                <w:p w14:paraId="44A37FEA">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本项目</w:t>
                  </w:r>
                  <w:r>
                    <w:rPr>
                      <w:rFonts w:hint="eastAsia"/>
                      <w:color w:val="000000"/>
                      <w:szCs w:val="21"/>
                      <w:highlight w:val="none"/>
                      <w:lang w:val="en-US" w:eastAsia="zh-CN"/>
                    </w:rPr>
                    <w:t>废活性炭、废润滑油、废油桶、蒸发残液</w:t>
                  </w:r>
                  <w:r>
                    <w:rPr>
                      <w:color w:val="000000"/>
                      <w:kern w:val="0"/>
                      <w:szCs w:val="21"/>
                      <w:highlight w:val="none"/>
                    </w:rPr>
                    <w:t>分别装入符合标准的容器</w:t>
                  </w:r>
                  <w:r>
                    <w:rPr>
                      <w:rFonts w:hint="eastAsia"/>
                      <w:color w:val="000000"/>
                      <w:kern w:val="0"/>
                      <w:szCs w:val="21"/>
                      <w:highlight w:val="none"/>
                      <w:lang w:val="en-US" w:eastAsia="zh-CN"/>
                    </w:rPr>
                    <w:t>中</w:t>
                  </w:r>
                  <w:r>
                    <w:rPr>
                      <w:color w:val="000000"/>
                      <w:kern w:val="0"/>
                      <w:szCs w:val="21"/>
                      <w:highlight w:val="none"/>
                    </w:rPr>
                    <w:t>，与危险废物相容，不会发生反应装载。</w:t>
                  </w:r>
                </w:p>
              </w:tc>
              <w:tc>
                <w:tcPr>
                  <w:tcW w:w="478" w:type="pct"/>
                  <w:vMerge w:val="restart"/>
                  <w:tcBorders>
                    <w:tl2br w:val="nil"/>
                    <w:tr2bl w:val="nil"/>
                  </w:tcBorders>
                  <w:noWrap w:val="0"/>
                  <w:vAlign w:val="center"/>
                </w:tcPr>
                <w:p w14:paraId="60A58DBD">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6A667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2D5AEF7D">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46D3068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针对不同类别、形态、物理化学性质的危险废物，其容器和包装物应满足相应的防渗、防漏、防腐和强度等要求。</w:t>
                  </w:r>
                </w:p>
              </w:tc>
              <w:tc>
                <w:tcPr>
                  <w:tcW w:w="1817" w:type="pct"/>
                  <w:vMerge w:val="continue"/>
                  <w:tcBorders>
                    <w:tl2br w:val="nil"/>
                    <w:tr2bl w:val="nil"/>
                  </w:tcBorders>
                  <w:noWrap w:val="0"/>
                  <w:vAlign w:val="center"/>
                </w:tcPr>
                <w:p w14:paraId="5B9941A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p>
              </w:tc>
              <w:tc>
                <w:tcPr>
                  <w:tcW w:w="478" w:type="pct"/>
                  <w:vMerge w:val="continue"/>
                  <w:tcBorders>
                    <w:tl2br w:val="nil"/>
                    <w:tr2bl w:val="nil"/>
                  </w:tcBorders>
                  <w:noWrap w:val="0"/>
                  <w:vAlign w:val="center"/>
                </w:tcPr>
                <w:p w14:paraId="4A157ABC">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r>
            <w:tr w14:paraId="76B6E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58E83E9">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093393C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硬质容器和包装物及其支护结构堆叠码放时不应有明显变形，无破损泄漏。</w:t>
                  </w:r>
                </w:p>
              </w:tc>
              <w:tc>
                <w:tcPr>
                  <w:tcW w:w="1817" w:type="pct"/>
                  <w:vMerge w:val="continue"/>
                  <w:tcBorders>
                    <w:tl2br w:val="nil"/>
                    <w:tr2bl w:val="nil"/>
                  </w:tcBorders>
                  <w:noWrap w:val="0"/>
                  <w:vAlign w:val="center"/>
                </w:tcPr>
                <w:p w14:paraId="606FC772">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60D0E30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r>
            <w:tr w14:paraId="396E2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141F77F8">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60CB7C3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柔性容器和包装物堆叠码放时应封口严密，无破损泄漏。</w:t>
                  </w:r>
                </w:p>
              </w:tc>
              <w:tc>
                <w:tcPr>
                  <w:tcW w:w="1817" w:type="pct"/>
                  <w:vMerge w:val="continue"/>
                  <w:tcBorders>
                    <w:tl2br w:val="nil"/>
                    <w:tr2bl w:val="nil"/>
                  </w:tcBorders>
                  <w:noWrap w:val="0"/>
                  <w:vAlign w:val="center"/>
                </w:tcPr>
                <w:p w14:paraId="113A82A5">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163E215E">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r>
            <w:tr w14:paraId="7CA91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683ED0AE">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53CE0C7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使用容器盛装液态、半固态危险废物时，容器内部应留有适当的空间，以适应因温度变化等可能引发的收缩和膨胀，防止其导致容器渗漏或永久变形。</w:t>
                  </w:r>
                </w:p>
              </w:tc>
              <w:tc>
                <w:tcPr>
                  <w:tcW w:w="1817" w:type="pct"/>
                  <w:vMerge w:val="continue"/>
                  <w:tcBorders>
                    <w:tl2br w:val="nil"/>
                    <w:tr2bl w:val="nil"/>
                  </w:tcBorders>
                  <w:noWrap w:val="0"/>
                  <w:vAlign w:val="center"/>
                </w:tcPr>
                <w:p w14:paraId="4EF48321">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5B16D8C7">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r>
            <w:tr w14:paraId="1DB7A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4ED535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7F764326">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容器和包装物外表面应保持清洁。</w:t>
                  </w:r>
                </w:p>
              </w:tc>
              <w:tc>
                <w:tcPr>
                  <w:tcW w:w="1817" w:type="pct"/>
                  <w:vMerge w:val="continue"/>
                  <w:tcBorders>
                    <w:tl2br w:val="nil"/>
                    <w:tr2bl w:val="nil"/>
                  </w:tcBorders>
                  <w:noWrap w:val="0"/>
                  <w:vAlign w:val="center"/>
                </w:tcPr>
                <w:p w14:paraId="786DB925">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065EF5C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r>
            <w:tr w14:paraId="59522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3CF23A9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szCs w:val="21"/>
                    </w:rPr>
                  </w:pPr>
                  <w:r>
                    <w:rPr>
                      <w:color w:val="000000"/>
                      <w:kern w:val="0"/>
                      <w:szCs w:val="21"/>
                    </w:rPr>
                    <w:t>贮存过程污染控制</w:t>
                  </w:r>
                  <w:r>
                    <w:rPr>
                      <w:rFonts w:hint="eastAsia"/>
                      <w:color w:val="000000"/>
                      <w:kern w:val="0"/>
                      <w:szCs w:val="21"/>
                      <w:lang w:val="en-US" w:eastAsia="zh-CN"/>
                    </w:rPr>
                    <w:t>要</w:t>
                  </w:r>
                  <w:r>
                    <w:rPr>
                      <w:color w:val="000000"/>
                      <w:kern w:val="0"/>
                      <w:szCs w:val="21"/>
                    </w:rPr>
                    <w:t>求</w:t>
                  </w:r>
                </w:p>
              </w:tc>
              <w:tc>
                <w:tcPr>
                  <w:tcW w:w="255" w:type="pct"/>
                  <w:vMerge w:val="restart"/>
                  <w:tcBorders>
                    <w:tl2br w:val="nil"/>
                    <w:tr2bl w:val="nil"/>
                  </w:tcBorders>
                  <w:noWrap w:val="0"/>
                  <w:vAlign w:val="center"/>
                </w:tcPr>
                <w:p w14:paraId="6CA1F084">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一般规定</w:t>
                  </w:r>
                </w:p>
              </w:tc>
              <w:tc>
                <w:tcPr>
                  <w:tcW w:w="2193" w:type="pct"/>
                  <w:tcBorders>
                    <w:tl2br w:val="nil"/>
                    <w:tr2bl w:val="nil"/>
                  </w:tcBorders>
                  <w:noWrap w:val="0"/>
                  <w:vAlign w:val="center"/>
                </w:tcPr>
                <w:p w14:paraId="3BA116EA">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在常温常压下不易水解、不易挥发的固态危险废物可分类堆放贮存，其他固态危险废物应装入容器或包装物内贮存。</w:t>
                  </w:r>
                </w:p>
              </w:tc>
              <w:tc>
                <w:tcPr>
                  <w:tcW w:w="1817" w:type="pct"/>
                  <w:tcBorders>
                    <w:tl2br w:val="nil"/>
                    <w:tr2bl w:val="nil"/>
                  </w:tcBorders>
                  <w:noWrap w:val="0"/>
                  <w:vAlign w:val="center"/>
                </w:tcPr>
                <w:p w14:paraId="640B0AD2">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本项目危废均分类贮存，且均为密闭容器贮存</w:t>
                  </w:r>
                </w:p>
              </w:tc>
              <w:tc>
                <w:tcPr>
                  <w:tcW w:w="478" w:type="pct"/>
                  <w:tcBorders>
                    <w:tl2br w:val="nil"/>
                    <w:tr2bl w:val="nil"/>
                  </w:tcBorders>
                  <w:noWrap w:val="0"/>
                  <w:vAlign w:val="center"/>
                </w:tcPr>
                <w:p w14:paraId="75DEB497">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69C96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71A873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73AB4E07">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45AB68CF">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none"/>
                    </w:rPr>
                  </w:pPr>
                  <w:r>
                    <w:rPr>
                      <w:color w:val="000000"/>
                      <w:kern w:val="0"/>
                      <w:szCs w:val="21"/>
                      <w:highlight w:val="none"/>
                    </w:rPr>
                    <w:t>液态危险废物应装入容器内贮存，或直接采用贮存池、贮存罐区贮存。</w:t>
                  </w:r>
                </w:p>
              </w:tc>
              <w:tc>
                <w:tcPr>
                  <w:tcW w:w="1817" w:type="pct"/>
                  <w:tcBorders>
                    <w:tl2br w:val="nil"/>
                    <w:tr2bl w:val="nil"/>
                  </w:tcBorders>
                  <w:noWrap w:val="0"/>
                  <w:vAlign w:val="center"/>
                </w:tcPr>
                <w:p w14:paraId="2D9D1A8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none"/>
                    </w:rPr>
                  </w:pPr>
                  <w:r>
                    <w:rPr>
                      <w:color w:val="000000"/>
                      <w:szCs w:val="21"/>
                      <w:highlight w:val="none"/>
                    </w:rPr>
                    <w:t>本项目液态危险废物为</w:t>
                  </w:r>
                  <w:r>
                    <w:rPr>
                      <w:rFonts w:hint="eastAsia"/>
                      <w:color w:val="000000"/>
                      <w:szCs w:val="21"/>
                      <w:highlight w:val="none"/>
                      <w:lang w:val="en-US" w:eastAsia="zh-CN"/>
                    </w:rPr>
                    <w:t>废润滑油、蒸发残液</w:t>
                  </w:r>
                  <w:r>
                    <w:rPr>
                      <w:color w:val="000000"/>
                      <w:szCs w:val="21"/>
                      <w:highlight w:val="none"/>
                    </w:rPr>
                    <w:t>，为密闭容器贮存</w:t>
                  </w:r>
                </w:p>
              </w:tc>
              <w:tc>
                <w:tcPr>
                  <w:tcW w:w="478" w:type="pct"/>
                  <w:tcBorders>
                    <w:tl2br w:val="nil"/>
                    <w:tr2bl w:val="nil"/>
                  </w:tcBorders>
                  <w:noWrap w:val="0"/>
                  <w:vAlign w:val="center"/>
                </w:tcPr>
                <w:p w14:paraId="6B27CB77">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61528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79F90726">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1393A44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50C01AFF">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半固态危险废物应装入容器或包装袋内贮存，或直接采用贮存池贮存。</w:t>
                  </w:r>
                </w:p>
              </w:tc>
              <w:tc>
                <w:tcPr>
                  <w:tcW w:w="1817" w:type="pct"/>
                  <w:tcBorders>
                    <w:tl2br w:val="nil"/>
                    <w:tr2bl w:val="nil"/>
                  </w:tcBorders>
                  <w:noWrap w:val="0"/>
                  <w:vAlign w:val="center"/>
                </w:tcPr>
                <w:p w14:paraId="53315BA6">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本项目不涉及半固态危险废物</w:t>
                  </w:r>
                </w:p>
              </w:tc>
              <w:tc>
                <w:tcPr>
                  <w:tcW w:w="478" w:type="pct"/>
                  <w:tcBorders>
                    <w:tl2br w:val="nil"/>
                    <w:tr2bl w:val="nil"/>
                  </w:tcBorders>
                  <w:noWrap w:val="0"/>
                  <w:vAlign w:val="center"/>
                </w:tcPr>
                <w:p w14:paraId="2CFE0B7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w:t>
                  </w:r>
                </w:p>
              </w:tc>
            </w:tr>
            <w:tr w14:paraId="49962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E0350FA">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0A52F66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yellow"/>
                    </w:rPr>
                  </w:pPr>
                </w:p>
              </w:tc>
              <w:tc>
                <w:tcPr>
                  <w:tcW w:w="2193" w:type="pct"/>
                  <w:tcBorders>
                    <w:tl2br w:val="nil"/>
                    <w:tr2bl w:val="nil"/>
                  </w:tcBorders>
                  <w:noWrap w:val="0"/>
                  <w:vAlign w:val="center"/>
                </w:tcPr>
                <w:p w14:paraId="64A535A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具有热塑性的危险废物应装入容器或包装袋内进行贮存。</w:t>
                  </w:r>
                </w:p>
              </w:tc>
              <w:tc>
                <w:tcPr>
                  <w:tcW w:w="1817" w:type="pct"/>
                  <w:tcBorders>
                    <w:tl2br w:val="nil"/>
                    <w:tr2bl w:val="nil"/>
                  </w:tcBorders>
                  <w:noWrap w:val="0"/>
                  <w:vAlign w:val="center"/>
                </w:tcPr>
                <w:p w14:paraId="42F90CF1">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本项目不涉及热塑性危险废物</w:t>
                  </w:r>
                </w:p>
              </w:tc>
              <w:tc>
                <w:tcPr>
                  <w:tcW w:w="478" w:type="pct"/>
                  <w:tcBorders>
                    <w:tl2br w:val="nil"/>
                    <w:tr2bl w:val="nil"/>
                  </w:tcBorders>
                  <w:noWrap w:val="0"/>
                  <w:vAlign w:val="center"/>
                </w:tcPr>
                <w:p w14:paraId="737A225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w:t>
                  </w:r>
                </w:p>
              </w:tc>
            </w:tr>
            <w:tr w14:paraId="7AB34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2F0BF4C5">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4ACF60F4">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yellow"/>
                    </w:rPr>
                  </w:pPr>
                </w:p>
              </w:tc>
              <w:tc>
                <w:tcPr>
                  <w:tcW w:w="2193" w:type="pct"/>
                  <w:tcBorders>
                    <w:tl2br w:val="nil"/>
                    <w:tr2bl w:val="nil"/>
                  </w:tcBorders>
                  <w:noWrap w:val="0"/>
                  <w:vAlign w:val="center"/>
                </w:tcPr>
                <w:p w14:paraId="582B26E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易产生粉尘、VOCs、酸雾、有毒有害大气污染物和刺激性气味气体的危险废物应装入闭口容器或包装物内贮存。</w:t>
                  </w:r>
                </w:p>
              </w:tc>
              <w:tc>
                <w:tcPr>
                  <w:tcW w:w="1817" w:type="pct"/>
                  <w:tcBorders>
                    <w:tl2br w:val="nil"/>
                    <w:tr2bl w:val="nil"/>
                  </w:tcBorders>
                  <w:noWrap w:val="0"/>
                  <w:vAlign w:val="center"/>
                </w:tcPr>
                <w:p w14:paraId="180BB5A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本项目危废均为闭口密闭容器贮存</w:t>
                  </w:r>
                </w:p>
              </w:tc>
              <w:tc>
                <w:tcPr>
                  <w:tcW w:w="478" w:type="pct"/>
                  <w:tcBorders>
                    <w:tl2br w:val="nil"/>
                    <w:tr2bl w:val="nil"/>
                  </w:tcBorders>
                  <w:noWrap w:val="0"/>
                  <w:vAlign w:val="center"/>
                </w:tcPr>
                <w:p w14:paraId="58FD8E44">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42099D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E532040">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4E307C63">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highlight w:val="yellow"/>
                    </w:rPr>
                  </w:pPr>
                </w:p>
              </w:tc>
              <w:tc>
                <w:tcPr>
                  <w:tcW w:w="2193" w:type="pct"/>
                  <w:tcBorders>
                    <w:tl2br w:val="nil"/>
                    <w:tr2bl w:val="nil"/>
                  </w:tcBorders>
                  <w:noWrap w:val="0"/>
                  <w:vAlign w:val="center"/>
                </w:tcPr>
                <w:p w14:paraId="7770171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危险废物贮存过程中易产生粉尘等无组织排放的，应采取抑尘等有效措施。</w:t>
                  </w:r>
                </w:p>
              </w:tc>
              <w:tc>
                <w:tcPr>
                  <w:tcW w:w="1817" w:type="pct"/>
                  <w:tcBorders>
                    <w:tl2br w:val="nil"/>
                    <w:tr2bl w:val="nil"/>
                  </w:tcBorders>
                  <w:noWrap w:val="0"/>
                  <w:vAlign w:val="center"/>
                </w:tcPr>
                <w:p w14:paraId="03E22A13">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本项目危废不涉及粉尘无组织排放</w:t>
                  </w:r>
                </w:p>
              </w:tc>
              <w:tc>
                <w:tcPr>
                  <w:tcW w:w="478" w:type="pct"/>
                  <w:tcBorders>
                    <w:tl2br w:val="nil"/>
                    <w:tr2bl w:val="nil"/>
                  </w:tcBorders>
                  <w:noWrap w:val="0"/>
                  <w:vAlign w:val="center"/>
                </w:tcPr>
                <w:p w14:paraId="086D527F">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w:t>
                  </w:r>
                </w:p>
              </w:tc>
            </w:tr>
            <w:tr w14:paraId="6C908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33D7FB3">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restart"/>
                  <w:tcBorders>
                    <w:tl2br w:val="nil"/>
                    <w:tr2bl w:val="nil"/>
                  </w:tcBorders>
                  <w:noWrap w:val="0"/>
                  <w:vAlign w:val="center"/>
                </w:tcPr>
                <w:p w14:paraId="1CB1F86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贮存设施运行环境管理要求</w:t>
                  </w:r>
                </w:p>
              </w:tc>
              <w:tc>
                <w:tcPr>
                  <w:tcW w:w="2193" w:type="pct"/>
                  <w:tcBorders>
                    <w:tl2br w:val="nil"/>
                    <w:tr2bl w:val="nil"/>
                  </w:tcBorders>
                  <w:noWrap w:val="0"/>
                  <w:vAlign w:val="center"/>
                </w:tcPr>
                <w:p w14:paraId="2496109A">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危险废物存入贮存设施前应对危险废物类别和特性与危险废物标签等危险废物识别标志的一致性进行核验，不一致的或类别、特性不明的不应存入。</w:t>
                  </w:r>
                </w:p>
              </w:tc>
              <w:tc>
                <w:tcPr>
                  <w:tcW w:w="1817" w:type="pct"/>
                  <w:vMerge w:val="restart"/>
                  <w:tcBorders>
                    <w:tl2br w:val="nil"/>
                    <w:tr2bl w:val="nil"/>
                  </w:tcBorders>
                  <w:noWrap w:val="0"/>
                  <w:vAlign w:val="center"/>
                </w:tcPr>
                <w:p w14:paraId="333BB66E">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rFonts w:hint="eastAsia"/>
                      <w:color w:val="000000"/>
                      <w:szCs w:val="21"/>
                    </w:rPr>
                    <w:t>本项目运营期危废仓库管理应符合各项环境管理要求</w:t>
                  </w:r>
                </w:p>
              </w:tc>
              <w:tc>
                <w:tcPr>
                  <w:tcW w:w="478" w:type="pct"/>
                  <w:vMerge w:val="restart"/>
                  <w:tcBorders>
                    <w:tl2br w:val="nil"/>
                    <w:tr2bl w:val="nil"/>
                  </w:tcBorders>
                  <w:noWrap w:val="0"/>
                  <w:vAlign w:val="center"/>
                </w:tcPr>
                <w:p w14:paraId="37DC44D5">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1CAB0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6936FCA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251698B4">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0B3881C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应定期检查危险</w:t>
                  </w:r>
                  <w:r>
                    <w:rPr>
                      <w:rFonts w:hint="eastAsia"/>
                      <w:color w:val="000000"/>
                      <w:kern w:val="0"/>
                      <w:szCs w:val="21"/>
                      <w:lang w:val="en-US" w:eastAsia="zh-CN"/>
                    </w:rPr>
                    <w:t>废</w:t>
                  </w:r>
                  <w:r>
                    <w:rPr>
                      <w:rFonts w:hint="eastAsia"/>
                      <w:color w:val="000000"/>
                      <w:kern w:val="0"/>
                      <w:szCs w:val="21"/>
                    </w:rPr>
                    <w:t>物的贮存状况，及时清理贮存设施地面，更换破损泄漏的危险废物贮存容器和包装物，保证堆存危险废物的防雨、防风、防扬尘等设施功能完好。</w:t>
                  </w:r>
                </w:p>
              </w:tc>
              <w:tc>
                <w:tcPr>
                  <w:tcW w:w="1817" w:type="pct"/>
                  <w:vMerge w:val="continue"/>
                  <w:tcBorders>
                    <w:tl2br w:val="nil"/>
                    <w:tr2bl w:val="nil"/>
                  </w:tcBorders>
                  <w:noWrap w:val="0"/>
                  <w:vAlign w:val="center"/>
                </w:tcPr>
                <w:p w14:paraId="6C813BA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06775C72">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79B3C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87B766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5F43EA68">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6A7FF5E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作业设备及车辆等结束作业离开贮存设施时，应对其残留的危险</w:t>
                  </w:r>
                  <w:r>
                    <w:rPr>
                      <w:rFonts w:hint="eastAsia"/>
                      <w:color w:val="000000"/>
                      <w:kern w:val="0"/>
                      <w:szCs w:val="21"/>
                      <w:lang w:val="en-US" w:eastAsia="zh-CN"/>
                    </w:rPr>
                    <w:t>废</w:t>
                  </w:r>
                  <w:r>
                    <w:rPr>
                      <w:rFonts w:hint="eastAsia"/>
                      <w:color w:val="000000"/>
                      <w:kern w:val="0"/>
                      <w:szCs w:val="21"/>
                    </w:rPr>
                    <w:t>物进行清理，清理的废物或清洗废水应收集处理。</w:t>
                  </w:r>
                </w:p>
              </w:tc>
              <w:tc>
                <w:tcPr>
                  <w:tcW w:w="1817" w:type="pct"/>
                  <w:vMerge w:val="continue"/>
                  <w:tcBorders>
                    <w:tl2br w:val="nil"/>
                    <w:tr2bl w:val="nil"/>
                  </w:tcBorders>
                  <w:noWrap w:val="0"/>
                  <w:vAlign w:val="center"/>
                </w:tcPr>
                <w:p w14:paraId="19540FF8">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1FBEC34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6AAE7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793C163">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289AFB0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515CA52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贮存设施运行期间，应按国家有关标准和规定建立危险废物管理台账并保存。</w:t>
                  </w:r>
                </w:p>
              </w:tc>
              <w:tc>
                <w:tcPr>
                  <w:tcW w:w="1817" w:type="pct"/>
                  <w:vMerge w:val="continue"/>
                  <w:tcBorders>
                    <w:tl2br w:val="nil"/>
                    <w:tr2bl w:val="nil"/>
                  </w:tcBorders>
                  <w:noWrap w:val="0"/>
                  <w:vAlign w:val="center"/>
                </w:tcPr>
                <w:p w14:paraId="5F9A8F0F">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0A8CE873">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4C301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2EB86362">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2E2ED27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42DFE06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贮存设施所有者或运营者应建立贮存设施环境管理制度、管理人员岗位职责制度、设施运行操作制度、人员岗位培训制度等。</w:t>
                  </w:r>
                </w:p>
              </w:tc>
              <w:tc>
                <w:tcPr>
                  <w:tcW w:w="1817" w:type="pct"/>
                  <w:vMerge w:val="continue"/>
                  <w:tcBorders>
                    <w:tl2br w:val="nil"/>
                    <w:tr2bl w:val="nil"/>
                  </w:tcBorders>
                  <w:noWrap w:val="0"/>
                  <w:vAlign w:val="center"/>
                </w:tcPr>
                <w:p w14:paraId="39752A6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30416DB9">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2FDB8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025D32A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18AC1D8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3CAB220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贮存设施所有者或运营者应依据国家土壤和地下水污染防治的有关规定，结合贮存设施特点建立土壤和地下水污染隐患排查制度，并定期开展隐患排查；发现隐患应及时采取措施消除隐患，并建立档案。</w:t>
                  </w:r>
                </w:p>
              </w:tc>
              <w:tc>
                <w:tcPr>
                  <w:tcW w:w="1817" w:type="pct"/>
                  <w:vMerge w:val="continue"/>
                  <w:tcBorders>
                    <w:tl2br w:val="nil"/>
                    <w:tr2bl w:val="nil"/>
                  </w:tcBorders>
                  <w:noWrap w:val="0"/>
                  <w:vAlign w:val="center"/>
                </w:tcPr>
                <w:p w14:paraId="112DEBE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09387FE6">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4B78C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2D15DD88">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vMerge w:val="continue"/>
                  <w:tcBorders>
                    <w:tl2br w:val="nil"/>
                    <w:tr2bl w:val="nil"/>
                  </w:tcBorders>
                  <w:noWrap w:val="0"/>
                  <w:vAlign w:val="center"/>
                </w:tcPr>
                <w:p w14:paraId="7658BDF5">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p>
              </w:tc>
              <w:tc>
                <w:tcPr>
                  <w:tcW w:w="2193" w:type="pct"/>
                  <w:tcBorders>
                    <w:tl2br w:val="nil"/>
                    <w:tr2bl w:val="nil"/>
                  </w:tcBorders>
                  <w:noWrap w:val="0"/>
                  <w:vAlign w:val="center"/>
                </w:tcPr>
                <w:p w14:paraId="4699C858">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rFonts w:hint="eastAsia"/>
                      <w:color w:val="000000"/>
                      <w:kern w:val="0"/>
                      <w:szCs w:val="21"/>
                    </w:rPr>
                    <w:t>贮存设施所有者或运营者应建立贮存设施全部档案，包括设计、施工、验收、运行、监测和环境应急等，应按国家有关档案管理的法律法规进行整理和归档。</w:t>
                  </w:r>
                </w:p>
              </w:tc>
              <w:tc>
                <w:tcPr>
                  <w:tcW w:w="1817" w:type="pct"/>
                  <w:vMerge w:val="continue"/>
                  <w:tcBorders>
                    <w:tl2br w:val="nil"/>
                    <w:tr2bl w:val="nil"/>
                  </w:tcBorders>
                  <w:noWrap w:val="0"/>
                  <w:vAlign w:val="center"/>
                </w:tcPr>
                <w:p w14:paraId="7A108461">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05D8B35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1751E5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B81384A">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55" w:type="pct"/>
                  <w:tcBorders>
                    <w:tl2br w:val="nil"/>
                    <w:tr2bl w:val="nil"/>
                  </w:tcBorders>
                  <w:noWrap w:val="0"/>
                  <w:vAlign w:val="center"/>
                </w:tcPr>
                <w:p w14:paraId="679060B7">
                  <w:pPr>
                    <w:keepNext w:val="0"/>
                    <w:keepLines w:val="0"/>
                    <w:pageBreakBefore w:val="0"/>
                    <w:widowControl w:val="0"/>
                    <w:kinsoku/>
                    <w:wordWrap/>
                    <w:overflowPunct/>
                    <w:topLinePunct/>
                    <w:bidi w:val="0"/>
                    <w:adjustRightInd w:val="0"/>
                    <w:snapToGrid w:val="0"/>
                    <w:ind w:firstLine="0"/>
                    <w:jc w:val="center"/>
                    <w:textAlignment w:val="auto"/>
                    <w:rPr>
                      <w:color w:val="000000"/>
                      <w:kern w:val="0"/>
                      <w:szCs w:val="21"/>
                    </w:rPr>
                  </w:pPr>
                  <w:r>
                    <w:rPr>
                      <w:color w:val="000000"/>
                      <w:szCs w:val="21"/>
                    </w:rPr>
                    <w:t>贮存点环境管理要求</w:t>
                  </w:r>
                </w:p>
              </w:tc>
              <w:tc>
                <w:tcPr>
                  <w:tcW w:w="2193" w:type="pct"/>
                  <w:tcBorders>
                    <w:tl2br w:val="nil"/>
                    <w:tr2bl w:val="nil"/>
                  </w:tcBorders>
                  <w:noWrap w:val="0"/>
                  <w:vAlign w:val="center"/>
                </w:tcPr>
                <w:p w14:paraId="5BAEB43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点应具有固定的区域边界，并应采取与其他区域进行隔离的措施。贮存点应采取防风、防雨、防晒和防止危险废物流失、扬散等措施。贮存点贮存的危险废物应置于容器或包装物中，不应直接散堆。贮存点应根据危险废物的形态、物理化学性质、包装形式等，采取防渗、防漏等污染防治措施或采用具有相应功能的装置。贮存点应及时清运贮存的危险废物，实时贮存量不应超过3吨。</w:t>
                  </w:r>
                </w:p>
              </w:tc>
              <w:tc>
                <w:tcPr>
                  <w:tcW w:w="1817" w:type="pct"/>
                  <w:tcBorders>
                    <w:tl2br w:val="nil"/>
                    <w:tr2bl w:val="nil"/>
                  </w:tcBorders>
                  <w:noWrap w:val="0"/>
                  <w:vAlign w:val="center"/>
                </w:tcPr>
                <w:p w14:paraId="4C951472">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rFonts w:hint="eastAsia"/>
                      <w:color w:val="000000"/>
                      <w:szCs w:val="21"/>
                    </w:rPr>
                    <w:t>本项目设置的危废仓库属于贮存设施中的贮存库，按照贮存库的要求执行</w:t>
                  </w:r>
                </w:p>
              </w:tc>
              <w:tc>
                <w:tcPr>
                  <w:tcW w:w="478" w:type="pct"/>
                  <w:tcBorders>
                    <w:tl2br w:val="nil"/>
                    <w:tr2bl w:val="nil"/>
                  </w:tcBorders>
                  <w:noWrap w:val="0"/>
                  <w:vAlign w:val="center"/>
                </w:tcPr>
                <w:p w14:paraId="32CA58FC">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rFonts w:hint="eastAsia"/>
                      <w:color w:val="000000"/>
                      <w:szCs w:val="21"/>
                    </w:rPr>
                    <w:t>/</w:t>
                  </w:r>
                </w:p>
              </w:tc>
            </w:tr>
            <w:tr w14:paraId="179D4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524951D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污</w:t>
                  </w:r>
                </w:p>
                <w:p w14:paraId="679EE9D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染物</w:t>
                  </w:r>
                </w:p>
                <w:p w14:paraId="2596C30B">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排放</w:t>
                  </w:r>
                </w:p>
                <w:p w14:paraId="47A31F1A">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控制</w:t>
                  </w:r>
                </w:p>
                <w:p w14:paraId="1768B864">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kern w:val="0"/>
                      <w:szCs w:val="21"/>
                    </w:rPr>
                    <w:t>要求</w:t>
                  </w:r>
                </w:p>
              </w:tc>
              <w:tc>
                <w:tcPr>
                  <w:tcW w:w="2448" w:type="pct"/>
                  <w:gridSpan w:val="2"/>
                  <w:tcBorders>
                    <w:tl2br w:val="nil"/>
                    <w:tr2bl w:val="nil"/>
                  </w:tcBorders>
                  <w:noWrap w:val="0"/>
                  <w:vAlign w:val="center"/>
                </w:tcPr>
                <w:p w14:paraId="2E815BA7">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贮存设施产生的废水（包括贮存设施、作业设备、车辆等清洗废水，贮存罐区积存雨水，贮存事故废水等）应进行收集处理，废水排放应符合GB 8978规定的要求。</w:t>
                  </w:r>
                </w:p>
              </w:tc>
              <w:tc>
                <w:tcPr>
                  <w:tcW w:w="1817" w:type="pct"/>
                  <w:vMerge w:val="restart"/>
                  <w:tcBorders>
                    <w:tl2br w:val="nil"/>
                    <w:tr2bl w:val="nil"/>
                  </w:tcBorders>
                  <w:noWrap w:val="0"/>
                  <w:vAlign w:val="center"/>
                </w:tcPr>
                <w:p w14:paraId="62C06605">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lang w:val="zh-CN"/>
                    </w:rPr>
                  </w:pPr>
                  <w:r>
                    <w:rPr>
                      <w:color w:val="000000"/>
                      <w:kern w:val="0"/>
                      <w:szCs w:val="21"/>
                    </w:rPr>
                    <w:t>本项目危废仓库</w:t>
                  </w:r>
                  <w:r>
                    <w:rPr>
                      <w:rFonts w:hint="eastAsia" w:hAnsi="宋体"/>
                      <w:color w:val="000000"/>
                      <w:szCs w:val="21"/>
                    </w:rPr>
                    <w:t>贮存过程基本不产生废气，故无须设置气体导出口及气体净化装置</w:t>
                  </w:r>
                </w:p>
              </w:tc>
              <w:tc>
                <w:tcPr>
                  <w:tcW w:w="478" w:type="pct"/>
                  <w:vMerge w:val="restart"/>
                  <w:tcBorders>
                    <w:tl2br w:val="nil"/>
                    <w:tr2bl w:val="nil"/>
                  </w:tcBorders>
                  <w:noWrap w:val="0"/>
                  <w:vAlign w:val="center"/>
                </w:tcPr>
                <w:p w14:paraId="4711FF19">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p>
              </w:tc>
            </w:tr>
            <w:tr w14:paraId="2CBD7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33F3A74">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76853C2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贮存设施产生的废气（含无组织废气）的排放应符合GB 16297和GB 37822规定的要求。</w:t>
                  </w:r>
                </w:p>
              </w:tc>
              <w:tc>
                <w:tcPr>
                  <w:tcW w:w="1817" w:type="pct"/>
                  <w:vMerge w:val="continue"/>
                  <w:tcBorders>
                    <w:tl2br w:val="nil"/>
                    <w:tr2bl w:val="nil"/>
                  </w:tcBorders>
                  <w:noWrap w:val="0"/>
                  <w:vAlign w:val="center"/>
                </w:tcPr>
                <w:p w14:paraId="106B7675">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4A176576">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362C0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368C665D">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7409B917">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贮存设施产生的恶臭气体的排放应符合GB 14554规定的要求。</w:t>
                  </w:r>
                </w:p>
              </w:tc>
              <w:tc>
                <w:tcPr>
                  <w:tcW w:w="1817" w:type="pct"/>
                  <w:vMerge w:val="continue"/>
                  <w:tcBorders>
                    <w:tl2br w:val="nil"/>
                    <w:tr2bl w:val="nil"/>
                  </w:tcBorders>
                  <w:noWrap w:val="0"/>
                  <w:vAlign w:val="center"/>
                </w:tcPr>
                <w:p w14:paraId="39675D1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5303B589">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5F1C3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25EDEA6">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46DB671F">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贮存设施内产生以及清理的固体废物应按固体废物分类管理要求妥善处理。</w:t>
                  </w:r>
                </w:p>
              </w:tc>
              <w:tc>
                <w:tcPr>
                  <w:tcW w:w="1817" w:type="pct"/>
                  <w:vMerge w:val="continue"/>
                  <w:tcBorders>
                    <w:tl2br w:val="nil"/>
                    <w:tr2bl w:val="nil"/>
                  </w:tcBorders>
                  <w:noWrap w:val="0"/>
                  <w:vAlign w:val="center"/>
                </w:tcPr>
                <w:p w14:paraId="17D9285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3D362E60">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25A2A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64449F30">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7BB7B32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贮存设施排放的环境噪声应符合GB12348规定的要求。</w:t>
                  </w:r>
                </w:p>
              </w:tc>
              <w:tc>
                <w:tcPr>
                  <w:tcW w:w="1817" w:type="pct"/>
                  <w:vMerge w:val="continue"/>
                  <w:tcBorders>
                    <w:tl2br w:val="nil"/>
                    <w:tr2bl w:val="nil"/>
                  </w:tcBorders>
                  <w:noWrap w:val="0"/>
                  <w:vAlign w:val="center"/>
                </w:tcPr>
                <w:p w14:paraId="0E5C66C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6E345CF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248C4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0BCFBBB7">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环境监测要</w:t>
                  </w:r>
                </w:p>
                <w:p w14:paraId="541EC9AC">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kern w:val="0"/>
                      <w:szCs w:val="21"/>
                    </w:rPr>
                    <w:t>求</w:t>
                  </w:r>
                </w:p>
              </w:tc>
              <w:tc>
                <w:tcPr>
                  <w:tcW w:w="2448" w:type="pct"/>
                  <w:gridSpan w:val="2"/>
                  <w:tcBorders>
                    <w:tl2br w:val="nil"/>
                    <w:tr2bl w:val="nil"/>
                  </w:tcBorders>
                  <w:noWrap w:val="0"/>
                  <w:vAlign w:val="center"/>
                </w:tcPr>
                <w:p w14:paraId="62A0BCAE">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贮存设施的环境监测应纳入主体设施的环境监测计划。</w:t>
                  </w:r>
                </w:p>
              </w:tc>
              <w:tc>
                <w:tcPr>
                  <w:tcW w:w="1817" w:type="pct"/>
                  <w:vMerge w:val="restart"/>
                  <w:tcBorders>
                    <w:tl2br w:val="nil"/>
                    <w:tr2bl w:val="nil"/>
                  </w:tcBorders>
                  <w:noWrap w:val="0"/>
                  <w:vAlign w:val="center"/>
                </w:tcPr>
                <w:p w14:paraId="3169058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本项目运营期危废仓库管理应符合各项环境管理要求</w:t>
                  </w:r>
                </w:p>
              </w:tc>
              <w:tc>
                <w:tcPr>
                  <w:tcW w:w="478" w:type="pct"/>
                  <w:vMerge w:val="restart"/>
                  <w:tcBorders>
                    <w:tl2br w:val="nil"/>
                    <w:tr2bl w:val="nil"/>
                  </w:tcBorders>
                  <w:noWrap w:val="0"/>
                  <w:vAlign w:val="center"/>
                </w:tcPr>
                <w:p w14:paraId="56A8657A">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符合，</w:t>
                  </w:r>
                  <w:r>
                    <w:rPr>
                      <w:color w:val="000000"/>
                      <w:kern w:val="0"/>
                      <w:szCs w:val="21"/>
                    </w:rPr>
                    <w:t>须按规范设计</w:t>
                  </w:r>
                </w:p>
              </w:tc>
            </w:tr>
            <w:tr w14:paraId="082D7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43C0454">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542DAAFC">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贮存设施所有者或运营者应依据《大气污染防治法》《水污染防治法》《土壤污染防治法》等有关法律、《排污许可管理条例》等行政法规和HJ 819、HJ 1250等规定制订监测方案，对贮存设施污染物排放状况开展自行监测，保存原始监测记录，并公布监测结果。</w:t>
                  </w:r>
                </w:p>
              </w:tc>
              <w:tc>
                <w:tcPr>
                  <w:tcW w:w="1817" w:type="pct"/>
                  <w:vMerge w:val="continue"/>
                  <w:tcBorders>
                    <w:tl2br w:val="nil"/>
                    <w:tr2bl w:val="nil"/>
                  </w:tcBorders>
                  <w:noWrap w:val="0"/>
                  <w:vAlign w:val="center"/>
                </w:tcPr>
                <w:p w14:paraId="1F7FA91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78A15B3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63B8C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0E16A053">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52F81431">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贮存设施废水污染物排放的监测方法和监测指标应符合国家相关标准要求。</w:t>
                  </w:r>
                </w:p>
              </w:tc>
              <w:tc>
                <w:tcPr>
                  <w:tcW w:w="1817" w:type="pct"/>
                  <w:vMerge w:val="continue"/>
                  <w:tcBorders>
                    <w:tl2br w:val="nil"/>
                    <w:tr2bl w:val="nil"/>
                  </w:tcBorders>
                  <w:noWrap w:val="0"/>
                  <w:vAlign w:val="center"/>
                </w:tcPr>
                <w:p w14:paraId="13E8C748">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6787943B">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2FD88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67EFFFB8">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1E49A3B9">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HJ 1259规定的危险废物环境重点监管单位贮存设施地下水环境监测点布设应符合HJ164 要求，监测因子应根据贮存废物的特性选择具有代表性且能表征危险废物特性的指标，地下水监测因子分析方法按照GB/T 14848执行。</w:t>
                  </w:r>
                </w:p>
              </w:tc>
              <w:tc>
                <w:tcPr>
                  <w:tcW w:w="1817" w:type="pct"/>
                  <w:vMerge w:val="continue"/>
                  <w:tcBorders>
                    <w:tl2br w:val="nil"/>
                    <w:tr2bl w:val="nil"/>
                  </w:tcBorders>
                  <w:noWrap w:val="0"/>
                  <w:vAlign w:val="center"/>
                </w:tcPr>
                <w:p w14:paraId="4C77EE2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15F207C2">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7A6AA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4A58C6C3">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3AC6768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配有收集净化系统的贮存设施大气污染物排放的监测采样应按GB/T 16157、HJ/T 397、HJ 732的规定执行。</w:t>
                  </w:r>
                </w:p>
              </w:tc>
              <w:tc>
                <w:tcPr>
                  <w:tcW w:w="1817" w:type="pct"/>
                  <w:vMerge w:val="continue"/>
                  <w:tcBorders>
                    <w:tl2br w:val="nil"/>
                    <w:tr2bl w:val="nil"/>
                  </w:tcBorders>
                  <w:noWrap w:val="0"/>
                  <w:vAlign w:val="center"/>
                </w:tcPr>
                <w:p w14:paraId="111EDC7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6709A6DC">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221CA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7CEB0976">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5BB25918">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贮存设施无组织气体排放监测因子应根据贮存废物的特性选择具有代表性且能表征危险废物特性的指标；采样点布设、采样及监测方法可按HJ/T 55的规定执行，VOCs的无组织排放监测还应符合GB 37822的规定。</w:t>
                  </w:r>
                </w:p>
              </w:tc>
              <w:tc>
                <w:tcPr>
                  <w:tcW w:w="1817" w:type="pct"/>
                  <w:vMerge w:val="continue"/>
                  <w:tcBorders>
                    <w:tl2br w:val="nil"/>
                    <w:tr2bl w:val="nil"/>
                  </w:tcBorders>
                  <w:noWrap w:val="0"/>
                  <w:vAlign w:val="center"/>
                </w:tcPr>
                <w:p w14:paraId="79763DB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07818579">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0A801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5A397151">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0A28BA70">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贮存设施恶臭气体的排放监测应符合GB14554、HJ 905的规定。</w:t>
                  </w:r>
                </w:p>
              </w:tc>
              <w:tc>
                <w:tcPr>
                  <w:tcW w:w="1817" w:type="pct"/>
                  <w:vMerge w:val="continue"/>
                  <w:tcBorders>
                    <w:tl2br w:val="nil"/>
                    <w:tr2bl w:val="nil"/>
                  </w:tcBorders>
                  <w:noWrap w:val="0"/>
                  <w:vAlign w:val="center"/>
                </w:tcPr>
                <w:p w14:paraId="5DCEFDE4">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478" w:type="pct"/>
                  <w:vMerge w:val="continue"/>
                  <w:tcBorders>
                    <w:tl2br w:val="nil"/>
                    <w:tr2bl w:val="nil"/>
                  </w:tcBorders>
                  <w:noWrap w:val="0"/>
                  <w:vAlign w:val="center"/>
                </w:tcPr>
                <w:p w14:paraId="6B6DA0C7">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1476D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restart"/>
                  <w:tcBorders>
                    <w:tl2br w:val="nil"/>
                    <w:tr2bl w:val="nil"/>
                  </w:tcBorders>
                  <w:noWrap w:val="0"/>
                  <w:vAlign w:val="center"/>
                </w:tcPr>
                <w:p w14:paraId="44825519">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环境应急要求</w:t>
                  </w:r>
                </w:p>
              </w:tc>
              <w:tc>
                <w:tcPr>
                  <w:tcW w:w="2448" w:type="pct"/>
                  <w:gridSpan w:val="2"/>
                  <w:tcBorders>
                    <w:tl2br w:val="nil"/>
                    <w:tr2bl w:val="nil"/>
                  </w:tcBorders>
                  <w:noWrap w:val="0"/>
                  <w:vAlign w:val="center"/>
                </w:tcPr>
                <w:p w14:paraId="0152D0A2">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贮存设施所有者或运营者应按照国家有关规定编制突发环境事件应急预案，定期开展必要的培训和环境应急演练，并做好培训、演练记录。</w:t>
                  </w:r>
                </w:p>
              </w:tc>
              <w:tc>
                <w:tcPr>
                  <w:tcW w:w="1817" w:type="pct"/>
                  <w:tcBorders>
                    <w:tl2br w:val="nil"/>
                    <w:tr2bl w:val="nil"/>
                  </w:tcBorders>
                  <w:noWrap w:val="0"/>
                  <w:vAlign w:val="center"/>
                </w:tcPr>
                <w:p w14:paraId="266B423B">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危废仓库突发环境事件应急预案纳入公司整体突发环境事件应急预案，制定专项预案，并开展培训和演练</w:t>
                  </w:r>
                </w:p>
              </w:tc>
              <w:tc>
                <w:tcPr>
                  <w:tcW w:w="478" w:type="pct"/>
                  <w:vMerge w:val="restart"/>
                  <w:tcBorders>
                    <w:tl2br w:val="nil"/>
                    <w:tr2bl w:val="nil"/>
                  </w:tcBorders>
                  <w:noWrap w:val="0"/>
                  <w:vAlign w:val="center"/>
                </w:tcPr>
                <w:p w14:paraId="6544EA20">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r>
                    <w:rPr>
                      <w:color w:val="000000"/>
                      <w:szCs w:val="21"/>
                    </w:rPr>
                    <w:t>符合，</w:t>
                  </w:r>
                  <w:r>
                    <w:rPr>
                      <w:color w:val="000000"/>
                      <w:kern w:val="0"/>
                      <w:szCs w:val="21"/>
                    </w:rPr>
                    <w:t>须按规范设计</w:t>
                  </w:r>
                </w:p>
              </w:tc>
            </w:tr>
            <w:tr w14:paraId="15A75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7F05A2D0">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p>
              </w:tc>
              <w:tc>
                <w:tcPr>
                  <w:tcW w:w="2448" w:type="pct"/>
                  <w:gridSpan w:val="2"/>
                  <w:tcBorders>
                    <w:tl2br w:val="nil"/>
                    <w:tr2bl w:val="nil"/>
                  </w:tcBorders>
                  <w:noWrap w:val="0"/>
                  <w:vAlign w:val="center"/>
                </w:tcPr>
                <w:p w14:paraId="307DECDD">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贮存设施所有者或运营者应配备满足其突发环境事件应急要求的应急人员、装备和物资，并应设置应急照明系统。</w:t>
                  </w:r>
                </w:p>
              </w:tc>
              <w:tc>
                <w:tcPr>
                  <w:tcW w:w="1817" w:type="pct"/>
                  <w:tcBorders>
                    <w:tl2br w:val="nil"/>
                    <w:tr2bl w:val="nil"/>
                  </w:tcBorders>
                  <w:noWrap w:val="0"/>
                  <w:vAlign w:val="center"/>
                </w:tcPr>
                <w:p w14:paraId="49EEF876">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szCs w:val="21"/>
                    </w:rPr>
                    <w:t>危废仓库配备</w:t>
                  </w:r>
                  <w:r>
                    <w:rPr>
                      <w:color w:val="000000"/>
                      <w:kern w:val="0"/>
                      <w:szCs w:val="21"/>
                    </w:rPr>
                    <w:t>突发环境事件应急要求的应急人员、装备和物资，并应设置应急照明系统</w:t>
                  </w:r>
                </w:p>
              </w:tc>
              <w:tc>
                <w:tcPr>
                  <w:tcW w:w="478" w:type="pct"/>
                  <w:vMerge w:val="continue"/>
                  <w:tcBorders>
                    <w:tl2br w:val="nil"/>
                    <w:tr2bl w:val="nil"/>
                  </w:tcBorders>
                  <w:noWrap w:val="0"/>
                  <w:vAlign w:val="center"/>
                </w:tcPr>
                <w:p w14:paraId="430A554E">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r w14:paraId="025F6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 w:type="pct"/>
                  <w:vMerge w:val="continue"/>
                  <w:tcBorders>
                    <w:tl2br w:val="nil"/>
                    <w:tr2bl w:val="nil"/>
                  </w:tcBorders>
                  <w:noWrap w:val="0"/>
                  <w:vAlign w:val="center"/>
                </w:tcPr>
                <w:p w14:paraId="1CA0A5A0">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c>
                <w:tcPr>
                  <w:tcW w:w="2448" w:type="pct"/>
                  <w:gridSpan w:val="2"/>
                  <w:tcBorders>
                    <w:tl2br w:val="nil"/>
                    <w:tr2bl w:val="nil"/>
                  </w:tcBorders>
                  <w:noWrap w:val="0"/>
                  <w:vAlign w:val="center"/>
                </w:tcPr>
                <w:p w14:paraId="53328133">
                  <w:pPr>
                    <w:keepNext w:val="0"/>
                    <w:keepLines w:val="0"/>
                    <w:pageBreakBefore w:val="0"/>
                    <w:widowControl w:val="0"/>
                    <w:kinsoku/>
                    <w:wordWrap/>
                    <w:overflowPunct/>
                    <w:autoSpaceDE w:val="0"/>
                    <w:autoSpaceDN w:val="0"/>
                    <w:bidi w:val="0"/>
                    <w:adjustRightInd w:val="0"/>
                    <w:snapToGrid w:val="0"/>
                    <w:ind w:firstLine="0"/>
                    <w:jc w:val="center"/>
                    <w:textAlignment w:val="auto"/>
                    <w:rPr>
                      <w:color w:val="000000"/>
                      <w:kern w:val="0"/>
                      <w:szCs w:val="21"/>
                    </w:rPr>
                  </w:pPr>
                  <w:r>
                    <w:rPr>
                      <w:color w:val="000000"/>
                      <w:kern w:val="0"/>
                      <w:szCs w:val="21"/>
                    </w:rPr>
                    <w:t>相关部门发布自然灾害或恶劣天气预警后，贮存设施所有者或运营者应启动相应防控措施，若有必要可将危险废物转移至其他具有防护条件的地点贮存。</w:t>
                  </w:r>
                </w:p>
              </w:tc>
              <w:tc>
                <w:tcPr>
                  <w:tcW w:w="1817" w:type="pct"/>
                  <w:tcBorders>
                    <w:tl2br w:val="nil"/>
                    <w:tr2bl w:val="nil"/>
                  </w:tcBorders>
                  <w:noWrap w:val="0"/>
                  <w:vAlign w:val="center"/>
                </w:tcPr>
                <w:p w14:paraId="58700EB3">
                  <w:pPr>
                    <w:keepNext w:val="0"/>
                    <w:keepLines w:val="0"/>
                    <w:pageBreakBefore w:val="0"/>
                    <w:widowControl w:val="0"/>
                    <w:kinsoku/>
                    <w:wordWrap/>
                    <w:overflowPunct/>
                    <w:topLinePunct/>
                    <w:bidi w:val="0"/>
                    <w:adjustRightInd w:val="0"/>
                    <w:snapToGrid w:val="0"/>
                    <w:ind w:firstLine="0"/>
                    <w:jc w:val="center"/>
                    <w:textAlignment w:val="auto"/>
                    <w:rPr>
                      <w:color w:val="000000"/>
                      <w:szCs w:val="21"/>
                    </w:rPr>
                  </w:pPr>
                  <w:r>
                    <w:rPr>
                      <w:color w:val="000000"/>
                      <w:kern w:val="0"/>
                      <w:szCs w:val="21"/>
                    </w:rPr>
                    <w:t>相关部门发布自然灾害或恶劣天气预警后，应启动相应防控措施，若有必要可将危险废物转移至其他具有防护条件的地点贮存</w:t>
                  </w:r>
                </w:p>
              </w:tc>
              <w:tc>
                <w:tcPr>
                  <w:tcW w:w="478" w:type="pct"/>
                  <w:vMerge w:val="continue"/>
                  <w:tcBorders>
                    <w:tl2br w:val="nil"/>
                    <w:tr2bl w:val="nil"/>
                  </w:tcBorders>
                  <w:noWrap w:val="0"/>
                  <w:vAlign w:val="center"/>
                </w:tcPr>
                <w:p w14:paraId="32AEAB42">
                  <w:pPr>
                    <w:keepNext w:val="0"/>
                    <w:keepLines w:val="0"/>
                    <w:pageBreakBefore w:val="0"/>
                    <w:widowControl w:val="0"/>
                    <w:kinsoku/>
                    <w:wordWrap/>
                    <w:overflowPunct/>
                    <w:topLinePunct/>
                    <w:bidi w:val="0"/>
                    <w:adjustRightInd w:val="0"/>
                    <w:snapToGrid w:val="0"/>
                    <w:ind w:firstLine="0"/>
                    <w:jc w:val="center"/>
                    <w:textAlignment w:val="auto"/>
                    <w:rPr>
                      <w:color w:val="000000"/>
                      <w:szCs w:val="21"/>
                      <w:highlight w:val="yellow"/>
                    </w:rPr>
                  </w:pPr>
                </w:p>
              </w:tc>
            </w:tr>
          </w:tbl>
          <w:p w14:paraId="1A31E6D3">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color w:val="000000"/>
                <w:sz w:val="24"/>
              </w:rPr>
            </w:pPr>
            <w:r>
              <w:rPr>
                <w:b/>
                <w:bCs/>
                <w:color w:val="000000"/>
                <w:sz w:val="24"/>
              </w:rPr>
              <w:t>4.6</w:t>
            </w:r>
            <w:r>
              <w:rPr>
                <w:b/>
                <w:color w:val="000000"/>
                <w:sz w:val="24"/>
              </w:rPr>
              <w:t>固废暂存场所标识牌</w:t>
            </w:r>
          </w:p>
          <w:p w14:paraId="13E710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color w:val="000000"/>
                <w:sz w:val="24"/>
              </w:rPr>
              <w:t>一般固废暂存区、危险废物暂存区按照《环境保护图形标志固体废物贮存（处置）场》（GB15562.2-1995）及2023修改单设置环境保护图形标志。</w:t>
            </w:r>
          </w:p>
          <w:p w14:paraId="759A56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color w:val="000000"/>
                <w:sz w:val="24"/>
              </w:rPr>
              <w:t>危险废物贮存场所按照要求设置警告标志，危废包装、容器和贮存场所按照《危险废物贮存污染控制标准》（GB18597-2023）有关要求张贴标识。</w:t>
            </w:r>
          </w:p>
          <w:p w14:paraId="5F3713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color w:val="000000"/>
                <w:sz w:val="24"/>
              </w:rPr>
              <w:t>具体要求见下表：</w:t>
            </w:r>
          </w:p>
          <w:p w14:paraId="782FE36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p>
          <w:p w14:paraId="4082FDC5">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p>
          <w:p w14:paraId="047EE536">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p>
          <w:p w14:paraId="0DF990B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p>
          <w:p w14:paraId="0F138D93">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r>
              <w:rPr>
                <w:b/>
                <w:bCs/>
                <w:color w:val="000000"/>
                <w:sz w:val="21"/>
                <w:szCs w:val="21"/>
              </w:rPr>
              <w:t>表4-2</w:t>
            </w:r>
            <w:r>
              <w:rPr>
                <w:rFonts w:hint="eastAsia"/>
                <w:b/>
                <w:bCs/>
                <w:color w:val="000000"/>
                <w:sz w:val="21"/>
                <w:szCs w:val="21"/>
                <w:lang w:val="en-US" w:eastAsia="zh-CN"/>
              </w:rPr>
              <w:t>7</w:t>
            </w:r>
            <w:r>
              <w:rPr>
                <w:b/>
                <w:bCs/>
                <w:color w:val="000000"/>
                <w:sz w:val="21"/>
                <w:szCs w:val="21"/>
              </w:rPr>
              <w:t xml:space="preserve"> 固废暂存场所的环境保护图形标识</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108"/>
              <w:gridCol w:w="1039"/>
              <w:gridCol w:w="793"/>
              <w:gridCol w:w="793"/>
              <w:gridCol w:w="2792"/>
              <w:gridCol w:w="914"/>
            </w:tblGrid>
            <w:tr w14:paraId="2DBC9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noWrap w:val="0"/>
                  <w:vAlign w:val="center"/>
                </w:tcPr>
                <w:p w14:paraId="261D2317">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序号</w:t>
                  </w:r>
                </w:p>
              </w:tc>
              <w:tc>
                <w:tcPr>
                  <w:tcW w:w="673" w:type="pct"/>
                  <w:tcBorders>
                    <w:tl2br w:val="nil"/>
                    <w:tr2bl w:val="nil"/>
                  </w:tcBorders>
                  <w:noWrap w:val="0"/>
                  <w:vAlign w:val="center"/>
                </w:tcPr>
                <w:p w14:paraId="580BF766">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标识名称</w:t>
                  </w:r>
                </w:p>
              </w:tc>
              <w:tc>
                <w:tcPr>
                  <w:tcW w:w="631" w:type="pct"/>
                  <w:tcBorders>
                    <w:tl2br w:val="nil"/>
                    <w:tr2bl w:val="nil"/>
                  </w:tcBorders>
                  <w:noWrap w:val="0"/>
                  <w:vAlign w:val="center"/>
                </w:tcPr>
                <w:p w14:paraId="032F7BF4">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形状</w:t>
                  </w:r>
                </w:p>
              </w:tc>
              <w:tc>
                <w:tcPr>
                  <w:tcW w:w="482" w:type="pct"/>
                  <w:tcBorders>
                    <w:tl2br w:val="nil"/>
                    <w:tr2bl w:val="nil"/>
                  </w:tcBorders>
                  <w:noWrap w:val="0"/>
                  <w:vAlign w:val="center"/>
                </w:tcPr>
                <w:p w14:paraId="20216AF7">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背景颜色</w:t>
                  </w:r>
                </w:p>
              </w:tc>
              <w:tc>
                <w:tcPr>
                  <w:tcW w:w="482" w:type="pct"/>
                  <w:tcBorders>
                    <w:tl2br w:val="nil"/>
                    <w:tr2bl w:val="nil"/>
                  </w:tcBorders>
                  <w:noWrap w:val="0"/>
                  <w:vAlign w:val="center"/>
                </w:tcPr>
                <w:p w14:paraId="47BB43A3">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图形颜色</w:t>
                  </w:r>
                </w:p>
              </w:tc>
              <w:tc>
                <w:tcPr>
                  <w:tcW w:w="1695" w:type="pct"/>
                  <w:tcBorders>
                    <w:tl2br w:val="nil"/>
                    <w:tr2bl w:val="nil"/>
                  </w:tcBorders>
                  <w:noWrap w:val="0"/>
                  <w:vAlign w:val="center"/>
                </w:tcPr>
                <w:p w14:paraId="7B5E1A84">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提示图形符号</w:t>
                  </w:r>
                </w:p>
              </w:tc>
              <w:tc>
                <w:tcPr>
                  <w:tcW w:w="555" w:type="pct"/>
                  <w:tcBorders>
                    <w:tl2br w:val="nil"/>
                    <w:tr2bl w:val="nil"/>
                  </w:tcBorders>
                  <w:noWrap w:val="0"/>
                  <w:vAlign w:val="center"/>
                </w:tcPr>
                <w:p w14:paraId="7277F0E7">
                  <w:pPr>
                    <w:keepNext w:val="0"/>
                    <w:keepLines w:val="0"/>
                    <w:pageBreakBefore w:val="0"/>
                    <w:widowControl w:val="0"/>
                    <w:kinsoku/>
                    <w:wordWrap/>
                    <w:overflowPunct/>
                    <w:topLinePunct w:val="0"/>
                    <w:bidi w:val="0"/>
                    <w:adjustRightInd w:val="0"/>
                    <w:snapToGrid w:val="0"/>
                    <w:ind w:firstLine="0"/>
                    <w:jc w:val="center"/>
                    <w:textAlignment w:val="auto"/>
                    <w:rPr>
                      <w:b/>
                      <w:color w:val="000000"/>
                      <w:szCs w:val="21"/>
                    </w:rPr>
                  </w:pPr>
                  <w:r>
                    <w:rPr>
                      <w:b/>
                      <w:color w:val="000000"/>
                      <w:szCs w:val="21"/>
                    </w:rPr>
                    <w:t>位置</w:t>
                  </w:r>
                </w:p>
              </w:tc>
            </w:tr>
            <w:tr w14:paraId="1FFE6E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noWrap w:val="0"/>
                  <w:vAlign w:val="center"/>
                </w:tcPr>
                <w:p w14:paraId="5D07C8C8">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1</w:t>
                  </w:r>
                </w:p>
              </w:tc>
              <w:tc>
                <w:tcPr>
                  <w:tcW w:w="673" w:type="pct"/>
                  <w:tcBorders>
                    <w:tl2br w:val="nil"/>
                    <w:tr2bl w:val="nil"/>
                  </w:tcBorders>
                  <w:noWrap w:val="0"/>
                  <w:vAlign w:val="center"/>
                </w:tcPr>
                <w:p w14:paraId="43C63721">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一般固体废物</w:t>
                  </w:r>
                </w:p>
              </w:tc>
              <w:tc>
                <w:tcPr>
                  <w:tcW w:w="631" w:type="pct"/>
                  <w:tcBorders>
                    <w:tl2br w:val="nil"/>
                    <w:tr2bl w:val="nil"/>
                  </w:tcBorders>
                  <w:noWrap w:val="0"/>
                  <w:vAlign w:val="center"/>
                </w:tcPr>
                <w:p w14:paraId="0355EC47">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正方形边框</w:t>
                  </w:r>
                </w:p>
              </w:tc>
              <w:tc>
                <w:tcPr>
                  <w:tcW w:w="482" w:type="pct"/>
                  <w:tcBorders>
                    <w:tl2br w:val="nil"/>
                    <w:tr2bl w:val="nil"/>
                  </w:tcBorders>
                  <w:noWrap w:val="0"/>
                  <w:vAlign w:val="center"/>
                </w:tcPr>
                <w:p w14:paraId="3760D31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醒目的绿色</w:t>
                  </w:r>
                </w:p>
              </w:tc>
              <w:tc>
                <w:tcPr>
                  <w:tcW w:w="482" w:type="pct"/>
                  <w:tcBorders>
                    <w:tl2br w:val="nil"/>
                    <w:tr2bl w:val="nil"/>
                  </w:tcBorders>
                  <w:noWrap w:val="0"/>
                  <w:vAlign w:val="center"/>
                </w:tcPr>
                <w:p w14:paraId="0776F36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白色</w:t>
                  </w:r>
                </w:p>
              </w:tc>
              <w:tc>
                <w:tcPr>
                  <w:tcW w:w="1695" w:type="pct"/>
                  <w:tcBorders>
                    <w:tl2br w:val="nil"/>
                    <w:tr2bl w:val="nil"/>
                  </w:tcBorders>
                  <w:noWrap w:val="0"/>
                  <w:vAlign w:val="center"/>
                </w:tcPr>
                <w:p w14:paraId="7264ABD5">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drawing>
                      <wp:inline distT="0" distB="0" distL="114300" distR="114300">
                        <wp:extent cx="1381760" cy="713105"/>
                        <wp:effectExtent l="0" t="0" r="8890" b="1079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8"/>
                                <a:stretch>
                                  <a:fillRect/>
                                </a:stretch>
                              </pic:blipFill>
                              <pic:spPr>
                                <a:xfrm>
                                  <a:off x="0" y="0"/>
                                  <a:ext cx="1381760" cy="713105"/>
                                </a:xfrm>
                                <a:prstGeom prst="rect">
                                  <a:avLst/>
                                </a:prstGeom>
                                <a:noFill/>
                                <a:ln>
                                  <a:noFill/>
                                </a:ln>
                              </pic:spPr>
                            </pic:pic>
                          </a:graphicData>
                        </a:graphic>
                      </wp:inline>
                    </w:drawing>
                  </w:r>
                </w:p>
              </w:tc>
              <w:tc>
                <w:tcPr>
                  <w:tcW w:w="555" w:type="pct"/>
                  <w:tcBorders>
                    <w:tl2br w:val="nil"/>
                    <w:tr2bl w:val="nil"/>
                  </w:tcBorders>
                  <w:noWrap w:val="0"/>
                  <w:vAlign w:val="center"/>
                </w:tcPr>
                <w:p w14:paraId="0CC595BE">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一般固废暂存间</w:t>
                  </w:r>
                </w:p>
              </w:tc>
            </w:tr>
            <w:tr w14:paraId="4E1850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noWrap w:val="0"/>
                  <w:vAlign w:val="center"/>
                </w:tcPr>
                <w:p w14:paraId="15F9B574">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2</w:t>
                  </w:r>
                </w:p>
              </w:tc>
              <w:tc>
                <w:tcPr>
                  <w:tcW w:w="673" w:type="pct"/>
                  <w:tcBorders>
                    <w:tl2br w:val="nil"/>
                    <w:tr2bl w:val="nil"/>
                  </w:tcBorders>
                  <w:noWrap w:val="0"/>
                  <w:vAlign w:val="center"/>
                </w:tcPr>
                <w:p w14:paraId="79E5A20D">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kern w:val="0"/>
                      <w:szCs w:val="21"/>
                    </w:rPr>
                    <w:t>危险废物信息公开栏</w:t>
                  </w:r>
                </w:p>
              </w:tc>
              <w:tc>
                <w:tcPr>
                  <w:tcW w:w="631" w:type="pct"/>
                  <w:tcBorders>
                    <w:tl2br w:val="nil"/>
                    <w:tr2bl w:val="nil"/>
                  </w:tcBorders>
                  <w:noWrap w:val="0"/>
                  <w:vAlign w:val="center"/>
                </w:tcPr>
                <w:p w14:paraId="3418807A">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正方形边框</w:t>
                  </w:r>
                </w:p>
              </w:tc>
              <w:tc>
                <w:tcPr>
                  <w:tcW w:w="482" w:type="pct"/>
                  <w:tcBorders>
                    <w:tl2br w:val="nil"/>
                    <w:tr2bl w:val="nil"/>
                  </w:tcBorders>
                  <w:noWrap w:val="0"/>
                  <w:vAlign w:val="center"/>
                </w:tcPr>
                <w:p w14:paraId="05164777">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蓝色</w:t>
                  </w:r>
                </w:p>
              </w:tc>
              <w:tc>
                <w:tcPr>
                  <w:tcW w:w="482" w:type="pct"/>
                  <w:tcBorders>
                    <w:tl2br w:val="nil"/>
                    <w:tr2bl w:val="nil"/>
                  </w:tcBorders>
                  <w:noWrap w:val="0"/>
                  <w:vAlign w:val="center"/>
                </w:tcPr>
                <w:p w14:paraId="3330374E">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白色</w:t>
                  </w:r>
                </w:p>
              </w:tc>
              <w:tc>
                <w:tcPr>
                  <w:tcW w:w="1695" w:type="pct"/>
                  <w:tcBorders>
                    <w:tl2br w:val="nil"/>
                    <w:tr2bl w:val="nil"/>
                  </w:tcBorders>
                  <w:noWrap w:val="0"/>
                  <w:vAlign w:val="center"/>
                </w:tcPr>
                <w:p w14:paraId="49A11A05">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drawing>
                      <wp:inline distT="0" distB="0" distL="114300" distR="114300">
                        <wp:extent cx="1380490" cy="915670"/>
                        <wp:effectExtent l="0" t="0" r="10160" b="1778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9"/>
                                <a:stretch>
                                  <a:fillRect/>
                                </a:stretch>
                              </pic:blipFill>
                              <pic:spPr>
                                <a:xfrm>
                                  <a:off x="0" y="0"/>
                                  <a:ext cx="1380490" cy="915670"/>
                                </a:xfrm>
                                <a:prstGeom prst="rect">
                                  <a:avLst/>
                                </a:prstGeom>
                                <a:noFill/>
                                <a:ln>
                                  <a:noFill/>
                                </a:ln>
                              </pic:spPr>
                            </pic:pic>
                          </a:graphicData>
                        </a:graphic>
                      </wp:inline>
                    </w:drawing>
                  </w:r>
                </w:p>
              </w:tc>
              <w:tc>
                <w:tcPr>
                  <w:tcW w:w="555" w:type="pct"/>
                  <w:tcBorders>
                    <w:tl2br w:val="nil"/>
                    <w:tr2bl w:val="nil"/>
                  </w:tcBorders>
                  <w:noWrap w:val="0"/>
                  <w:vAlign w:val="center"/>
                </w:tcPr>
                <w:p w14:paraId="2AFEECF6">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危险废物产生单位厂区门口醒目位置</w:t>
                  </w:r>
                </w:p>
              </w:tc>
            </w:tr>
            <w:tr w14:paraId="79622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noWrap w:val="0"/>
                  <w:vAlign w:val="center"/>
                </w:tcPr>
                <w:p w14:paraId="72FA108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3</w:t>
                  </w:r>
                </w:p>
              </w:tc>
              <w:tc>
                <w:tcPr>
                  <w:tcW w:w="673" w:type="pct"/>
                  <w:tcBorders>
                    <w:tl2br w:val="nil"/>
                    <w:tr2bl w:val="nil"/>
                  </w:tcBorders>
                  <w:noWrap w:val="0"/>
                  <w:vAlign w:val="center"/>
                </w:tcPr>
                <w:p w14:paraId="0E99C398">
                  <w:pPr>
                    <w:keepNext w:val="0"/>
                    <w:keepLines w:val="0"/>
                    <w:pageBreakBefore w:val="0"/>
                    <w:widowControl w:val="0"/>
                    <w:kinsoku/>
                    <w:wordWrap/>
                    <w:overflowPunct/>
                    <w:topLinePunct w:val="0"/>
                    <w:autoSpaceDE w:val="0"/>
                    <w:autoSpaceDN w:val="0"/>
                    <w:bidi w:val="0"/>
                    <w:adjustRightInd w:val="0"/>
                    <w:ind w:firstLine="0"/>
                    <w:jc w:val="left"/>
                    <w:textAlignment w:val="auto"/>
                    <w:rPr>
                      <w:color w:val="000000"/>
                      <w:szCs w:val="21"/>
                    </w:rPr>
                  </w:pPr>
                  <w:r>
                    <w:rPr>
                      <w:color w:val="000000"/>
                      <w:kern w:val="0"/>
                      <w:szCs w:val="21"/>
                    </w:rPr>
                    <w:t>危险废物贮存设施标志</w:t>
                  </w:r>
                </w:p>
              </w:tc>
              <w:tc>
                <w:tcPr>
                  <w:tcW w:w="631" w:type="pct"/>
                  <w:tcBorders>
                    <w:tl2br w:val="nil"/>
                    <w:tr2bl w:val="nil"/>
                  </w:tcBorders>
                  <w:noWrap w:val="0"/>
                  <w:vAlign w:val="center"/>
                </w:tcPr>
                <w:p w14:paraId="12BB292C">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kern w:val="0"/>
                      <w:szCs w:val="21"/>
                    </w:rPr>
                    <w:t>长方形</w:t>
                  </w:r>
                </w:p>
              </w:tc>
              <w:tc>
                <w:tcPr>
                  <w:tcW w:w="482" w:type="pct"/>
                  <w:tcBorders>
                    <w:tl2br w:val="nil"/>
                    <w:tr2bl w:val="nil"/>
                  </w:tcBorders>
                  <w:noWrap w:val="0"/>
                  <w:vAlign w:val="center"/>
                </w:tcPr>
                <w:p w14:paraId="5636E7D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黄色</w:t>
                  </w:r>
                </w:p>
              </w:tc>
              <w:tc>
                <w:tcPr>
                  <w:tcW w:w="482" w:type="pct"/>
                  <w:tcBorders>
                    <w:tl2br w:val="nil"/>
                    <w:tr2bl w:val="nil"/>
                  </w:tcBorders>
                  <w:noWrap w:val="0"/>
                  <w:vAlign w:val="center"/>
                </w:tcPr>
                <w:p w14:paraId="34CAEA76">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黑色</w:t>
                  </w:r>
                </w:p>
              </w:tc>
              <w:tc>
                <w:tcPr>
                  <w:tcW w:w="1695" w:type="pct"/>
                  <w:tcBorders>
                    <w:tl2br w:val="nil"/>
                    <w:tr2bl w:val="nil"/>
                  </w:tcBorders>
                  <w:noWrap w:val="0"/>
                  <w:vAlign w:val="center"/>
                </w:tcPr>
                <w:p w14:paraId="7AF6E72C">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drawing>
                      <wp:inline distT="0" distB="0" distL="114300" distR="114300">
                        <wp:extent cx="1527810" cy="969010"/>
                        <wp:effectExtent l="0" t="0" r="15240" b="254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0"/>
                                <a:stretch>
                                  <a:fillRect/>
                                </a:stretch>
                              </pic:blipFill>
                              <pic:spPr>
                                <a:xfrm>
                                  <a:off x="0" y="0"/>
                                  <a:ext cx="1527810" cy="969010"/>
                                </a:xfrm>
                                <a:prstGeom prst="rect">
                                  <a:avLst/>
                                </a:prstGeom>
                                <a:noFill/>
                                <a:ln>
                                  <a:noFill/>
                                </a:ln>
                              </pic:spPr>
                            </pic:pic>
                          </a:graphicData>
                        </a:graphic>
                      </wp:inline>
                    </w:drawing>
                  </w:r>
                </w:p>
                <w:p w14:paraId="2BF398C8">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或</w:t>
                  </w:r>
                </w:p>
                <w:p w14:paraId="0099D4CF">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drawing>
                      <wp:inline distT="0" distB="0" distL="114300" distR="114300">
                        <wp:extent cx="1380490" cy="2183130"/>
                        <wp:effectExtent l="0" t="0" r="10160"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1"/>
                                <a:stretch>
                                  <a:fillRect/>
                                </a:stretch>
                              </pic:blipFill>
                              <pic:spPr>
                                <a:xfrm>
                                  <a:off x="0" y="0"/>
                                  <a:ext cx="1380490" cy="2183130"/>
                                </a:xfrm>
                                <a:prstGeom prst="rect">
                                  <a:avLst/>
                                </a:prstGeom>
                                <a:noFill/>
                                <a:ln>
                                  <a:noFill/>
                                </a:ln>
                              </pic:spPr>
                            </pic:pic>
                          </a:graphicData>
                        </a:graphic>
                      </wp:inline>
                    </w:drawing>
                  </w:r>
                </w:p>
              </w:tc>
              <w:tc>
                <w:tcPr>
                  <w:tcW w:w="555" w:type="pct"/>
                  <w:tcBorders>
                    <w:tl2br w:val="nil"/>
                    <w:tr2bl w:val="nil"/>
                  </w:tcBorders>
                  <w:noWrap w:val="0"/>
                  <w:vAlign w:val="center"/>
                </w:tcPr>
                <w:p w14:paraId="321945D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危险废物贮存设施外的显著位置</w:t>
                  </w:r>
                </w:p>
              </w:tc>
            </w:tr>
            <w:tr w14:paraId="62714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noWrap w:val="0"/>
                  <w:vAlign w:val="center"/>
                </w:tcPr>
                <w:p w14:paraId="2276ECAE">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4</w:t>
                  </w:r>
                </w:p>
              </w:tc>
              <w:tc>
                <w:tcPr>
                  <w:tcW w:w="673" w:type="pct"/>
                  <w:tcBorders>
                    <w:tl2br w:val="nil"/>
                    <w:tr2bl w:val="nil"/>
                  </w:tcBorders>
                  <w:noWrap w:val="0"/>
                  <w:vAlign w:val="center"/>
                </w:tcPr>
                <w:p w14:paraId="1A3F9308">
                  <w:pPr>
                    <w:keepNext w:val="0"/>
                    <w:keepLines w:val="0"/>
                    <w:pageBreakBefore w:val="0"/>
                    <w:widowControl w:val="0"/>
                    <w:kinsoku/>
                    <w:wordWrap/>
                    <w:overflowPunct/>
                    <w:topLinePunct w:val="0"/>
                    <w:autoSpaceDE w:val="0"/>
                    <w:autoSpaceDN w:val="0"/>
                    <w:bidi w:val="0"/>
                    <w:adjustRightInd w:val="0"/>
                    <w:ind w:firstLine="0"/>
                    <w:jc w:val="left"/>
                    <w:textAlignment w:val="auto"/>
                    <w:rPr>
                      <w:color w:val="000000"/>
                      <w:szCs w:val="21"/>
                    </w:rPr>
                  </w:pPr>
                  <w:r>
                    <w:rPr>
                      <w:color w:val="000000"/>
                      <w:kern w:val="0"/>
                      <w:szCs w:val="21"/>
                    </w:rPr>
                    <w:t>危险废物贮存分区标志</w:t>
                  </w:r>
                </w:p>
              </w:tc>
              <w:tc>
                <w:tcPr>
                  <w:tcW w:w="631" w:type="pct"/>
                  <w:tcBorders>
                    <w:tl2br w:val="nil"/>
                    <w:tr2bl w:val="nil"/>
                  </w:tcBorders>
                  <w:noWrap w:val="0"/>
                  <w:vAlign w:val="center"/>
                </w:tcPr>
                <w:p w14:paraId="5647574A">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kern w:val="0"/>
                      <w:szCs w:val="21"/>
                    </w:rPr>
                    <w:t>长方形</w:t>
                  </w:r>
                </w:p>
              </w:tc>
              <w:tc>
                <w:tcPr>
                  <w:tcW w:w="482" w:type="pct"/>
                  <w:tcBorders>
                    <w:tl2br w:val="nil"/>
                    <w:tr2bl w:val="nil"/>
                  </w:tcBorders>
                  <w:noWrap w:val="0"/>
                  <w:vAlign w:val="center"/>
                </w:tcPr>
                <w:p w14:paraId="2F00F5F9">
                  <w:pPr>
                    <w:keepNext w:val="0"/>
                    <w:keepLines w:val="0"/>
                    <w:pageBreakBefore w:val="0"/>
                    <w:widowControl w:val="0"/>
                    <w:kinsoku/>
                    <w:wordWrap/>
                    <w:overflowPunct/>
                    <w:topLinePunct w:val="0"/>
                    <w:autoSpaceDE w:val="0"/>
                    <w:autoSpaceDN w:val="0"/>
                    <w:bidi w:val="0"/>
                    <w:adjustRightInd w:val="0"/>
                    <w:ind w:firstLine="0"/>
                    <w:jc w:val="left"/>
                    <w:textAlignment w:val="auto"/>
                    <w:rPr>
                      <w:color w:val="000000"/>
                      <w:szCs w:val="21"/>
                    </w:rPr>
                  </w:pPr>
                  <w:r>
                    <w:rPr>
                      <w:color w:val="000000"/>
                      <w:kern w:val="0"/>
                      <w:szCs w:val="21"/>
                    </w:rPr>
                    <w:t>黄色；废物种类信息应采用醒目的橘黄色</w:t>
                  </w:r>
                </w:p>
              </w:tc>
              <w:tc>
                <w:tcPr>
                  <w:tcW w:w="482" w:type="pct"/>
                  <w:tcBorders>
                    <w:tl2br w:val="nil"/>
                    <w:tr2bl w:val="nil"/>
                  </w:tcBorders>
                  <w:noWrap w:val="0"/>
                  <w:vAlign w:val="center"/>
                </w:tcPr>
                <w:p w14:paraId="066D26E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黑色</w:t>
                  </w:r>
                </w:p>
              </w:tc>
              <w:tc>
                <w:tcPr>
                  <w:tcW w:w="1695" w:type="pct"/>
                  <w:tcBorders>
                    <w:tl2br w:val="nil"/>
                    <w:tr2bl w:val="nil"/>
                  </w:tcBorders>
                  <w:noWrap w:val="0"/>
                  <w:vAlign w:val="center"/>
                </w:tcPr>
                <w:p w14:paraId="5218C885">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drawing>
                      <wp:inline distT="0" distB="0" distL="114300" distR="114300">
                        <wp:extent cx="1513840" cy="1275715"/>
                        <wp:effectExtent l="0" t="0" r="10160" b="63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2"/>
                                <a:stretch>
                                  <a:fillRect/>
                                </a:stretch>
                              </pic:blipFill>
                              <pic:spPr>
                                <a:xfrm>
                                  <a:off x="0" y="0"/>
                                  <a:ext cx="1513840" cy="1275715"/>
                                </a:xfrm>
                                <a:prstGeom prst="rect">
                                  <a:avLst/>
                                </a:prstGeom>
                                <a:noFill/>
                                <a:ln>
                                  <a:noFill/>
                                </a:ln>
                              </pic:spPr>
                            </pic:pic>
                          </a:graphicData>
                        </a:graphic>
                      </wp:inline>
                    </w:drawing>
                  </w:r>
                </w:p>
              </w:tc>
              <w:tc>
                <w:tcPr>
                  <w:tcW w:w="555" w:type="pct"/>
                  <w:tcBorders>
                    <w:tl2br w:val="nil"/>
                    <w:tr2bl w:val="nil"/>
                  </w:tcBorders>
                  <w:noWrap w:val="0"/>
                  <w:vAlign w:val="center"/>
                </w:tcPr>
                <w:p w14:paraId="2899B8B2">
                  <w:pPr>
                    <w:keepNext w:val="0"/>
                    <w:keepLines w:val="0"/>
                    <w:pageBreakBefore w:val="0"/>
                    <w:widowControl w:val="0"/>
                    <w:kinsoku/>
                    <w:wordWrap/>
                    <w:overflowPunct/>
                    <w:topLinePunct w:val="0"/>
                    <w:autoSpaceDE w:val="0"/>
                    <w:autoSpaceDN w:val="0"/>
                    <w:bidi w:val="0"/>
                    <w:adjustRightInd w:val="0"/>
                    <w:ind w:firstLine="0"/>
                    <w:jc w:val="left"/>
                    <w:textAlignment w:val="auto"/>
                    <w:rPr>
                      <w:color w:val="000000"/>
                      <w:szCs w:val="21"/>
                    </w:rPr>
                  </w:pPr>
                  <w:r>
                    <w:rPr>
                      <w:color w:val="000000"/>
                      <w:kern w:val="0"/>
                      <w:szCs w:val="21"/>
                    </w:rPr>
                    <w:t>危废存放区域的墙面、栅栏内部等位置</w:t>
                  </w:r>
                </w:p>
              </w:tc>
            </w:tr>
            <w:tr w14:paraId="12D2C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2" w:type="pct"/>
                  <w:tcBorders>
                    <w:tl2br w:val="nil"/>
                    <w:tr2bl w:val="nil"/>
                  </w:tcBorders>
                  <w:noWrap w:val="0"/>
                  <w:vAlign w:val="center"/>
                </w:tcPr>
                <w:p w14:paraId="1F7E3077">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5</w:t>
                  </w:r>
                </w:p>
              </w:tc>
              <w:tc>
                <w:tcPr>
                  <w:tcW w:w="673" w:type="pct"/>
                  <w:tcBorders>
                    <w:tl2br w:val="nil"/>
                    <w:tr2bl w:val="nil"/>
                  </w:tcBorders>
                  <w:noWrap w:val="0"/>
                  <w:vAlign w:val="center"/>
                </w:tcPr>
                <w:p w14:paraId="4EC7C6A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kern w:val="0"/>
                      <w:szCs w:val="21"/>
                    </w:rPr>
                    <w:t>危险废物标签</w:t>
                  </w:r>
                </w:p>
              </w:tc>
              <w:tc>
                <w:tcPr>
                  <w:tcW w:w="631" w:type="pct"/>
                  <w:tcBorders>
                    <w:tl2br w:val="nil"/>
                    <w:tr2bl w:val="nil"/>
                  </w:tcBorders>
                  <w:noWrap w:val="0"/>
                  <w:vAlign w:val="center"/>
                </w:tcPr>
                <w:p w14:paraId="2D9F6A9A">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正方形</w:t>
                  </w:r>
                </w:p>
              </w:tc>
              <w:tc>
                <w:tcPr>
                  <w:tcW w:w="482" w:type="pct"/>
                  <w:tcBorders>
                    <w:tl2br w:val="nil"/>
                    <w:tr2bl w:val="nil"/>
                  </w:tcBorders>
                  <w:noWrap w:val="0"/>
                  <w:vAlign w:val="center"/>
                </w:tcPr>
                <w:p w14:paraId="5E8D00A6">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醒目的橘黄色</w:t>
                  </w:r>
                </w:p>
              </w:tc>
              <w:tc>
                <w:tcPr>
                  <w:tcW w:w="482" w:type="pct"/>
                  <w:tcBorders>
                    <w:tl2br w:val="nil"/>
                    <w:tr2bl w:val="nil"/>
                  </w:tcBorders>
                  <w:noWrap w:val="0"/>
                  <w:vAlign w:val="center"/>
                </w:tcPr>
                <w:p w14:paraId="47B95F27">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黑色</w:t>
                  </w:r>
                </w:p>
              </w:tc>
              <w:tc>
                <w:tcPr>
                  <w:tcW w:w="1695" w:type="pct"/>
                  <w:tcBorders>
                    <w:tl2br w:val="nil"/>
                    <w:tr2bl w:val="nil"/>
                  </w:tcBorders>
                  <w:noWrap w:val="0"/>
                  <w:vAlign w:val="center"/>
                </w:tcPr>
                <w:p w14:paraId="283CD4DC">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drawing>
                      <wp:inline distT="0" distB="0" distL="114300" distR="114300">
                        <wp:extent cx="1536065" cy="1542415"/>
                        <wp:effectExtent l="0" t="0" r="6985" b="63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3"/>
                                <a:stretch>
                                  <a:fillRect/>
                                </a:stretch>
                              </pic:blipFill>
                              <pic:spPr>
                                <a:xfrm>
                                  <a:off x="0" y="0"/>
                                  <a:ext cx="1536065" cy="1542415"/>
                                </a:xfrm>
                                <a:prstGeom prst="rect">
                                  <a:avLst/>
                                </a:prstGeom>
                                <a:noFill/>
                                <a:ln>
                                  <a:noFill/>
                                </a:ln>
                              </pic:spPr>
                            </pic:pic>
                          </a:graphicData>
                        </a:graphic>
                      </wp:inline>
                    </w:drawing>
                  </w:r>
                </w:p>
              </w:tc>
              <w:tc>
                <w:tcPr>
                  <w:tcW w:w="555" w:type="pct"/>
                  <w:tcBorders>
                    <w:tl2br w:val="nil"/>
                    <w:tr2bl w:val="nil"/>
                  </w:tcBorders>
                  <w:noWrap w:val="0"/>
                  <w:vAlign w:val="center"/>
                </w:tcPr>
                <w:p w14:paraId="2A4D9056">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黏贴式危险废物标签牌</w:t>
                  </w:r>
                </w:p>
              </w:tc>
            </w:tr>
          </w:tbl>
          <w:p w14:paraId="12BD0CAC">
            <w:pPr>
              <w:keepNext w:val="0"/>
              <w:keepLines w:val="0"/>
              <w:pageBreakBefore w:val="0"/>
              <w:widowControl w:val="0"/>
              <w:kinsoku/>
              <w:wordWrap/>
              <w:overflowPunct/>
              <w:autoSpaceDE/>
              <w:autoSpaceDN/>
              <w:bidi w:val="0"/>
              <w:adjustRightInd/>
              <w:snapToGrid/>
              <w:spacing w:line="360" w:lineRule="auto"/>
              <w:ind w:firstLine="482" w:firstLineChars="200"/>
              <w:textAlignment w:val="auto"/>
              <w:rPr>
                <w:b/>
                <w:color w:val="000000"/>
                <w:sz w:val="24"/>
              </w:rPr>
            </w:pPr>
            <w:r>
              <w:rPr>
                <w:rFonts w:hint="eastAsia"/>
                <w:b/>
                <w:color w:val="000000"/>
                <w:sz w:val="24"/>
              </w:rPr>
              <w:t>4.7运输过程的污染防治措施和环境影响分析</w:t>
            </w:r>
          </w:p>
          <w:p w14:paraId="13E457BE">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Ansi="宋体"/>
                <w:color w:val="000000"/>
                <w:sz w:val="24"/>
              </w:rPr>
            </w:pPr>
            <w:r>
              <w:rPr>
                <w:rFonts w:hint="eastAsia" w:hAnsi="宋体"/>
                <w:color w:val="000000"/>
                <w:sz w:val="24"/>
              </w:rPr>
              <w:t>①本项目危险废物必须及时运送至危险废物处置单位进行处置，运输过程必须符合国家及江苏省对危险废物的运输要求。应由固废接收单位的专用车进行运输，须填写危废转移单，要注意危险废物安全单独运输，固废的包装容器要注意密闭，以免在运输途中发生泄漏，从而危害环境。</w:t>
            </w:r>
          </w:p>
          <w:p w14:paraId="077B7C42">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rFonts w:hAnsi="宋体"/>
                <w:color w:val="000000"/>
                <w:sz w:val="24"/>
              </w:rPr>
            </w:pPr>
            <w:r>
              <w:rPr>
                <w:rFonts w:hint="eastAsia" w:ascii="宋体" w:hAnsi="宋体"/>
                <w:color w:val="000000"/>
                <w:sz w:val="24"/>
              </w:rPr>
              <w:t>②</w:t>
            </w:r>
            <w:r>
              <w:rPr>
                <w:rFonts w:hint="eastAsia" w:hAnsi="宋体"/>
                <w:color w:val="000000"/>
                <w:sz w:val="24"/>
              </w:rPr>
              <w:t>本项目危险</w:t>
            </w:r>
            <w:r>
              <w:rPr>
                <w:rFonts w:hint="eastAsia" w:hAnsi="宋体"/>
                <w:color w:val="000000"/>
                <w:sz w:val="24"/>
                <w:highlight w:val="none"/>
              </w:rPr>
              <w:t>废物（</w:t>
            </w:r>
            <w:r>
              <w:rPr>
                <w:rFonts w:hint="eastAsia" w:hAnsi="宋体"/>
                <w:color w:val="000000"/>
                <w:sz w:val="24"/>
                <w:highlight w:val="none"/>
                <w:lang w:val="en-US" w:eastAsia="zh-CN"/>
              </w:rPr>
              <w:t>废包装桶、废抹布、废活性炭、污泥、蒸发残液</w:t>
            </w:r>
            <w:r>
              <w:rPr>
                <w:rFonts w:hint="eastAsia" w:hAnsi="宋体"/>
                <w:color w:val="000000"/>
                <w:sz w:val="24"/>
                <w:highlight w:val="none"/>
              </w:rPr>
              <w:t>）必须及时运送至危险废物处置单位进行处置，运输过程必须符合国家及江苏省对危险废物的运输要求。应由固废接收单位</w:t>
            </w:r>
            <w:r>
              <w:rPr>
                <w:rFonts w:hint="eastAsia" w:hAnsi="宋体"/>
                <w:color w:val="000000"/>
                <w:sz w:val="24"/>
              </w:rPr>
              <w:t>的专用车进行运输，须填写危规转移单，要注意危险废物安全单独运输，固废的包装容器要注意密闭，以免在运输途中发生泄漏，从而危害环境。</w:t>
            </w:r>
          </w:p>
          <w:p w14:paraId="726F0E10">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ascii="宋体" w:hAnsi="宋体"/>
                <w:color w:val="000000"/>
                <w:sz w:val="24"/>
              </w:rPr>
              <w:t>③</w:t>
            </w:r>
            <w:r>
              <w:rPr>
                <w:rFonts w:hint="eastAsia" w:hAnsi="宋体"/>
                <w:color w:val="000000"/>
                <w:sz w:val="24"/>
              </w:rPr>
              <w:t>本项目在危险废物转移的过程中严格执行《危险废物转移管理办法》（部令第2</w:t>
            </w:r>
            <w:r>
              <w:rPr>
                <w:rFonts w:hAnsi="宋体"/>
                <w:color w:val="000000"/>
                <w:sz w:val="24"/>
              </w:rPr>
              <w:t>3</w:t>
            </w:r>
            <w:r>
              <w:rPr>
                <w:rFonts w:hint="eastAsia" w:hAnsi="宋体"/>
                <w:color w:val="000000"/>
                <w:sz w:val="24"/>
              </w:rPr>
              <w:t>号），应当通过危险废物信息管理系统填写、运行危险废物电子转移</w:t>
            </w:r>
            <w:r>
              <w:rPr>
                <w:rFonts w:hint="eastAsia" w:hAnsi="宋体"/>
                <w:color w:val="000000"/>
                <w:sz w:val="24"/>
                <w:lang w:val="en-US" w:eastAsia="zh-CN"/>
              </w:rPr>
              <w:t>联单</w:t>
            </w:r>
            <w:r>
              <w:rPr>
                <w:rFonts w:hint="eastAsia" w:hAnsi="宋体"/>
                <w:color w:val="000000"/>
                <w:sz w:val="24"/>
              </w:rPr>
              <w:t>，并依照国家有关规定公开危险废物转移相关污染环境防治信息。</w:t>
            </w:r>
          </w:p>
          <w:p w14:paraId="13EEB725">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ascii="宋体" w:hAnsi="宋体"/>
                <w:color w:val="000000"/>
                <w:sz w:val="24"/>
              </w:rPr>
              <w:t>④</w:t>
            </w:r>
            <w:r>
              <w:rPr>
                <w:rFonts w:hint="eastAsia" w:hAnsi="宋体"/>
                <w:color w:val="000000"/>
                <w:sz w:val="24"/>
              </w:rPr>
              <w:t>清运车辆（包括机动车辆和非机动车辆）运输垃圾应符合下列质量要求：（</w:t>
            </w:r>
            <w:r>
              <w:rPr>
                <w:color w:val="000000"/>
                <w:sz w:val="24"/>
              </w:rPr>
              <w:t>a</w:t>
            </w:r>
            <w:r>
              <w:rPr>
                <w:rFonts w:hint="eastAsia" w:hAnsi="宋体"/>
                <w:color w:val="000000"/>
                <w:sz w:val="24"/>
              </w:rPr>
              <w:t>）车容应整洁，车体外部无污物、灰垢，标志应清晰。（</w:t>
            </w:r>
            <w:r>
              <w:rPr>
                <w:color w:val="000000"/>
                <w:sz w:val="24"/>
              </w:rPr>
              <w:t>b</w:t>
            </w:r>
            <w:r>
              <w:rPr>
                <w:rFonts w:hint="eastAsia" w:hAnsi="宋体"/>
                <w:color w:val="000000"/>
                <w:sz w:val="24"/>
              </w:rPr>
              <w:t>）运输垃圾应密闭，在运输过程中无垃圾扬、撒、拖挂和污水滴漏。（</w:t>
            </w:r>
            <w:r>
              <w:rPr>
                <w:color w:val="000000"/>
                <w:sz w:val="24"/>
              </w:rPr>
              <w:t>c</w:t>
            </w:r>
            <w:r>
              <w:rPr>
                <w:rFonts w:hint="eastAsia" w:hAnsi="宋体"/>
                <w:color w:val="000000"/>
                <w:sz w:val="24"/>
              </w:rPr>
              <w:t>）垃圾装运量应以车辆的额定荷载和有效容积为限，不得超重、超高运输。（</w:t>
            </w:r>
            <w:r>
              <w:rPr>
                <w:color w:val="000000"/>
                <w:sz w:val="24"/>
              </w:rPr>
              <w:t>d</w:t>
            </w:r>
            <w:r>
              <w:rPr>
                <w:rFonts w:hint="eastAsia" w:hAnsi="宋体"/>
                <w:color w:val="000000"/>
                <w:sz w:val="24"/>
              </w:rPr>
              <w:t>）装卸垃圾应符合作业要求，不得乱倒、乱卸、乱抛垃圾。（</w:t>
            </w:r>
            <w:r>
              <w:rPr>
                <w:color w:val="000000"/>
                <w:sz w:val="24"/>
              </w:rPr>
              <w:t>e</w:t>
            </w:r>
            <w:r>
              <w:rPr>
                <w:rFonts w:hint="eastAsia" w:hAnsi="宋体"/>
                <w:color w:val="000000"/>
                <w:sz w:val="24"/>
              </w:rPr>
              <w:t>）运输作业结束，应将车辆清洗干净。</w:t>
            </w:r>
          </w:p>
          <w:p w14:paraId="56AE9B20">
            <w:pPr>
              <w:keepNext w:val="0"/>
              <w:keepLines w:val="0"/>
              <w:pageBreakBefore w:val="0"/>
              <w:widowControl w:val="0"/>
              <w:kinsoku/>
              <w:wordWrap/>
              <w:overflowPunct/>
              <w:autoSpaceDE/>
              <w:autoSpaceDN/>
              <w:bidi w:val="0"/>
              <w:adjustRightInd/>
              <w:snapToGrid/>
              <w:spacing w:line="360" w:lineRule="auto"/>
              <w:ind w:firstLine="482" w:firstLineChars="200"/>
              <w:textAlignment w:val="auto"/>
              <w:rPr>
                <w:b/>
                <w:color w:val="000000"/>
                <w:sz w:val="24"/>
              </w:rPr>
            </w:pPr>
            <w:r>
              <w:rPr>
                <w:rFonts w:hint="eastAsia"/>
                <w:b/>
                <w:color w:val="000000"/>
                <w:sz w:val="24"/>
              </w:rPr>
              <w:t>4.8委托利用或处置的污染防治措施和环境影响分析</w:t>
            </w:r>
          </w:p>
          <w:p w14:paraId="00E2981F">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Ansi="宋体"/>
                <w:color w:val="000000"/>
                <w:sz w:val="24"/>
              </w:rPr>
            </w:pPr>
            <w:r>
              <w:rPr>
                <w:rFonts w:hint="eastAsia" w:hAnsi="宋体"/>
                <w:color w:val="000000"/>
                <w:sz w:val="24"/>
              </w:rPr>
              <w:t>本项目固体废弃物处理处置率达到</w:t>
            </w:r>
            <w:r>
              <w:rPr>
                <w:color w:val="000000"/>
                <w:sz w:val="24"/>
              </w:rPr>
              <w:t>100%</w:t>
            </w:r>
            <w:r>
              <w:rPr>
                <w:rFonts w:hint="eastAsia" w:hAnsi="宋体"/>
                <w:color w:val="000000"/>
                <w:sz w:val="24"/>
              </w:rPr>
              <w:t>，在收集、贮存、运输过程中严密防护，不会产生二次污染，有效避免固体废弃物对环境造成影响。</w:t>
            </w:r>
          </w:p>
          <w:p w14:paraId="0824A18B">
            <w:pPr>
              <w:keepNext w:val="0"/>
              <w:keepLines w:val="0"/>
              <w:pageBreakBefore w:val="0"/>
              <w:widowControl w:val="0"/>
              <w:kinsoku/>
              <w:wordWrap/>
              <w:overflowPunct/>
              <w:autoSpaceDE/>
              <w:autoSpaceDN/>
              <w:bidi w:val="0"/>
              <w:adjustRightInd/>
              <w:snapToGrid/>
              <w:spacing w:line="360" w:lineRule="auto"/>
              <w:ind w:firstLine="482" w:firstLineChars="200"/>
              <w:textAlignment w:val="auto"/>
              <w:rPr>
                <w:b/>
                <w:color w:val="000000"/>
                <w:sz w:val="24"/>
              </w:rPr>
            </w:pPr>
            <w:r>
              <w:rPr>
                <w:rFonts w:hint="eastAsia"/>
                <w:b/>
                <w:color w:val="000000"/>
                <w:sz w:val="24"/>
              </w:rPr>
              <w:t>4.9环境管理与监测</w:t>
            </w:r>
          </w:p>
          <w:p w14:paraId="51E44FE6">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color w:val="000000"/>
                <w:sz w:val="24"/>
              </w:rPr>
            </w:pPr>
            <w:r>
              <w:rPr>
                <w:rFonts w:hint="eastAsia" w:ascii="宋体" w:hAnsi="宋体"/>
                <w:color w:val="000000"/>
                <w:sz w:val="24"/>
              </w:rPr>
              <w:t>①</w:t>
            </w:r>
            <w:r>
              <w:rPr>
                <w:rFonts w:hint="eastAsia"/>
                <w:color w:val="000000"/>
                <w:sz w:val="24"/>
              </w:rPr>
              <w:t>本项目在日常</w:t>
            </w:r>
            <w:r>
              <w:rPr>
                <w:rFonts w:hint="eastAsia"/>
                <w:color w:val="000000"/>
                <w:sz w:val="24"/>
                <w:lang w:eastAsia="zh-CN"/>
              </w:rPr>
              <w:t>运营</w:t>
            </w:r>
            <w:r>
              <w:rPr>
                <w:rFonts w:hint="eastAsia"/>
                <w:color w:val="000000"/>
                <w:sz w:val="24"/>
              </w:rPr>
              <w:t>中，应制定固废管理计划，将固废的产生、贮存、利用、处置等情况纳入生产记录，建立固废管理台账和企业内部产生和收集贮存部门危险废物交接制度。加强对危险废物包装、贮存的管理，严格执行危险废物转移联单制度，危险废物运输应符合本市危险废物运输污染防治技术规定</w:t>
            </w:r>
            <w:r>
              <w:rPr>
                <w:rFonts w:hint="eastAsia"/>
                <w:color w:val="000000"/>
                <w:sz w:val="24"/>
                <w:lang w:eastAsia="zh-CN"/>
              </w:rPr>
              <w:t>，</w:t>
            </w:r>
            <w:r>
              <w:rPr>
                <w:rFonts w:hint="eastAsia"/>
                <w:color w:val="000000"/>
                <w:sz w:val="24"/>
              </w:rPr>
              <w:t>禁止将危险废物提供或委托给无危险废物经营许可证的单位从事收集、贮存、利用、处置等经营活动。</w:t>
            </w:r>
          </w:p>
          <w:p w14:paraId="42BD23C7">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color w:val="000000"/>
                <w:sz w:val="24"/>
              </w:rPr>
            </w:pPr>
            <w:r>
              <w:rPr>
                <w:rFonts w:hint="eastAsia" w:ascii="宋体" w:hAnsi="宋体"/>
                <w:color w:val="000000"/>
                <w:sz w:val="24"/>
              </w:rPr>
              <w:t>②</w:t>
            </w:r>
            <w:r>
              <w:rPr>
                <w:rFonts w:hint="eastAsia"/>
                <w:color w:val="000000"/>
                <w:sz w:val="24"/>
              </w:rPr>
              <w:t>建设单位应通过“江苏省危险废物动态管理信息系统”（江苏省环保厅网站）进行危险废物申报登记。</w:t>
            </w:r>
          </w:p>
          <w:p w14:paraId="379A0550">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color w:val="000000"/>
                <w:sz w:val="24"/>
              </w:rPr>
            </w:pPr>
            <w:r>
              <w:rPr>
                <w:rFonts w:hint="eastAsia" w:ascii="宋体" w:hAnsi="宋体"/>
                <w:color w:val="000000"/>
                <w:sz w:val="24"/>
              </w:rPr>
              <w:t>③</w:t>
            </w:r>
            <w:r>
              <w:rPr>
                <w:rFonts w:hint="eastAsia"/>
                <w:color w:val="000000"/>
                <w:sz w:val="24"/>
              </w:rPr>
              <w:t>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等。</w:t>
            </w:r>
          </w:p>
          <w:p w14:paraId="1962EEA2">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color w:val="000000"/>
                <w:sz w:val="24"/>
                <w:highlight w:val="yellow"/>
              </w:rPr>
            </w:pPr>
            <w:r>
              <w:rPr>
                <w:rFonts w:hint="eastAsia" w:ascii="宋体" w:hAnsi="宋体"/>
                <w:color w:val="000000"/>
                <w:sz w:val="24"/>
              </w:rPr>
              <w:t>④</w:t>
            </w:r>
            <w:r>
              <w:rPr>
                <w:rFonts w:hint="eastAsia"/>
                <w:color w:val="000000"/>
                <w:sz w:val="24"/>
              </w:rPr>
              <w:t>危险废物贮存场所按照要求设置警告标志，危废包装、容器和贮存场所应按照《危险废物贮存污染控制标准》（GB18597-20</w:t>
            </w:r>
            <w:r>
              <w:rPr>
                <w:color w:val="000000"/>
                <w:sz w:val="24"/>
              </w:rPr>
              <w:t>23</w:t>
            </w:r>
            <w:r>
              <w:rPr>
                <w:rFonts w:hint="eastAsia"/>
                <w:color w:val="000000"/>
                <w:sz w:val="24"/>
              </w:rPr>
              <w:t>）有关要求张贴标识。</w:t>
            </w:r>
          </w:p>
          <w:p w14:paraId="78D60041">
            <w:pPr>
              <w:keepNext w:val="0"/>
              <w:keepLines w:val="0"/>
              <w:pageBreakBefore w:val="0"/>
              <w:widowControl w:val="0"/>
              <w:kinsoku/>
              <w:wordWrap/>
              <w:overflowPunct/>
              <w:autoSpaceDE/>
              <w:autoSpaceDN/>
              <w:bidi w:val="0"/>
              <w:adjustRightInd/>
              <w:snapToGrid/>
              <w:spacing w:line="360" w:lineRule="auto"/>
              <w:ind w:firstLine="482" w:firstLineChars="200"/>
              <w:textAlignment w:val="auto"/>
              <w:rPr>
                <w:b/>
                <w:color w:val="000000"/>
                <w:sz w:val="24"/>
              </w:rPr>
            </w:pPr>
            <w:r>
              <w:rPr>
                <w:b/>
                <w:color w:val="000000"/>
                <w:sz w:val="24"/>
              </w:rPr>
              <w:t>5</w:t>
            </w:r>
            <w:r>
              <w:rPr>
                <w:rFonts w:hint="eastAsia"/>
                <w:b/>
                <w:color w:val="000000"/>
                <w:sz w:val="24"/>
              </w:rPr>
              <w:t>、土壤、地下水环境影响分析</w:t>
            </w:r>
          </w:p>
          <w:p w14:paraId="77FA4543">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（1）防渗原则</w:t>
            </w:r>
          </w:p>
          <w:p w14:paraId="05EC344F">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针对项目可能发生的地下水污染，地下水污染防治措施按照“源头控制、末端防治、污染监控、应急响应”相结合的原则，从污染物的产生、入渗、扩散、应急响应全阶段进行控制。</w:t>
            </w:r>
          </w:p>
          <w:p w14:paraId="1E1607AC">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①源头控制：主要包括在工艺、管道、设备、污水储存及处理构筑物采取相应措施，防止和降低污染物跑、冒、滴、漏，将污染物泄漏的环境风险事故降到最低程度；管线敷设尽量采用“可视化”原则，即管道尽可能地上敷设，做到污染物早发现早处理，减少由于埋地管道泄漏而造成的地下水污染。</w:t>
            </w:r>
          </w:p>
          <w:p w14:paraId="3BF19B6C">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②末端控制措施：主要包括厂内污染区地面的防渗措施和泄漏、渗漏污染物收集措施，即在污染区地面进行防渗处理，防止洒落地面的污染物渗入地下，并把滞留在地面的污染物收集起来；末端控制采取分区防渗原则。</w:t>
            </w:r>
          </w:p>
          <w:p w14:paraId="1DF5430B">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③应急响应措施：包括一旦发现地下水污染事故，立即启动应急预案、采取应急措施控制地下水污染，并使污染得到治理。</w:t>
            </w:r>
          </w:p>
          <w:p w14:paraId="0D877C30">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（2）污染防治分区</w:t>
            </w:r>
          </w:p>
          <w:p w14:paraId="2FC6C221">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根据企业物料或者污染物泄漏的途径和生产功能单元所处的位置，将厂区可划为非污染防治区、一般污染防治区和重点污染防治区。</w:t>
            </w:r>
          </w:p>
          <w:p w14:paraId="30C9379A">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①非污染防治区：没有物料或污染</w:t>
            </w:r>
            <w:r>
              <w:rPr>
                <w:rFonts w:hint="eastAsia"/>
                <w:color w:val="000000"/>
                <w:sz w:val="24"/>
                <w:lang w:val="en-US" w:eastAsia="zh-CN"/>
              </w:rPr>
              <w:t>物</w:t>
            </w:r>
            <w:r>
              <w:rPr>
                <w:rFonts w:hint="eastAsia"/>
                <w:color w:val="000000"/>
                <w:sz w:val="24"/>
              </w:rPr>
              <w:t>泄漏，不会对地下水环境造成污染的区域或部位。</w:t>
            </w:r>
          </w:p>
          <w:p w14:paraId="2F976714">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②一般污染防治区：裸露于地面的生产功能单元，污染地下水环境的物料或污染物泄漏后，可及时发现和处理的区域或部位。</w:t>
            </w:r>
          </w:p>
          <w:p w14:paraId="410AAEA5">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③重点污染防治区：位于地下或半地下的生产功能单元，污染地下水环境的物料或污染物泄漏后，不易及时发现和处理的区域或部位。</w:t>
            </w:r>
          </w:p>
          <w:p w14:paraId="1FA079F0">
            <w:pPr>
              <w:keepNext w:val="0"/>
              <w:keepLines w:val="0"/>
              <w:pageBreakBefore w:val="0"/>
              <w:widowControl w:val="0"/>
              <w:kinsoku/>
              <w:wordWrap/>
              <w:overflowPunct/>
              <w:autoSpaceDE/>
              <w:autoSpaceDN/>
              <w:bidi w:val="0"/>
              <w:adjustRightInd/>
              <w:snapToGrid/>
              <w:spacing w:line="360" w:lineRule="auto"/>
              <w:ind w:firstLine="480" w:firstLineChars="200"/>
              <w:textAlignment w:val="auto"/>
              <w:rPr>
                <w:color w:val="000000"/>
                <w:sz w:val="24"/>
              </w:rPr>
            </w:pPr>
            <w:r>
              <w:rPr>
                <w:rFonts w:hint="eastAsia"/>
                <w:color w:val="000000"/>
                <w:sz w:val="24"/>
              </w:rPr>
              <w:t>本项目污染防治分区见下表：</w:t>
            </w:r>
          </w:p>
          <w:p w14:paraId="266E6D69">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bookmarkStart w:id="8" w:name="_Ref394301225"/>
            <w:r>
              <w:rPr>
                <w:rFonts w:hint="eastAsia"/>
                <w:b/>
                <w:bCs/>
                <w:color w:val="000000"/>
                <w:sz w:val="21"/>
                <w:szCs w:val="21"/>
              </w:rPr>
              <w:t>表</w:t>
            </w:r>
            <w:bookmarkEnd w:id="8"/>
            <w:r>
              <w:rPr>
                <w:b/>
                <w:bCs/>
                <w:color w:val="000000"/>
                <w:sz w:val="21"/>
                <w:szCs w:val="21"/>
              </w:rPr>
              <w:t>4-2</w:t>
            </w:r>
            <w:r>
              <w:rPr>
                <w:rFonts w:hint="eastAsia"/>
                <w:b/>
                <w:bCs/>
                <w:color w:val="000000"/>
                <w:sz w:val="21"/>
                <w:szCs w:val="21"/>
                <w:lang w:val="en-US" w:eastAsia="zh-CN"/>
              </w:rPr>
              <w:t>8</w:t>
            </w:r>
            <w:r>
              <w:rPr>
                <w:rFonts w:hint="eastAsia"/>
                <w:b/>
                <w:bCs/>
                <w:color w:val="000000"/>
                <w:sz w:val="21"/>
                <w:szCs w:val="21"/>
              </w:rPr>
              <w:t xml:space="preserve"> 工程污染分区划分</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268"/>
              <w:gridCol w:w="4940"/>
            </w:tblGrid>
            <w:tr w14:paraId="5D566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noWrap w:val="0"/>
                  <w:vAlign w:val="center"/>
                </w:tcPr>
                <w:p w14:paraId="1F12E14A">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b/>
                      <w:color w:val="000000"/>
                      <w:kern w:val="2"/>
                    </w:rPr>
                  </w:pPr>
                  <w:r>
                    <w:rPr>
                      <w:rFonts w:hint="eastAsia"/>
                      <w:b/>
                      <w:color w:val="000000"/>
                      <w:kern w:val="2"/>
                    </w:rPr>
                    <w:t>序号</w:t>
                  </w:r>
                </w:p>
              </w:tc>
              <w:tc>
                <w:tcPr>
                  <w:tcW w:w="1377" w:type="pct"/>
                  <w:tcBorders>
                    <w:tl2br w:val="nil"/>
                    <w:tr2bl w:val="nil"/>
                  </w:tcBorders>
                  <w:noWrap w:val="0"/>
                  <w:vAlign w:val="center"/>
                </w:tcPr>
                <w:p w14:paraId="17CDCEA0">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b/>
                      <w:color w:val="000000"/>
                      <w:kern w:val="2"/>
                    </w:rPr>
                  </w:pPr>
                  <w:r>
                    <w:rPr>
                      <w:rFonts w:hint="eastAsia"/>
                      <w:b/>
                      <w:color w:val="000000"/>
                      <w:kern w:val="2"/>
                    </w:rPr>
                    <w:t>防渗分区</w:t>
                  </w:r>
                </w:p>
              </w:tc>
              <w:tc>
                <w:tcPr>
                  <w:tcW w:w="3000" w:type="pct"/>
                  <w:tcBorders>
                    <w:tl2br w:val="nil"/>
                    <w:tr2bl w:val="nil"/>
                  </w:tcBorders>
                  <w:noWrap w:val="0"/>
                  <w:vAlign w:val="center"/>
                </w:tcPr>
                <w:p w14:paraId="1AC0CA71">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b/>
                      <w:color w:val="000000"/>
                      <w:kern w:val="2"/>
                    </w:rPr>
                  </w:pPr>
                  <w:r>
                    <w:rPr>
                      <w:rFonts w:hint="eastAsia"/>
                      <w:b/>
                      <w:color w:val="000000"/>
                      <w:kern w:val="2"/>
                    </w:rPr>
                    <w:t>工程</w:t>
                  </w:r>
                </w:p>
              </w:tc>
            </w:tr>
            <w:tr w14:paraId="04A3A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noWrap w:val="0"/>
                  <w:vAlign w:val="center"/>
                </w:tcPr>
                <w:p w14:paraId="7AD5B237">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kern w:val="2"/>
                    </w:rPr>
                  </w:pPr>
                  <w:r>
                    <w:rPr>
                      <w:color w:val="000000"/>
                      <w:kern w:val="2"/>
                    </w:rPr>
                    <w:t>1</w:t>
                  </w:r>
                </w:p>
              </w:tc>
              <w:tc>
                <w:tcPr>
                  <w:tcW w:w="1377" w:type="pct"/>
                  <w:tcBorders>
                    <w:tl2br w:val="nil"/>
                    <w:tr2bl w:val="nil"/>
                  </w:tcBorders>
                  <w:noWrap w:val="0"/>
                  <w:vAlign w:val="center"/>
                </w:tcPr>
                <w:p w14:paraId="339E4337">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kern w:val="2"/>
                    </w:rPr>
                  </w:pPr>
                  <w:r>
                    <w:rPr>
                      <w:rFonts w:hint="eastAsia"/>
                      <w:color w:val="000000"/>
                      <w:kern w:val="2"/>
                    </w:rPr>
                    <w:t>重点防渗区</w:t>
                  </w:r>
                </w:p>
              </w:tc>
              <w:tc>
                <w:tcPr>
                  <w:tcW w:w="3000" w:type="pct"/>
                  <w:tcBorders>
                    <w:tl2br w:val="nil"/>
                    <w:tr2bl w:val="nil"/>
                  </w:tcBorders>
                  <w:noWrap w:val="0"/>
                  <w:vAlign w:val="center"/>
                </w:tcPr>
                <w:p w14:paraId="51D986AE">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rFonts w:hint="default" w:eastAsia="宋体"/>
                      <w:color w:val="000000"/>
                      <w:kern w:val="2"/>
                      <w:highlight w:val="none"/>
                      <w:lang w:val="en-US" w:eastAsia="zh-CN"/>
                    </w:rPr>
                  </w:pPr>
                  <w:r>
                    <w:rPr>
                      <w:rFonts w:hint="eastAsia"/>
                      <w:color w:val="000000"/>
                      <w:kern w:val="2"/>
                      <w:highlight w:val="none"/>
                    </w:rPr>
                    <w:t>危废暂存区、应急事故池</w:t>
                  </w:r>
                  <w:r>
                    <w:rPr>
                      <w:rFonts w:hint="eastAsia"/>
                      <w:color w:val="000000"/>
                      <w:highlight w:val="none"/>
                    </w:rPr>
                    <w:t>、</w:t>
                  </w:r>
                  <w:r>
                    <w:rPr>
                      <w:rFonts w:hint="eastAsia"/>
                      <w:color w:val="000000"/>
                      <w:highlight w:val="none"/>
                      <w:lang w:val="en-US" w:eastAsia="zh-CN"/>
                    </w:rPr>
                    <w:t>原料仓库、清洗车间</w:t>
                  </w:r>
                  <w:r>
                    <w:rPr>
                      <w:rFonts w:hint="eastAsia"/>
                      <w:color w:val="000000"/>
                      <w:lang w:val="en-US" w:eastAsia="zh-CN"/>
                    </w:rPr>
                    <w:t>、污水处理设施区域</w:t>
                  </w:r>
                </w:p>
              </w:tc>
            </w:tr>
            <w:tr w14:paraId="66D8A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3" w:type="pct"/>
                  <w:tcBorders>
                    <w:tl2br w:val="nil"/>
                    <w:tr2bl w:val="nil"/>
                  </w:tcBorders>
                  <w:noWrap w:val="0"/>
                  <w:vAlign w:val="center"/>
                </w:tcPr>
                <w:p w14:paraId="3FE6A0E2">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kern w:val="2"/>
                    </w:rPr>
                  </w:pPr>
                  <w:r>
                    <w:rPr>
                      <w:color w:val="000000"/>
                      <w:kern w:val="2"/>
                    </w:rPr>
                    <w:t>2</w:t>
                  </w:r>
                </w:p>
              </w:tc>
              <w:tc>
                <w:tcPr>
                  <w:tcW w:w="1377" w:type="pct"/>
                  <w:tcBorders>
                    <w:tl2br w:val="nil"/>
                    <w:tr2bl w:val="nil"/>
                  </w:tcBorders>
                  <w:noWrap w:val="0"/>
                  <w:vAlign w:val="center"/>
                </w:tcPr>
                <w:p w14:paraId="65BD99FB">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kern w:val="2"/>
                    </w:rPr>
                  </w:pPr>
                  <w:r>
                    <w:rPr>
                      <w:rFonts w:hint="eastAsia"/>
                      <w:color w:val="000000"/>
                      <w:kern w:val="2"/>
                    </w:rPr>
                    <w:t>一般防渗区</w:t>
                  </w:r>
                </w:p>
              </w:tc>
              <w:tc>
                <w:tcPr>
                  <w:tcW w:w="3000" w:type="pct"/>
                  <w:tcBorders>
                    <w:tl2br w:val="nil"/>
                    <w:tr2bl w:val="nil"/>
                  </w:tcBorders>
                  <w:noWrap w:val="0"/>
                  <w:vAlign w:val="center"/>
                </w:tcPr>
                <w:p w14:paraId="2EFEF1A5">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rFonts w:hint="eastAsia" w:eastAsia="宋体"/>
                      <w:color w:val="000000"/>
                      <w:kern w:val="2"/>
                      <w:highlight w:val="none"/>
                      <w:lang w:eastAsia="zh-CN"/>
                    </w:rPr>
                  </w:pPr>
                  <w:r>
                    <w:rPr>
                      <w:rFonts w:hint="eastAsia"/>
                      <w:color w:val="000000"/>
                      <w:kern w:val="2"/>
                      <w:highlight w:val="none"/>
                    </w:rPr>
                    <w:t>生产</w:t>
                  </w:r>
                  <w:r>
                    <w:rPr>
                      <w:rFonts w:hint="eastAsia"/>
                      <w:color w:val="000000"/>
                      <w:kern w:val="2"/>
                      <w:highlight w:val="none"/>
                      <w:lang w:val="en-US" w:eastAsia="zh-CN"/>
                    </w:rPr>
                    <w:t>车间</w:t>
                  </w:r>
                </w:p>
              </w:tc>
            </w:tr>
          </w:tbl>
          <w:p w14:paraId="2F55A3AF">
            <w:pPr>
              <w:pStyle w:val="2"/>
              <w:pageBreakBefore w:val="0"/>
              <w:widowControl w:val="0"/>
              <w:tabs>
                <w:tab w:val="left" w:pos="6663"/>
              </w:tabs>
              <w:kinsoku/>
              <w:wordWrap/>
              <w:overflowPunct/>
              <w:topLinePunct w:val="0"/>
              <w:autoSpaceDE/>
              <w:autoSpaceDN/>
              <w:bidi w:val="0"/>
              <w:adjustRightInd/>
              <w:snapToGrid/>
              <w:spacing w:before="0" w:after="0" w:line="360" w:lineRule="auto"/>
              <w:ind w:firstLine="480" w:firstLineChars="200"/>
              <w:textAlignment w:val="auto"/>
              <w:rPr>
                <w:b w:val="0"/>
                <w:color w:val="000000"/>
                <w:sz w:val="24"/>
              </w:rPr>
            </w:pPr>
            <w:r>
              <w:rPr>
                <w:b w:val="0"/>
                <w:color w:val="000000"/>
                <w:sz w:val="24"/>
              </w:rPr>
              <w:t>（3）防渗措施</w:t>
            </w:r>
          </w:p>
          <w:p w14:paraId="16CFE3E8">
            <w:pPr>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①分区防渗措施</w:t>
            </w:r>
          </w:p>
          <w:p w14:paraId="477A1E9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bCs/>
                <w:color w:val="000000"/>
                <w:sz w:val="21"/>
                <w:szCs w:val="21"/>
              </w:rPr>
            </w:pPr>
            <w:r>
              <w:rPr>
                <w:rFonts w:hint="eastAsia"/>
                <w:b/>
                <w:bCs/>
                <w:color w:val="000000"/>
                <w:sz w:val="21"/>
                <w:szCs w:val="21"/>
              </w:rPr>
              <w:t>表</w:t>
            </w:r>
            <w:r>
              <w:rPr>
                <w:b/>
                <w:bCs/>
                <w:color w:val="000000"/>
                <w:sz w:val="21"/>
                <w:szCs w:val="21"/>
              </w:rPr>
              <w:t>4-</w:t>
            </w:r>
            <w:r>
              <w:rPr>
                <w:rFonts w:hint="eastAsia"/>
                <w:b/>
                <w:bCs/>
                <w:color w:val="000000"/>
                <w:sz w:val="21"/>
                <w:szCs w:val="21"/>
              </w:rPr>
              <w:t>2</w:t>
            </w:r>
            <w:r>
              <w:rPr>
                <w:rFonts w:hint="eastAsia"/>
                <w:b/>
                <w:bCs/>
                <w:color w:val="000000"/>
                <w:sz w:val="21"/>
                <w:szCs w:val="21"/>
                <w:lang w:val="en-US" w:eastAsia="zh-CN"/>
              </w:rPr>
              <w:t>9</w:t>
            </w:r>
            <w:r>
              <w:rPr>
                <w:rFonts w:hint="eastAsia"/>
                <w:b/>
                <w:bCs/>
                <w:color w:val="000000"/>
                <w:sz w:val="21"/>
                <w:szCs w:val="21"/>
              </w:rPr>
              <w:t xml:space="preserve"> 本项目设计采取的防渗处理措施一览表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200"/>
              <w:gridCol w:w="5125"/>
            </w:tblGrid>
            <w:tr w14:paraId="5D838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pct"/>
                  <w:tcBorders>
                    <w:tl2br w:val="nil"/>
                    <w:tr2bl w:val="nil"/>
                  </w:tcBorders>
                  <w:noWrap w:val="0"/>
                  <w:vAlign w:val="center"/>
                </w:tcPr>
                <w:p w14:paraId="70511811">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b/>
                      <w:color w:val="000000"/>
                    </w:rPr>
                  </w:pPr>
                  <w:r>
                    <w:rPr>
                      <w:rFonts w:hint="eastAsia"/>
                      <w:b/>
                      <w:color w:val="000000"/>
                    </w:rPr>
                    <w:t>类别</w:t>
                  </w:r>
                </w:p>
              </w:tc>
              <w:tc>
                <w:tcPr>
                  <w:tcW w:w="1335" w:type="pct"/>
                  <w:tcBorders>
                    <w:tl2br w:val="nil"/>
                    <w:tr2bl w:val="nil"/>
                  </w:tcBorders>
                  <w:noWrap w:val="0"/>
                  <w:vAlign w:val="center"/>
                </w:tcPr>
                <w:p w14:paraId="2D0B5E60">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b/>
                      <w:color w:val="000000"/>
                    </w:rPr>
                  </w:pPr>
                  <w:r>
                    <w:rPr>
                      <w:rFonts w:hint="eastAsia"/>
                      <w:b/>
                      <w:color w:val="000000"/>
                    </w:rPr>
                    <w:t>具体防渗区域范围</w:t>
                  </w:r>
                </w:p>
              </w:tc>
              <w:tc>
                <w:tcPr>
                  <w:tcW w:w="3112" w:type="pct"/>
                  <w:tcBorders>
                    <w:tl2br w:val="nil"/>
                    <w:tr2bl w:val="nil"/>
                  </w:tcBorders>
                  <w:noWrap w:val="0"/>
                  <w:vAlign w:val="center"/>
                </w:tcPr>
                <w:p w14:paraId="59A0A55A">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b/>
                      <w:color w:val="000000"/>
                    </w:rPr>
                  </w:pPr>
                  <w:r>
                    <w:rPr>
                      <w:rFonts w:hint="eastAsia"/>
                      <w:b/>
                      <w:color w:val="000000"/>
                    </w:rPr>
                    <w:t>防渗处理措施</w:t>
                  </w:r>
                </w:p>
              </w:tc>
            </w:tr>
            <w:tr w14:paraId="4134F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551" w:type="pct"/>
                  <w:tcBorders>
                    <w:tl2br w:val="nil"/>
                    <w:tr2bl w:val="nil"/>
                  </w:tcBorders>
                  <w:noWrap w:val="0"/>
                  <w:vAlign w:val="center"/>
                </w:tcPr>
                <w:p w14:paraId="5FC11425">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rPr>
                  </w:pPr>
                  <w:r>
                    <w:rPr>
                      <w:rFonts w:hint="eastAsia"/>
                      <w:color w:val="000000"/>
                    </w:rPr>
                    <w:t>重点防渗区</w:t>
                  </w:r>
                </w:p>
              </w:tc>
              <w:tc>
                <w:tcPr>
                  <w:tcW w:w="1335" w:type="pct"/>
                  <w:tcBorders>
                    <w:tl2br w:val="nil"/>
                    <w:tr2bl w:val="nil"/>
                  </w:tcBorders>
                  <w:noWrap w:val="0"/>
                  <w:vAlign w:val="center"/>
                </w:tcPr>
                <w:p w14:paraId="20E5FBCA">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highlight w:val="none"/>
                    </w:rPr>
                  </w:pPr>
                  <w:r>
                    <w:rPr>
                      <w:rFonts w:hint="eastAsia"/>
                      <w:color w:val="000000"/>
                      <w:kern w:val="2"/>
                      <w:highlight w:val="none"/>
                    </w:rPr>
                    <w:t>危废暂存区、应急事故池</w:t>
                  </w:r>
                  <w:r>
                    <w:rPr>
                      <w:rFonts w:hint="eastAsia"/>
                      <w:color w:val="000000"/>
                      <w:highlight w:val="none"/>
                    </w:rPr>
                    <w:t>、</w:t>
                  </w:r>
                  <w:r>
                    <w:rPr>
                      <w:rFonts w:hint="eastAsia"/>
                      <w:color w:val="000000"/>
                      <w:highlight w:val="none"/>
                      <w:lang w:val="en-US" w:eastAsia="zh-CN"/>
                    </w:rPr>
                    <w:t>原料仓库、清洗车间</w:t>
                  </w:r>
                  <w:r>
                    <w:rPr>
                      <w:rFonts w:hint="eastAsia"/>
                      <w:color w:val="000000"/>
                      <w:lang w:val="en-US" w:eastAsia="zh-CN"/>
                    </w:rPr>
                    <w:t>、污水处理设施区域</w:t>
                  </w:r>
                </w:p>
              </w:tc>
              <w:tc>
                <w:tcPr>
                  <w:tcW w:w="3112" w:type="pct"/>
                  <w:tcBorders>
                    <w:tl2br w:val="nil"/>
                    <w:tr2bl w:val="nil"/>
                  </w:tcBorders>
                  <w:noWrap w:val="0"/>
                  <w:vAlign w:val="center"/>
                </w:tcPr>
                <w:p w14:paraId="4691FC38">
                  <w:pPr>
                    <w:keepNext w:val="0"/>
                    <w:keepLines w:val="0"/>
                    <w:pageBreakBefore w:val="0"/>
                    <w:widowControl w:val="0"/>
                    <w:kinsoku/>
                    <w:wordWrap/>
                    <w:overflowPunct/>
                    <w:topLinePunct w:val="0"/>
                    <w:autoSpaceDE/>
                    <w:autoSpaceDN/>
                    <w:bidi w:val="0"/>
                    <w:adjustRightInd w:val="0"/>
                    <w:snapToGrid w:val="0"/>
                    <w:ind w:firstLine="0"/>
                    <w:jc w:val="left"/>
                    <w:textAlignment w:val="auto"/>
                    <w:rPr>
                      <w:color w:val="000000"/>
                      <w:szCs w:val="21"/>
                    </w:rPr>
                  </w:pPr>
                  <w:r>
                    <w:rPr>
                      <w:rFonts w:hint="eastAsia"/>
                      <w:color w:val="000000"/>
                      <w:szCs w:val="21"/>
                    </w:rPr>
                    <w:t>（</w:t>
                  </w:r>
                  <w:r>
                    <w:rPr>
                      <w:color w:val="000000"/>
                      <w:szCs w:val="21"/>
                    </w:rPr>
                    <w:t>1</w:t>
                  </w:r>
                  <w:r>
                    <w:rPr>
                      <w:rFonts w:hint="eastAsia"/>
                      <w:color w:val="000000"/>
                      <w:szCs w:val="21"/>
                    </w:rPr>
                    <w:t>）危废储存容器材质满足相应强度、防渗、防腐要求；</w:t>
                  </w:r>
                </w:p>
                <w:p w14:paraId="13D012F4">
                  <w:pPr>
                    <w:keepNext w:val="0"/>
                    <w:keepLines w:val="0"/>
                    <w:pageBreakBefore w:val="0"/>
                    <w:widowControl w:val="0"/>
                    <w:kinsoku/>
                    <w:wordWrap/>
                    <w:overflowPunct/>
                    <w:topLinePunct w:val="0"/>
                    <w:autoSpaceDE/>
                    <w:autoSpaceDN/>
                    <w:bidi w:val="0"/>
                    <w:adjustRightInd w:val="0"/>
                    <w:snapToGrid w:val="0"/>
                    <w:ind w:firstLine="0"/>
                    <w:jc w:val="left"/>
                    <w:textAlignment w:val="auto"/>
                    <w:rPr>
                      <w:color w:val="000000"/>
                      <w:szCs w:val="21"/>
                    </w:rPr>
                  </w:pPr>
                  <w:r>
                    <w:rPr>
                      <w:rFonts w:hint="eastAsia"/>
                      <w:color w:val="000000"/>
                      <w:szCs w:val="21"/>
                    </w:rPr>
                    <w:t>（</w:t>
                  </w:r>
                  <w:r>
                    <w:rPr>
                      <w:color w:val="000000"/>
                      <w:szCs w:val="21"/>
                    </w:rPr>
                    <w:t>2</w:t>
                  </w:r>
                  <w:r>
                    <w:rPr>
                      <w:rFonts w:hint="eastAsia"/>
                      <w:color w:val="000000"/>
                      <w:szCs w:val="21"/>
                    </w:rPr>
                    <w:t>）危废</w:t>
                  </w:r>
                  <w:r>
                    <w:rPr>
                      <w:rFonts w:hint="eastAsia"/>
                      <w:color w:val="000000"/>
                      <w:szCs w:val="21"/>
                      <w:lang w:val="en-US" w:eastAsia="zh-CN"/>
                    </w:rPr>
                    <w:t>仓库</w:t>
                  </w:r>
                  <w:r>
                    <w:rPr>
                      <w:rFonts w:hint="eastAsia"/>
                      <w:color w:val="000000"/>
                      <w:szCs w:val="21"/>
                    </w:rPr>
                    <w:t>四周壁用砖砌再用水泥硬化防渗，地面涂环氧树脂防腐防渗，并设置防渗漏装置及泄漏液体收集装置；</w:t>
                  </w:r>
                </w:p>
                <w:p w14:paraId="05642CBF">
                  <w:pPr>
                    <w:pStyle w:val="31"/>
                    <w:keepNext w:val="0"/>
                    <w:keepLines w:val="0"/>
                    <w:pageBreakBefore w:val="0"/>
                    <w:widowControl w:val="0"/>
                    <w:kinsoku/>
                    <w:wordWrap/>
                    <w:overflowPunct/>
                    <w:topLinePunct w:val="0"/>
                    <w:autoSpaceDE/>
                    <w:autoSpaceDN/>
                    <w:bidi w:val="0"/>
                    <w:adjustRightInd w:val="0"/>
                    <w:snapToGrid w:val="0"/>
                    <w:spacing w:before="0"/>
                    <w:ind w:firstLine="0"/>
                    <w:jc w:val="left"/>
                    <w:textAlignment w:val="auto"/>
                    <w:rPr>
                      <w:color w:val="000000"/>
                    </w:rPr>
                  </w:pPr>
                  <w:r>
                    <w:rPr>
                      <w:rFonts w:hint="eastAsia"/>
                      <w:color w:val="000000"/>
                    </w:rPr>
                    <w:t>（</w:t>
                  </w:r>
                  <w:r>
                    <w:rPr>
                      <w:color w:val="000000"/>
                    </w:rPr>
                    <w:t>3</w:t>
                  </w:r>
                  <w:r>
                    <w:rPr>
                      <w:rFonts w:hint="eastAsia"/>
                      <w:color w:val="000000"/>
                    </w:rPr>
                    <w:t>）事故池用水泥硬化，四周壁用砖砌再用水泥硬化防渗，全池涂环氧树脂防腐防渗；</w:t>
                  </w:r>
                </w:p>
                <w:p w14:paraId="082008BE">
                  <w:pPr>
                    <w:pStyle w:val="31"/>
                    <w:keepNext w:val="0"/>
                    <w:keepLines w:val="0"/>
                    <w:pageBreakBefore w:val="0"/>
                    <w:widowControl w:val="0"/>
                    <w:kinsoku/>
                    <w:wordWrap/>
                    <w:overflowPunct/>
                    <w:topLinePunct w:val="0"/>
                    <w:autoSpaceDE/>
                    <w:autoSpaceDN/>
                    <w:bidi w:val="0"/>
                    <w:adjustRightInd w:val="0"/>
                    <w:snapToGrid w:val="0"/>
                    <w:spacing w:before="0"/>
                    <w:ind w:firstLine="0"/>
                    <w:jc w:val="left"/>
                    <w:textAlignment w:val="auto"/>
                    <w:rPr>
                      <w:color w:val="000000"/>
                    </w:rPr>
                  </w:pPr>
                  <w:r>
                    <w:rPr>
                      <w:rFonts w:hint="eastAsia"/>
                      <w:color w:val="000000"/>
                    </w:rPr>
                    <w:t>（</w:t>
                  </w:r>
                  <w:r>
                    <w:rPr>
                      <w:color w:val="000000"/>
                    </w:rPr>
                    <w:t>4</w:t>
                  </w:r>
                  <w:r>
                    <w:rPr>
                      <w:rFonts w:hint="eastAsia"/>
                      <w:color w:val="000000"/>
                    </w:rPr>
                    <w:t>）防渗层防渗系数</w:t>
                  </w:r>
                  <w:r>
                    <w:rPr>
                      <w:color w:val="000000"/>
                    </w:rPr>
                    <w:t>1.0×10</w:t>
                  </w:r>
                  <w:r>
                    <w:rPr>
                      <w:color w:val="000000"/>
                      <w:vertAlign w:val="superscript"/>
                    </w:rPr>
                    <w:t>-10</w:t>
                  </w:r>
                  <w:r>
                    <w:rPr>
                      <w:color w:val="000000"/>
                    </w:rPr>
                    <w:t>cm/s</w:t>
                  </w:r>
                  <w:r>
                    <w:rPr>
                      <w:rFonts w:hint="eastAsia"/>
                      <w:color w:val="000000"/>
                    </w:rPr>
                    <w:t>。</w:t>
                  </w:r>
                </w:p>
              </w:tc>
            </w:tr>
            <w:tr w14:paraId="55135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1" w:type="pct"/>
                  <w:tcBorders>
                    <w:tl2br w:val="nil"/>
                    <w:tr2bl w:val="nil"/>
                  </w:tcBorders>
                  <w:noWrap w:val="0"/>
                  <w:vAlign w:val="center"/>
                </w:tcPr>
                <w:p w14:paraId="484D401D">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rPr>
                  </w:pPr>
                  <w:r>
                    <w:rPr>
                      <w:rFonts w:hint="eastAsia"/>
                      <w:color w:val="000000"/>
                    </w:rPr>
                    <w:t>一般防渗区</w:t>
                  </w:r>
                </w:p>
              </w:tc>
              <w:tc>
                <w:tcPr>
                  <w:tcW w:w="1335" w:type="pct"/>
                  <w:tcBorders>
                    <w:tl2br w:val="nil"/>
                    <w:tr2bl w:val="nil"/>
                  </w:tcBorders>
                  <w:noWrap w:val="0"/>
                  <w:vAlign w:val="center"/>
                </w:tcPr>
                <w:p w14:paraId="68E9F6D4">
                  <w:pPr>
                    <w:pStyle w:val="31"/>
                    <w:keepNext w:val="0"/>
                    <w:keepLines w:val="0"/>
                    <w:pageBreakBefore w:val="0"/>
                    <w:widowControl w:val="0"/>
                    <w:kinsoku/>
                    <w:wordWrap/>
                    <w:overflowPunct/>
                    <w:topLinePunct w:val="0"/>
                    <w:autoSpaceDE/>
                    <w:autoSpaceDN/>
                    <w:bidi w:val="0"/>
                    <w:adjustRightInd w:val="0"/>
                    <w:snapToGrid w:val="0"/>
                    <w:spacing w:before="0"/>
                    <w:ind w:firstLine="0"/>
                    <w:textAlignment w:val="auto"/>
                    <w:rPr>
                      <w:color w:val="000000"/>
                      <w:highlight w:val="none"/>
                    </w:rPr>
                  </w:pPr>
                  <w:r>
                    <w:rPr>
                      <w:rFonts w:hint="eastAsia"/>
                      <w:color w:val="000000"/>
                      <w:highlight w:val="none"/>
                    </w:rPr>
                    <w:t>生产车间</w:t>
                  </w:r>
                </w:p>
              </w:tc>
              <w:tc>
                <w:tcPr>
                  <w:tcW w:w="3112" w:type="pct"/>
                  <w:tcBorders>
                    <w:tl2br w:val="nil"/>
                    <w:tr2bl w:val="nil"/>
                  </w:tcBorders>
                  <w:noWrap w:val="0"/>
                  <w:vAlign w:val="center"/>
                </w:tcPr>
                <w:p w14:paraId="1C8EE2F4">
                  <w:pPr>
                    <w:pStyle w:val="31"/>
                    <w:keepNext w:val="0"/>
                    <w:keepLines w:val="0"/>
                    <w:pageBreakBefore w:val="0"/>
                    <w:widowControl w:val="0"/>
                    <w:kinsoku/>
                    <w:wordWrap/>
                    <w:overflowPunct/>
                    <w:topLinePunct w:val="0"/>
                    <w:autoSpaceDE/>
                    <w:autoSpaceDN/>
                    <w:bidi w:val="0"/>
                    <w:adjustRightInd w:val="0"/>
                    <w:snapToGrid w:val="0"/>
                    <w:ind w:firstLine="0"/>
                    <w:textAlignment w:val="auto"/>
                    <w:rPr>
                      <w:color w:val="000000"/>
                    </w:rPr>
                  </w:pPr>
                  <w:r>
                    <w:rPr>
                      <w:rFonts w:hint="eastAsia"/>
                      <w:color w:val="000000"/>
                    </w:rPr>
                    <w:t>采取粘土铺底，再在上层铺10~15cm的水泥进行硬化，各单元防渗层渗透系数≤10</w:t>
                  </w:r>
                  <w:r>
                    <w:rPr>
                      <w:rFonts w:hint="eastAsia"/>
                      <w:color w:val="000000"/>
                      <w:vertAlign w:val="superscript"/>
                    </w:rPr>
                    <w:t>-7</w:t>
                  </w:r>
                  <w:r>
                    <w:rPr>
                      <w:rFonts w:hint="eastAsia"/>
                      <w:color w:val="000000"/>
                    </w:rPr>
                    <w:t>cm/s。</w:t>
                  </w:r>
                </w:p>
              </w:tc>
            </w:tr>
          </w:tbl>
          <w:p w14:paraId="5BCE4884">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rFonts w:hint="eastAsia"/>
                <w:color w:val="000000"/>
                <w:sz w:val="24"/>
              </w:rPr>
              <w:t>②污染监控</w:t>
            </w:r>
          </w:p>
          <w:p w14:paraId="4F196491">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rFonts w:hint="eastAsia"/>
                <w:color w:val="000000"/>
                <w:sz w:val="24"/>
              </w:rPr>
              <w:t>项目应建立完善的监测制度，合理设置地下水污染监控井，发现污染及时控制。</w:t>
            </w:r>
          </w:p>
          <w:p w14:paraId="745E4A8D">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rFonts w:hint="eastAsia"/>
                <w:color w:val="000000"/>
                <w:sz w:val="24"/>
              </w:rPr>
              <w:t>③应急响应</w:t>
            </w:r>
          </w:p>
          <w:p w14:paraId="754EFBA9">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A.</w:t>
            </w:r>
            <w:r>
              <w:rPr>
                <w:rFonts w:hint="eastAsia"/>
                <w:color w:val="000000"/>
                <w:sz w:val="24"/>
              </w:rPr>
              <w:t>定期监测厂区内地下水水质，及时发现可能发生的地下水污染事故。</w:t>
            </w:r>
          </w:p>
          <w:p w14:paraId="542DD139">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B.</w:t>
            </w:r>
            <w:r>
              <w:rPr>
                <w:rFonts w:hint="eastAsia"/>
                <w:color w:val="000000"/>
                <w:sz w:val="24"/>
              </w:rPr>
              <w:t>制定地下水污染应急响应预案，明确污染状况下应采取的控制污染源、切断污染途径等措施。</w:t>
            </w:r>
          </w:p>
          <w:p w14:paraId="175AB9C0">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C.</w:t>
            </w:r>
            <w:r>
              <w:rPr>
                <w:rFonts w:hint="eastAsia"/>
                <w:color w:val="000000"/>
                <w:sz w:val="24"/>
              </w:rPr>
              <w:t>当发现污染源泄漏，应立即进行堵漏、切断污染源头等有效措施，防止污染物进一步泄漏，已泄漏于地面的物料应及时进行收集、吸附等地面清理措施。</w:t>
            </w:r>
          </w:p>
          <w:p w14:paraId="596E6C82">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color w:val="000000"/>
                <w:sz w:val="24"/>
              </w:rPr>
              <w:t>D.</w:t>
            </w:r>
            <w:r>
              <w:rPr>
                <w:rFonts w:hint="eastAsia"/>
                <w:color w:val="000000"/>
                <w:sz w:val="24"/>
              </w:rPr>
              <w:t>制定污染事故应急预案并组织定期演练。</w:t>
            </w:r>
          </w:p>
          <w:p w14:paraId="4248D2C9">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rFonts w:hint="eastAsia"/>
                <w:color w:val="000000"/>
                <w:sz w:val="24"/>
              </w:rPr>
              <w:t>综上，本项目在落实以上土壤、地下水污染防治措施之后，在正常生产过程中或事故时，均可以有效防止对土壤、地下水的污染。</w:t>
            </w:r>
          </w:p>
          <w:p w14:paraId="501D8B45">
            <w:pPr>
              <w:keepNext w:val="0"/>
              <w:keepLines w:val="0"/>
              <w:pageBreakBefore w:val="0"/>
              <w:widowControl w:val="0"/>
              <w:kinsoku/>
              <w:wordWrap/>
              <w:overflowPunct/>
              <w:topLinePunct w:val="0"/>
              <w:bidi w:val="0"/>
              <w:adjustRightInd/>
              <w:snapToGrid/>
              <w:spacing w:line="360" w:lineRule="auto"/>
              <w:ind w:firstLine="482"/>
              <w:textAlignment w:val="auto"/>
              <w:rPr>
                <w:b/>
                <w:color w:val="000000"/>
                <w:sz w:val="24"/>
              </w:rPr>
            </w:pPr>
            <w:r>
              <w:rPr>
                <w:rFonts w:hint="eastAsia"/>
                <w:b/>
                <w:color w:val="000000"/>
                <w:sz w:val="24"/>
              </w:rPr>
              <w:t>6、生态环境影响分析</w:t>
            </w:r>
          </w:p>
          <w:p w14:paraId="5F1D53B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ascii="宋体" w:hAnsi="宋体"/>
                <w:color w:val="000000"/>
                <w:sz w:val="24"/>
              </w:rPr>
            </w:pPr>
            <w:r>
              <w:rPr>
                <w:rFonts w:hint="eastAsia" w:ascii="宋体" w:hAnsi="宋体"/>
                <w:color w:val="000000"/>
                <w:sz w:val="24"/>
              </w:rPr>
              <w:t>本项目不涉及产业园区外建设项目新增用地且周边无生态环境保护目标，故本报告不再进行生态环境影响评价。</w:t>
            </w:r>
          </w:p>
          <w:p w14:paraId="422CC004">
            <w:pPr>
              <w:keepNext w:val="0"/>
              <w:keepLines w:val="0"/>
              <w:pageBreakBefore w:val="0"/>
              <w:widowControl w:val="0"/>
              <w:kinsoku/>
              <w:wordWrap/>
              <w:overflowPunct/>
              <w:topLinePunct w:val="0"/>
              <w:bidi w:val="0"/>
              <w:adjustRightInd/>
              <w:snapToGrid/>
              <w:spacing w:line="360" w:lineRule="auto"/>
              <w:ind w:firstLine="482"/>
              <w:textAlignment w:val="auto"/>
              <w:rPr>
                <w:b/>
                <w:color w:val="000000"/>
                <w:sz w:val="24"/>
              </w:rPr>
            </w:pPr>
            <w:r>
              <w:rPr>
                <w:rFonts w:hint="eastAsia"/>
                <w:b/>
                <w:color w:val="000000"/>
                <w:sz w:val="24"/>
              </w:rPr>
              <w:t>7、环境风险影响分析</w:t>
            </w:r>
          </w:p>
          <w:p w14:paraId="5BED93A1">
            <w:pPr>
              <w:keepNext w:val="0"/>
              <w:keepLines w:val="0"/>
              <w:pageBreakBefore w:val="0"/>
              <w:widowControl w:val="0"/>
              <w:kinsoku/>
              <w:wordWrap/>
              <w:overflowPunct/>
              <w:topLinePunct w:val="0"/>
              <w:bidi w:val="0"/>
              <w:adjustRightInd/>
              <w:snapToGrid/>
              <w:spacing w:line="360" w:lineRule="auto"/>
              <w:ind w:firstLine="482"/>
              <w:textAlignment w:val="auto"/>
              <w:rPr>
                <w:b/>
                <w:color w:val="000000"/>
                <w:sz w:val="24"/>
              </w:rPr>
            </w:pPr>
            <w:r>
              <w:rPr>
                <w:rFonts w:hint="eastAsia"/>
                <w:b/>
                <w:color w:val="000000"/>
                <w:sz w:val="24"/>
              </w:rPr>
              <w:t>7.1评价依据</w:t>
            </w:r>
          </w:p>
          <w:p w14:paraId="120FD191">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highlight w:val="none"/>
              </w:rPr>
            </w:pPr>
            <w:r>
              <w:rPr>
                <w:rFonts w:hint="eastAsia"/>
                <w:color w:val="000000"/>
                <w:sz w:val="24"/>
                <w:highlight w:val="none"/>
              </w:rPr>
              <w:t>根据《建设项目环境风险评价技术导则》（HJ 169-2018）中规定的重大危险源辨识原则，本项目主要风险物质为</w:t>
            </w:r>
            <w:r>
              <w:rPr>
                <w:rFonts w:hint="eastAsia"/>
                <w:color w:val="000000"/>
                <w:sz w:val="24"/>
                <w:highlight w:val="none"/>
                <w:lang w:val="en-US" w:eastAsia="zh-CN"/>
              </w:rPr>
              <w:t>润滑油、蒸发残液</w:t>
            </w:r>
            <w:r>
              <w:rPr>
                <w:rFonts w:hint="eastAsia"/>
                <w:color w:val="000000"/>
                <w:sz w:val="24"/>
                <w:highlight w:val="none"/>
              </w:rPr>
              <w:t>等。</w:t>
            </w:r>
          </w:p>
          <w:p w14:paraId="47844E02">
            <w:pPr>
              <w:keepNext w:val="0"/>
              <w:keepLines w:val="0"/>
              <w:pageBreakBefore w:val="0"/>
              <w:widowControl w:val="0"/>
              <w:kinsoku/>
              <w:wordWrap/>
              <w:overflowPunct/>
              <w:topLinePunct w:val="0"/>
              <w:bidi w:val="0"/>
              <w:adjustRightInd/>
              <w:snapToGrid/>
              <w:spacing w:line="360" w:lineRule="auto"/>
              <w:ind w:firstLine="482"/>
              <w:textAlignment w:val="auto"/>
              <w:rPr>
                <w:b/>
                <w:color w:val="000000"/>
                <w:sz w:val="24"/>
                <w:highlight w:val="none"/>
              </w:rPr>
            </w:pPr>
            <w:r>
              <w:rPr>
                <w:b/>
                <w:color w:val="000000"/>
                <w:sz w:val="24"/>
                <w:highlight w:val="none"/>
              </w:rPr>
              <w:t>7.</w:t>
            </w:r>
            <w:r>
              <w:rPr>
                <w:rFonts w:hint="eastAsia"/>
                <w:b/>
                <w:color w:val="000000"/>
                <w:sz w:val="24"/>
                <w:highlight w:val="none"/>
              </w:rPr>
              <w:t>2</w:t>
            </w:r>
            <w:r>
              <w:rPr>
                <w:b/>
                <w:color w:val="000000"/>
                <w:sz w:val="24"/>
                <w:highlight w:val="none"/>
              </w:rPr>
              <w:t>环境风险潜势初判</w:t>
            </w:r>
          </w:p>
          <w:p w14:paraId="4430042B">
            <w:pPr>
              <w:pStyle w:val="35"/>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分析建设项目生产、使用、储存过程中涉及的有毒有害、易燃易爆物质，根据危险物质的临界量，定量分析危险物质数量与临界量的比值（Q）和所属行业及生产工艺特点（M），对危险物质及工艺系统危险性（P）等级进行判断。</w:t>
            </w:r>
          </w:p>
          <w:p w14:paraId="3D8D32E4">
            <w:pPr>
              <w:pStyle w:val="35"/>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①危险物质数量与临界量比值（Q）</w:t>
            </w:r>
          </w:p>
          <w:p w14:paraId="5BFE003A">
            <w:pPr>
              <w:pStyle w:val="35"/>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根据HJ 169-2018附录C.1.1，计算所涉及的每种危险物质在厂界内的最大存在总量与其在附录B中对应临界量的比值Q。在不同厂区的同一种物质，按其在厂界内的最大存在总量计算。对于长输管线项目，按照两个截断阀室之间管段危险物质最大存在总</w:t>
            </w:r>
            <w:r>
              <w:rPr>
                <w:rFonts w:hint="default" w:ascii="Times New Roman" w:hAnsi="Times New Roman" w:cs="Times New Roman"/>
                <w:color w:val="000000"/>
                <w:highlight w:val="none"/>
                <w:lang w:val="en-US" w:eastAsia="zh-CN"/>
              </w:rPr>
              <w:t>量</w:t>
            </w:r>
            <w:r>
              <w:rPr>
                <w:rFonts w:hint="default" w:ascii="Times New Roman" w:hAnsi="Times New Roman" w:cs="Times New Roman"/>
                <w:color w:val="000000"/>
                <w:highlight w:val="none"/>
              </w:rPr>
              <w:t>计算。</w:t>
            </w:r>
          </w:p>
          <w:p w14:paraId="5B6ACCBD">
            <w:pPr>
              <w:pStyle w:val="35"/>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当只涉及一种危险物质时，计算该物质的总量与其临界量比值，即为Q；</w:t>
            </w:r>
          </w:p>
          <w:p w14:paraId="07FFCFCA">
            <w:pPr>
              <w:pStyle w:val="35"/>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b/>
                <w:bCs/>
                <w:color w:val="000000"/>
                <w:highlight w:val="none"/>
              </w:rPr>
            </w:pPr>
            <w:r>
              <w:rPr>
                <w:rFonts w:hint="default" w:ascii="Times New Roman" w:hAnsi="Times New Roman" w:cs="Times New Roman"/>
                <w:color w:val="000000"/>
                <w:highlight w:val="none"/>
              </w:rPr>
              <w:t>当存在多种危险物质时，则按式（C.1）计算物质总量与其临界量比值（Q）</w:t>
            </w:r>
            <w:r>
              <w:rPr>
                <w:color w:val="000000"/>
                <w:highlight w:val="none"/>
              </w:rPr>
              <w:t>：</w:t>
            </w:r>
          </w:p>
          <w:p w14:paraId="30E1FF82">
            <w:pPr>
              <w:pStyle w:val="35"/>
              <w:keepNext w:val="0"/>
              <w:keepLines w:val="0"/>
              <w:pageBreakBefore w:val="0"/>
              <w:widowControl w:val="0"/>
              <w:kinsoku/>
              <w:wordWrap/>
              <w:overflowPunct/>
              <w:topLinePunct w:val="0"/>
              <w:bidi w:val="0"/>
              <w:adjustRightInd/>
              <w:snapToGrid/>
              <w:spacing w:line="360" w:lineRule="auto"/>
              <w:jc w:val="center"/>
              <w:textAlignment w:val="auto"/>
              <w:rPr>
                <w:b/>
                <w:bCs/>
                <w:color w:val="000000"/>
                <w:sz w:val="23"/>
                <w:szCs w:val="23"/>
                <w:highlight w:val="none"/>
              </w:rPr>
            </w:pPr>
            <w:r>
              <w:rPr>
                <w:color w:val="000000"/>
                <w:highlight w:val="none"/>
              </w:rPr>
              <w:drawing>
                <wp:inline distT="0" distB="0" distL="114300" distR="114300">
                  <wp:extent cx="4029075" cy="609600"/>
                  <wp:effectExtent l="0" t="0" r="952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4"/>
                          <a:stretch>
                            <a:fillRect/>
                          </a:stretch>
                        </pic:blipFill>
                        <pic:spPr>
                          <a:xfrm>
                            <a:off x="0" y="0"/>
                            <a:ext cx="4029075" cy="609600"/>
                          </a:xfrm>
                          <a:prstGeom prst="rect">
                            <a:avLst/>
                          </a:prstGeom>
                          <a:noFill/>
                          <a:ln>
                            <a:noFill/>
                          </a:ln>
                        </pic:spPr>
                      </pic:pic>
                    </a:graphicData>
                  </a:graphic>
                </wp:inline>
              </w:drawing>
            </w:r>
          </w:p>
          <w:p w14:paraId="4E92F6AA">
            <w:pPr>
              <w:keepNext w:val="0"/>
              <w:keepLines w:val="0"/>
              <w:pageBreakBefore w:val="0"/>
              <w:widowControl w:val="0"/>
              <w:tabs>
                <w:tab w:val="left" w:pos="360"/>
              </w:tabs>
              <w:kinsoku/>
              <w:wordWrap/>
              <w:overflowPunct/>
              <w:topLinePunct w:val="0"/>
              <w:autoSpaceDE w:val="0"/>
              <w:autoSpaceDN w:val="0"/>
              <w:bidi w:val="0"/>
              <w:adjustRightInd/>
              <w:snapToGrid/>
              <w:spacing w:line="360" w:lineRule="auto"/>
              <w:ind w:firstLine="480" w:firstLineChars="200"/>
              <w:textAlignment w:val="auto"/>
              <w:rPr>
                <w:color w:val="000000"/>
                <w:kern w:val="0"/>
                <w:sz w:val="24"/>
                <w:highlight w:val="none"/>
              </w:rPr>
            </w:pPr>
            <w:r>
              <w:rPr>
                <w:color w:val="000000"/>
                <w:kern w:val="0"/>
                <w:sz w:val="24"/>
                <w:highlight w:val="none"/>
              </w:rPr>
              <w:t>式中，q</w:t>
            </w:r>
            <w:r>
              <w:rPr>
                <w:color w:val="000000"/>
                <w:kern w:val="0"/>
                <w:sz w:val="24"/>
                <w:highlight w:val="none"/>
                <w:vertAlign w:val="subscript"/>
              </w:rPr>
              <w:t>1</w:t>
            </w:r>
            <w:r>
              <w:rPr>
                <w:rFonts w:hint="eastAsia"/>
                <w:color w:val="000000"/>
                <w:kern w:val="0"/>
                <w:sz w:val="24"/>
                <w:highlight w:val="none"/>
                <w:lang w:eastAsia="zh-CN"/>
              </w:rPr>
              <w:t>，</w:t>
            </w:r>
            <w:r>
              <w:rPr>
                <w:color w:val="000000"/>
                <w:kern w:val="0"/>
                <w:sz w:val="24"/>
                <w:highlight w:val="none"/>
              </w:rPr>
              <w:t>q</w:t>
            </w:r>
            <w:r>
              <w:rPr>
                <w:color w:val="000000"/>
                <w:kern w:val="0"/>
                <w:sz w:val="24"/>
                <w:highlight w:val="none"/>
                <w:vertAlign w:val="subscript"/>
              </w:rPr>
              <w:t>2</w:t>
            </w:r>
            <w:r>
              <w:rPr>
                <w:rFonts w:hint="eastAsia"/>
                <w:color w:val="000000"/>
                <w:kern w:val="0"/>
                <w:sz w:val="24"/>
                <w:highlight w:val="none"/>
                <w:lang w:eastAsia="zh-CN"/>
              </w:rPr>
              <w:t>…</w:t>
            </w:r>
            <w:r>
              <w:rPr>
                <w:color w:val="000000"/>
                <w:kern w:val="0"/>
                <w:sz w:val="24"/>
                <w:highlight w:val="none"/>
              </w:rPr>
              <w:t>q</w:t>
            </w:r>
            <w:r>
              <w:rPr>
                <w:color w:val="000000"/>
                <w:kern w:val="0"/>
                <w:sz w:val="24"/>
                <w:highlight w:val="none"/>
                <w:vertAlign w:val="subscript"/>
              </w:rPr>
              <w:t>n</w:t>
            </w:r>
            <w:r>
              <w:rPr>
                <w:rFonts w:hint="eastAsia"/>
                <w:color w:val="000000"/>
                <w:kern w:val="0"/>
                <w:sz w:val="24"/>
                <w:highlight w:val="none"/>
                <w:lang w:eastAsia="zh-CN"/>
              </w:rPr>
              <w:t>—</w:t>
            </w:r>
            <w:r>
              <w:rPr>
                <w:color w:val="000000"/>
                <w:kern w:val="0"/>
                <w:sz w:val="24"/>
                <w:highlight w:val="none"/>
              </w:rPr>
              <w:t>每种危险物质的最大存在总量，t。</w:t>
            </w:r>
          </w:p>
          <w:p w14:paraId="153C252D">
            <w:pPr>
              <w:keepNext w:val="0"/>
              <w:keepLines w:val="0"/>
              <w:pageBreakBefore w:val="0"/>
              <w:widowControl w:val="0"/>
              <w:tabs>
                <w:tab w:val="left" w:pos="360"/>
              </w:tabs>
              <w:kinsoku/>
              <w:wordWrap/>
              <w:overflowPunct/>
              <w:topLinePunct w:val="0"/>
              <w:autoSpaceDE w:val="0"/>
              <w:autoSpaceDN w:val="0"/>
              <w:bidi w:val="0"/>
              <w:adjustRightInd/>
              <w:snapToGrid/>
              <w:spacing w:line="360" w:lineRule="auto"/>
              <w:ind w:firstLine="1200" w:firstLineChars="500"/>
              <w:textAlignment w:val="auto"/>
              <w:rPr>
                <w:color w:val="000000"/>
                <w:kern w:val="0"/>
                <w:sz w:val="24"/>
                <w:highlight w:val="none"/>
              </w:rPr>
            </w:pPr>
            <w:r>
              <w:rPr>
                <w:color w:val="000000"/>
                <w:kern w:val="0"/>
                <w:sz w:val="24"/>
                <w:highlight w:val="none"/>
              </w:rPr>
              <w:t>Q</w:t>
            </w:r>
            <w:r>
              <w:rPr>
                <w:color w:val="000000"/>
                <w:kern w:val="0"/>
                <w:sz w:val="24"/>
                <w:highlight w:val="none"/>
                <w:vertAlign w:val="subscript"/>
              </w:rPr>
              <w:t>1</w:t>
            </w:r>
            <w:r>
              <w:rPr>
                <w:color w:val="000000"/>
                <w:kern w:val="0"/>
                <w:sz w:val="24"/>
                <w:highlight w:val="none"/>
              </w:rPr>
              <w:t>，Q</w:t>
            </w:r>
            <w:r>
              <w:rPr>
                <w:color w:val="000000"/>
                <w:kern w:val="0"/>
                <w:sz w:val="24"/>
                <w:highlight w:val="none"/>
                <w:vertAlign w:val="subscript"/>
              </w:rPr>
              <w:t>2</w:t>
            </w:r>
            <w:r>
              <w:rPr>
                <w:rFonts w:hint="eastAsia"/>
                <w:color w:val="000000"/>
                <w:kern w:val="0"/>
                <w:sz w:val="24"/>
                <w:highlight w:val="none"/>
                <w:lang w:eastAsia="zh-CN"/>
              </w:rPr>
              <w:t>…</w:t>
            </w:r>
            <w:r>
              <w:rPr>
                <w:color w:val="000000"/>
                <w:kern w:val="0"/>
                <w:sz w:val="24"/>
                <w:highlight w:val="none"/>
              </w:rPr>
              <w:t>Q</w:t>
            </w:r>
            <w:r>
              <w:rPr>
                <w:color w:val="000000"/>
                <w:kern w:val="0"/>
                <w:sz w:val="24"/>
                <w:highlight w:val="none"/>
                <w:vertAlign w:val="subscript"/>
              </w:rPr>
              <w:t>n</w:t>
            </w:r>
            <w:r>
              <w:rPr>
                <w:color w:val="000000"/>
                <w:kern w:val="0"/>
                <w:sz w:val="24"/>
                <w:highlight w:val="none"/>
              </w:rPr>
              <w:t>—每种危险物质的临界量，t。</w:t>
            </w:r>
          </w:p>
          <w:p w14:paraId="367189FE">
            <w:pPr>
              <w:keepNext w:val="0"/>
              <w:keepLines w:val="0"/>
              <w:pageBreakBefore w:val="0"/>
              <w:widowControl w:val="0"/>
              <w:tabs>
                <w:tab w:val="left" w:pos="360"/>
              </w:tabs>
              <w:kinsoku/>
              <w:wordWrap/>
              <w:overflowPunct/>
              <w:topLinePunct w:val="0"/>
              <w:autoSpaceDE w:val="0"/>
              <w:autoSpaceDN w:val="0"/>
              <w:bidi w:val="0"/>
              <w:adjustRightInd/>
              <w:snapToGrid/>
              <w:spacing w:line="360" w:lineRule="auto"/>
              <w:ind w:firstLine="480" w:firstLineChars="200"/>
              <w:textAlignment w:val="auto"/>
              <w:rPr>
                <w:color w:val="000000"/>
                <w:kern w:val="0"/>
                <w:sz w:val="24"/>
                <w:highlight w:val="none"/>
              </w:rPr>
            </w:pPr>
            <w:r>
              <w:rPr>
                <w:color w:val="000000"/>
                <w:kern w:val="0"/>
                <w:sz w:val="24"/>
                <w:highlight w:val="none"/>
              </w:rPr>
              <w:t>当Q＜1时，该项目环境风险潜势为</w:t>
            </w:r>
            <w:r>
              <w:rPr>
                <w:rFonts w:hint="eastAsia" w:ascii="宋体" w:hAnsi="宋体" w:cs="宋体"/>
                <w:color w:val="000000"/>
                <w:kern w:val="0"/>
                <w:sz w:val="24"/>
                <w:highlight w:val="none"/>
              </w:rPr>
              <w:t>Ⅰ</w:t>
            </w:r>
            <w:r>
              <w:rPr>
                <w:color w:val="000000"/>
                <w:kern w:val="0"/>
                <w:sz w:val="24"/>
                <w:highlight w:val="none"/>
              </w:rPr>
              <w:t>。</w:t>
            </w:r>
          </w:p>
          <w:p w14:paraId="3279F9F0">
            <w:pPr>
              <w:keepNext w:val="0"/>
              <w:keepLines w:val="0"/>
              <w:pageBreakBefore w:val="0"/>
              <w:widowControl w:val="0"/>
              <w:tabs>
                <w:tab w:val="left" w:pos="360"/>
              </w:tabs>
              <w:kinsoku/>
              <w:wordWrap/>
              <w:overflowPunct/>
              <w:topLinePunct w:val="0"/>
              <w:autoSpaceDE w:val="0"/>
              <w:autoSpaceDN w:val="0"/>
              <w:bidi w:val="0"/>
              <w:adjustRightInd/>
              <w:snapToGrid/>
              <w:spacing w:line="360" w:lineRule="auto"/>
              <w:ind w:firstLine="480" w:firstLineChars="200"/>
              <w:textAlignment w:val="auto"/>
              <w:rPr>
                <w:color w:val="000000"/>
                <w:kern w:val="0"/>
                <w:sz w:val="24"/>
                <w:highlight w:val="none"/>
              </w:rPr>
            </w:pPr>
            <w:r>
              <w:rPr>
                <w:color w:val="000000"/>
                <w:kern w:val="0"/>
                <w:sz w:val="24"/>
                <w:highlight w:val="none"/>
              </w:rPr>
              <w:t>当Q≥1时，将</w:t>
            </w:r>
            <w:bookmarkStart w:id="12" w:name="_GoBack"/>
            <w:r>
              <w:rPr>
                <w:color w:val="000000"/>
                <w:kern w:val="0"/>
                <w:sz w:val="24"/>
                <w:highlight w:val="none"/>
              </w:rPr>
              <w:t>Q值</w:t>
            </w:r>
            <w:bookmarkEnd w:id="12"/>
            <w:r>
              <w:rPr>
                <w:color w:val="000000"/>
                <w:kern w:val="0"/>
                <w:sz w:val="24"/>
                <w:highlight w:val="none"/>
              </w:rPr>
              <w:t>划分为：</w:t>
            </w:r>
          </w:p>
          <w:p w14:paraId="1EF6855C">
            <w:pPr>
              <w:keepNext w:val="0"/>
              <w:keepLines w:val="0"/>
              <w:pageBreakBefore w:val="0"/>
              <w:widowControl w:val="0"/>
              <w:tabs>
                <w:tab w:val="left" w:pos="360"/>
              </w:tabs>
              <w:kinsoku/>
              <w:wordWrap/>
              <w:overflowPunct/>
              <w:topLinePunct w:val="0"/>
              <w:autoSpaceDE w:val="0"/>
              <w:autoSpaceDN w:val="0"/>
              <w:bidi w:val="0"/>
              <w:adjustRightInd/>
              <w:snapToGrid/>
              <w:spacing w:line="360" w:lineRule="auto"/>
              <w:ind w:firstLine="480" w:firstLineChars="200"/>
              <w:textAlignment w:val="auto"/>
              <w:rPr>
                <w:color w:val="000000"/>
                <w:kern w:val="0"/>
                <w:sz w:val="24"/>
                <w:highlight w:val="none"/>
              </w:rPr>
            </w:pPr>
            <w:r>
              <w:rPr>
                <w:color w:val="000000"/>
                <w:kern w:val="0"/>
                <w:sz w:val="24"/>
                <w:highlight w:val="none"/>
              </w:rPr>
              <w:t>（1）1≤Q＜10；（2）10≤Q＜100；（3）Q≥100。</w:t>
            </w:r>
          </w:p>
          <w:p w14:paraId="50FDB832">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highlight w:val="none"/>
              </w:rPr>
            </w:pPr>
            <w:r>
              <w:rPr>
                <w:color w:val="000000"/>
                <w:sz w:val="24"/>
                <w:highlight w:val="none"/>
              </w:rPr>
              <w:t>根据HJ 169-2018附表B，项目涉及的主要危险物质数量与临界量比值（Q）见下表。</w:t>
            </w:r>
          </w:p>
          <w:p w14:paraId="266F2DA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cs="宋体"/>
                <w:b/>
                <w:color w:val="000000"/>
                <w:kern w:val="0"/>
                <w:sz w:val="21"/>
                <w:szCs w:val="21"/>
                <w:highlight w:val="none"/>
              </w:rPr>
            </w:pPr>
            <w:r>
              <w:rPr>
                <w:rFonts w:hint="eastAsia" w:cs="宋体"/>
                <w:b/>
                <w:color w:val="000000"/>
                <w:kern w:val="0"/>
                <w:sz w:val="21"/>
                <w:szCs w:val="21"/>
                <w:highlight w:val="none"/>
              </w:rPr>
              <w:t>表4-</w:t>
            </w:r>
            <w:r>
              <w:rPr>
                <w:rFonts w:hint="eastAsia" w:cs="宋体"/>
                <w:b/>
                <w:color w:val="000000"/>
                <w:kern w:val="0"/>
                <w:sz w:val="21"/>
                <w:szCs w:val="21"/>
                <w:highlight w:val="none"/>
                <w:lang w:val="en-US" w:eastAsia="zh-CN"/>
              </w:rPr>
              <w:t>30</w:t>
            </w:r>
            <w:r>
              <w:rPr>
                <w:rFonts w:hint="eastAsia" w:cs="宋体"/>
                <w:b/>
                <w:color w:val="000000"/>
                <w:kern w:val="0"/>
                <w:sz w:val="21"/>
                <w:szCs w:val="21"/>
                <w:highlight w:val="none"/>
              </w:rPr>
              <w:t xml:space="preserve"> 项目涉及危险物质</w:t>
            </w:r>
            <w:r>
              <w:rPr>
                <w:rFonts w:cs="宋体"/>
                <w:b/>
                <w:color w:val="000000"/>
                <w:kern w:val="0"/>
                <w:sz w:val="21"/>
                <w:szCs w:val="21"/>
                <w:highlight w:val="none"/>
              </w:rPr>
              <w:t>q/Q</w:t>
            </w:r>
            <w:r>
              <w:rPr>
                <w:rFonts w:hint="eastAsia" w:cs="宋体"/>
                <w:b/>
                <w:color w:val="000000"/>
                <w:kern w:val="0"/>
                <w:sz w:val="21"/>
                <w:szCs w:val="21"/>
                <w:highlight w:val="none"/>
              </w:rPr>
              <w:t>值计算</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72"/>
              <w:gridCol w:w="1348"/>
              <w:gridCol w:w="747"/>
              <w:gridCol w:w="1024"/>
              <w:gridCol w:w="2749"/>
              <w:gridCol w:w="775"/>
              <w:gridCol w:w="1010"/>
            </w:tblGrid>
            <w:tr w14:paraId="27239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7" w:type="pct"/>
                  <w:noWrap/>
                  <w:vAlign w:val="center"/>
                </w:tcPr>
                <w:p w14:paraId="374F8B34">
                  <w:pPr>
                    <w:tabs>
                      <w:tab w:val="left" w:pos="277"/>
                      <w:tab w:val="left" w:pos="600"/>
                      <w:tab w:val="left" w:pos="780"/>
                      <w:tab w:val="left" w:pos="2517"/>
                    </w:tabs>
                    <w:adjustRightInd w:val="0"/>
                    <w:snapToGrid w:val="0"/>
                    <w:jc w:val="center"/>
                    <w:rPr>
                      <w:b/>
                      <w:bCs/>
                      <w:color w:val="000000"/>
                      <w:kern w:val="0"/>
                      <w:szCs w:val="21"/>
                      <w:highlight w:val="none"/>
                    </w:rPr>
                  </w:pPr>
                  <w:r>
                    <w:rPr>
                      <w:b/>
                      <w:bCs/>
                      <w:color w:val="000000"/>
                      <w:kern w:val="0"/>
                      <w:szCs w:val="21"/>
                      <w:highlight w:val="none"/>
                    </w:rPr>
                    <w:t>序号</w:t>
                  </w:r>
                </w:p>
              </w:tc>
              <w:tc>
                <w:tcPr>
                  <w:tcW w:w="819" w:type="pct"/>
                  <w:noWrap/>
                  <w:vAlign w:val="center"/>
                </w:tcPr>
                <w:p w14:paraId="7E00CA3D">
                  <w:pPr>
                    <w:tabs>
                      <w:tab w:val="left" w:pos="277"/>
                      <w:tab w:val="left" w:pos="600"/>
                      <w:tab w:val="left" w:pos="780"/>
                      <w:tab w:val="left" w:pos="2517"/>
                    </w:tabs>
                    <w:adjustRightInd w:val="0"/>
                    <w:snapToGrid w:val="0"/>
                    <w:jc w:val="center"/>
                    <w:rPr>
                      <w:b/>
                      <w:bCs/>
                      <w:color w:val="000000"/>
                      <w:kern w:val="0"/>
                      <w:szCs w:val="21"/>
                      <w:highlight w:val="none"/>
                    </w:rPr>
                  </w:pPr>
                  <w:r>
                    <w:rPr>
                      <w:b/>
                      <w:bCs/>
                      <w:color w:val="000000"/>
                      <w:kern w:val="0"/>
                      <w:szCs w:val="21"/>
                      <w:highlight w:val="none"/>
                    </w:rPr>
                    <w:t>危险物质名称</w:t>
                  </w:r>
                </w:p>
              </w:tc>
              <w:tc>
                <w:tcPr>
                  <w:tcW w:w="454" w:type="pct"/>
                  <w:noWrap/>
                  <w:vAlign w:val="center"/>
                </w:tcPr>
                <w:p w14:paraId="1A58AAD2">
                  <w:pPr>
                    <w:tabs>
                      <w:tab w:val="left" w:pos="277"/>
                      <w:tab w:val="left" w:pos="600"/>
                      <w:tab w:val="left" w:pos="780"/>
                      <w:tab w:val="left" w:pos="2517"/>
                    </w:tabs>
                    <w:adjustRightInd w:val="0"/>
                    <w:snapToGrid w:val="0"/>
                    <w:jc w:val="center"/>
                    <w:rPr>
                      <w:b/>
                      <w:bCs/>
                      <w:color w:val="000000"/>
                      <w:kern w:val="0"/>
                      <w:szCs w:val="21"/>
                      <w:highlight w:val="none"/>
                    </w:rPr>
                  </w:pPr>
                  <w:r>
                    <w:rPr>
                      <w:b/>
                      <w:bCs/>
                      <w:color w:val="000000"/>
                      <w:kern w:val="0"/>
                      <w:szCs w:val="21"/>
                      <w:highlight w:val="none"/>
                    </w:rPr>
                    <w:t>CAS号</w:t>
                  </w:r>
                </w:p>
              </w:tc>
              <w:tc>
                <w:tcPr>
                  <w:tcW w:w="622" w:type="pct"/>
                  <w:noWrap/>
                  <w:vAlign w:val="center"/>
                </w:tcPr>
                <w:p w14:paraId="4AA87D02">
                  <w:pPr>
                    <w:tabs>
                      <w:tab w:val="left" w:pos="277"/>
                      <w:tab w:val="left" w:pos="600"/>
                      <w:tab w:val="left" w:pos="780"/>
                      <w:tab w:val="left" w:pos="2517"/>
                    </w:tabs>
                    <w:adjustRightInd w:val="0"/>
                    <w:snapToGrid w:val="0"/>
                    <w:jc w:val="center"/>
                    <w:rPr>
                      <w:b/>
                      <w:bCs/>
                      <w:color w:val="000000"/>
                      <w:kern w:val="0"/>
                      <w:szCs w:val="21"/>
                      <w:highlight w:val="none"/>
                    </w:rPr>
                  </w:pPr>
                  <w:r>
                    <w:rPr>
                      <w:b/>
                      <w:bCs/>
                      <w:color w:val="000000"/>
                      <w:kern w:val="0"/>
                      <w:szCs w:val="21"/>
                      <w:highlight w:val="none"/>
                    </w:rPr>
                    <w:t>最大存在量（t）</w:t>
                  </w:r>
                </w:p>
              </w:tc>
              <w:tc>
                <w:tcPr>
                  <w:tcW w:w="1671" w:type="pct"/>
                  <w:noWrap/>
                  <w:vAlign w:val="center"/>
                </w:tcPr>
                <w:p w14:paraId="11936C39">
                  <w:pPr>
                    <w:tabs>
                      <w:tab w:val="left" w:pos="277"/>
                      <w:tab w:val="left" w:pos="600"/>
                      <w:tab w:val="left" w:pos="780"/>
                      <w:tab w:val="left" w:pos="2517"/>
                    </w:tabs>
                    <w:adjustRightInd w:val="0"/>
                    <w:snapToGrid w:val="0"/>
                    <w:jc w:val="center"/>
                    <w:rPr>
                      <w:b/>
                      <w:bCs/>
                      <w:color w:val="000000"/>
                      <w:kern w:val="0"/>
                      <w:szCs w:val="21"/>
                      <w:highlight w:val="none"/>
                    </w:rPr>
                  </w:pPr>
                  <w:r>
                    <w:rPr>
                      <w:rFonts w:hint="eastAsia"/>
                      <w:b/>
                      <w:bCs/>
                      <w:color w:val="000000"/>
                      <w:kern w:val="0"/>
                      <w:szCs w:val="21"/>
                      <w:highlight w:val="none"/>
                      <w:lang w:val="en-US" w:eastAsia="zh-CN"/>
                    </w:rPr>
                    <w:t>依据</w:t>
                  </w:r>
                </w:p>
              </w:tc>
              <w:tc>
                <w:tcPr>
                  <w:tcW w:w="471" w:type="pct"/>
                  <w:noWrap/>
                  <w:vAlign w:val="center"/>
                </w:tcPr>
                <w:p w14:paraId="696BEE51">
                  <w:pPr>
                    <w:tabs>
                      <w:tab w:val="left" w:pos="277"/>
                      <w:tab w:val="left" w:pos="600"/>
                      <w:tab w:val="left" w:pos="780"/>
                      <w:tab w:val="left" w:pos="2517"/>
                    </w:tabs>
                    <w:adjustRightInd w:val="0"/>
                    <w:snapToGrid w:val="0"/>
                    <w:jc w:val="center"/>
                    <w:rPr>
                      <w:rFonts w:hint="default" w:eastAsia="宋体"/>
                      <w:b/>
                      <w:bCs/>
                      <w:color w:val="000000"/>
                      <w:kern w:val="0"/>
                      <w:szCs w:val="21"/>
                      <w:highlight w:val="none"/>
                      <w:lang w:val="en-US" w:eastAsia="zh-CN"/>
                    </w:rPr>
                  </w:pPr>
                  <w:r>
                    <w:rPr>
                      <w:b/>
                      <w:bCs/>
                      <w:color w:val="000000"/>
                      <w:kern w:val="0"/>
                      <w:szCs w:val="21"/>
                      <w:highlight w:val="none"/>
                    </w:rPr>
                    <w:t>临界量（t）</w:t>
                  </w:r>
                </w:p>
              </w:tc>
              <w:tc>
                <w:tcPr>
                  <w:tcW w:w="613" w:type="pct"/>
                  <w:noWrap/>
                  <w:vAlign w:val="center"/>
                </w:tcPr>
                <w:p w14:paraId="3FF2DDAC">
                  <w:pPr>
                    <w:tabs>
                      <w:tab w:val="left" w:pos="277"/>
                      <w:tab w:val="left" w:pos="600"/>
                      <w:tab w:val="left" w:pos="780"/>
                      <w:tab w:val="left" w:pos="2517"/>
                    </w:tabs>
                    <w:adjustRightInd w:val="0"/>
                    <w:snapToGrid w:val="0"/>
                    <w:jc w:val="center"/>
                    <w:rPr>
                      <w:b/>
                      <w:bCs/>
                      <w:color w:val="000000"/>
                      <w:kern w:val="0"/>
                      <w:szCs w:val="21"/>
                      <w:highlight w:val="none"/>
                    </w:rPr>
                  </w:pPr>
                  <w:r>
                    <w:rPr>
                      <w:b/>
                      <w:bCs/>
                      <w:color w:val="000000"/>
                      <w:kern w:val="0"/>
                      <w:szCs w:val="21"/>
                      <w:highlight w:val="none"/>
                    </w:rPr>
                    <w:t>Q值</w:t>
                  </w:r>
                </w:p>
              </w:tc>
            </w:tr>
            <w:tr w14:paraId="78ED8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7" w:type="pct"/>
                  <w:noWrap/>
                  <w:vAlign w:val="center"/>
                </w:tcPr>
                <w:p w14:paraId="339DE43C">
                  <w:pPr>
                    <w:jc w:val="center"/>
                    <w:rPr>
                      <w:rFonts w:hint="default" w:eastAsia="宋体"/>
                      <w:color w:val="000000"/>
                      <w:kern w:val="2"/>
                      <w:sz w:val="21"/>
                      <w:szCs w:val="21"/>
                      <w:highlight w:val="none"/>
                      <w:lang w:val="en-US" w:eastAsia="zh-CN" w:bidi="ar-SA"/>
                    </w:rPr>
                  </w:pPr>
                  <w:bookmarkStart w:id="9" w:name="OLE_LINK177" w:colFirst="3" w:colLast="3"/>
                  <w:bookmarkStart w:id="10" w:name="OLE_LINK183" w:colFirst="4" w:colLast="4"/>
                  <w:r>
                    <w:rPr>
                      <w:rFonts w:hint="eastAsia"/>
                      <w:color w:val="000000"/>
                      <w:szCs w:val="21"/>
                      <w:highlight w:val="none"/>
                      <w:lang w:val="en-US" w:eastAsia="zh-CN"/>
                    </w:rPr>
                    <w:t>1</w:t>
                  </w:r>
                </w:p>
              </w:tc>
              <w:tc>
                <w:tcPr>
                  <w:tcW w:w="819" w:type="pct"/>
                  <w:noWrap/>
                  <w:vAlign w:val="center"/>
                </w:tcPr>
                <w:p w14:paraId="0F84788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bCs/>
                      <w:color w:val="000000"/>
                      <w:szCs w:val="21"/>
                      <w:highlight w:val="none"/>
                      <w:lang w:val="en-US" w:eastAsia="zh-CN"/>
                    </w:rPr>
                  </w:pPr>
                  <w:r>
                    <w:rPr>
                      <w:rFonts w:hint="eastAsia"/>
                      <w:bCs/>
                      <w:color w:val="000000"/>
                      <w:szCs w:val="21"/>
                      <w:highlight w:val="none"/>
                      <w:lang w:val="en-US" w:eastAsia="zh-CN"/>
                    </w:rPr>
                    <w:t>润滑油</w:t>
                  </w:r>
                </w:p>
              </w:tc>
              <w:tc>
                <w:tcPr>
                  <w:tcW w:w="454" w:type="pct"/>
                  <w:noWrap/>
                  <w:vAlign w:val="center"/>
                </w:tcPr>
                <w:p w14:paraId="66B56751">
                  <w:pPr>
                    <w:jc w:val="center"/>
                    <w:rPr>
                      <w:rFonts w:hint="default"/>
                      <w:color w:val="000000"/>
                      <w:szCs w:val="21"/>
                      <w:highlight w:val="none"/>
                      <w:lang w:val="en-US" w:eastAsia="zh-CN"/>
                    </w:rPr>
                  </w:pPr>
                  <w:r>
                    <w:rPr>
                      <w:rFonts w:hint="eastAsia"/>
                      <w:color w:val="000000"/>
                      <w:szCs w:val="21"/>
                      <w:highlight w:val="none"/>
                      <w:lang w:val="en-US" w:eastAsia="zh-CN"/>
                    </w:rPr>
                    <w:t>/</w:t>
                  </w:r>
                </w:p>
              </w:tc>
              <w:tc>
                <w:tcPr>
                  <w:tcW w:w="622" w:type="pct"/>
                  <w:noWrap/>
                  <w:vAlign w:val="center"/>
                </w:tcPr>
                <w:p w14:paraId="616FA512">
                  <w:pPr>
                    <w:widowControl/>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0.01</w:t>
                  </w:r>
                </w:p>
              </w:tc>
              <w:tc>
                <w:tcPr>
                  <w:tcW w:w="1671" w:type="pct"/>
                  <w:noWrap/>
                  <w:vAlign w:val="center"/>
                </w:tcPr>
                <w:p w14:paraId="0EE02262">
                  <w:pPr>
                    <w:widowControl/>
                    <w:adjustRightInd w:val="0"/>
                    <w:snapToGrid w:val="0"/>
                    <w:jc w:val="center"/>
                    <w:rPr>
                      <w:rFonts w:hint="eastAsia" w:ascii="Times New Roman" w:hAnsi="Times New Roman" w:eastAsia="宋体" w:cs="Times New Roman"/>
                      <w:color w:val="000000"/>
                      <w:kern w:val="0"/>
                      <w:sz w:val="21"/>
                      <w:szCs w:val="21"/>
                      <w:highlight w:val="none"/>
                      <w:lang w:val="en-US" w:eastAsia="zh-CN" w:bidi="ar-SA"/>
                    </w:rPr>
                  </w:pPr>
                  <w:r>
                    <w:rPr>
                      <w:rFonts w:hint="eastAsia"/>
                      <w:color w:val="000000"/>
                      <w:kern w:val="0"/>
                      <w:szCs w:val="21"/>
                      <w:highlight w:val="none"/>
                    </w:rPr>
                    <w:t>《建设项目环境风险评价技术导则》（HJ 169-2018）中的附录</w:t>
                  </w:r>
                  <w:r>
                    <w:rPr>
                      <w:rFonts w:hint="eastAsia"/>
                      <w:color w:val="000000"/>
                      <w:kern w:val="0"/>
                      <w:szCs w:val="21"/>
                      <w:highlight w:val="none"/>
                      <w:lang w:val="en-US" w:eastAsia="zh-CN"/>
                    </w:rPr>
                    <w:t>B.1，381 油类物质（矿物油类，如石油、汽油柴油等；生物柴油等）</w:t>
                  </w:r>
                </w:p>
              </w:tc>
              <w:tc>
                <w:tcPr>
                  <w:tcW w:w="471" w:type="pct"/>
                  <w:noWrap/>
                  <w:vAlign w:val="center"/>
                </w:tcPr>
                <w:p w14:paraId="6338738C">
                  <w:pPr>
                    <w:widowControl/>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lang w:val="en-US" w:eastAsia="zh-CN"/>
                    </w:rPr>
                    <w:t>2500</w:t>
                  </w:r>
                </w:p>
              </w:tc>
              <w:tc>
                <w:tcPr>
                  <w:tcW w:w="613" w:type="pct"/>
                  <w:noWrap/>
                  <w:vAlign w:val="center"/>
                </w:tcPr>
                <w:p w14:paraId="15284F57">
                  <w:pPr>
                    <w:widowControl/>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0.000004</w:t>
                  </w:r>
                </w:p>
              </w:tc>
            </w:tr>
            <w:tr w14:paraId="02423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7" w:type="pct"/>
                  <w:noWrap/>
                  <w:vAlign w:val="center"/>
                </w:tcPr>
                <w:p w14:paraId="2E1C4712">
                  <w:pPr>
                    <w:jc w:val="center"/>
                    <w:rPr>
                      <w:rFonts w:hint="default" w:eastAsia="宋体"/>
                      <w:color w:val="000000"/>
                      <w:kern w:val="2"/>
                      <w:sz w:val="21"/>
                      <w:szCs w:val="21"/>
                      <w:highlight w:val="none"/>
                      <w:lang w:val="en-US" w:eastAsia="zh-CN" w:bidi="ar-SA"/>
                    </w:rPr>
                  </w:pPr>
                  <w:r>
                    <w:rPr>
                      <w:rFonts w:hint="eastAsia"/>
                      <w:color w:val="000000"/>
                      <w:szCs w:val="21"/>
                      <w:highlight w:val="none"/>
                      <w:lang w:val="en-US" w:eastAsia="zh-CN"/>
                    </w:rPr>
                    <w:t>2</w:t>
                  </w:r>
                </w:p>
              </w:tc>
              <w:tc>
                <w:tcPr>
                  <w:tcW w:w="819" w:type="pct"/>
                  <w:noWrap/>
                  <w:vAlign w:val="center"/>
                </w:tcPr>
                <w:p w14:paraId="374E6390">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color w:val="000000"/>
                      <w:szCs w:val="21"/>
                      <w:highlight w:val="none"/>
                      <w:lang w:val="en-US" w:eastAsia="zh-CN"/>
                    </w:rPr>
                  </w:pPr>
                  <w:r>
                    <w:rPr>
                      <w:rFonts w:hint="eastAsia"/>
                      <w:color w:val="000000"/>
                      <w:szCs w:val="21"/>
                      <w:highlight w:val="none"/>
                      <w:lang w:val="en-US" w:eastAsia="zh-CN"/>
                    </w:rPr>
                    <w:t>废润滑油</w:t>
                  </w:r>
                </w:p>
              </w:tc>
              <w:tc>
                <w:tcPr>
                  <w:tcW w:w="454" w:type="pct"/>
                  <w:noWrap/>
                  <w:vAlign w:val="center"/>
                </w:tcPr>
                <w:p w14:paraId="682AC565">
                  <w:pPr>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622" w:type="pct"/>
                  <w:noWrap/>
                  <w:vAlign w:val="center"/>
                </w:tcPr>
                <w:p w14:paraId="6DFEF12D">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0.001</w:t>
                  </w:r>
                </w:p>
              </w:tc>
              <w:tc>
                <w:tcPr>
                  <w:tcW w:w="1671" w:type="pct"/>
                  <w:noWrap/>
                  <w:vAlign w:val="center"/>
                </w:tcPr>
                <w:p w14:paraId="34759EE1">
                  <w:pPr>
                    <w:widowControl/>
                    <w:adjustRightInd w:val="0"/>
                    <w:snapToGrid w:val="0"/>
                    <w:jc w:val="center"/>
                    <w:rPr>
                      <w:rFonts w:hint="eastAsia" w:ascii="Times New Roman" w:hAnsi="Times New Roman" w:eastAsia="宋体" w:cs="Times New Roman"/>
                      <w:color w:val="000000"/>
                      <w:kern w:val="0"/>
                      <w:sz w:val="21"/>
                      <w:szCs w:val="21"/>
                      <w:highlight w:val="none"/>
                      <w:lang w:val="en-US" w:eastAsia="zh-CN" w:bidi="ar-SA"/>
                    </w:rPr>
                  </w:pPr>
                  <w:r>
                    <w:rPr>
                      <w:rFonts w:hint="eastAsia"/>
                      <w:color w:val="000000"/>
                      <w:kern w:val="0"/>
                      <w:szCs w:val="21"/>
                      <w:highlight w:val="none"/>
                    </w:rPr>
                    <w:t>《建设项目环境风险评价技术导则》（HJ 169-2018）中的附录</w:t>
                  </w:r>
                  <w:r>
                    <w:rPr>
                      <w:rFonts w:hint="eastAsia"/>
                      <w:color w:val="000000"/>
                      <w:kern w:val="0"/>
                      <w:szCs w:val="21"/>
                      <w:highlight w:val="none"/>
                      <w:lang w:val="en-US" w:eastAsia="zh-CN"/>
                    </w:rPr>
                    <w:t>B.1，381 油类物质（矿物油类，如石油、汽油柴油等；生物柴油等）</w:t>
                  </w:r>
                </w:p>
              </w:tc>
              <w:tc>
                <w:tcPr>
                  <w:tcW w:w="471" w:type="pct"/>
                  <w:noWrap/>
                  <w:vAlign w:val="center"/>
                </w:tcPr>
                <w:p w14:paraId="0B36CFF4">
                  <w:pPr>
                    <w:widowControl/>
                    <w:adjustRightInd w:val="0"/>
                    <w:snapToGrid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Cs w:val="21"/>
                      <w:lang w:val="en-US" w:eastAsia="zh-CN"/>
                    </w:rPr>
                    <w:t>2500</w:t>
                  </w:r>
                </w:p>
              </w:tc>
              <w:tc>
                <w:tcPr>
                  <w:tcW w:w="613" w:type="pct"/>
                  <w:noWrap/>
                  <w:vAlign w:val="center"/>
                </w:tcPr>
                <w:p w14:paraId="4FEF12B4">
                  <w:pPr>
                    <w:widowControl/>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0.0000004</w:t>
                  </w:r>
                </w:p>
              </w:tc>
            </w:tr>
            <w:tr w14:paraId="02A0A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7" w:type="pct"/>
                  <w:noWrap/>
                  <w:vAlign w:val="center"/>
                </w:tcPr>
                <w:p w14:paraId="6A655739">
                  <w:pPr>
                    <w:jc w:val="center"/>
                    <w:rPr>
                      <w:rFonts w:hint="eastAsia" w:eastAsia="宋体"/>
                      <w:color w:val="000000"/>
                      <w:kern w:val="2"/>
                      <w:sz w:val="21"/>
                      <w:szCs w:val="21"/>
                      <w:highlight w:val="none"/>
                      <w:lang w:val="en-US" w:eastAsia="zh-CN" w:bidi="ar-SA"/>
                    </w:rPr>
                  </w:pPr>
                  <w:r>
                    <w:rPr>
                      <w:rFonts w:hint="eastAsia"/>
                      <w:color w:val="000000"/>
                      <w:szCs w:val="21"/>
                      <w:highlight w:val="none"/>
                      <w:lang w:val="en-US" w:eastAsia="zh-CN"/>
                    </w:rPr>
                    <w:t>3</w:t>
                  </w:r>
                </w:p>
              </w:tc>
              <w:tc>
                <w:tcPr>
                  <w:tcW w:w="819" w:type="pct"/>
                  <w:noWrap/>
                  <w:vAlign w:val="center"/>
                </w:tcPr>
                <w:p w14:paraId="6B2EE931">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lang w:val="en-US" w:eastAsia="zh-CN"/>
                    </w:rPr>
                    <w:t>废油桶</w:t>
                  </w:r>
                </w:p>
              </w:tc>
              <w:tc>
                <w:tcPr>
                  <w:tcW w:w="454" w:type="pct"/>
                  <w:noWrap/>
                  <w:vAlign w:val="center"/>
                </w:tcPr>
                <w:p w14:paraId="683DF489">
                  <w:pPr>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622" w:type="pct"/>
                  <w:noWrap/>
                  <w:vAlign w:val="center"/>
                </w:tcPr>
                <w:p w14:paraId="19C7B75D">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0.001</w:t>
                  </w:r>
                </w:p>
              </w:tc>
              <w:tc>
                <w:tcPr>
                  <w:tcW w:w="1671" w:type="pct"/>
                  <w:noWrap/>
                  <w:vAlign w:val="center"/>
                </w:tcPr>
                <w:p w14:paraId="0CCAF233">
                  <w:pPr>
                    <w:widowControl/>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《建设项目环境风险评价技术导则》（HJ 169-2018）中的附录B</w:t>
                  </w:r>
                  <w:r>
                    <w:rPr>
                      <w:rFonts w:hint="eastAsia"/>
                      <w:color w:val="000000"/>
                      <w:szCs w:val="21"/>
                      <w:lang w:val="en-US" w:eastAsia="zh-CN"/>
                    </w:rPr>
                    <w:t>.2，2 健康危险急性毒性物质（类别2，类别3）</w:t>
                  </w:r>
                </w:p>
              </w:tc>
              <w:tc>
                <w:tcPr>
                  <w:tcW w:w="471" w:type="pct"/>
                  <w:noWrap/>
                  <w:vAlign w:val="center"/>
                </w:tcPr>
                <w:p w14:paraId="0B620F00">
                  <w:pPr>
                    <w:widowControl/>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50</w:t>
                  </w:r>
                </w:p>
              </w:tc>
              <w:tc>
                <w:tcPr>
                  <w:tcW w:w="613" w:type="pct"/>
                  <w:noWrap/>
                  <w:vAlign w:val="center"/>
                </w:tcPr>
                <w:p w14:paraId="66DFD162">
                  <w:pPr>
                    <w:widowControl/>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0.00002</w:t>
                  </w:r>
                </w:p>
              </w:tc>
            </w:tr>
            <w:tr w14:paraId="101EC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7" w:type="pct"/>
                  <w:noWrap/>
                  <w:vAlign w:val="center"/>
                </w:tcPr>
                <w:p w14:paraId="7A652209">
                  <w:pPr>
                    <w:jc w:val="center"/>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4</w:t>
                  </w:r>
                </w:p>
              </w:tc>
              <w:tc>
                <w:tcPr>
                  <w:tcW w:w="819" w:type="pct"/>
                  <w:noWrap/>
                  <w:vAlign w:val="center"/>
                </w:tcPr>
                <w:p w14:paraId="1D63ADF7">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454" w:type="pct"/>
                  <w:noWrap/>
                  <w:vAlign w:val="center"/>
                </w:tcPr>
                <w:p w14:paraId="3ACB4B2D">
                  <w:pPr>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622" w:type="pct"/>
                  <w:noWrap/>
                  <w:vAlign w:val="center"/>
                </w:tcPr>
                <w:p w14:paraId="79F887B1">
                  <w:pPr>
                    <w:widowControl/>
                    <w:adjustRightInd w:val="0"/>
                    <w:snapToGrid w:val="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0.2665</w:t>
                  </w:r>
                </w:p>
              </w:tc>
              <w:tc>
                <w:tcPr>
                  <w:tcW w:w="1671" w:type="pct"/>
                  <w:noWrap/>
                  <w:vAlign w:val="center"/>
                </w:tcPr>
                <w:p w14:paraId="6440E5E2">
                  <w:pPr>
                    <w:widowControl/>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《建设项目环境风险评价技术导则》（HJ 169-2018）中的附录B</w:t>
                  </w:r>
                  <w:r>
                    <w:rPr>
                      <w:rFonts w:hint="eastAsia"/>
                      <w:color w:val="000000"/>
                      <w:szCs w:val="21"/>
                      <w:lang w:val="en-US" w:eastAsia="zh-CN"/>
                    </w:rPr>
                    <w:t>.2，2 健康危险急性毒性物质（类别2，类别3）</w:t>
                  </w:r>
                </w:p>
              </w:tc>
              <w:tc>
                <w:tcPr>
                  <w:tcW w:w="471" w:type="pct"/>
                  <w:noWrap/>
                  <w:vAlign w:val="center"/>
                </w:tcPr>
                <w:p w14:paraId="4E43ABA3">
                  <w:pPr>
                    <w:widowControl/>
                    <w:adjustRightInd w:val="0"/>
                    <w:snapToGrid w:val="0"/>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50</w:t>
                  </w:r>
                </w:p>
              </w:tc>
              <w:tc>
                <w:tcPr>
                  <w:tcW w:w="613" w:type="pct"/>
                  <w:noWrap/>
                  <w:vAlign w:val="center"/>
                </w:tcPr>
                <w:p w14:paraId="798987E3">
                  <w:pPr>
                    <w:widowControl/>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0.016358</w:t>
                  </w:r>
                </w:p>
              </w:tc>
            </w:tr>
            <w:tr w14:paraId="553CE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7" w:type="pct"/>
                  <w:noWrap/>
                  <w:vAlign w:val="center"/>
                </w:tcPr>
                <w:p w14:paraId="64FCC52B">
                  <w:pPr>
                    <w:jc w:val="center"/>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5</w:t>
                  </w:r>
                </w:p>
              </w:tc>
              <w:tc>
                <w:tcPr>
                  <w:tcW w:w="819" w:type="pct"/>
                  <w:noWrap/>
                  <w:vAlign w:val="center"/>
                </w:tcPr>
                <w:p w14:paraId="6DD48DA8">
                  <w:pPr>
                    <w:keepNext w:val="0"/>
                    <w:keepLines w:val="0"/>
                    <w:pageBreakBefore w:val="0"/>
                    <w:widowControl w:val="0"/>
                    <w:kinsoku/>
                    <w:wordWrap/>
                    <w:overflowPunct/>
                    <w:topLinePunct w:val="0"/>
                    <w:autoSpaceDE/>
                    <w:autoSpaceDN/>
                    <w:bidi w:val="0"/>
                    <w:adjustRightInd w:val="0"/>
                    <w:snapToGrid w:val="0"/>
                    <w:ind w:left="-105" w:leftChars="-50" w:right="-105" w:rightChars="-50" w:firstLine="0" w:firstLineChars="0"/>
                    <w:jc w:val="center"/>
                    <w:textAlignment w:val="auto"/>
                    <w:rPr>
                      <w:rFonts w:hint="default"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蒸发残液</w:t>
                  </w:r>
                </w:p>
              </w:tc>
              <w:tc>
                <w:tcPr>
                  <w:tcW w:w="454" w:type="pct"/>
                  <w:noWrap/>
                  <w:vAlign w:val="center"/>
                </w:tcPr>
                <w:p w14:paraId="093D7ABB">
                  <w:pPr>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w:t>
                  </w:r>
                </w:p>
              </w:tc>
              <w:tc>
                <w:tcPr>
                  <w:tcW w:w="622" w:type="pct"/>
                  <w:noWrap/>
                  <w:vAlign w:val="center"/>
                </w:tcPr>
                <w:p w14:paraId="15249196">
                  <w:pPr>
                    <w:widowControl/>
                    <w:adjustRightInd w:val="0"/>
                    <w:snapToGrid w:val="0"/>
                    <w:jc w:val="center"/>
                    <w:rPr>
                      <w:rFonts w:hint="default" w:cs="Times New Roman"/>
                      <w:color w:val="000000"/>
                      <w:szCs w:val="21"/>
                      <w:highlight w:val="none"/>
                      <w:lang w:val="en-US" w:eastAsia="zh-CN"/>
                    </w:rPr>
                  </w:pPr>
                  <w:r>
                    <w:rPr>
                      <w:rFonts w:hint="eastAsia" w:cs="Times New Roman"/>
                      <w:color w:val="000000"/>
                      <w:szCs w:val="21"/>
                      <w:highlight w:val="none"/>
                      <w:lang w:val="en-US" w:eastAsia="zh-CN"/>
                    </w:rPr>
                    <w:t>0.8</w:t>
                  </w:r>
                </w:p>
              </w:tc>
              <w:tc>
                <w:tcPr>
                  <w:tcW w:w="1671" w:type="pct"/>
                  <w:noWrap/>
                  <w:vAlign w:val="center"/>
                </w:tcPr>
                <w:p w14:paraId="5844B67D">
                  <w:pPr>
                    <w:widowControl/>
                    <w:adjustRightInd w:val="0"/>
                    <w:snapToGrid w:val="0"/>
                    <w:jc w:val="center"/>
                    <w:rPr>
                      <w:rFonts w:hint="eastAsia"/>
                      <w:color w:val="000000"/>
                      <w:szCs w:val="21"/>
                    </w:rPr>
                  </w:pPr>
                  <w:r>
                    <w:rPr>
                      <w:rFonts w:hint="eastAsia"/>
                      <w:color w:val="000000"/>
                      <w:szCs w:val="21"/>
                    </w:rPr>
                    <w:t>《建设项目环境风险评价技术导则》（HJ 169-2018）中的附录B</w:t>
                  </w:r>
                  <w:r>
                    <w:rPr>
                      <w:rFonts w:hint="eastAsia"/>
                      <w:color w:val="000000"/>
                      <w:szCs w:val="21"/>
                      <w:lang w:val="en-US" w:eastAsia="zh-CN"/>
                    </w:rPr>
                    <w:t>.2，2 健康危险急性毒性物质（类别2，类别3）</w:t>
                  </w:r>
                </w:p>
              </w:tc>
              <w:tc>
                <w:tcPr>
                  <w:tcW w:w="471" w:type="pct"/>
                  <w:noWrap/>
                  <w:vAlign w:val="center"/>
                </w:tcPr>
                <w:p w14:paraId="7A3585B6">
                  <w:pPr>
                    <w:widowControl/>
                    <w:adjustRightInd w:val="0"/>
                    <w:snapToGrid w:val="0"/>
                    <w:jc w:val="center"/>
                    <w:rPr>
                      <w:rFonts w:hint="default" w:eastAsia="宋体"/>
                      <w:color w:val="000000"/>
                      <w:szCs w:val="21"/>
                      <w:lang w:val="en-US" w:eastAsia="zh-CN"/>
                    </w:rPr>
                  </w:pPr>
                  <w:r>
                    <w:rPr>
                      <w:rFonts w:hint="eastAsia"/>
                      <w:color w:val="000000"/>
                      <w:szCs w:val="21"/>
                      <w:lang w:val="en-US" w:eastAsia="zh-CN"/>
                    </w:rPr>
                    <w:t>50</w:t>
                  </w:r>
                </w:p>
              </w:tc>
              <w:tc>
                <w:tcPr>
                  <w:tcW w:w="613" w:type="pct"/>
                  <w:noWrap/>
                  <w:vAlign w:val="center"/>
                </w:tcPr>
                <w:p w14:paraId="1880BCBF">
                  <w:pPr>
                    <w:widowControl/>
                    <w:adjustRightInd w:val="0"/>
                    <w:snapToGrid w:val="0"/>
                    <w:jc w:val="center"/>
                    <w:rPr>
                      <w:rFonts w:hint="default" w:cs="Times New Roman"/>
                      <w:color w:val="000000"/>
                      <w:szCs w:val="21"/>
                      <w:lang w:val="en-US" w:eastAsia="zh-CN"/>
                    </w:rPr>
                  </w:pPr>
                  <w:r>
                    <w:rPr>
                      <w:rFonts w:hint="eastAsia" w:cs="Times New Roman"/>
                      <w:color w:val="000000"/>
                      <w:szCs w:val="21"/>
                      <w:lang w:val="en-US" w:eastAsia="zh-CN"/>
                    </w:rPr>
                    <w:t>0.016</w:t>
                  </w:r>
                </w:p>
              </w:tc>
            </w:tr>
            <w:bookmarkEnd w:id="9"/>
            <w:bookmarkEnd w:id="10"/>
            <w:tr w14:paraId="5DC61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386" w:type="pct"/>
                  <w:gridSpan w:val="6"/>
                  <w:noWrap/>
                  <w:vAlign w:val="center"/>
                </w:tcPr>
                <w:p w14:paraId="1DF16841">
                  <w:pPr>
                    <w:jc w:val="center"/>
                    <w:rPr>
                      <w:b w:val="0"/>
                      <w:bCs w:val="0"/>
                      <w:i w:val="0"/>
                      <w:iCs w:val="0"/>
                      <w:color w:val="000000"/>
                      <w:szCs w:val="21"/>
                      <w:highlight w:val="none"/>
                    </w:rPr>
                  </w:pPr>
                  <w:r>
                    <w:rPr>
                      <w:rFonts w:hint="eastAsia"/>
                      <w:b w:val="0"/>
                      <w:bCs w:val="0"/>
                      <w:i w:val="0"/>
                      <w:iCs w:val="0"/>
                      <w:color w:val="000000"/>
                      <w:szCs w:val="21"/>
                      <w:highlight w:val="none"/>
                    </w:rPr>
                    <w:t>项目Q值∑</w:t>
                  </w:r>
                </w:p>
              </w:tc>
              <w:tc>
                <w:tcPr>
                  <w:tcW w:w="613" w:type="pct"/>
                  <w:noWrap/>
                  <w:vAlign w:val="center"/>
                </w:tcPr>
                <w:p w14:paraId="55AF0901">
                  <w:pPr>
                    <w:widowControl/>
                    <w:adjustRightInd w:val="0"/>
                    <w:snapToGrid w:val="0"/>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0.0323824</w:t>
                  </w:r>
                </w:p>
              </w:tc>
            </w:tr>
          </w:tbl>
          <w:p w14:paraId="2006D6CF">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由上表计算可知，项目Q值</w:t>
            </w:r>
            <w:r>
              <w:rPr>
                <w:rFonts w:hint="default" w:ascii="Times New Roman" w:hAnsi="Times New Roman" w:cs="Times New Roman"/>
                <w:color w:val="000000"/>
                <w:sz w:val="24"/>
                <w:highlight w:val="none"/>
                <w:lang w:val="en-US" w:eastAsia="zh-CN"/>
              </w:rPr>
              <w:t>为</w:t>
            </w:r>
            <w:r>
              <w:rPr>
                <w:rFonts w:hint="eastAsia" w:ascii="Times New Roman" w:hAnsi="Times New Roman" w:cs="Times New Roman"/>
                <w:color w:val="000000"/>
                <w:sz w:val="24"/>
                <w:highlight w:val="none"/>
                <w:lang w:val="en-US" w:eastAsia="zh-CN"/>
              </w:rPr>
              <w:t>0.0</w:t>
            </w:r>
            <w:r>
              <w:rPr>
                <w:rFonts w:hint="eastAsia" w:cs="Times New Roman"/>
                <w:color w:val="000000"/>
                <w:sz w:val="24"/>
                <w:highlight w:val="none"/>
                <w:lang w:val="en-US" w:eastAsia="zh-CN"/>
              </w:rPr>
              <w:t>323824</w:t>
            </w:r>
            <w:r>
              <w:rPr>
                <w:rFonts w:hint="default" w:ascii="Times New Roman" w:hAnsi="Times New Roman" w:cs="Times New Roman"/>
                <w:color w:val="000000"/>
                <w:sz w:val="24"/>
                <w:highlight w:val="none"/>
                <w:lang w:val="en-US" w:eastAsia="zh-CN"/>
              </w:rPr>
              <w:t>，</w:t>
            </w:r>
            <w:r>
              <w:rPr>
                <w:rFonts w:hint="default" w:ascii="Times New Roman" w:hAnsi="Times New Roman" w:cs="Times New Roman"/>
                <w:color w:val="000000"/>
                <w:sz w:val="24"/>
                <w:highlight w:val="none"/>
              </w:rPr>
              <w:t>属于Q＜1范围，该项目环境风险潜势为Ⅰ，简单分析即可。</w:t>
            </w:r>
          </w:p>
          <w:p w14:paraId="52F091B3">
            <w:pPr>
              <w:pStyle w:val="35"/>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②行业及生产工艺（M）</w:t>
            </w:r>
          </w:p>
          <w:p w14:paraId="68F897D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经判定，本项目环境风险评价等级见表4-</w:t>
            </w:r>
            <w:r>
              <w:rPr>
                <w:rFonts w:hint="eastAsia" w:ascii="Times New Roman" w:hAnsi="Times New Roman" w:cs="Times New Roman"/>
                <w:color w:val="000000"/>
                <w:sz w:val="24"/>
                <w:highlight w:val="none"/>
                <w:lang w:val="en-US" w:eastAsia="zh-CN"/>
              </w:rPr>
              <w:t>31</w:t>
            </w:r>
            <w:r>
              <w:rPr>
                <w:rFonts w:hint="default" w:ascii="Times New Roman" w:hAnsi="Times New Roman" w:cs="Times New Roman"/>
                <w:color w:val="000000"/>
                <w:sz w:val="24"/>
                <w:highlight w:val="none"/>
              </w:rPr>
              <w:t>：</w:t>
            </w:r>
          </w:p>
          <w:p w14:paraId="68EEBEB7">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cs="Arial"/>
                <w:b/>
                <w:color w:val="000000"/>
                <w:sz w:val="21"/>
                <w:szCs w:val="21"/>
                <w:highlight w:val="none"/>
              </w:rPr>
            </w:pPr>
            <w:r>
              <w:rPr>
                <w:rFonts w:hint="eastAsia" w:cs="Arial"/>
                <w:b/>
                <w:color w:val="000000"/>
                <w:sz w:val="21"/>
                <w:szCs w:val="21"/>
                <w:highlight w:val="none"/>
              </w:rPr>
              <w:t>表4-</w:t>
            </w:r>
            <w:r>
              <w:rPr>
                <w:rFonts w:hint="eastAsia" w:cs="Arial"/>
                <w:b/>
                <w:color w:val="000000"/>
                <w:sz w:val="21"/>
                <w:szCs w:val="21"/>
                <w:highlight w:val="none"/>
                <w:lang w:val="en-US" w:eastAsia="zh-CN"/>
              </w:rPr>
              <w:t>31</w:t>
            </w:r>
            <w:r>
              <w:rPr>
                <w:rFonts w:hint="eastAsia" w:cs="Arial"/>
                <w:b/>
                <w:color w:val="000000"/>
                <w:sz w:val="21"/>
                <w:szCs w:val="21"/>
                <w:highlight w:val="none"/>
              </w:rPr>
              <w:t xml:space="preserve"> 项目风险评价工作等级</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329"/>
              <w:gridCol w:w="1722"/>
              <w:gridCol w:w="2105"/>
              <w:gridCol w:w="1531"/>
            </w:tblGrid>
            <w:tr w14:paraId="1E578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tcBorders>
                    <w:tl2br w:val="nil"/>
                    <w:tr2bl w:val="nil"/>
                  </w:tcBorders>
                  <w:noWrap w:val="0"/>
                  <w:vAlign w:val="center"/>
                </w:tcPr>
                <w:p w14:paraId="03EECF57">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环境风险潜势</w:t>
                  </w:r>
                </w:p>
              </w:tc>
              <w:tc>
                <w:tcPr>
                  <w:tcW w:w="807" w:type="pct"/>
                  <w:tcBorders>
                    <w:tl2br w:val="nil"/>
                    <w:tr2bl w:val="nil"/>
                  </w:tcBorders>
                  <w:noWrap w:val="0"/>
                  <w:vAlign w:val="center"/>
                </w:tcPr>
                <w:p w14:paraId="757721DC">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fldChar w:fldCharType="begin"/>
                  </w:r>
                  <w:r>
                    <w:rPr>
                      <w:b/>
                      <w:color w:val="000000"/>
                      <w:szCs w:val="21"/>
                      <w:highlight w:val="none"/>
                    </w:rPr>
                    <w:instrText xml:space="preserve"> = 4 \* ROMAN </w:instrText>
                  </w:r>
                  <w:r>
                    <w:rPr>
                      <w:b/>
                      <w:color w:val="000000"/>
                      <w:szCs w:val="21"/>
                      <w:highlight w:val="none"/>
                    </w:rPr>
                    <w:fldChar w:fldCharType="separate"/>
                  </w:r>
                  <w:r>
                    <w:rPr>
                      <w:b/>
                      <w:color w:val="000000"/>
                      <w:szCs w:val="21"/>
                      <w:highlight w:val="none"/>
                    </w:rPr>
                    <w:t>IV</w:t>
                  </w:r>
                  <w:r>
                    <w:rPr>
                      <w:b/>
                      <w:color w:val="000000"/>
                      <w:szCs w:val="21"/>
                      <w:highlight w:val="none"/>
                    </w:rPr>
                    <w:fldChar w:fldCharType="end"/>
                  </w:r>
                  <w:r>
                    <w:rPr>
                      <w:rFonts w:hint="eastAsia"/>
                      <w:b/>
                      <w:color w:val="000000"/>
                      <w:szCs w:val="21"/>
                      <w:highlight w:val="none"/>
                    </w:rPr>
                    <w:t>、</w:t>
                  </w:r>
                  <w:r>
                    <w:rPr>
                      <w:b/>
                      <w:color w:val="000000"/>
                      <w:szCs w:val="21"/>
                      <w:highlight w:val="none"/>
                    </w:rPr>
                    <w:fldChar w:fldCharType="begin"/>
                  </w:r>
                  <w:r>
                    <w:rPr>
                      <w:b/>
                      <w:color w:val="000000"/>
                      <w:szCs w:val="21"/>
                      <w:highlight w:val="none"/>
                    </w:rPr>
                    <w:instrText xml:space="preserve"> = 4 \* ROMAN </w:instrText>
                  </w:r>
                  <w:r>
                    <w:rPr>
                      <w:b/>
                      <w:color w:val="000000"/>
                      <w:szCs w:val="21"/>
                      <w:highlight w:val="none"/>
                    </w:rPr>
                    <w:fldChar w:fldCharType="separate"/>
                  </w:r>
                  <w:r>
                    <w:rPr>
                      <w:b/>
                      <w:color w:val="000000"/>
                      <w:szCs w:val="21"/>
                      <w:highlight w:val="none"/>
                    </w:rPr>
                    <w:t>IV</w:t>
                  </w:r>
                  <w:r>
                    <w:rPr>
                      <w:b/>
                      <w:color w:val="000000"/>
                      <w:szCs w:val="21"/>
                      <w:highlight w:val="none"/>
                    </w:rPr>
                    <w:fldChar w:fldCharType="end"/>
                  </w:r>
                  <w:r>
                    <w:rPr>
                      <w:b/>
                      <w:color w:val="000000"/>
                      <w:szCs w:val="21"/>
                      <w:highlight w:val="none"/>
                      <w:vertAlign w:val="superscript"/>
                    </w:rPr>
                    <w:t>+</w:t>
                  </w:r>
                </w:p>
              </w:tc>
              <w:tc>
                <w:tcPr>
                  <w:tcW w:w="1046" w:type="pct"/>
                  <w:tcBorders>
                    <w:tl2br w:val="nil"/>
                    <w:tr2bl w:val="nil"/>
                  </w:tcBorders>
                  <w:noWrap w:val="0"/>
                  <w:vAlign w:val="center"/>
                </w:tcPr>
                <w:p w14:paraId="55B10B0C">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default" w:ascii="Times New Roman" w:hAnsi="Times New Roman" w:cs="Times New Roman"/>
                      <w:b/>
                      <w:color w:val="000000"/>
                      <w:szCs w:val="21"/>
                      <w:highlight w:val="none"/>
                    </w:rPr>
                    <w:t>Ⅲ</w:t>
                  </w:r>
                </w:p>
              </w:tc>
              <w:tc>
                <w:tcPr>
                  <w:tcW w:w="1278" w:type="pct"/>
                  <w:tcBorders>
                    <w:tl2br w:val="nil"/>
                    <w:tr2bl w:val="nil"/>
                  </w:tcBorders>
                  <w:noWrap w:val="0"/>
                  <w:vAlign w:val="center"/>
                </w:tcPr>
                <w:p w14:paraId="0CB22882">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fldChar w:fldCharType="begin"/>
                  </w:r>
                  <w:r>
                    <w:rPr>
                      <w:b/>
                      <w:color w:val="000000"/>
                      <w:szCs w:val="21"/>
                      <w:highlight w:val="none"/>
                    </w:rPr>
                    <w:instrText xml:space="preserve"> = 2 \* ROMAN </w:instrText>
                  </w:r>
                  <w:r>
                    <w:rPr>
                      <w:b/>
                      <w:color w:val="000000"/>
                      <w:szCs w:val="21"/>
                      <w:highlight w:val="none"/>
                    </w:rPr>
                    <w:fldChar w:fldCharType="separate"/>
                  </w:r>
                  <w:r>
                    <w:rPr>
                      <w:b/>
                      <w:color w:val="000000"/>
                      <w:szCs w:val="21"/>
                      <w:highlight w:val="none"/>
                    </w:rPr>
                    <w:t>II</w:t>
                  </w:r>
                  <w:r>
                    <w:rPr>
                      <w:b/>
                      <w:color w:val="000000"/>
                      <w:szCs w:val="21"/>
                      <w:highlight w:val="none"/>
                    </w:rPr>
                    <w:fldChar w:fldCharType="end"/>
                  </w:r>
                </w:p>
              </w:tc>
              <w:tc>
                <w:tcPr>
                  <w:tcW w:w="930" w:type="pct"/>
                  <w:tcBorders>
                    <w:tl2br w:val="nil"/>
                    <w:tr2bl w:val="nil"/>
                  </w:tcBorders>
                  <w:noWrap w:val="0"/>
                  <w:vAlign w:val="center"/>
                </w:tcPr>
                <w:p w14:paraId="052B05E1">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fldChar w:fldCharType="begin"/>
                  </w:r>
                  <w:r>
                    <w:rPr>
                      <w:b/>
                      <w:color w:val="000000"/>
                      <w:szCs w:val="21"/>
                      <w:highlight w:val="none"/>
                    </w:rPr>
                    <w:instrText xml:space="preserve"> = 1 \* ROMAN </w:instrText>
                  </w:r>
                  <w:r>
                    <w:rPr>
                      <w:b/>
                      <w:color w:val="000000"/>
                      <w:szCs w:val="21"/>
                      <w:highlight w:val="none"/>
                    </w:rPr>
                    <w:fldChar w:fldCharType="separate"/>
                  </w:r>
                  <w:r>
                    <w:rPr>
                      <w:b/>
                      <w:color w:val="000000"/>
                      <w:szCs w:val="21"/>
                      <w:highlight w:val="none"/>
                    </w:rPr>
                    <w:t>I</w:t>
                  </w:r>
                  <w:r>
                    <w:rPr>
                      <w:b/>
                      <w:color w:val="000000"/>
                      <w:szCs w:val="21"/>
                      <w:highlight w:val="none"/>
                    </w:rPr>
                    <w:fldChar w:fldCharType="end"/>
                  </w:r>
                </w:p>
              </w:tc>
            </w:tr>
            <w:tr w14:paraId="27D73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tcBorders>
                    <w:tl2br w:val="nil"/>
                    <w:tr2bl w:val="nil"/>
                  </w:tcBorders>
                  <w:noWrap w:val="0"/>
                  <w:vAlign w:val="center"/>
                </w:tcPr>
                <w:p w14:paraId="5775BAE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评价工作等级</w:t>
                  </w:r>
                </w:p>
              </w:tc>
              <w:tc>
                <w:tcPr>
                  <w:tcW w:w="807" w:type="pct"/>
                  <w:tcBorders>
                    <w:tl2br w:val="nil"/>
                    <w:tr2bl w:val="nil"/>
                  </w:tcBorders>
                  <w:noWrap w:val="0"/>
                  <w:vAlign w:val="center"/>
                </w:tcPr>
                <w:p w14:paraId="4B33752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一</w:t>
                  </w:r>
                </w:p>
              </w:tc>
              <w:tc>
                <w:tcPr>
                  <w:tcW w:w="1046" w:type="pct"/>
                  <w:tcBorders>
                    <w:tl2br w:val="nil"/>
                    <w:tr2bl w:val="nil"/>
                  </w:tcBorders>
                  <w:noWrap w:val="0"/>
                  <w:vAlign w:val="center"/>
                </w:tcPr>
                <w:p w14:paraId="0BEA41E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二</w:t>
                  </w:r>
                </w:p>
              </w:tc>
              <w:tc>
                <w:tcPr>
                  <w:tcW w:w="1278" w:type="pct"/>
                  <w:tcBorders>
                    <w:tl2br w:val="nil"/>
                    <w:tr2bl w:val="nil"/>
                  </w:tcBorders>
                  <w:noWrap w:val="0"/>
                  <w:vAlign w:val="center"/>
                </w:tcPr>
                <w:p w14:paraId="2E09C3D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三</w:t>
                  </w:r>
                </w:p>
              </w:tc>
              <w:tc>
                <w:tcPr>
                  <w:tcW w:w="930" w:type="pct"/>
                  <w:tcBorders>
                    <w:tl2br w:val="nil"/>
                    <w:tr2bl w:val="nil"/>
                  </w:tcBorders>
                  <w:noWrap w:val="0"/>
                  <w:vAlign w:val="center"/>
                </w:tcPr>
                <w:p w14:paraId="2EF4B497">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简单分析</w:t>
                  </w:r>
                  <w:r>
                    <w:rPr>
                      <w:color w:val="000000"/>
                      <w:szCs w:val="21"/>
                      <w:highlight w:val="none"/>
                      <w:vertAlign w:val="superscript"/>
                    </w:rPr>
                    <w:t>a</w:t>
                  </w:r>
                </w:p>
              </w:tc>
            </w:tr>
          </w:tbl>
          <w:p w14:paraId="328951B6">
            <w:pPr>
              <w:adjustRightInd w:val="0"/>
              <w:snapToGrid w:val="0"/>
              <w:ind w:firstLine="422" w:firstLineChars="200"/>
              <w:rPr>
                <w:b/>
                <w:bCs/>
                <w:color w:val="000000"/>
                <w:szCs w:val="21"/>
                <w:highlight w:val="none"/>
              </w:rPr>
            </w:pPr>
            <w:r>
              <w:rPr>
                <w:rFonts w:hint="eastAsia"/>
                <w:b/>
                <w:bCs/>
                <w:color w:val="000000"/>
                <w:szCs w:val="21"/>
                <w:highlight w:val="none"/>
              </w:rPr>
              <w:t>注：</w:t>
            </w:r>
            <w:r>
              <w:rPr>
                <w:b/>
                <w:bCs/>
                <w:color w:val="000000"/>
                <w:szCs w:val="21"/>
                <w:highlight w:val="none"/>
                <w:vertAlign w:val="superscript"/>
              </w:rPr>
              <w:t>a</w:t>
            </w:r>
            <w:r>
              <w:rPr>
                <w:rFonts w:hint="eastAsia"/>
                <w:b/>
                <w:bCs/>
                <w:color w:val="000000"/>
                <w:szCs w:val="21"/>
                <w:highlight w:val="none"/>
              </w:rPr>
              <w:t>是相对于详细评价工作内容而言，在描述危险物质、环境影响途径、环境危害后果、风险防范措施等方面给出定性的说明。</w:t>
            </w:r>
          </w:p>
          <w:p w14:paraId="4FB68B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rPr>
              <w:t>综上，本项目的环境风险评价工作等级为简单分析。</w:t>
            </w:r>
          </w:p>
          <w:p w14:paraId="45E6E3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b/>
                <w:color w:val="000000"/>
                <w:sz w:val="24"/>
              </w:rPr>
              <w:t>7.</w:t>
            </w:r>
            <w:r>
              <w:rPr>
                <w:rFonts w:hint="eastAsia"/>
                <w:b/>
                <w:color w:val="000000"/>
                <w:sz w:val="24"/>
              </w:rPr>
              <w:t>3风险识别</w:t>
            </w:r>
          </w:p>
          <w:p w14:paraId="593882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rPr>
              <w:t>本项目生产过程风险</w:t>
            </w:r>
            <w:r>
              <w:rPr>
                <w:rFonts w:hint="eastAsia"/>
                <w:color w:val="000000"/>
                <w:sz w:val="24"/>
                <w:highlight w:val="none"/>
              </w:rPr>
              <w:t>识别见表4-</w:t>
            </w:r>
            <w:r>
              <w:rPr>
                <w:rFonts w:hint="eastAsia"/>
                <w:color w:val="000000"/>
                <w:sz w:val="24"/>
                <w:highlight w:val="none"/>
                <w:lang w:val="en-US" w:eastAsia="zh-CN"/>
              </w:rPr>
              <w:t>32</w:t>
            </w:r>
            <w:r>
              <w:rPr>
                <w:rFonts w:hint="eastAsia"/>
                <w:color w:val="000000"/>
                <w:sz w:val="24"/>
                <w:highlight w:val="none"/>
              </w:rPr>
              <w:t>：</w:t>
            </w:r>
          </w:p>
          <w:p w14:paraId="4A52582E">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b/>
                <w:color w:val="000000"/>
                <w:sz w:val="21"/>
                <w:szCs w:val="21"/>
                <w:highlight w:val="none"/>
              </w:rPr>
            </w:pPr>
          </w:p>
          <w:p w14:paraId="7E2629F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b/>
                <w:color w:val="000000"/>
                <w:sz w:val="21"/>
                <w:szCs w:val="21"/>
                <w:highlight w:val="none"/>
              </w:rPr>
            </w:pPr>
          </w:p>
          <w:p w14:paraId="630F8E2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b/>
                <w:color w:val="000000"/>
                <w:sz w:val="21"/>
                <w:szCs w:val="21"/>
                <w:highlight w:val="none"/>
              </w:rPr>
            </w:pPr>
          </w:p>
          <w:p w14:paraId="757280B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000000"/>
                <w:sz w:val="21"/>
                <w:szCs w:val="21"/>
                <w:highlight w:val="none"/>
              </w:rPr>
            </w:pPr>
            <w:r>
              <w:rPr>
                <w:rFonts w:hint="eastAsia"/>
                <w:b/>
                <w:color w:val="000000"/>
                <w:sz w:val="21"/>
                <w:szCs w:val="21"/>
                <w:highlight w:val="none"/>
              </w:rPr>
              <w:t>表4-</w:t>
            </w:r>
            <w:r>
              <w:rPr>
                <w:rFonts w:hint="eastAsia"/>
                <w:b/>
                <w:color w:val="000000"/>
                <w:sz w:val="21"/>
                <w:szCs w:val="21"/>
                <w:highlight w:val="none"/>
                <w:lang w:val="en-US" w:eastAsia="zh-CN"/>
              </w:rPr>
              <w:t>32</w:t>
            </w:r>
            <w:r>
              <w:rPr>
                <w:rFonts w:hint="eastAsia"/>
                <w:b/>
                <w:color w:val="000000"/>
                <w:sz w:val="21"/>
                <w:szCs w:val="21"/>
                <w:highlight w:val="none"/>
              </w:rPr>
              <w:t xml:space="preserve"> 生产过程风险识别表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48"/>
              <w:gridCol w:w="1292"/>
              <w:gridCol w:w="2183"/>
              <w:gridCol w:w="1966"/>
              <w:gridCol w:w="1179"/>
            </w:tblGrid>
            <w:tr w14:paraId="409812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465" w:type="pct"/>
                  <w:tcBorders>
                    <w:tl2br w:val="nil"/>
                    <w:tr2bl w:val="nil"/>
                  </w:tcBorders>
                  <w:noWrap w:val="0"/>
                  <w:vAlign w:val="center"/>
                </w:tcPr>
                <w:p w14:paraId="1941673F">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危险</w:t>
                  </w:r>
                  <w:r>
                    <w:rPr>
                      <w:b/>
                      <w:color w:val="000000"/>
                      <w:szCs w:val="21"/>
                      <w:highlight w:val="none"/>
                    </w:rPr>
                    <w:t>单元</w:t>
                  </w:r>
                </w:p>
              </w:tc>
              <w:tc>
                <w:tcPr>
                  <w:tcW w:w="514" w:type="pct"/>
                  <w:tcBorders>
                    <w:tl2br w:val="nil"/>
                    <w:tr2bl w:val="nil"/>
                  </w:tcBorders>
                  <w:noWrap w:val="0"/>
                  <w:vAlign w:val="center"/>
                </w:tcPr>
                <w:p w14:paraId="52FEF925">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t>风险</w:t>
                  </w:r>
                  <w:r>
                    <w:rPr>
                      <w:rFonts w:hint="eastAsia"/>
                      <w:b/>
                      <w:color w:val="000000"/>
                      <w:szCs w:val="21"/>
                      <w:highlight w:val="none"/>
                    </w:rPr>
                    <w:t>源</w:t>
                  </w:r>
                </w:p>
              </w:tc>
              <w:tc>
                <w:tcPr>
                  <w:tcW w:w="784" w:type="pct"/>
                  <w:tcBorders>
                    <w:tl2br w:val="nil"/>
                    <w:tr2bl w:val="nil"/>
                  </w:tcBorders>
                  <w:noWrap w:val="0"/>
                  <w:vAlign w:val="center"/>
                </w:tcPr>
                <w:p w14:paraId="798DA8F8">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rFonts w:hint="eastAsia"/>
                      <w:b/>
                      <w:color w:val="000000"/>
                      <w:szCs w:val="21"/>
                      <w:highlight w:val="none"/>
                    </w:rPr>
                    <w:t>主要</w:t>
                  </w:r>
                  <w:r>
                    <w:rPr>
                      <w:b/>
                      <w:color w:val="000000"/>
                      <w:szCs w:val="21"/>
                      <w:highlight w:val="none"/>
                    </w:rPr>
                    <w:t>危险物质</w:t>
                  </w:r>
                </w:p>
              </w:tc>
              <w:tc>
                <w:tcPr>
                  <w:tcW w:w="1325" w:type="pct"/>
                  <w:tcBorders>
                    <w:tl2br w:val="nil"/>
                    <w:tr2bl w:val="nil"/>
                  </w:tcBorders>
                  <w:noWrap w:val="0"/>
                  <w:vAlign w:val="center"/>
                </w:tcPr>
                <w:p w14:paraId="2AEA2106">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t>环境风险类型</w:t>
                  </w:r>
                </w:p>
              </w:tc>
              <w:tc>
                <w:tcPr>
                  <w:tcW w:w="1193" w:type="pct"/>
                  <w:tcBorders>
                    <w:tl2br w:val="nil"/>
                    <w:tr2bl w:val="nil"/>
                  </w:tcBorders>
                  <w:noWrap w:val="0"/>
                  <w:vAlign w:val="center"/>
                </w:tcPr>
                <w:p w14:paraId="0B23BD0A">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t>环境影响途径</w:t>
                  </w:r>
                </w:p>
              </w:tc>
              <w:tc>
                <w:tcPr>
                  <w:tcW w:w="715" w:type="pct"/>
                  <w:tcBorders>
                    <w:tl2br w:val="nil"/>
                    <w:tr2bl w:val="nil"/>
                  </w:tcBorders>
                  <w:noWrap w:val="0"/>
                  <w:vAlign w:val="center"/>
                </w:tcPr>
                <w:p w14:paraId="2D1CA394">
                  <w:pPr>
                    <w:keepNext w:val="0"/>
                    <w:keepLines w:val="0"/>
                    <w:pageBreakBefore w:val="0"/>
                    <w:widowControl w:val="0"/>
                    <w:kinsoku/>
                    <w:wordWrap/>
                    <w:overflowPunct/>
                    <w:topLinePunct w:val="0"/>
                    <w:autoSpaceDE/>
                    <w:autoSpaceDN/>
                    <w:bidi w:val="0"/>
                    <w:adjustRightInd w:val="0"/>
                    <w:snapToGrid w:val="0"/>
                    <w:ind w:firstLine="0"/>
                    <w:jc w:val="center"/>
                    <w:textAlignment w:val="auto"/>
                    <w:rPr>
                      <w:b/>
                      <w:color w:val="000000"/>
                      <w:szCs w:val="21"/>
                      <w:highlight w:val="none"/>
                    </w:rPr>
                  </w:pPr>
                  <w:r>
                    <w:rPr>
                      <w:b/>
                      <w:color w:val="000000"/>
                      <w:szCs w:val="21"/>
                      <w:highlight w:val="none"/>
                    </w:rPr>
                    <w:t>可能受影响的环境敏感目标</w:t>
                  </w:r>
                </w:p>
              </w:tc>
            </w:tr>
            <w:tr w14:paraId="5A75D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tcBorders>
                    <w:tl2br w:val="nil"/>
                    <w:tr2bl w:val="nil"/>
                  </w:tcBorders>
                  <w:noWrap w:val="0"/>
                  <w:vAlign w:val="center"/>
                </w:tcPr>
                <w:p w14:paraId="46D3AC2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生产单元</w:t>
                  </w:r>
                </w:p>
              </w:tc>
              <w:tc>
                <w:tcPr>
                  <w:tcW w:w="514" w:type="pct"/>
                  <w:tcBorders>
                    <w:tl2br w:val="nil"/>
                    <w:tr2bl w:val="nil"/>
                  </w:tcBorders>
                  <w:noWrap w:val="0"/>
                  <w:vAlign w:val="center"/>
                </w:tcPr>
                <w:p w14:paraId="46EEDC0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生产线</w:t>
                  </w:r>
                </w:p>
              </w:tc>
              <w:tc>
                <w:tcPr>
                  <w:tcW w:w="784" w:type="pct"/>
                  <w:tcBorders>
                    <w:tl2br w:val="nil"/>
                    <w:tr2bl w:val="nil"/>
                  </w:tcBorders>
                  <w:noWrap w:val="0"/>
                  <w:vAlign w:val="center"/>
                </w:tcPr>
                <w:p w14:paraId="0D9C677A">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润滑油</w:t>
                  </w:r>
                </w:p>
              </w:tc>
              <w:tc>
                <w:tcPr>
                  <w:tcW w:w="1325" w:type="pct"/>
                  <w:tcBorders>
                    <w:tl2br w:val="nil"/>
                    <w:tr2bl w:val="nil"/>
                  </w:tcBorders>
                  <w:noWrap w:val="0"/>
                  <w:vAlign w:val="center"/>
                </w:tcPr>
                <w:p w14:paraId="1FA72BE0">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物料因使用不当发生泄漏、火灾</w:t>
                  </w:r>
                </w:p>
              </w:tc>
              <w:tc>
                <w:tcPr>
                  <w:tcW w:w="1193" w:type="pct"/>
                  <w:tcBorders>
                    <w:tl2br w:val="nil"/>
                    <w:tr2bl w:val="nil"/>
                  </w:tcBorders>
                  <w:noWrap w:val="0"/>
                  <w:vAlign w:val="center"/>
                </w:tcPr>
                <w:p w14:paraId="6316E8AF">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物料泄漏、火灾和引发的伴生/次生污染物扩散影响地表水、地下水</w:t>
                  </w:r>
                </w:p>
              </w:tc>
              <w:tc>
                <w:tcPr>
                  <w:tcW w:w="715" w:type="pct"/>
                  <w:tcBorders>
                    <w:tl2br w:val="nil"/>
                    <w:tr2bl w:val="nil"/>
                  </w:tcBorders>
                  <w:noWrap w:val="0"/>
                  <w:vAlign w:val="center"/>
                </w:tcPr>
                <w:p w14:paraId="557CA393">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周边敏感点、厂内员工</w:t>
                  </w:r>
                </w:p>
              </w:tc>
            </w:tr>
            <w:tr w14:paraId="74215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restart"/>
                  <w:tcBorders>
                    <w:tl2br w:val="nil"/>
                    <w:tr2bl w:val="nil"/>
                  </w:tcBorders>
                  <w:noWrap w:val="0"/>
                  <w:vAlign w:val="center"/>
                </w:tcPr>
                <w:p w14:paraId="793643F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公辅</w:t>
                  </w:r>
                  <w:r>
                    <w:rPr>
                      <w:color w:val="000000"/>
                      <w:szCs w:val="21"/>
                      <w:highlight w:val="none"/>
                    </w:rPr>
                    <w:t>单元</w:t>
                  </w:r>
                </w:p>
              </w:tc>
              <w:tc>
                <w:tcPr>
                  <w:tcW w:w="514" w:type="pct"/>
                  <w:tcBorders>
                    <w:tl2br w:val="nil"/>
                    <w:tr2bl w:val="nil"/>
                  </w:tcBorders>
                  <w:noWrap w:val="0"/>
                  <w:vAlign w:val="center"/>
                </w:tcPr>
                <w:p w14:paraId="39DEB5D4">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供、配电系统</w:t>
                  </w:r>
                </w:p>
              </w:tc>
              <w:tc>
                <w:tcPr>
                  <w:tcW w:w="784" w:type="pct"/>
                  <w:tcBorders>
                    <w:tl2br w:val="nil"/>
                    <w:tr2bl w:val="nil"/>
                  </w:tcBorders>
                  <w:noWrap w:val="0"/>
                  <w:vAlign w:val="center"/>
                </w:tcPr>
                <w:p w14:paraId="694DE2E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w:t>
                  </w:r>
                </w:p>
              </w:tc>
              <w:tc>
                <w:tcPr>
                  <w:tcW w:w="1325" w:type="pct"/>
                  <w:tcBorders>
                    <w:tl2br w:val="nil"/>
                    <w:tr2bl w:val="nil"/>
                  </w:tcBorders>
                  <w:noWrap w:val="0"/>
                  <w:vAlign w:val="center"/>
                </w:tcPr>
                <w:p w14:paraId="1957050D">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如果电气设备的线路设计不合理，线路负荷过大、发热严重，高温会造成线路绝缘损坏、线路起火引发电气火灾。进行电气作业时接错线路，设备通电后短路，烧毁电气设备，可引发火灾；厂房如没有防雷设施或防雷设施故障失效，可能遭受雷击，产生火灾、爆炸。</w:t>
                  </w:r>
                </w:p>
              </w:tc>
              <w:tc>
                <w:tcPr>
                  <w:tcW w:w="1193" w:type="pct"/>
                  <w:tcBorders>
                    <w:tl2br w:val="nil"/>
                    <w:tr2bl w:val="nil"/>
                  </w:tcBorders>
                  <w:noWrap w:val="0"/>
                  <w:vAlign w:val="center"/>
                </w:tcPr>
                <w:p w14:paraId="7622B3A5">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物料泄漏和引发的伴生/次生污染物扩散影响大气环境、消防废水进入地表水</w:t>
                  </w:r>
                </w:p>
              </w:tc>
              <w:tc>
                <w:tcPr>
                  <w:tcW w:w="715" w:type="pct"/>
                  <w:tcBorders>
                    <w:tl2br w:val="nil"/>
                    <w:tr2bl w:val="nil"/>
                  </w:tcBorders>
                  <w:noWrap w:val="0"/>
                  <w:vAlign w:val="center"/>
                </w:tcPr>
                <w:p w14:paraId="4D339EAD">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color w:val="000000"/>
                      <w:szCs w:val="21"/>
                      <w:highlight w:val="none"/>
                    </w:rPr>
                    <w:t>周边敏感点</w:t>
                  </w:r>
                  <w:r>
                    <w:rPr>
                      <w:rFonts w:hint="eastAsia"/>
                      <w:color w:val="000000"/>
                      <w:szCs w:val="21"/>
                      <w:highlight w:val="none"/>
                    </w:rPr>
                    <w:t>、厂内员工</w:t>
                  </w:r>
                </w:p>
              </w:tc>
            </w:tr>
            <w:tr w14:paraId="2880B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continue"/>
                  <w:tcBorders>
                    <w:tl2br w:val="nil"/>
                    <w:tr2bl w:val="nil"/>
                  </w:tcBorders>
                  <w:noWrap w:val="0"/>
                  <w:vAlign w:val="center"/>
                </w:tcPr>
                <w:p w14:paraId="0C941EF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514" w:type="pct"/>
                  <w:tcBorders>
                    <w:tl2br w:val="nil"/>
                    <w:tr2bl w:val="nil"/>
                  </w:tcBorders>
                  <w:noWrap w:val="0"/>
                  <w:vAlign w:val="center"/>
                </w:tcPr>
                <w:p w14:paraId="7F5C0519">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消防用水</w:t>
                  </w:r>
                </w:p>
              </w:tc>
              <w:tc>
                <w:tcPr>
                  <w:tcW w:w="784" w:type="pct"/>
                  <w:tcBorders>
                    <w:tl2br w:val="nil"/>
                    <w:tr2bl w:val="nil"/>
                  </w:tcBorders>
                  <w:noWrap w:val="0"/>
                  <w:vAlign w:val="center"/>
                </w:tcPr>
                <w:p w14:paraId="1E5C4E5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w:t>
                  </w:r>
                </w:p>
              </w:tc>
              <w:tc>
                <w:tcPr>
                  <w:tcW w:w="1325" w:type="pct"/>
                  <w:tcBorders>
                    <w:tl2br w:val="nil"/>
                    <w:tr2bl w:val="nil"/>
                  </w:tcBorders>
                  <w:noWrap w:val="0"/>
                  <w:vAlign w:val="center"/>
                </w:tcPr>
                <w:p w14:paraId="30334692">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消防水量不足严重影响消防的救援行动；如果消防栓锈死不能正常打开，发生事故时会影响应急救援效率，使事故危害程度扩大，危害后果严重。</w:t>
                  </w:r>
                </w:p>
              </w:tc>
              <w:tc>
                <w:tcPr>
                  <w:tcW w:w="1193" w:type="pct"/>
                  <w:tcBorders>
                    <w:tl2br w:val="nil"/>
                    <w:tr2bl w:val="nil"/>
                  </w:tcBorders>
                  <w:noWrap w:val="0"/>
                  <w:vAlign w:val="center"/>
                </w:tcPr>
                <w:p w14:paraId="27AB9B07">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物料泄漏和引发的伴生/次生污染物扩散影响大气环境、消防废水进入地表水</w:t>
                  </w:r>
                </w:p>
              </w:tc>
              <w:tc>
                <w:tcPr>
                  <w:tcW w:w="715" w:type="pct"/>
                  <w:tcBorders>
                    <w:tl2br w:val="nil"/>
                    <w:tr2bl w:val="nil"/>
                  </w:tcBorders>
                  <w:noWrap w:val="0"/>
                  <w:vAlign w:val="center"/>
                </w:tcPr>
                <w:p w14:paraId="5DD335B0">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color w:val="000000"/>
                      <w:szCs w:val="21"/>
                      <w:highlight w:val="none"/>
                    </w:rPr>
                    <w:t>周边敏感点</w:t>
                  </w:r>
                  <w:r>
                    <w:rPr>
                      <w:rFonts w:hint="eastAsia"/>
                      <w:color w:val="000000"/>
                      <w:szCs w:val="21"/>
                      <w:highlight w:val="none"/>
                    </w:rPr>
                    <w:t>、厂内员工</w:t>
                  </w:r>
                </w:p>
              </w:tc>
            </w:tr>
            <w:tr w14:paraId="746818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restart"/>
                  <w:tcBorders>
                    <w:tl2br w:val="nil"/>
                    <w:tr2bl w:val="nil"/>
                  </w:tcBorders>
                  <w:noWrap w:val="0"/>
                  <w:vAlign w:val="center"/>
                </w:tcPr>
                <w:p w14:paraId="09D4E96C">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贮存单元</w:t>
                  </w:r>
                </w:p>
              </w:tc>
              <w:tc>
                <w:tcPr>
                  <w:tcW w:w="514" w:type="pct"/>
                  <w:tcBorders>
                    <w:tl2br w:val="nil"/>
                    <w:tr2bl w:val="nil"/>
                  </w:tcBorders>
                  <w:noWrap w:val="0"/>
                  <w:vAlign w:val="center"/>
                </w:tcPr>
                <w:p w14:paraId="1BBE794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原料仓库</w:t>
                  </w:r>
                </w:p>
              </w:tc>
              <w:tc>
                <w:tcPr>
                  <w:tcW w:w="784" w:type="pct"/>
                  <w:tcBorders>
                    <w:tl2br w:val="nil"/>
                    <w:tr2bl w:val="nil"/>
                  </w:tcBorders>
                  <w:noWrap w:val="0"/>
                  <w:vAlign w:val="center"/>
                </w:tcPr>
                <w:p w14:paraId="343D0EFC">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润滑油</w:t>
                  </w:r>
                </w:p>
              </w:tc>
              <w:tc>
                <w:tcPr>
                  <w:tcW w:w="1325" w:type="pct"/>
                  <w:tcBorders>
                    <w:tl2br w:val="nil"/>
                    <w:tr2bl w:val="nil"/>
                  </w:tcBorders>
                  <w:noWrap w:val="0"/>
                  <w:vAlign w:val="center"/>
                </w:tcPr>
                <w:p w14:paraId="41FBC278">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仓库物料在存储或输送过程中，若管理不当，均可能会造成管道破裂引起物料泄漏</w:t>
                  </w:r>
                </w:p>
              </w:tc>
              <w:tc>
                <w:tcPr>
                  <w:tcW w:w="1193" w:type="pct"/>
                  <w:tcBorders>
                    <w:tl2br w:val="nil"/>
                    <w:tr2bl w:val="nil"/>
                  </w:tcBorders>
                  <w:noWrap w:val="0"/>
                  <w:vAlign w:val="center"/>
                </w:tcPr>
                <w:p w14:paraId="705E8823">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物料泄漏和引发的伴生/次生污染物扩散影响地表水、地下</w:t>
                  </w:r>
                </w:p>
              </w:tc>
              <w:tc>
                <w:tcPr>
                  <w:tcW w:w="715" w:type="pct"/>
                  <w:tcBorders>
                    <w:tl2br w:val="nil"/>
                    <w:tr2bl w:val="nil"/>
                  </w:tcBorders>
                  <w:noWrap w:val="0"/>
                  <w:vAlign w:val="center"/>
                </w:tcPr>
                <w:p w14:paraId="10FC03FB">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周边敏感点</w:t>
                  </w:r>
                  <w:r>
                    <w:rPr>
                      <w:rFonts w:hint="eastAsia"/>
                      <w:color w:val="000000"/>
                      <w:szCs w:val="21"/>
                      <w:highlight w:val="none"/>
                    </w:rPr>
                    <w:t>、厂内员工</w:t>
                  </w:r>
                </w:p>
              </w:tc>
            </w:tr>
            <w:tr w14:paraId="70438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continue"/>
                  <w:tcBorders>
                    <w:tl2br w:val="nil"/>
                    <w:tr2bl w:val="nil"/>
                  </w:tcBorders>
                  <w:noWrap w:val="0"/>
                  <w:vAlign w:val="center"/>
                </w:tcPr>
                <w:p w14:paraId="11CC581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514" w:type="pct"/>
                  <w:tcBorders>
                    <w:tl2br w:val="nil"/>
                    <w:tr2bl w:val="nil"/>
                  </w:tcBorders>
                  <w:noWrap w:val="0"/>
                  <w:vAlign w:val="center"/>
                </w:tcPr>
                <w:p w14:paraId="61828C8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危废仓库</w:t>
                  </w:r>
                </w:p>
              </w:tc>
              <w:tc>
                <w:tcPr>
                  <w:tcW w:w="784" w:type="pct"/>
                  <w:tcBorders>
                    <w:tl2br w:val="nil"/>
                    <w:tr2bl w:val="nil"/>
                  </w:tcBorders>
                  <w:noWrap w:val="0"/>
                  <w:vAlign w:val="center"/>
                </w:tcPr>
                <w:p w14:paraId="7061AAB5">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废润滑油、蒸发残液</w:t>
                  </w:r>
                </w:p>
              </w:tc>
              <w:tc>
                <w:tcPr>
                  <w:tcW w:w="1325" w:type="pct"/>
                  <w:tcBorders>
                    <w:tl2br w:val="nil"/>
                    <w:tr2bl w:val="nil"/>
                  </w:tcBorders>
                  <w:noWrap w:val="0"/>
                  <w:vAlign w:val="center"/>
                </w:tcPr>
                <w:p w14:paraId="430ED343">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危废暂存场所的危险废物发生意外泄漏，或者在运输过程中发生泄漏，遇火源有引发火灾、爆炸的危险</w:t>
                  </w:r>
                </w:p>
              </w:tc>
              <w:tc>
                <w:tcPr>
                  <w:tcW w:w="1193" w:type="pct"/>
                  <w:tcBorders>
                    <w:tl2br w:val="nil"/>
                    <w:tr2bl w:val="nil"/>
                  </w:tcBorders>
                  <w:noWrap w:val="0"/>
                  <w:vAlign w:val="center"/>
                </w:tcPr>
                <w:p w14:paraId="22BA22D4">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物料泄漏和引发的伴生/次生污染物扩散影响大气环境、消防废水进入地表水</w:t>
                  </w:r>
                </w:p>
              </w:tc>
              <w:tc>
                <w:tcPr>
                  <w:tcW w:w="715" w:type="pct"/>
                  <w:tcBorders>
                    <w:tl2br w:val="nil"/>
                    <w:tr2bl w:val="nil"/>
                  </w:tcBorders>
                  <w:noWrap w:val="0"/>
                  <w:vAlign w:val="center"/>
                </w:tcPr>
                <w:p w14:paraId="4ACF3406">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周边敏感点</w:t>
                  </w:r>
                  <w:r>
                    <w:rPr>
                      <w:rFonts w:hint="eastAsia"/>
                      <w:color w:val="000000"/>
                      <w:szCs w:val="21"/>
                      <w:highlight w:val="none"/>
                    </w:rPr>
                    <w:t>、厂内员工</w:t>
                  </w:r>
                </w:p>
              </w:tc>
            </w:tr>
            <w:tr w14:paraId="1AAA7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tcBorders>
                    <w:tl2br w:val="nil"/>
                    <w:tr2bl w:val="nil"/>
                  </w:tcBorders>
                  <w:noWrap w:val="0"/>
                  <w:vAlign w:val="center"/>
                </w:tcPr>
                <w:p w14:paraId="2760BE31">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color w:val="000000"/>
                      <w:szCs w:val="21"/>
                      <w:highlight w:val="none"/>
                    </w:rPr>
                    <w:t>运输过程</w:t>
                  </w:r>
                </w:p>
              </w:tc>
              <w:tc>
                <w:tcPr>
                  <w:tcW w:w="514" w:type="pct"/>
                  <w:tcBorders>
                    <w:tl2br w:val="nil"/>
                    <w:tr2bl w:val="nil"/>
                  </w:tcBorders>
                  <w:noWrap w:val="0"/>
                  <w:vAlign w:val="center"/>
                </w:tcPr>
                <w:p w14:paraId="5864674E">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运输车</w:t>
                  </w:r>
                </w:p>
              </w:tc>
              <w:tc>
                <w:tcPr>
                  <w:tcW w:w="784" w:type="pct"/>
                  <w:tcBorders>
                    <w:tl2br w:val="nil"/>
                    <w:tr2bl w:val="nil"/>
                  </w:tcBorders>
                  <w:noWrap w:val="0"/>
                  <w:vAlign w:val="center"/>
                </w:tcPr>
                <w:p w14:paraId="417028DB">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润滑油、蒸发残液</w:t>
                  </w:r>
                </w:p>
              </w:tc>
              <w:tc>
                <w:tcPr>
                  <w:tcW w:w="1325" w:type="pct"/>
                  <w:tcBorders>
                    <w:tl2br w:val="nil"/>
                    <w:tr2bl w:val="nil"/>
                  </w:tcBorders>
                  <w:noWrap w:val="0"/>
                  <w:vAlign w:val="center"/>
                </w:tcPr>
                <w:p w14:paraId="30171BA0">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桶内液体泄漏、喷出，遇明火发生火灾爆炸或中毒事故；运输车辆由于静电负荷蓄积，容易引起火灾</w:t>
                  </w:r>
                </w:p>
              </w:tc>
              <w:tc>
                <w:tcPr>
                  <w:tcW w:w="1193" w:type="pct"/>
                  <w:tcBorders>
                    <w:tl2br w:val="nil"/>
                    <w:tr2bl w:val="nil"/>
                  </w:tcBorders>
                  <w:noWrap w:val="0"/>
                  <w:vAlign w:val="center"/>
                </w:tcPr>
                <w:p w14:paraId="787B2F95">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物料泄漏和引发的伴生/次生污染物扩散影响大气环境、消防废水进入地表水</w:t>
                  </w:r>
                </w:p>
              </w:tc>
              <w:tc>
                <w:tcPr>
                  <w:tcW w:w="715" w:type="pct"/>
                  <w:tcBorders>
                    <w:tl2br w:val="nil"/>
                    <w:tr2bl w:val="nil"/>
                  </w:tcBorders>
                  <w:noWrap w:val="0"/>
                  <w:vAlign w:val="center"/>
                </w:tcPr>
                <w:p w14:paraId="1B100866">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bCs/>
                      <w:color w:val="000000"/>
                      <w:szCs w:val="21"/>
                      <w:highlight w:val="none"/>
                    </w:rPr>
                    <w:t>沿线环境敏感目标</w:t>
                  </w:r>
                </w:p>
              </w:tc>
            </w:tr>
            <w:tr w14:paraId="5A789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restart"/>
                  <w:tcBorders>
                    <w:tl2br w:val="nil"/>
                    <w:tr2bl w:val="nil"/>
                  </w:tcBorders>
                  <w:noWrap w:val="0"/>
                  <w:vAlign w:val="center"/>
                </w:tcPr>
                <w:p w14:paraId="4884103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环保设备</w:t>
                  </w:r>
                </w:p>
              </w:tc>
              <w:tc>
                <w:tcPr>
                  <w:tcW w:w="514" w:type="pct"/>
                  <w:vMerge w:val="restart"/>
                  <w:tcBorders>
                    <w:tl2br w:val="nil"/>
                    <w:tr2bl w:val="nil"/>
                  </w:tcBorders>
                  <w:noWrap w:val="0"/>
                  <w:vAlign w:val="center"/>
                </w:tcPr>
                <w:p w14:paraId="6AD6FFAF">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废气处理装置</w:t>
                  </w:r>
                </w:p>
              </w:tc>
              <w:tc>
                <w:tcPr>
                  <w:tcW w:w="784" w:type="pct"/>
                  <w:tcBorders>
                    <w:tl2br w:val="nil"/>
                    <w:tr2bl w:val="nil"/>
                  </w:tcBorders>
                  <w:noWrap w:val="0"/>
                  <w:vAlign w:val="center"/>
                </w:tcPr>
                <w:p w14:paraId="3A46FF1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rPr>
                    <w:t>袋式除尘器</w:t>
                  </w:r>
                </w:p>
              </w:tc>
              <w:tc>
                <w:tcPr>
                  <w:tcW w:w="1325" w:type="pct"/>
                  <w:tcBorders>
                    <w:tl2br w:val="nil"/>
                    <w:tr2bl w:val="nil"/>
                  </w:tcBorders>
                  <w:noWrap w:val="0"/>
                  <w:vAlign w:val="center"/>
                </w:tcPr>
                <w:p w14:paraId="0A66D37D">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rPr>
                    <w:t>粉尘积聚，达到爆炸浓度，遇明火引起爆炸事故；系统故障，发生火灾、爆炸事故</w:t>
                  </w:r>
                </w:p>
              </w:tc>
              <w:tc>
                <w:tcPr>
                  <w:tcW w:w="1193" w:type="pct"/>
                  <w:tcBorders>
                    <w:tl2br w:val="nil"/>
                    <w:tr2bl w:val="nil"/>
                  </w:tcBorders>
                  <w:noWrap w:val="0"/>
                  <w:vAlign w:val="center"/>
                </w:tcPr>
                <w:p w14:paraId="52CF0712">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rPr>
                    <w:t>火灾、爆炸和引发的伴生/次生污染物扩散影响大气环境、消防废水进入地表水</w:t>
                  </w:r>
                </w:p>
              </w:tc>
              <w:tc>
                <w:tcPr>
                  <w:tcW w:w="715" w:type="pct"/>
                  <w:tcBorders>
                    <w:tl2br w:val="nil"/>
                    <w:tr2bl w:val="nil"/>
                  </w:tcBorders>
                  <w:noWrap w:val="0"/>
                  <w:vAlign w:val="center"/>
                </w:tcPr>
                <w:p w14:paraId="37EA24DE">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color w:val="000000"/>
                      <w:highlight w:val="none"/>
                    </w:rPr>
                  </w:pPr>
                  <w:r>
                    <w:rPr>
                      <w:rFonts w:hint="eastAsia"/>
                      <w:bCs/>
                      <w:color w:val="000000"/>
                      <w:szCs w:val="21"/>
                      <w:highlight w:val="none"/>
                    </w:rPr>
                    <w:t>周边敏感点、厂内员工</w:t>
                  </w:r>
                </w:p>
              </w:tc>
            </w:tr>
            <w:tr w14:paraId="2BFD8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continue"/>
                  <w:tcBorders>
                    <w:tl2br w:val="nil"/>
                    <w:tr2bl w:val="nil"/>
                  </w:tcBorders>
                  <w:noWrap w:val="0"/>
                  <w:vAlign w:val="center"/>
                </w:tcPr>
                <w:p w14:paraId="0E1D8A2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514" w:type="pct"/>
                  <w:vMerge w:val="continue"/>
                  <w:tcBorders>
                    <w:tl2br w:val="nil"/>
                    <w:tr2bl w:val="nil"/>
                  </w:tcBorders>
                  <w:noWrap w:val="0"/>
                  <w:vAlign w:val="center"/>
                </w:tcPr>
                <w:p w14:paraId="595A9468">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784" w:type="pct"/>
                  <w:tcBorders>
                    <w:tl2br w:val="nil"/>
                    <w:tr2bl w:val="nil"/>
                  </w:tcBorders>
                  <w:noWrap w:val="0"/>
                  <w:vAlign w:val="center"/>
                </w:tcPr>
                <w:p w14:paraId="1097B50F">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eastAsia" w:eastAsia="宋体"/>
                      <w:color w:val="000000"/>
                      <w:szCs w:val="21"/>
                      <w:highlight w:val="none"/>
                      <w:lang w:val="en-US" w:eastAsia="zh-CN"/>
                    </w:rPr>
                  </w:pPr>
                  <w:r>
                    <w:rPr>
                      <w:rFonts w:hint="eastAsia"/>
                      <w:color w:val="000000"/>
                      <w:szCs w:val="21"/>
                      <w:highlight w:val="none"/>
                    </w:rPr>
                    <w:t>活性炭吸附</w:t>
                  </w:r>
                  <w:r>
                    <w:rPr>
                      <w:rFonts w:hint="eastAsia"/>
                      <w:color w:val="000000"/>
                      <w:szCs w:val="21"/>
                      <w:highlight w:val="none"/>
                      <w:lang w:val="en-US" w:eastAsia="zh-CN"/>
                    </w:rPr>
                    <w:t>系统</w:t>
                  </w:r>
                </w:p>
              </w:tc>
              <w:tc>
                <w:tcPr>
                  <w:tcW w:w="1325" w:type="pct"/>
                  <w:tcBorders>
                    <w:tl2br w:val="nil"/>
                    <w:tr2bl w:val="nil"/>
                  </w:tcBorders>
                  <w:noWrap w:val="0"/>
                  <w:vAlign w:val="center"/>
                </w:tcPr>
                <w:p w14:paraId="46E82395">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color w:val="000000"/>
                      <w:highlight w:val="none"/>
                    </w:rPr>
                    <w:t>活性炭积蓄热导致火灾或者吸附的有机废气引起的燃烧</w:t>
                  </w:r>
                </w:p>
              </w:tc>
              <w:tc>
                <w:tcPr>
                  <w:tcW w:w="1193" w:type="pct"/>
                  <w:tcBorders>
                    <w:tl2br w:val="nil"/>
                    <w:tr2bl w:val="nil"/>
                  </w:tcBorders>
                  <w:noWrap w:val="0"/>
                  <w:vAlign w:val="center"/>
                </w:tcPr>
                <w:p w14:paraId="73EAD717">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物料泄漏和引发的伴生/次生污染物扩散影响大气环境、消防废水进入地表水</w:t>
                  </w:r>
                </w:p>
              </w:tc>
              <w:tc>
                <w:tcPr>
                  <w:tcW w:w="715" w:type="pct"/>
                  <w:tcBorders>
                    <w:tl2br w:val="nil"/>
                    <w:tr2bl w:val="nil"/>
                  </w:tcBorders>
                  <w:noWrap w:val="0"/>
                  <w:vAlign w:val="center"/>
                </w:tcPr>
                <w:p w14:paraId="06FEBB19">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周边敏感点、厂内员工</w:t>
                  </w:r>
                </w:p>
              </w:tc>
            </w:tr>
            <w:tr w14:paraId="58353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65" w:type="pct"/>
                  <w:vMerge w:val="continue"/>
                  <w:tcBorders>
                    <w:tl2br w:val="nil"/>
                    <w:tr2bl w:val="nil"/>
                  </w:tcBorders>
                  <w:noWrap w:val="0"/>
                  <w:vAlign w:val="center"/>
                </w:tcPr>
                <w:p w14:paraId="36FB491D">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514" w:type="pct"/>
                  <w:vMerge w:val="continue"/>
                  <w:tcBorders>
                    <w:tl2br w:val="nil"/>
                    <w:tr2bl w:val="nil"/>
                  </w:tcBorders>
                  <w:noWrap w:val="0"/>
                  <w:vAlign w:val="center"/>
                </w:tcPr>
                <w:p w14:paraId="46AF6DD0">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p>
              </w:tc>
              <w:tc>
                <w:tcPr>
                  <w:tcW w:w="784" w:type="pct"/>
                  <w:tcBorders>
                    <w:tl2br w:val="nil"/>
                    <w:tr2bl w:val="nil"/>
                  </w:tcBorders>
                  <w:noWrap w:val="0"/>
                  <w:vAlign w:val="center"/>
                </w:tcPr>
                <w:p w14:paraId="255D5C7A">
                  <w:pPr>
                    <w:keepNext w:val="0"/>
                    <w:keepLines w:val="0"/>
                    <w:pageBreakBefore w:val="0"/>
                    <w:widowControl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废气系统出现故障</w:t>
                  </w:r>
                </w:p>
              </w:tc>
              <w:tc>
                <w:tcPr>
                  <w:tcW w:w="1325" w:type="pct"/>
                  <w:tcBorders>
                    <w:tl2br w:val="nil"/>
                    <w:tr2bl w:val="nil"/>
                  </w:tcBorders>
                  <w:noWrap w:val="0"/>
                  <w:vAlign w:val="center"/>
                </w:tcPr>
                <w:p w14:paraId="3C7CD4A1">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废气处理系统出现故障可能导致废气的非正常排放，废气收集管道发生泄漏，遇火源有引发火灾、爆炸的危险。</w:t>
                  </w:r>
                </w:p>
              </w:tc>
              <w:tc>
                <w:tcPr>
                  <w:tcW w:w="1193" w:type="pct"/>
                  <w:tcBorders>
                    <w:tl2br w:val="nil"/>
                    <w:tr2bl w:val="nil"/>
                  </w:tcBorders>
                  <w:noWrap w:val="0"/>
                  <w:vAlign w:val="center"/>
                </w:tcPr>
                <w:p w14:paraId="516F034B">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突发性泄漏和火灾事故泄漏、伴生和次生的物料泄漏、污水、消防废水可能直接进入市政污水管网和雨水管网，未经处理后排入市政污水和雨水管网，给污水处理厂造成一定的冲击并造成周边水环境污染</w:t>
                  </w:r>
                </w:p>
              </w:tc>
              <w:tc>
                <w:tcPr>
                  <w:tcW w:w="715" w:type="pct"/>
                  <w:tcBorders>
                    <w:tl2br w:val="nil"/>
                    <w:tr2bl w:val="nil"/>
                  </w:tcBorders>
                  <w:noWrap w:val="0"/>
                  <w:vAlign w:val="center"/>
                </w:tcPr>
                <w:p w14:paraId="08C494C1">
                  <w:pPr>
                    <w:keepNext w:val="0"/>
                    <w:keepLines w:val="0"/>
                    <w:pageBreakBefore w:val="0"/>
                    <w:widowControl w:val="0"/>
                    <w:kinsoku/>
                    <w:wordWrap/>
                    <w:overflowPunct/>
                    <w:topLinePunct w:val="0"/>
                    <w:autoSpaceDE/>
                    <w:autoSpaceDN/>
                    <w:bidi w:val="0"/>
                    <w:adjustRightInd w:val="0"/>
                    <w:snapToGrid w:val="0"/>
                    <w:ind w:firstLine="0"/>
                    <w:jc w:val="center"/>
                    <w:textAlignment w:val="auto"/>
                    <w:rPr>
                      <w:bCs/>
                      <w:color w:val="000000"/>
                      <w:szCs w:val="21"/>
                      <w:highlight w:val="none"/>
                    </w:rPr>
                  </w:pPr>
                  <w:r>
                    <w:rPr>
                      <w:rFonts w:hint="eastAsia"/>
                      <w:bCs/>
                      <w:color w:val="000000"/>
                      <w:szCs w:val="21"/>
                      <w:highlight w:val="none"/>
                    </w:rPr>
                    <w:t>周边敏感点、厂内员工</w:t>
                  </w:r>
                </w:p>
              </w:tc>
            </w:tr>
          </w:tbl>
          <w:p w14:paraId="18A171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highlight w:val="none"/>
              </w:rPr>
            </w:pPr>
            <w:r>
              <w:rPr>
                <w:b/>
                <w:color w:val="000000"/>
                <w:sz w:val="24"/>
                <w:highlight w:val="none"/>
              </w:rPr>
              <w:t>7.</w:t>
            </w:r>
            <w:r>
              <w:rPr>
                <w:rFonts w:hint="eastAsia"/>
                <w:b/>
                <w:color w:val="000000"/>
                <w:sz w:val="24"/>
                <w:highlight w:val="none"/>
              </w:rPr>
              <w:t>4环境敏感目标概况</w:t>
            </w:r>
          </w:p>
          <w:p w14:paraId="5F1663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color w:val="000000"/>
                <w:sz w:val="24"/>
                <w:highlight w:val="none"/>
              </w:rPr>
            </w:pPr>
            <w:r>
              <w:rPr>
                <w:rFonts w:hint="eastAsia" w:hAnsi="宋体"/>
                <w:color w:val="000000"/>
                <w:sz w:val="24"/>
                <w:highlight w:val="none"/>
              </w:rPr>
              <w:t>根据现场勘查，距离本项目最近敏感点为</w:t>
            </w:r>
            <w:r>
              <w:rPr>
                <w:rFonts w:hint="eastAsia" w:hAnsi="宋体"/>
                <w:color w:val="000000"/>
                <w:sz w:val="24"/>
                <w:highlight w:val="none"/>
                <w:lang w:val="en-US" w:eastAsia="zh-CN"/>
              </w:rPr>
              <w:t>东北</w:t>
            </w:r>
            <w:r>
              <w:rPr>
                <w:rFonts w:hint="eastAsia" w:hAnsi="宋体"/>
                <w:color w:val="000000"/>
                <w:sz w:val="24"/>
                <w:highlight w:val="none"/>
              </w:rPr>
              <w:t>侧</w:t>
            </w:r>
            <w:r>
              <w:rPr>
                <w:rFonts w:hint="eastAsia" w:hAnsi="宋体"/>
                <w:color w:val="000000"/>
                <w:sz w:val="24"/>
                <w:highlight w:val="none"/>
                <w:lang w:val="en-US" w:eastAsia="zh-CN"/>
              </w:rPr>
              <w:t>130</w:t>
            </w:r>
            <w:r>
              <w:rPr>
                <w:rFonts w:hint="eastAsia" w:hAnsi="宋体"/>
                <w:color w:val="000000"/>
                <w:sz w:val="24"/>
                <w:highlight w:val="none"/>
              </w:rPr>
              <w:t>m处的</w:t>
            </w:r>
            <w:r>
              <w:rPr>
                <w:rFonts w:hint="eastAsia" w:hAnsi="宋体"/>
                <w:color w:val="000000"/>
                <w:sz w:val="24"/>
                <w:highlight w:val="none"/>
                <w:lang w:val="en-US" w:eastAsia="zh-CN"/>
              </w:rPr>
              <w:t>蜘蛛潭</w:t>
            </w:r>
            <w:r>
              <w:rPr>
                <w:rFonts w:hint="eastAsia" w:hAnsi="宋体"/>
                <w:color w:val="000000"/>
                <w:sz w:val="24"/>
                <w:highlight w:val="none"/>
              </w:rPr>
              <w:t>。本项目主要环境保护敏感目标详见表3</w:t>
            </w:r>
            <w:r>
              <w:rPr>
                <w:rFonts w:hint="eastAsia" w:hAnsi="宋体"/>
                <w:color w:val="000000"/>
                <w:sz w:val="24"/>
                <w:highlight w:val="none"/>
                <w:lang w:val="en-US" w:eastAsia="zh-CN"/>
              </w:rPr>
              <w:t>-4</w:t>
            </w:r>
            <w:r>
              <w:rPr>
                <w:rFonts w:hint="eastAsia" w:hAnsi="宋体"/>
                <w:color w:val="000000"/>
                <w:sz w:val="24"/>
                <w:highlight w:val="none"/>
              </w:rPr>
              <w:t>。</w:t>
            </w:r>
          </w:p>
          <w:p w14:paraId="6B6B499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highlight w:val="none"/>
              </w:rPr>
            </w:pPr>
            <w:r>
              <w:rPr>
                <w:rFonts w:hint="eastAsia"/>
                <w:b/>
                <w:color w:val="000000"/>
                <w:sz w:val="24"/>
                <w:highlight w:val="none"/>
              </w:rPr>
              <w:t>7.5环境风险分析</w:t>
            </w:r>
          </w:p>
          <w:p w14:paraId="44FF6E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000000"/>
                <w:sz w:val="24"/>
                <w:highlight w:val="none"/>
              </w:rPr>
            </w:pPr>
            <w:r>
              <w:rPr>
                <w:rFonts w:hint="eastAsia" w:hAnsi="宋体"/>
                <w:color w:val="000000"/>
                <w:sz w:val="24"/>
                <w:highlight w:val="none"/>
              </w:rPr>
              <w:t>本项目按环境要素及其危害后果详见表4-</w:t>
            </w:r>
            <w:r>
              <w:rPr>
                <w:rFonts w:hint="eastAsia" w:hAnsi="宋体"/>
                <w:color w:val="000000"/>
                <w:sz w:val="24"/>
                <w:highlight w:val="none"/>
                <w:lang w:val="en-US" w:eastAsia="zh-CN"/>
              </w:rPr>
              <w:t>33</w:t>
            </w:r>
            <w:r>
              <w:rPr>
                <w:rFonts w:hint="eastAsia" w:hAnsi="宋体"/>
                <w:color w:val="000000"/>
                <w:sz w:val="24"/>
                <w:highlight w:val="none"/>
              </w:rPr>
              <w:t>。</w:t>
            </w:r>
          </w:p>
          <w:p w14:paraId="688809B9">
            <w:pPr>
              <w:keepNext w:val="0"/>
              <w:keepLines w:val="0"/>
              <w:pageBreakBefore w:val="0"/>
              <w:widowControl/>
              <w:kinsoku/>
              <w:wordWrap/>
              <w:overflowPunct/>
              <w:topLinePunct w:val="0"/>
              <w:autoSpaceDE/>
              <w:autoSpaceDN/>
              <w:bidi w:val="0"/>
              <w:adjustRightInd w:val="0"/>
              <w:snapToGrid w:val="0"/>
              <w:ind w:firstLine="0"/>
              <w:jc w:val="center"/>
              <w:textAlignment w:val="auto"/>
              <w:rPr>
                <w:rFonts w:cs="宋体"/>
                <w:color w:val="000000"/>
                <w:kern w:val="0"/>
                <w:sz w:val="21"/>
                <w:szCs w:val="21"/>
                <w:highlight w:val="none"/>
              </w:rPr>
            </w:pPr>
            <w:r>
              <w:rPr>
                <w:rFonts w:hint="eastAsia" w:cs="宋体"/>
                <w:b/>
                <w:color w:val="000000"/>
                <w:kern w:val="0"/>
                <w:sz w:val="21"/>
                <w:szCs w:val="21"/>
                <w:highlight w:val="none"/>
              </w:rPr>
              <w:t>表4-</w:t>
            </w:r>
            <w:r>
              <w:rPr>
                <w:rFonts w:hint="eastAsia" w:cs="宋体"/>
                <w:b/>
                <w:color w:val="000000"/>
                <w:kern w:val="0"/>
                <w:sz w:val="21"/>
                <w:szCs w:val="21"/>
                <w:highlight w:val="none"/>
                <w:lang w:val="en-US" w:eastAsia="zh-CN"/>
              </w:rPr>
              <w:t>33</w:t>
            </w:r>
            <w:r>
              <w:rPr>
                <w:rFonts w:cs="宋体"/>
                <w:b/>
                <w:color w:val="000000"/>
                <w:kern w:val="0"/>
                <w:sz w:val="21"/>
                <w:szCs w:val="21"/>
                <w:highlight w:val="none"/>
              </w:rPr>
              <w:t xml:space="preserve"> </w:t>
            </w:r>
            <w:r>
              <w:rPr>
                <w:rFonts w:hint="eastAsia" w:cs="宋体"/>
                <w:b/>
                <w:color w:val="000000"/>
                <w:kern w:val="0"/>
                <w:sz w:val="21"/>
                <w:szCs w:val="21"/>
                <w:highlight w:val="none"/>
              </w:rPr>
              <w:t>环境影响分析</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5913"/>
            </w:tblGrid>
            <w:tr w14:paraId="71B61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pct"/>
                  <w:tcBorders>
                    <w:tl2br w:val="nil"/>
                    <w:tr2bl w:val="nil"/>
                  </w:tcBorders>
                  <w:noWrap w:val="0"/>
                  <w:vAlign w:val="center"/>
                </w:tcPr>
                <w:p w14:paraId="6E34EAB6">
                  <w:pPr>
                    <w:keepNext w:val="0"/>
                    <w:keepLines w:val="0"/>
                    <w:pageBreakBefore w:val="0"/>
                    <w:widowControl/>
                    <w:kinsoku/>
                    <w:wordWrap/>
                    <w:overflowPunct/>
                    <w:topLinePunct w:val="0"/>
                    <w:autoSpaceDE/>
                    <w:autoSpaceDN/>
                    <w:bidi w:val="0"/>
                    <w:adjustRightInd w:val="0"/>
                    <w:snapToGrid w:val="0"/>
                    <w:ind w:firstLine="0"/>
                    <w:jc w:val="center"/>
                    <w:textAlignment w:val="auto"/>
                    <w:rPr>
                      <w:rFonts w:cs="宋体"/>
                      <w:b/>
                      <w:color w:val="000000"/>
                      <w:kern w:val="0"/>
                      <w:szCs w:val="21"/>
                      <w:highlight w:val="none"/>
                    </w:rPr>
                  </w:pPr>
                  <w:r>
                    <w:rPr>
                      <w:rFonts w:hint="eastAsia" w:cs="宋体"/>
                      <w:b/>
                      <w:color w:val="000000"/>
                      <w:kern w:val="0"/>
                      <w:szCs w:val="21"/>
                      <w:highlight w:val="none"/>
                    </w:rPr>
                    <w:t>类别</w:t>
                  </w:r>
                </w:p>
              </w:tc>
              <w:tc>
                <w:tcPr>
                  <w:tcW w:w="3590" w:type="pct"/>
                  <w:tcBorders>
                    <w:tl2br w:val="nil"/>
                    <w:tr2bl w:val="nil"/>
                  </w:tcBorders>
                  <w:noWrap w:val="0"/>
                  <w:vAlign w:val="center"/>
                </w:tcPr>
                <w:p w14:paraId="37CB4838">
                  <w:pPr>
                    <w:keepNext w:val="0"/>
                    <w:keepLines w:val="0"/>
                    <w:pageBreakBefore w:val="0"/>
                    <w:widowControl/>
                    <w:kinsoku/>
                    <w:wordWrap/>
                    <w:overflowPunct/>
                    <w:topLinePunct w:val="0"/>
                    <w:autoSpaceDE/>
                    <w:autoSpaceDN/>
                    <w:bidi w:val="0"/>
                    <w:adjustRightInd w:val="0"/>
                    <w:snapToGrid w:val="0"/>
                    <w:ind w:firstLine="0"/>
                    <w:jc w:val="center"/>
                    <w:textAlignment w:val="auto"/>
                    <w:rPr>
                      <w:rFonts w:cs="宋体"/>
                      <w:b/>
                      <w:color w:val="000000"/>
                      <w:kern w:val="0"/>
                      <w:szCs w:val="21"/>
                      <w:highlight w:val="none"/>
                    </w:rPr>
                  </w:pPr>
                  <w:r>
                    <w:rPr>
                      <w:rFonts w:hint="eastAsia" w:cs="宋体"/>
                      <w:b/>
                      <w:color w:val="000000"/>
                      <w:kern w:val="0"/>
                      <w:szCs w:val="21"/>
                      <w:highlight w:val="none"/>
                    </w:rPr>
                    <w:t>事故后果</w:t>
                  </w:r>
                </w:p>
              </w:tc>
            </w:tr>
            <w:tr w14:paraId="3FC08D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pct"/>
                  <w:tcBorders>
                    <w:tl2br w:val="nil"/>
                    <w:tr2bl w:val="nil"/>
                  </w:tcBorders>
                  <w:noWrap w:val="0"/>
                  <w:vAlign w:val="center"/>
                </w:tcPr>
                <w:p w14:paraId="5288C7FA">
                  <w:pPr>
                    <w:keepNext w:val="0"/>
                    <w:keepLines w:val="0"/>
                    <w:pageBreakBefore w:val="0"/>
                    <w:kinsoku/>
                    <w:wordWrap/>
                    <w:overflowPunct/>
                    <w:topLinePunct w:val="0"/>
                    <w:autoSpaceDE/>
                    <w:autoSpaceDN/>
                    <w:bidi w:val="0"/>
                    <w:adjustRightInd w:val="0"/>
                    <w:snapToGrid w:val="0"/>
                    <w:ind w:firstLine="0"/>
                    <w:jc w:val="center"/>
                    <w:textAlignment w:val="auto"/>
                    <w:rPr>
                      <w:color w:val="000000"/>
                      <w:szCs w:val="21"/>
                      <w:highlight w:val="none"/>
                    </w:rPr>
                  </w:pPr>
                  <w:r>
                    <w:rPr>
                      <w:rFonts w:hint="eastAsia"/>
                      <w:color w:val="000000"/>
                      <w:szCs w:val="21"/>
                      <w:highlight w:val="none"/>
                    </w:rPr>
                    <w:t>火灾、爆炸、泄漏</w:t>
                  </w:r>
                </w:p>
              </w:tc>
              <w:tc>
                <w:tcPr>
                  <w:tcW w:w="3590" w:type="pct"/>
                  <w:tcBorders>
                    <w:tl2br w:val="nil"/>
                    <w:tr2bl w:val="nil"/>
                  </w:tcBorders>
                  <w:noWrap w:val="0"/>
                  <w:vAlign w:val="center"/>
                </w:tcPr>
                <w:p w14:paraId="5150DA83">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kern w:val="0"/>
                      <w:szCs w:val="21"/>
                      <w:highlight w:val="none"/>
                    </w:rPr>
                  </w:pPr>
                  <w:r>
                    <w:rPr>
                      <w:rFonts w:hint="eastAsia"/>
                      <w:color w:val="000000"/>
                      <w:kern w:val="0"/>
                      <w:szCs w:val="21"/>
                      <w:highlight w:val="none"/>
                    </w:rPr>
                    <w:t>①电器设施火灾，生产场所电器设施数量较多，电缆外表绝缘材料老化或其他高温物体与电缆接触时，极易引起电缆着火，且电缆着火后蔓延速度极快，而使与之相连的电气仪表、设备烧毁，酿成火灾。</w:t>
                  </w:r>
                </w:p>
                <w:p w14:paraId="386880DB">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kern w:val="0"/>
                      <w:szCs w:val="21"/>
                      <w:highlight w:val="none"/>
                    </w:rPr>
                  </w:pPr>
                  <w:r>
                    <w:rPr>
                      <w:rFonts w:hint="eastAsia"/>
                      <w:color w:val="000000"/>
                      <w:kern w:val="0"/>
                      <w:szCs w:val="21"/>
                      <w:highlight w:val="none"/>
                    </w:rPr>
                    <w:t>②原辅料储存容器可能因质量缺陷，或装卸、搬运时未按有关规定进行、原辅料通过管线输送未严格按操作规程操作或管线、仪器仪表老化等，往往导致化学品泄漏、火灾、爆炸和人员中毒等事故。</w:t>
                  </w:r>
                </w:p>
              </w:tc>
            </w:tr>
            <w:tr w14:paraId="50547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pct"/>
                  <w:tcBorders>
                    <w:tl2br w:val="nil"/>
                    <w:tr2bl w:val="nil"/>
                  </w:tcBorders>
                  <w:noWrap w:val="0"/>
                  <w:vAlign w:val="center"/>
                </w:tcPr>
                <w:p w14:paraId="4CFCB9FC">
                  <w:pPr>
                    <w:keepNext w:val="0"/>
                    <w:keepLines w:val="0"/>
                    <w:pageBreakBefore w:val="0"/>
                    <w:kinsoku/>
                    <w:wordWrap/>
                    <w:overflowPunct/>
                    <w:topLinePunct w:val="0"/>
                    <w:autoSpaceDE/>
                    <w:autoSpaceDN/>
                    <w:bidi w:val="0"/>
                    <w:adjustRightInd w:val="0"/>
                    <w:snapToGrid w:val="0"/>
                    <w:ind w:firstLine="0"/>
                    <w:jc w:val="center"/>
                    <w:textAlignment w:val="auto"/>
                    <w:rPr>
                      <w:color w:val="000000"/>
                      <w:highlight w:val="none"/>
                    </w:rPr>
                  </w:pPr>
                  <w:r>
                    <w:rPr>
                      <w:rFonts w:hint="eastAsia"/>
                      <w:color w:val="000000"/>
                      <w:highlight w:val="none"/>
                    </w:rPr>
                    <w:t>停电、断水、停气</w:t>
                  </w:r>
                </w:p>
              </w:tc>
              <w:tc>
                <w:tcPr>
                  <w:tcW w:w="3590" w:type="pct"/>
                  <w:tcBorders>
                    <w:tl2br w:val="nil"/>
                    <w:tr2bl w:val="nil"/>
                  </w:tcBorders>
                  <w:noWrap w:val="0"/>
                  <w:vAlign w:val="center"/>
                </w:tcPr>
                <w:p w14:paraId="42332B42">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szCs w:val="21"/>
                      <w:highlight w:val="none"/>
                    </w:rPr>
                  </w:pPr>
                  <w:r>
                    <w:rPr>
                      <w:rFonts w:hint="eastAsia"/>
                      <w:color w:val="000000"/>
                      <w:szCs w:val="21"/>
                      <w:highlight w:val="none"/>
                    </w:rPr>
                    <w:t>产品生产过程中，如遇停电、断水突发事件时，若无应急设施或措施，容易引发泄漏、火灾、爆炸等意外事故。</w:t>
                  </w:r>
                </w:p>
              </w:tc>
            </w:tr>
            <w:tr w14:paraId="6C3FF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pct"/>
                  <w:tcBorders>
                    <w:tl2br w:val="nil"/>
                    <w:tr2bl w:val="nil"/>
                  </w:tcBorders>
                  <w:noWrap w:val="0"/>
                  <w:vAlign w:val="center"/>
                </w:tcPr>
                <w:p w14:paraId="502EF118">
                  <w:pPr>
                    <w:keepNext w:val="0"/>
                    <w:keepLines w:val="0"/>
                    <w:pageBreakBefore w:val="0"/>
                    <w:kinsoku/>
                    <w:wordWrap/>
                    <w:overflowPunct/>
                    <w:topLinePunct w:val="0"/>
                    <w:autoSpaceDE/>
                    <w:autoSpaceDN/>
                    <w:bidi w:val="0"/>
                    <w:adjustRightInd w:val="0"/>
                    <w:snapToGrid w:val="0"/>
                    <w:ind w:firstLine="0"/>
                    <w:jc w:val="center"/>
                    <w:textAlignment w:val="auto"/>
                    <w:rPr>
                      <w:color w:val="000000"/>
                      <w:highlight w:val="none"/>
                    </w:rPr>
                  </w:pPr>
                  <w:r>
                    <w:rPr>
                      <w:rFonts w:hint="eastAsia"/>
                      <w:color w:val="000000"/>
                      <w:highlight w:val="none"/>
                    </w:rPr>
                    <w:t>通讯或运输系统故障</w:t>
                  </w:r>
                </w:p>
              </w:tc>
              <w:tc>
                <w:tcPr>
                  <w:tcW w:w="3590" w:type="pct"/>
                  <w:tcBorders>
                    <w:tl2br w:val="nil"/>
                    <w:tr2bl w:val="nil"/>
                  </w:tcBorders>
                  <w:noWrap w:val="0"/>
                  <w:vAlign w:val="center"/>
                </w:tcPr>
                <w:p w14:paraId="3AE7EDF2">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szCs w:val="21"/>
                      <w:highlight w:val="none"/>
                    </w:rPr>
                  </w:pPr>
                  <w:r>
                    <w:rPr>
                      <w:rFonts w:hint="eastAsia"/>
                      <w:color w:val="000000"/>
                      <w:szCs w:val="21"/>
                      <w:highlight w:val="none"/>
                    </w:rPr>
                    <w:t>①汽车运输原料及产品过程中，可能因意外导致物料泄漏，甚至发生火灾、爆炸事故，从而污染周边的大气环境或水环境；</w:t>
                  </w:r>
                </w:p>
                <w:p w14:paraId="28566B8E">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szCs w:val="21"/>
                      <w:highlight w:val="none"/>
                    </w:rPr>
                  </w:pPr>
                  <w:r>
                    <w:rPr>
                      <w:rFonts w:hint="eastAsia"/>
                      <w:color w:val="000000"/>
                      <w:szCs w:val="21"/>
                      <w:highlight w:val="none"/>
                    </w:rPr>
                    <w:t>②厂内危险固废运输过程中，如遇意外，可能造成固废泄漏，从而污染周边的大气环境或水环境。</w:t>
                  </w:r>
                </w:p>
              </w:tc>
            </w:tr>
            <w:tr w14:paraId="2BFE8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pct"/>
                  <w:tcBorders>
                    <w:tl2br w:val="nil"/>
                    <w:tr2bl w:val="nil"/>
                  </w:tcBorders>
                  <w:noWrap w:val="0"/>
                  <w:vAlign w:val="center"/>
                </w:tcPr>
                <w:p w14:paraId="2660149C">
                  <w:pPr>
                    <w:keepNext w:val="0"/>
                    <w:keepLines w:val="0"/>
                    <w:pageBreakBefore w:val="0"/>
                    <w:kinsoku/>
                    <w:wordWrap/>
                    <w:overflowPunct/>
                    <w:topLinePunct w:val="0"/>
                    <w:autoSpaceDE/>
                    <w:autoSpaceDN/>
                    <w:bidi w:val="0"/>
                    <w:adjustRightInd w:val="0"/>
                    <w:snapToGrid w:val="0"/>
                    <w:ind w:firstLine="0"/>
                    <w:jc w:val="center"/>
                    <w:textAlignment w:val="auto"/>
                    <w:rPr>
                      <w:color w:val="000000"/>
                      <w:highlight w:val="none"/>
                    </w:rPr>
                  </w:pPr>
                  <w:r>
                    <w:rPr>
                      <w:rFonts w:hint="eastAsia"/>
                      <w:color w:val="000000"/>
                      <w:highlight w:val="none"/>
                    </w:rPr>
                    <w:t>各种自然灾害、极端天气或不利气象条件</w:t>
                  </w:r>
                </w:p>
              </w:tc>
              <w:tc>
                <w:tcPr>
                  <w:tcW w:w="3590" w:type="pct"/>
                  <w:tcBorders>
                    <w:tl2br w:val="nil"/>
                    <w:tr2bl w:val="nil"/>
                  </w:tcBorders>
                  <w:noWrap w:val="0"/>
                  <w:vAlign w:val="center"/>
                </w:tcPr>
                <w:p w14:paraId="6823B47B">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szCs w:val="21"/>
                      <w:highlight w:val="none"/>
                    </w:rPr>
                  </w:pPr>
                  <w:r>
                    <w:rPr>
                      <w:rFonts w:hint="eastAsia"/>
                      <w:color w:val="000000"/>
                      <w:szCs w:val="21"/>
                      <w:highlight w:val="none"/>
                    </w:rPr>
                    <w:t>①雷击时数十至数百万伏的雷电冲击能使电气设备设施的绝缘材料损坏，造成大面积停电或引起短路，导致人身触电、引起火灾爆炸事故；</w:t>
                  </w:r>
                </w:p>
                <w:p w14:paraId="566F843A">
                  <w:pPr>
                    <w:keepNext w:val="0"/>
                    <w:keepLines w:val="0"/>
                    <w:pageBreakBefore w:val="0"/>
                    <w:widowControl/>
                    <w:kinsoku/>
                    <w:wordWrap/>
                    <w:overflowPunct/>
                    <w:topLinePunct w:val="0"/>
                    <w:autoSpaceDE/>
                    <w:autoSpaceDN/>
                    <w:bidi w:val="0"/>
                    <w:adjustRightInd w:val="0"/>
                    <w:snapToGrid w:val="0"/>
                    <w:ind w:firstLine="0"/>
                    <w:jc w:val="left"/>
                    <w:textAlignment w:val="auto"/>
                    <w:rPr>
                      <w:color w:val="000000"/>
                      <w:szCs w:val="21"/>
                      <w:highlight w:val="none"/>
                    </w:rPr>
                  </w:pPr>
                  <w:r>
                    <w:rPr>
                      <w:rFonts w:hint="eastAsia"/>
                      <w:color w:val="000000"/>
                      <w:szCs w:val="21"/>
                      <w:highlight w:val="none"/>
                    </w:rPr>
                    <w:t>②企业如遇洪水自然灾害，可能造成仓库包装桶、包装袋破裂泄漏，污染周边的水环境。</w:t>
                  </w:r>
                </w:p>
              </w:tc>
            </w:tr>
          </w:tbl>
          <w:p w14:paraId="0D73B392">
            <w:pPr>
              <w:keepNext w:val="0"/>
              <w:keepLines w:val="0"/>
              <w:pageBreakBefore w:val="0"/>
              <w:widowControl w:val="0"/>
              <w:kinsoku/>
              <w:wordWrap/>
              <w:overflowPunct/>
              <w:topLinePunct w:val="0"/>
              <w:bidi w:val="0"/>
              <w:adjustRightInd/>
              <w:snapToGrid/>
              <w:spacing w:line="360" w:lineRule="auto"/>
              <w:ind w:firstLine="482" w:firstLineChars="200"/>
              <w:textAlignment w:val="auto"/>
              <w:rPr>
                <w:b/>
                <w:color w:val="000000"/>
                <w:sz w:val="24"/>
              </w:rPr>
            </w:pPr>
            <w:r>
              <w:rPr>
                <w:b/>
                <w:color w:val="000000"/>
                <w:sz w:val="24"/>
              </w:rPr>
              <w:t>7.6</w:t>
            </w:r>
            <w:r>
              <w:rPr>
                <w:rFonts w:hint="eastAsia"/>
                <w:b/>
                <w:color w:val="000000"/>
                <w:sz w:val="24"/>
              </w:rPr>
              <w:t>环境风险防范措施</w:t>
            </w:r>
          </w:p>
          <w:p w14:paraId="7E6C8E4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sz w:val="24"/>
              </w:rPr>
            </w:pPr>
            <w:r>
              <w:rPr>
                <w:rFonts w:hint="eastAsia"/>
                <w:color w:val="000000"/>
                <w:sz w:val="24"/>
              </w:rPr>
              <w:t>（1）严格按照防火规范进行平面布置，电气设备及仪表按防爆等级的不同选用不同的设备。设置明显的警示标志，并建立严格的值班保卫制度，防止人为蓄意破坏；制定应急操作规程，详细说明发生事故时应采取的操作步骤，规定抢修进度，限制事故影响。对重要的仪器设备有完善的检查和维护记录；</w:t>
            </w:r>
          </w:p>
          <w:p w14:paraId="65925B8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sz w:val="24"/>
              </w:rPr>
            </w:pPr>
            <w:r>
              <w:rPr>
                <w:rFonts w:hint="eastAsia"/>
                <w:color w:val="000000"/>
                <w:sz w:val="24"/>
              </w:rPr>
              <w:t>公司应加强对员工及新进厂员工的工艺操作规程、安全操作规程等的培训，并取得相应的合格证书或上岗证。工厂工艺技术尽量应用自动化、密闭化及远程化控制手段，在仪表控制系统尽量使用</w:t>
            </w:r>
            <w:r>
              <w:rPr>
                <w:rFonts w:hint="eastAsia"/>
                <w:color w:val="000000"/>
                <w:sz w:val="24"/>
                <w:lang w:eastAsia="zh-CN"/>
              </w:rPr>
              <w:t>联锁</w:t>
            </w:r>
            <w:r>
              <w:rPr>
                <w:rFonts w:hint="eastAsia"/>
                <w:color w:val="000000"/>
                <w:sz w:val="24"/>
              </w:rPr>
              <w:t>、声光、报警等事故应急系统。</w:t>
            </w:r>
          </w:p>
          <w:p w14:paraId="122E05C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sz w:val="24"/>
              </w:rPr>
            </w:pPr>
            <w:r>
              <w:rPr>
                <w:rFonts w:hint="eastAsia"/>
                <w:color w:val="000000"/>
                <w:sz w:val="24"/>
              </w:rPr>
              <w:t>（2）原料贮运安全防范措施</w:t>
            </w:r>
          </w:p>
          <w:p w14:paraId="24C7CF9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sz w:val="24"/>
              </w:rPr>
            </w:pPr>
            <w:r>
              <w:rPr>
                <w:rFonts w:hint="eastAsia"/>
                <w:color w:val="000000"/>
                <w:sz w:val="24"/>
              </w:rPr>
              <w:t>储存于阴凉、通风的库房。项目的易燃物品分类堆放，不可随意堆放；项目易燃物品的堆放应远离火种，不可设置在高温地点，避免达到易燃品的着火点而使易燃物品</w:t>
            </w:r>
            <w:r>
              <w:rPr>
                <w:rFonts w:hint="eastAsia"/>
                <w:color w:val="000000"/>
                <w:sz w:val="24"/>
                <w:lang w:eastAsia="zh-CN"/>
              </w:rPr>
              <w:t>自燃</w:t>
            </w:r>
            <w:r>
              <w:rPr>
                <w:rFonts w:hint="eastAsia"/>
                <w:color w:val="000000"/>
                <w:sz w:val="24"/>
              </w:rPr>
              <w:t>；包装要求密封，不可与空气接触。不宜大量储存或久存。采用防爆型照明、通风设施。应备有泄漏应急处理设备和合适的收容材料。增强工作人员的安全防患意识，不可在易燃品堆放处使用明火；加强对员工的环保安全知识教育和培训，健全环保安全管理组织机构。</w:t>
            </w:r>
          </w:p>
          <w:p w14:paraId="2FFB6D2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Ansi="宋体"/>
                <w:color w:val="000000"/>
                <w:kern w:val="0"/>
                <w:sz w:val="24"/>
              </w:rPr>
            </w:pPr>
            <w:r>
              <w:rPr>
                <w:rFonts w:hint="eastAsia"/>
                <w:color w:val="000000"/>
                <w:sz w:val="24"/>
              </w:rPr>
              <w:t>（</w:t>
            </w:r>
            <w:r>
              <w:rPr>
                <w:color w:val="000000"/>
                <w:sz w:val="24"/>
              </w:rPr>
              <w:t>3</w:t>
            </w:r>
            <w:r>
              <w:rPr>
                <w:rFonts w:hint="eastAsia"/>
                <w:color w:val="000000"/>
                <w:sz w:val="24"/>
              </w:rPr>
              <w:t>）</w:t>
            </w:r>
            <w:r>
              <w:rPr>
                <w:rFonts w:hAnsi="宋体"/>
                <w:color w:val="000000"/>
                <w:kern w:val="0"/>
                <w:sz w:val="24"/>
              </w:rPr>
              <w:t>物料泄</w:t>
            </w:r>
            <w:r>
              <w:rPr>
                <w:rFonts w:hint="eastAsia" w:hAnsi="宋体"/>
                <w:color w:val="000000"/>
                <w:kern w:val="0"/>
                <w:sz w:val="24"/>
              </w:rPr>
              <w:t>漏</w:t>
            </w:r>
            <w:r>
              <w:rPr>
                <w:rFonts w:hAnsi="宋体"/>
                <w:color w:val="000000"/>
                <w:kern w:val="0"/>
                <w:sz w:val="24"/>
              </w:rPr>
              <w:t>事故</w:t>
            </w:r>
          </w:p>
          <w:p w14:paraId="2BDD1EC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rFonts w:hAnsi="宋体"/>
                <w:color w:val="000000"/>
                <w:kern w:val="0"/>
                <w:sz w:val="24"/>
              </w:rPr>
              <w:t>应制定严格的生产操作规程，加强作业工人的安全教育，杜绝工作失误造成的事故，培训其事故应急处理能力。同时配备相应的应急物资，如吸附棉等，在事故发生时，可以确保事故的影响范围在可控区域内。</w:t>
            </w:r>
          </w:p>
          <w:p w14:paraId="5265B04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Ansi="宋体"/>
                <w:color w:val="000000"/>
                <w:kern w:val="0"/>
                <w:sz w:val="24"/>
              </w:rPr>
            </w:pPr>
            <w:r>
              <w:rPr>
                <w:rFonts w:hint="eastAsia" w:hAnsi="宋体"/>
                <w:color w:val="000000"/>
                <w:kern w:val="0"/>
                <w:sz w:val="24"/>
              </w:rPr>
              <w:t>（</w:t>
            </w:r>
            <w:r>
              <w:rPr>
                <w:rFonts w:hAnsi="宋体"/>
                <w:color w:val="000000"/>
                <w:kern w:val="0"/>
                <w:sz w:val="24"/>
              </w:rPr>
              <w:t>4</w:t>
            </w:r>
            <w:r>
              <w:rPr>
                <w:rFonts w:hint="eastAsia" w:hAnsi="宋体"/>
                <w:color w:val="000000"/>
                <w:kern w:val="0"/>
                <w:sz w:val="24"/>
              </w:rPr>
              <w:t>）</w:t>
            </w:r>
            <w:r>
              <w:rPr>
                <w:rFonts w:hAnsi="宋体"/>
                <w:color w:val="000000"/>
                <w:kern w:val="0"/>
                <w:sz w:val="24"/>
              </w:rPr>
              <w:t>固废</w:t>
            </w:r>
            <w:r>
              <w:rPr>
                <w:rFonts w:hint="eastAsia" w:hAnsi="宋体"/>
                <w:color w:val="000000"/>
                <w:kern w:val="0"/>
                <w:sz w:val="24"/>
              </w:rPr>
              <w:t>贮存场所防范措施</w:t>
            </w:r>
          </w:p>
          <w:p w14:paraId="6CE276D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color w:val="000000"/>
                <w:kern w:val="0"/>
                <w:sz w:val="24"/>
              </w:rPr>
              <w:t>a.</w:t>
            </w:r>
            <w:r>
              <w:rPr>
                <w:rFonts w:hAnsi="宋体"/>
                <w:color w:val="000000"/>
                <w:kern w:val="0"/>
                <w:sz w:val="24"/>
              </w:rPr>
              <w:t>根据《环境保护图形标志</w:t>
            </w:r>
            <w:r>
              <w:rPr>
                <w:color w:val="000000"/>
                <w:kern w:val="0"/>
                <w:sz w:val="24"/>
              </w:rPr>
              <w:t>—</w:t>
            </w:r>
            <w:r>
              <w:rPr>
                <w:rFonts w:hAnsi="宋体"/>
                <w:color w:val="000000"/>
                <w:kern w:val="0"/>
                <w:sz w:val="24"/>
              </w:rPr>
              <w:t>固体废物贮存（处置场）》（</w:t>
            </w:r>
            <w:r>
              <w:rPr>
                <w:color w:val="000000"/>
                <w:kern w:val="0"/>
                <w:sz w:val="24"/>
              </w:rPr>
              <w:t>GB15562.2-1995</w:t>
            </w:r>
            <w:r>
              <w:rPr>
                <w:rFonts w:hAnsi="宋体"/>
                <w:color w:val="000000"/>
                <w:kern w:val="0"/>
                <w:sz w:val="24"/>
              </w:rPr>
              <w:t>）</w:t>
            </w:r>
            <w:r>
              <w:rPr>
                <w:rFonts w:hint="eastAsia" w:hAnsi="宋体"/>
                <w:color w:val="000000"/>
                <w:kern w:val="0"/>
                <w:sz w:val="24"/>
              </w:rPr>
              <w:t>及其修改单</w:t>
            </w:r>
            <w:r>
              <w:rPr>
                <w:rFonts w:hAnsi="宋体"/>
                <w:color w:val="000000"/>
                <w:kern w:val="0"/>
                <w:sz w:val="24"/>
              </w:rPr>
              <w:t>、《危险废物贮存污染控制标准》（</w:t>
            </w:r>
            <w:r>
              <w:rPr>
                <w:color w:val="000000"/>
                <w:kern w:val="0"/>
                <w:sz w:val="24"/>
              </w:rPr>
              <w:t>GB18597-2023</w:t>
            </w:r>
            <w:r>
              <w:rPr>
                <w:rFonts w:hAnsi="宋体"/>
                <w:color w:val="000000"/>
                <w:kern w:val="0"/>
                <w:sz w:val="24"/>
              </w:rPr>
              <w:t>）等规定要求，合理规划设置固废临时专用堆放贮存场地，并设置醒目的环境保护图形标志牌；</w:t>
            </w:r>
          </w:p>
          <w:p w14:paraId="41B8194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color w:val="000000"/>
                <w:kern w:val="0"/>
                <w:sz w:val="24"/>
              </w:rPr>
              <w:t>b.</w:t>
            </w:r>
            <w:r>
              <w:rPr>
                <w:rFonts w:hAnsi="宋体"/>
                <w:color w:val="000000"/>
                <w:kern w:val="0"/>
                <w:sz w:val="24"/>
              </w:rPr>
              <w:t>危险</w:t>
            </w:r>
            <w:r>
              <w:rPr>
                <w:rFonts w:hint="eastAsia" w:hAnsi="宋体"/>
                <w:color w:val="000000"/>
                <w:kern w:val="0"/>
                <w:sz w:val="24"/>
                <w:lang w:val="en-US" w:eastAsia="zh-CN"/>
              </w:rPr>
              <w:t>废物</w:t>
            </w:r>
            <w:r>
              <w:rPr>
                <w:rFonts w:hAnsi="宋体"/>
                <w:color w:val="000000"/>
                <w:kern w:val="0"/>
                <w:sz w:val="24"/>
              </w:rPr>
              <w:t>临时贮存场所均严格按照《危险废物贮存污染控制标准》（</w:t>
            </w:r>
            <w:r>
              <w:rPr>
                <w:color w:val="000000"/>
                <w:kern w:val="0"/>
                <w:sz w:val="24"/>
              </w:rPr>
              <w:t>GB18597-2023</w:t>
            </w:r>
            <w:r>
              <w:rPr>
                <w:rFonts w:hAnsi="宋体"/>
                <w:color w:val="000000"/>
                <w:kern w:val="0"/>
                <w:sz w:val="24"/>
              </w:rPr>
              <w:t>）</w:t>
            </w:r>
            <w:r>
              <w:rPr>
                <w:rFonts w:hint="eastAsia" w:hAnsi="宋体"/>
                <w:color w:val="000000"/>
                <w:kern w:val="0"/>
                <w:sz w:val="24"/>
              </w:rPr>
              <w:t>相关要求</w:t>
            </w:r>
            <w:r>
              <w:rPr>
                <w:rFonts w:hAnsi="宋体"/>
                <w:color w:val="000000"/>
                <w:kern w:val="0"/>
                <w:sz w:val="24"/>
              </w:rPr>
              <w:t>进行建设管理，并送至有处理资质的单位处置，禁止混入非危险废物中贮存；</w:t>
            </w:r>
          </w:p>
          <w:p w14:paraId="13D03EC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color w:val="000000"/>
                <w:kern w:val="0"/>
                <w:sz w:val="24"/>
              </w:rPr>
              <w:t>c.</w:t>
            </w:r>
            <w:r>
              <w:rPr>
                <w:rFonts w:hAnsi="宋体"/>
                <w:color w:val="000000"/>
                <w:kern w:val="0"/>
                <w:sz w:val="24"/>
              </w:rPr>
              <w:t>加强废物运输过程中的事故风险防范，危险废物运输过程中注意要单独运输，包装容器要注意密闭，以免在运输途中发生危险废物的泄漏，从而产生二次污染；</w:t>
            </w:r>
          </w:p>
          <w:p w14:paraId="3477BE1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color w:val="000000"/>
                <w:kern w:val="0"/>
                <w:sz w:val="24"/>
              </w:rPr>
              <w:t>d.</w:t>
            </w:r>
            <w:r>
              <w:rPr>
                <w:rFonts w:hAnsi="宋体"/>
                <w:color w:val="000000"/>
                <w:kern w:val="0"/>
                <w:sz w:val="24"/>
              </w:rPr>
              <w:t>加强对固体废物实行从产生、收集、运输到处理的全过程控制及管理；</w:t>
            </w:r>
          </w:p>
          <w:p w14:paraId="76AA285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Ansi="宋体"/>
                <w:color w:val="000000"/>
                <w:kern w:val="0"/>
                <w:sz w:val="24"/>
              </w:rPr>
            </w:pPr>
            <w:r>
              <w:rPr>
                <w:color w:val="000000"/>
                <w:kern w:val="0"/>
                <w:sz w:val="24"/>
              </w:rPr>
              <w:t>e.</w:t>
            </w:r>
            <w:r>
              <w:rPr>
                <w:rFonts w:hAnsi="宋体"/>
                <w:color w:val="000000"/>
                <w:kern w:val="0"/>
                <w:sz w:val="24"/>
              </w:rPr>
              <w:t>液体物料发生</w:t>
            </w:r>
            <w:r>
              <w:rPr>
                <w:rFonts w:hint="eastAsia" w:hAnsi="宋体"/>
                <w:color w:val="000000"/>
                <w:kern w:val="0"/>
                <w:sz w:val="24"/>
              </w:rPr>
              <w:t>泄漏</w:t>
            </w:r>
            <w:r>
              <w:rPr>
                <w:rFonts w:hAnsi="宋体"/>
                <w:color w:val="000000"/>
                <w:kern w:val="0"/>
                <w:sz w:val="24"/>
              </w:rPr>
              <w:t>，操作人员利用回收泵、回收桶对泄漏的物料进行回收，同时用沙袋对泄漏的物料进行封堵，防止事故扩大。少量残液，用干沙土、水泥粉、煤灰、干粉等吸附，收集后作技术处理或视情况倒至空旷地方掩埋；对与水反应或溶于水的也可视情况直接使用大量水稀释，污水放</w:t>
            </w:r>
            <w:r>
              <w:rPr>
                <w:rFonts w:hint="eastAsia" w:hAnsi="宋体"/>
                <w:color w:val="000000"/>
                <w:kern w:val="0"/>
                <w:sz w:val="24"/>
              </w:rPr>
              <w:t>入</w:t>
            </w:r>
            <w:r>
              <w:rPr>
                <w:rFonts w:hAnsi="宋体"/>
                <w:color w:val="000000"/>
                <w:kern w:val="0"/>
                <w:sz w:val="24"/>
              </w:rPr>
              <w:t>废水系统。在污染地面上洒上中和或洗涤剂浸洗，然后用大量直流水清扫现场，特别是低洼、沟渠等处，确保不留残液；</w:t>
            </w:r>
          </w:p>
          <w:p w14:paraId="4F4BF658">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rPr>
            </w:pPr>
            <w:r>
              <w:rPr>
                <w:rFonts w:hint="eastAsia"/>
                <w:color w:val="000000"/>
                <w:sz w:val="24"/>
              </w:rPr>
              <w:t>（5）活性炭装置风险防范措施：</w:t>
            </w:r>
          </w:p>
          <w:p w14:paraId="30AEA337">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kern w:val="0"/>
                <w:sz w:val="24"/>
              </w:rPr>
            </w:pPr>
            <w:r>
              <w:rPr>
                <w:color w:val="000000"/>
                <w:kern w:val="0"/>
                <w:sz w:val="24"/>
              </w:rPr>
              <w:t>a.</w:t>
            </w:r>
            <w:r>
              <w:rPr>
                <w:rFonts w:hint="eastAsia"/>
                <w:color w:val="000000"/>
                <w:kern w:val="0"/>
                <w:sz w:val="24"/>
              </w:rPr>
              <w:t>活性炭吸附器内应设置自动降温装置，活性炭吸附装置出口及吸附装置内部应设有多个温度测定点和相应的温度显示调节仪，随时显示各点温度，当温度超过设定最高温度时，立即发出报警信号，并且自动开启降温装置；</w:t>
            </w:r>
          </w:p>
          <w:p w14:paraId="1ED736B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Ansi="宋体"/>
                <w:color w:val="000000"/>
                <w:sz w:val="24"/>
              </w:rPr>
            </w:pPr>
            <w:r>
              <w:rPr>
                <w:color w:val="000000"/>
                <w:kern w:val="0"/>
                <w:sz w:val="24"/>
              </w:rPr>
              <w:t>b.</w:t>
            </w:r>
            <w:r>
              <w:rPr>
                <w:rFonts w:hint="eastAsia"/>
                <w:color w:val="000000"/>
                <w:kern w:val="0"/>
                <w:sz w:val="24"/>
              </w:rPr>
              <w:t>活性炭吸附装置气体进出口的风管上应设置压差计，以测定经过吸附器的气流阻力（压降），从而确定是否需要更换活性炭。</w:t>
            </w:r>
          </w:p>
          <w:p w14:paraId="7BD6FD6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Ansi="宋体"/>
                <w:color w:val="000000"/>
                <w:kern w:val="0"/>
                <w:sz w:val="24"/>
                <w:highlight w:val="yellow"/>
              </w:rPr>
            </w:pPr>
            <w:r>
              <w:rPr>
                <w:rFonts w:hint="eastAsia" w:hAnsi="宋体"/>
                <w:color w:val="000000"/>
                <w:kern w:val="0"/>
                <w:sz w:val="24"/>
              </w:rPr>
              <w:t>由于本项目环境风险较小，经采取以上的风险防范措施后，本项目的风险水平是可以接受的。</w:t>
            </w:r>
          </w:p>
          <w:p w14:paraId="43EBEDBA">
            <w:pPr>
              <w:keepNext w:val="0"/>
              <w:keepLines w:val="0"/>
              <w:pageBreakBefore w:val="0"/>
              <w:widowControl w:val="0"/>
              <w:kinsoku/>
              <w:wordWrap/>
              <w:overflowPunct/>
              <w:topLinePunct w:val="0"/>
              <w:bidi w:val="0"/>
              <w:adjustRightInd/>
              <w:snapToGrid/>
              <w:spacing w:line="360" w:lineRule="auto"/>
              <w:ind w:firstLine="482" w:firstLineChars="200"/>
              <w:textAlignment w:val="auto"/>
              <w:rPr>
                <w:b/>
                <w:color w:val="000000"/>
                <w:sz w:val="24"/>
              </w:rPr>
            </w:pPr>
            <w:r>
              <w:rPr>
                <w:rFonts w:hint="eastAsia"/>
                <w:b/>
                <w:color w:val="000000"/>
                <w:sz w:val="24"/>
              </w:rPr>
              <w:t>7.6应急预案</w:t>
            </w:r>
          </w:p>
          <w:p w14:paraId="7A76F7B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rFonts w:hint="eastAsia"/>
                <w:color w:val="000000"/>
                <w:kern w:val="0"/>
                <w:sz w:val="24"/>
              </w:rPr>
              <w:t>本项目实施后，应按照《企事业单位和工业园区突发环境事件应急预案编制导则》（DB32/T 3795-2020）、《工业园区突发环境事件风险评估指南》（DB32/T 3794-2020）的要求编制突发环境事件应急预案，并报苏州市吴江生态环境局备案，并定期组织学习事故应急预案和演练，根据演习情况结合实际对预案进行适当修改。建设应急救援队伍，落实应急预案中的软硬件要求，如按应急预案要求设置事故应急池。事故应急池容积需满足设计要求。厂区事故应急池应与雨水管网相连通，并设置切换阀门，雨水排放口也应设置应急切换阀门。日常正常生产时，事故应急池与雨水管网之间的阀门应为关闭状态，雨水排放口阀门开启，事故应急池需保持空置状态。若发生物料泄漏或爆炸事故，立即关闭雨水排放口管道阀门，切断雨水排口，打开事故池与雨水管道之间的阀门，使厂区内所有事故废水（主要为消防水），能全部汇入事故池，经专业公司处理后达接管标准排入污水厂处理达标排放。</w:t>
            </w:r>
          </w:p>
          <w:p w14:paraId="61F9D8E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rFonts w:hint="eastAsia"/>
                <w:color w:val="000000"/>
                <w:kern w:val="0"/>
                <w:sz w:val="24"/>
              </w:rPr>
              <w:t>经常对排水管道进行检查和维修，保持畅通、完好。加强企业安全管理制度和安全教育，制定防止事故发生的各种规章制度并严格执行，使安全工作做到经常化和制度化。</w:t>
            </w:r>
          </w:p>
          <w:p w14:paraId="1B23B99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rFonts w:hint="eastAsia"/>
                <w:color w:val="000000"/>
                <w:kern w:val="0"/>
                <w:sz w:val="24"/>
              </w:rPr>
              <w:t>应急物资配备：</w:t>
            </w:r>
          </w:p>
          <w:p w14:paraId="16A98C2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kern w:val="0"/>
                <w:sz w:val="24"/>
              </w:rPr>
            </w:pPr>
            <w:r>
              <w:rPr>
                <w:rFonts w:hint="eastAsia"/>
                <w:color w:val="000000"/>
                <w:kern w:val="0"/>
                <w:sz w:val="24"/>
              </w:rPr>
              <w:t>应急电源、照明各班组及办公室管理值班均有一只强光探射灯，作为现场紧急撤离时照明用，当发生事故时，生产系统在突然断电时，所有岗位人员由当班班长负责使用应急照明灯进行应急处理并有序撤离。在事故的抢险和伤员救护过程中，由生产部根据情况，从其他生产系统供电，在确认安全的情况下，对事故单位的各个岗位选择性供电，保证应急和照明电源的使用。</w:t>
            </w:r>
          </w:p>
          <w:p w14:paraId="2BB610C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color w:val="000000"/>
                <w:sz w:val="24"/>
                <w:highlight w:val="yellow"/>
              </w:rPr>
            </w:pPr>
            <w:r>
              <w:rPr>
                <w:rFonts w:hint="eastAsia"/>
                <w:color w:val="000000"/>
                <w:kern w:val="0"/>
                <w:sz w:val="24"/>
              </w:rPr>
              <w:t>办公区应设置专用的应急物资配备仓库，应备存基本防护物资，如医疗救护仪器、应急救援箱、防护工具：防毒、防静电服、防化手套、活性炭口罩、防护镜、绝缘手套、绝缘靴。消防设施：干粉灭火器、二氧化碳灭火器、室内消防栓、室外消防栓、消防水带及喷枪、黄沙箱；通讯报警装置：普通对讲机等。</w:t>
            </w:r>
          </w:p>
          <w:p w14:paraId="1B1D3DFC">
            <w:pPr>
              <w:keepNext w:val="0"/>
              <w:keepLines w:val="0"/>
              <w:pageBreakBefore w:val="0"/>
              <w:widowControl w:val="0"/>
              <w:kinsoku/>
              <w:wordWrap/>
              <w:overflowPunct/>
              <w:topLinePunct w:val="0"/>
              <w:bidi w:val="0"/>
              <w:adjustRightInd/>
              <w:snapToGrid/>
              <w:spacing w:line="360" w:lineRule="auto"/>
              <w:ind w:firstLine="482" w:firstLineChars="200"/>
              <w:textAlignment w:val="auto"/>
              <w:rPr>
                <w:color w:val="000000"/>
                <w:sz w:val="24"/>
                <w:highlight w:val="none"/>
              </w:rPr>
            </w:pPr>
            <w:r>
              <w:rPr>
                <w:rFonts w:hint="eastAsia"/>
                <w:b/>
                <w:color w:val="000000"/>
                <w:sz w:val="24"/>
                <w:highlight w:val="none"/>
              </w:rPr>
              <w:t>7.7事故应急池</w:t>
            </w:r>
          </w:p>
          <w:p w14:paraId="16C32436">
            <w:pPr>
              <w:keepNext w:val="0"/>
              <w:keepLines w:val="0"/>
              <w:pageBreakBefore w:val="0"/>
              <w:widowControl w:val="0"/>
              <w:kinsoku/>
              <w:wordWrap/>
              <w:overflowPunct/>
              <w:topLinePunct w:val="0"/>
              <w:bidi w:val="0"/>
              <w:adjustRightInd/>
              <w:snapToGrid/>
              <w:spacing w:line="360" w:lineRule="auto"/>
              <w:ind w:firstLine="480" w:firstLineChars="200"/>
              <w:textAlignment w:val="auto"/>
              <w:rPr>
                <w:color w:val="000000"/>
                <w:sz w:val="24"/>
                <w:highlight w:val="none"/>
              </w:rPr>
            </w:pPr>
            <w:r>
              <w:rPr>
                <w:rFonts w:hint="eastAsia" w:hAnsi="宋体"/>
                <w:color w:val="000000"/>
                <w:sz w:val="24"/>
                <w:highlight w:val="none"/>
              </w:rPr>
              <w:t>参考《消防给水及消火栓系统技术规范》（GB50974-2014）和《事故状态下水体污染的预防与控制技术要求》（Q/SY1190-2013）要求。明确事故存储设施总有效容积的计算公式如下：</w:t>
            </w:r>
          </w:p>
          <w:p w14:paraId="44CE9A2D">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a.V</w:t>
            </w:r>
            <w:r>
              <w:rPr>
                <w:rFonts w:hint="eastAsia" w:ascii="Times New Roman" w:eastAsia="宋体"/>
                <w:color w:val="000000"/>
                <w:szCs w:val="24"/>
                <w:highlight w:val="none"/>
                <w:vertAlign w:val="subscript"/>
              </w:rPr>
              <w:t>总</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1</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2</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3</w:t>
            </w:r>
            <w:r>
              <w:rPr>
                <w:rFonts w:hint="eastAsia" w:ascii="Times New Roman" w:eastAsia="宋体"/>
                <w:color w:val="000000"/>
                <w:szCs w:val="24"/>
                <w:highlight w:val="none"/>
              </w:rPr>
              <w:t>）</w:t>
            </w:r>
            <w:r>
              <w:rPr>
                <w:rFonts w:ascii="Times New Roman" w:hAnsi="Times New Roman" w:eastAsia="宋体"/>
                <w:color w:val="000000"/>
                <w:szCs w:val="24"/>
                <w:highlight w:val="none"/>
                <w:vertAlign w:val="subscript"/>
              </w:rPr>
              <w:t>max</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4</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5</w:t>
            </w:r>
          </w:p>
          <w:p w14:paraId="19B2A38B">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hint="eastAsia" w:ascii="Times New Roman" w:eastAsia="宋体"/>
                <w:color w:val="000000"/>
                <w:szCs w:val="24"/>
                <w:highlight w:val="none"/>
              </w:rPr>
              <w:t>注：（</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1</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2</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3</w:t>
            </w:r>
            <w:r>
              <w:rPr>
                <w:rFonts w:hint="eastAsia" w:ascii="Times New Roman" w:eastAsia="宋体"/>
                <w:color w:val="000000"/>
                <w:szCs w:val="24"/>
                <w:highlight w:val="none"/>
              </w:rPr>
              <w:t>）</w:t>
            </w:r>
            <w:r>
              <w:rPr>
                <w:rFonts w:ascii="Times New Roman" w:hAnsi="Times New Roman" w:eastAsia="宋体"/>
                <w:color w:val="000000"/>
                <w:szCs w:val="24"/>
                <w:highlight w:val="none"/>
                <w:vertAlign w:val="subscript"/>
              </w:rPr>
              <w:t>max</w:t>
            </w:r>
            <w:r>
              <w:rPr>
                <w:rFonts w:hint="eastAsia" w:ascii="Times New Roman" w:eastAsia="宋体"/>
                <w:color w:val="000000"/>
                <w:szCs w:val="24"/>
                <w:highlight w:val="none"/>
              </w:rPr>
              <w:t>是指对收集系统范围内不同罐组或装置分别计算</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1</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2</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3</w:t>
            </w:r>
            <w:r>
              <w:rPr>
                <w:rFonts w:hint="eastAsia" w:ascii="Times New Roman" w:eastAsia="宋体"/>
                <w:color w:val="000000"/>
                <w:szCs w:val="24"/>
                <w:highlight w:val="none"/>
              </w:rPr>
              <w:t>，取其中最大值。</w:t>
            </w:r>
          </w:p>
          <w:p w14:paraId="40DD4C65">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1</w:t>
            </w:r>
            <w:r>
              <w:rPr>
                <w:rFonts w:ascii="Times New Roman" w:hAnsi="Times New Roman" w:eastAsia="宋体"/>
                <w:color w:val="000000"/>
                <w:szCs w:val="24"/>
                <w:highlight w:val="none"/>
              </w:rPr>
              <w:t>——</w:t>
            </w:r>
            <w:r>
              <w:rPr>
                <w:rFonts w:hint="eastAsia" w:ascii="Times New Roman" w:hAnsi="Times New Roman" w:eastAsia="宋体"/>
                <w:color w:val="000000"/>
                <w:szCs w:val="24"/>
                <w:highlight w:val="none"/>
              </w:rPr>
              <w:t>为最大一个容量的设备（装置）或贮罐的物料贮存量，m</w:t>
            </w:r>
            <w:r>
              <w:rPr>
                <w:rFonts w:hint="eastAsia" w:ascii="Times New Roman" w:hAnsi="Times New Roman" w:eastAsia="宋体"/>
                <w:color w:val="000000"/>
                <w:szCs w:val="24"/>
                <w:highlight w:val="none"/>
                <w:vertAlign w:val="superscript"/>
              </w:rPr>
              <w:t>3</w:t>
            </w:r>
            <w:r>
              <w:rPr>
                <w:rFonts w:hint="eastAsia" w:ascii="Times New Roman" w:eastAsia="宋体"/>
                <w:color w:val="000000"/>
                <w:szCs w:val="24"/>
                <w:highlight w:val="none"/>
              </w:rPr>
              <w:t>。</w:t>
            </w:r>
          </w:p>
          <w:p w14:paraId="7BDDA3E7">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2</w:t>
            </w:r>
            <w:r>
              <w:rPr>
                <w:rFonts w:ascii="Times New Roman" w:hAnsi="Times New Roman" w:eastAsia="宋体"/>
                <w:color w:val="000000"/>
                <w:szCs w:val="24"/>
                <w:highlight w:val="none"/>
              </w:rPr>
              <w:t>——</w:t>
            </w:r>
            <w:r>
              <w:rPr>
                <w:rFonts w:hint="eastAsia" w:ascii="Times New Roman" w:eastAsia="宋体"/>
                <w:color w:val="000000"/>
                <w:szCs w:val="24"/>
                <w:highlight w:val="none"/>
              </w:rPr>
              <w:t>为在装置区或贮罐区一旦发生火灾爆炸及泄漏时的最大消防水量，包括扑灭火灾所需用水量和保护邻近设备或贮罐（最少3个）的喷淋水量，</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hint="eastAsia" w:ascii="Times New Roman" w:eastAsia="宋体"/>
                <w:color w:val="000000"/>
                <w:szCs w:val="24"/>
                <w:highlight w:val="none"/>
              </w:rPr>
              <w:t>；</w:t>
            </w:r>
          </w:p>
          <w:p w14:paraId="14E46584">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b.V</w:t>
            </w:r>
            <w:r>
              <w:rPr>
                <w:rFonts w:ascii="Times New Roman" w:hAnsi="Times New Roman" w:eastAsia="宋体"/>
                <w:color w:val="000000"/>
                <w:szCs w:val="24"/>
                <w:highlight w:val="none"/>
                <w:vertAlign w:val="subscript"/>
              </w:rPr>
              <w:t>2</w:t>
            </w:r>
            <w:r>
              <w:rPr>
                <w:rFonts w:ascii="Times New Roman" w:hAnsi="Times New Roman" w:eastAsia="宋体"/>
                <w:color w:val="000000"/>
                <w:szCs w:val="24"/>
                <w:highlight w:val="none"/>
              </w:rPr>
              <w:t>=ΣQ</w:t>
            </w:r>
            <w:r>
              <w:rPr>
                <w:rFonts w:hint="eastAsia" w:ascii="Times New Roman" w:eastAsia="宋体"/>
                <w:color w:val="000000"/>
                <w:szCs w:val="24"/>
                <w:highlight w:val="none"/>
                <w:vertAlign w:val="subscript"/>
              </w:rPr>
              <w:t>消</w:t>
            </w:r>
            <w:r>
              <w:rPr>
                <w:rFonts w:ascii="Times New Roman" w:hAnsi="Times New Roman" w:eastAsia="宋体"/>
                <w:color w:val="000000"/>
                <w:szCs w:val="24"/>
                <w:highlight w:val="none"/>
              </w:rPr>
              <w:t>t</w:t>
            </w:r>
            <w:r>
              <w:rPr>
                <w:rFonts w:hint="eastAsia" w:ascii="Times New Roman" w:eastAsia="宋体"/>
                <w:color w:val="000000"/>
                <w:szCs w:val="24"/>
                <w:highlight w:val="none"/>
                <w:vertAlign w:val="subscript"/>
              </w:rPr>
              <w:t>消</w:t>
            </w:r>
          </w:p>
          <w:p w14:paraId="080B9DF1">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Q</w:t>
            </w:r>
            <w:r>
              <w:rPr>
                <w:rFonts w:hint="eastAsia" w:ascii="Times New Roman" w:eastAsia="宋体"/>
                <w:color w:val="000000"/>
                <w:szCs w:val="24"/>
                <w:highlight w:val="none"/>
                <w:vertAlign w:val="subscript"/>
              </w:rPr>
              <w:t>消</w:t>
            </w:r>
            <w:r>
              <w:rPr>
                <w:rFonts w:ascii="Times New Roman" w:hAnsi="Times New Roman" w:eastAsia="宋体"/>
                <w:color w:val="000000"/>
                <w:szCs w:val="24"/>
                <w:highlight w:val="none"/>
              </w:rPr>
              <w:t>——</w:t>
            </w:r>
            <w:r>
              <w:rPr>
                <w:rFonts w:hint="eastAsia" w:ascii="Times New Roman" w:eastAsia="宋体"/>
                <w:color w:val="000000"/>
                <w:szCs w:val="24"/>
                <w:highlight w:val="none"/>
              </w:rPr>
              <w:t>发生事故的储罐或装置的同时使用的消防设施给水流量，</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ascii="Times New Roman" w:hAnsi="Times New Roman" w:eastAsia="宋体"/>
                <w:color w:val="000000"/>
                <w:szCs w:val="24"/>
                <w:highlight w:val="none"/>
              </w:rPr>
              <w:t>/h</w:t>
            </w:r>
            <w:r>
              <w:rPr>
                <w:rFonts w:hint="eastAsia" w:ascii="Times New Roman" w:eastAsia="宋体"/>
                <w:color w:val="000000"/>
                <w:szCs w:val="24"/>
                <w:highlight w:val="none"/>
              </w:rPr>
              <w:t>；</w:t>
            </w:r>
          </w:p>
          <w:p w14:paraId="43B84A3A">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t</w:t>
            </w:r>
            <w:r>
              <w:rPr>
                <w:rFonts w:hint="eastAsia" w:ascii="Times New Roman" w:eastAsia="宋体"/>
                <w:color w:val="000000"/>
                <w:szCs w:val="24"/>
                <w:highlight w:val="none"/>
                <w:vertAlign w:val="subscript"/>
              </w:rPr>
              <w:t>消</w:t>
            </w:r>
            <w:r>
              <w:rPr>
                <w:rFonts w:ascii="Times New Roman" w:hAnsi="Times New Roman" w:eastAsia="宋体"/>
                <w:color w:val="000000"/>
                <w:szCs w:val="24"/>
                <w:highlight w:val="none"/>
              </w:rPr>
              <w:t>——</w:t>
            </w:r>
            <w:r>
              <w:rPr>
                <w:rFonts w:hint="eastAsia" w:ascii="Times New Roman" w:eastAsia="宋体"/>
                <w:color w:val="000000"/>
                <w:szCs w:val="24"/>
                <w:highlight w:val="none"/>
              </w:rPr>
              <w:t>消防设施对应的设计消防历时，</w:t>
            </w:r>
            <w:r>
              <w:rPr>
                <w:rFonts w:ascii="Times New Roman" w:hAnsi="Times New Roman" w:eastAsia="宋体"/>
                <w:color w:val="000000"/>
                <w:szCs w:val="24"/>
                <w:highlight w:val="none"/>
              </w:rPr>
              <w:t>h</w:t>
            </w:r>
            <w:r>
              <w:rPr>
                <w:rFonts w:hint="eastAsia" w:ascii="Times New Roman" w:eastAsia="宋体"/>
                <w:color w:val="000000"/>
                <w:szCs w:val="24"/>
                <w:highlight w:val="none"/>
              </w:rPr>
              <w:t>；</w:t>
            </w:r>
          </w:p>
          <w:p w14:paraId="27AAE0DE">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3</w:t>
            </w:r>
            <w:r>
              <w:rPr>
                <w:rFonts w:ascii="Times New Roman" w:hAnsi="Times New Roman" w:eastAsia="宋体"/>
                <w:color w:val="000000"/>
                <w:szCs w:val="24"/>
                <w:highlight w:val="none"/>
              </w:rPr>
              <w:t>——</w:t>
            </w:r>
            <w:r>
              <w:rPr>
                <w:rFonts w:hint="eastAsia" w:ascii="Times New Roman" w:eastAsia="宋体"/>
                <w:color w:val="000000"/>
                <w:szCs w:val="24"/>
                <w:highlight w:val="none"/>
              </w:rPr>
              <w:t>发生事故时可以转输到其他储存或处理设施的物料量，</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hint="eastAsia" w:ascii="Times New Roman" w:eastAsia="宋体"/>
                <w:color w:val="000000"/>
                <w:szCs w:val="24"/>
                <w:highlight w:val="none"/>
              </w:rPr>
              <w:t>；</w:t>
            </w:r>
          </w:p>
          <w:p w14:paraId="1A00073D">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4</w:t>
            </w:r>
            <w:r>
              <w:rPr>
                <w:rFonts w:ascii="Times New Roman" w:hAnsi="Times New Roman" w:eastAsia="宋体"/>
                <w:color w:val="000000"/>
                <w:szCs w:val="24"/>
                <w:highlight w:val="none"/>
              </w:rPr>
              <w:t>——</w:t>
            </w:r>
            <w:r>
              <w:rPr>
                <w:rFonts w:hint="eastAsia" w:ascii="Times New Roman" w:eastAsia="宋体"/>
                <w:color w:val="000000"/>
                <w:szCs w:val="24"/>
                <w:highlight w:val="none"/>
              </w:rPr>
              <w:t>发生事故时仍必须进入该收集系统的生产废水量，</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hint="eastAsia" w:ascii="Times New Roman" w:eastAsia="宋体"/>
                <w:color w:val="000000"/>
                <w:szCs w:val="24"/>
                <w:highlight w:val="none"/>
              </w:rPr>
              <w:t>；</w:t>
            </w:r>
          </w:p>
          <w:p w14:paraId="7A07CDCF">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5</w:t>
            </w:r>
            <w:r>
              <w:rPr>
                <w:rFonts w:ascii="Times New Roman" w:hAnsi="Times New Roman" w:eastAsia="宋体"/>
                <w:color w:val="000000"/>
                <w:szCs w:val="24"/>
                <w:highlight w:val="none"/>
              </w:rPr>
              <w:t>——</w:t>
            </w:r>
            <w:r>
              <w:rPr>
                <w:rFonts w:hint="eastAsia" w:ascii="Times New Roman" w:eastAsia="宋体"/>
                <w:color w:val="000000"/>
                <w:szCs w:val="24"/>
                <w:highlight w:val="none"/>
              </w:rPr>
              <w:t>发生事故时可能进入该收集系统的降雨量，</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hint="eastAsia" w:ascii="Times New Roman" w:eastAsia="宋体"/>
                <w:color w:val="000000"/>
                <w:szCs w:val="24"/>
                <w:highlight w:val="none"/>
              </w:rPr>
              <w:t>。</w:t>
            </w:r>
          </w:p>
          <w:p w14:paraId="0FAE68AB">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c.V</w:t>
            </w:r>
            <w:r>
              <w:rPr>
                <w:rFonts w:ascii="Times New Roman" w:hAnsi="Times New Roman" w:eastAsia="宋体"/>
                <w:color w:val="000000"/>
                <w:szCs w:val="24"/>
                <w:highlight w:val="none"/>
                <w:vertAlign w:val="subscript"/>
              </w:rPr>
              <w:t>5</w:t>
            </w:r>
            <w:r>
              <w:rPr>
                <w:rFonts w:hint="eastAsia" w:ascii="Times New Roman" w:hAnsi="Times New Roman" w:eastAsia="宋体"/>
                <w:color w:val="000000"/>
                <w:szCs w:val="24"/>
                <w:highlight w:val="none"/>
                <w:vertAlign w:val="baseline"/>
                <w:lang w:eastAsia="zh-CN"/>
              </w:rPr>
              <w:t>=</w:t>
            </w:r>
            <w:r>
              <w:rPr>
                <w:rFonts w:hint="eastAsia" w:ascii="Times New Roman" w:eastAsia="宋体"/>
                <w:color w:val="000000"/>
                <w:szCs w:val="24"/>
                <w:highlight w:val="none"/>
              </w:rPr>
              <w:t>10</w:t>
            </w:r>
            <w:r>
              <w:rPr>
                <w:rFonts w:ascii="Times New Roman" w:hAnsi="Times New Roman" w:eastAsia="宋体"/>
                <w:color w:val="000000"/>
                <w:szCs w:val="24"/>
                <w:highlight w:val="none"/>
              </w:rPr>
              <w:t>qF</w:t>
            </w:r>
          </w:p>
          <w:p w14:paraId="11BAF616">
            <w:pPr>
              <w:keepNext w:val="0"/>
              <w:keepLines w:val="0"/>
              <w:pageBreakBefore w:val="0"/>
              <w:kinsoku/>
              <w:wordWrap/>
              <w:overflowPunct/>
              <w:topLinePunct w:val="0"/>
              <w:bidi w:val="0"/>
              <w:adjustRightInd/>
              <w:snapToGrid/>
              <w:spacing w:line="360" w:lineRule="auto"/>
              <w:ind w:firstLine="480" w:firstLineChars="200"/>
              <w:textAlignment w:val="auto"/>
              <w:rPr>
                <w:color w:val="000000"/>
                <w:sz w:val="24"/>
                <w:highlight w:val="none"/>
              </w:rPr>
            </w:pPr>
            <w:r>
              <w:rPr>
                <w:rFonts w:hint="eastAsia" w:hAnsi="宋体"/>
                <w:color w:val="000000"/>
                <w:sz w:val="24"/>
                <w:highlight w:val="none"/>
              </w:rPr>
              <w:t>式中：</w:t>
            </w:r>
            <w:r>
              <w:rPr>
                <w:color w:val="000000"/>
                <w:sz w:val="24"/>
                <w:highlight w:val="none"/>
              </w:rPr>
              <w:t>q——</w:t>
            </w:r>
            <w:r>
              <w:rPr>
                <w:rFonts w:hint="eastAsia"/>
                <w:color w:val="000000"/>
                <w:sz w:val="24"/>
                <w:highlight w:val="none"/>
              </w:rPr>
              <w:t>降雨强度，</w:t>
            </w:r>
            <w:r>
              <w:rPr>
                <w:color w:val="000000"/>
                <w:sz w:val="24"/>
                <w:highlight w:val="none"/>
              </w:rPr>
              <w:t>mm</w:t>
            </w:r>
            <w:r>
              <w:rPr>
                <w:rFonts w:hint="eastAsia"/>
                <w:color w:val="000000"/>
                <w:sz w:val="24"/>
                <w:highlight w:val="none"/>
              </w:rPr>
              <w:t>；按平均日降雨量；</w:t>
            </w:r>
          </w:p>
          <w:p w14:paraId="02314D87">
            <w:pPr>
              <w:pStyle w:val="36"/>
              <w:keepNext w:val="0"/>
              <w:keepLines w:val="0"/>
              <w:pageBreakBefore w:val="0"/>
              <w:kinsoku/>
              <w:wordWrap/>
              <w:overflowPunct/>
              <w:topLinePunct w:val="0"/>
              <w:bidi w:val="0"/>
              <w:adjustRightInd/>
              <w:snapToGrid/>
              <w:spacing w:line="360" w:lineRule="auto"/>
              <w:ind w:firstLine="1200" w:firstLineChars="500"/>
              <w:jc w:val="both"/>
              <w:textAlignment w:val="auto"/>
              <w:rPr>
                <w:rFonts w:ascii="Times New Roman" w:hAnsi="Times New Roman" w:eastAsia="宋体"/>
                <w:color w:val="000000"/>
                <w:szCs w:val="24"/>
                <w:highlight w:val="none"/>
              </w:rPr>
            </w:pPr>
            <w:r>
              <w:rPr>
                <w:rFonts w:hint="eastAsia" w:ascii="Times New Roman" w:hAnsi="Times New Roman" w:eastAsia="宋体"/>
                <w:color w:val="000000"/>
                <w:szCs w:val="24"/>
                <w:highlight w:val="none"/>
              </w:rPr>
              <w:t>q=qa/n</w:t>
            </w:r>
          </w:p>
          <w:p w14:paraId="23D6FAD1">
            <w:pPr>
              <w:pStyle w:val="36"/>
              <w:keepNext w:val="0"/>
              <w:keepLines w:val="0"/>
              <w:pageBreakBefore w:val="0"/>
              <w:kinsoku/>
              <w:wordWrap/>
              <w:overflowPunct/>
              <w:topLinePunct w:val="0"/>
              <w:bidi w:val="0"/>
              <w:adjustRightInd/>
              <w:snapToGrid/>
              <w:spacing w:line="360" w:lineRule="auto"/>
              <w:ind w:firstLine="1200" w:firstLineChars="500"/>
              <w:jc w:val="both"/>
              <w:textAlignment w:val="auto"/>
              <w:rPr>
                <w:rFonts w:ascii="Times New Roman" w:hAnsi="Times New Roman" w:eastAsia="宋体"/>
                <w:color w:val="000000"/>
                <w:szCs w:val="24"/>
                <w:highlight w:val="none"/>
              </w:rPr>
            </w:pPr>
            <w:r>
              <w:rPr>
                <w:rFonts w:hint="eastAsia" w:ascii="Times New Roman" w:hAnsi="Times New Roman" w:eastAsia="宋体"/>
                <w:color w:val="000000"/>
                <w:szCs w:val="24"/>
                <w:highlight w:val="none"/>
              </w:rPr>
              <w:t>q=qa/n=8.748mm</w:t>
            </w:r>
          </w:p>
          <w:p w14:paraId="6DD5605B">
            <w:pPr>
              <w:pStyle w:val="36"/>
              <w:keepNext w:val="0"/>
              <w:keepLines w:val="0"/>
              <w:pageBreakBefore w:val="0"/>
              <w:kinsoku/>
              <w:wordWrap/>
              <w:overflowPunct/>
              <w:topLinePunct w:val="0"/>
              <w:bidi w:val="0"/>
              <w:adjustRightInd/>
              <w:snapToGrid/>
              <w:spacing w:line="360" w:lineRule="auto"/>
              <w:ind w:firstLine="1200" w:firstLineChars="500"/>
              <w:jc w:val="both"/>
              <w:textAlignment w:val="auto"/>
              <w:rPr>
                <w:rFonts w:ascii="Times New Roman" w:eastAsia="宋体"/>
                <w:color w:val="000000"/>
                <w:szCs w:val="24"/>
                <w:highlight w:val="none"/>
              </w:rPr>
            </w:pPr>
            <w:r>
              <w:rPr>
                <w:rFonts w:hint="eastAsia" w:ascii="Times New Roman" w:hAnsi="Times New Roman" w:eastAsia="宋体"/>
                <w:color w:val="000000"/>
                <w:szCs w:val="24"/>
                <w:highlight w:val="none"/>
              </w:rPr>
              <w:t>qa</w:t>
            </w:r>
            <w:r>
              <w:rPr>
                <w:rFonts w:ascii="Times New Roman" w:hAnsi="Times New Roman" w:eastAsia="宋体"/>
                <w:color w:val="000000"/>
                <w:szCs w:val="24"/>
                <w:highlight w:val="none"/>
              </w:rPr>
              <w:t>——</w:t>
            </w:r>
            <w:r>
              <w:rPr>
                <w:rFonts w:hint="eastAsia" w:ascii="Times New Roman" w:hAnsi="Times New Roman" w:eastAsia="宋体"/>
                <w:color w:val="000000"/>
                <w:szCs w:val="24"/>
                <w:highlight w:val="none"/>
              </w:rPr>
              <w:t>年平均降雨量，</w:t>
            </w:r>
            <w:r>
              <w:rPr>
                <w:rFonts w:ascii="Times New Roman" w:hAnsi="Times New Roman" w:eastAsia="宋体"/>
                <w:color w:val="000000"/>
                <w:szCs w:val="24"/>
                <w:highlight w:val="none"/>
              </w:rPr>
              <w:t>mm</w:t>
            </w:r>
            <w:r>
              <w:rPr>
                <w:rFonts w:hint="eastAsia" w:ascii="Times New Roman" w:eastAsia="宋体"/>
                <w:color w:val="000000"/>
                <w:szCs w:val="24"/>
                <w:highlight w:val="none"/>
              </w:rPr>
              <w:t>；（苏州地区年平均降雨量1093.5mm）</w:t>
            </w:r>
          </w:p>
          <w:p w14:paraId="476CCB16">
            <w:pPr>
              <w:pStyle w:val="36"/>
              <w:keepNext w:val="0"/>
              <w:keepLines w:val="0"/>
              <w:pageBreakBefore w:val="0"/>
              <w:kinsoku/>
              <w:wordWrap/>
              <w:overflowPunct/>
              <w:topLinePunct w:val="0"/>
              <w:bidi w:val="0"/>
              <w:adjustRightInd/>
              <w:snapToGrid/>
              <w:spacing w:line="360" w:lineRule="auto"/>
              <w:ind w:firstLine="1200" w:firstLineChars="500"/>
              <w:jc w:val="both"/>
              <w:textAlignment w:val="auto"/>
              <w:rPr>
                <w:rFonts w:ascii="Times New Roman" w:eastAsia="宋体"/>
                <w:color w:val="000000"/>
                <w:szCs w:val="24"/>
                <w:highlight w:val="none"/>
              </w:rPr>
            </w:pPr>
            <w:r>
              <w:rPr>
                <w:rFonts w:hint="eastAsia" w:ascii="Times New Roman" w:eastAsia="宋体"/>
                <w:color w:val="000000"/>
                <w:szCs w:val="24"/>
                <w:highlight w:val="none"/>
              </w:rPr>
              <w:t>n</w:t>
            </w:r>
            <w:r>
              <w:rPr>
                <w:rFonts w:ascii="Times New Roman" w:hAnsi="Times New Roman" w:eastAsia="宋体"/>
                <w:color w:val="000000"/>
                <w:szCs w:val="24"/>
                <w:highlight w:val="none"/>
              </w:rPr>
              <w:t>——</w:t>
            </w:r>
            <w:r>
              <w:rPr>
                <w:rFonts w:hint="eastAsia" w:ascii="Times New Roman" w:hAnsi="Times New Roman" w:eastAsia="宋体"/>
                <w:color w:val="000000"/>
                <w:szCs w:val="24"/>
                <w:highlight w:val="none"/>
              </w:rPr>
              <w:t>年平均降雨日数；（苏州地区年降雨天数125天）</w:t>
            </w:r>
          </w:p>
          <w:p w14:paraId="20E91AC9">
            <w:pPr>
              <w:keepNext w:val="0"/>
              <w:keepLines w:val="0"/>
              <w:pageBreakBefore w:val="0"/>
              <w:kinsoku/>
              <w:wordWrap/>
              <w:overflowPunct/>
              <w:topLinePunct w:val="0"/>
              <w:bidi w:val="0"/>
              <w:adjustRightInd/>
              <w:snapToGrid/>
              <w:spacing w:line="360" w:lineRule="auto"/>
              <w:ind w:firstLine="1200" w:firstLineChars="500"/>
              <w:textAlignment w:val="auto"/>
              <w:rPr>
                <w:color w:val="000000"/>
                <w:sz w:val="24"/>
                <w:highlight w:val="none"/>
              </w:rPr>
            </w:pPr>
            <w:r>
              <w:rPr>
                <w:rFonts w:hint="eastAsia"/>
                <w:color w:val="000000"/>
                <w:sz w:val="24"/>
                <w:highlight w:val="none"/>
              </w:rPr>
              <w:t>F</w:t>
            </w:r>
            <w:r>
              <w:rPr>
                <w:color w:val="000000"/>
                <w:sz w:val="24"/>
                <w:highlight w:val="none"/>
              </w:rPr>
              <w:t>——</w:t>
            </w:r>
            <w:r>
              <w:rPr>
                <w:rFonts w:hint="eastAsia"/>
                <w:color w:val="000000"/>
                <w:sz w:val="24"/>
                <w:highlight w:val="none"/>
              </w:rPr>
              <w:t>必须进入事故废水收集系统的雨水汇水面积，hm</w:t>
            </w:r>
            <w:r>
              <w:rPr>
                <w:rFonts w:hint="eastAsia"/>
                <w:color w:val="000000"/>
                <w:sz w:val="24"/>
                <w:highlight w:val="none"/>
                <w:vertAlign w:val="superscript"/>
              </w:rPr>
              <w:t>2</w:t>
            </w:r>
            <w:r>
              <w:rPr>
                <w:rFonts w:hint="eastAsia"/>
                <w:color w:val="000000"/>
                <w:sz w:val="24"/>
                <w:highlight w:val="none"/>
              </w:rPr>
              <w:t>。</w:t>
            </w:r>
          </w:p>
          <w:p w14:paraId="40790308">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hint="eastAsia" w:ascii="Times New Roman" w:hAnsi="Times New Roman" w:eastAsia="宋体"/>
                <w:color w:val="000000"/>
                <w:szCs w:val="24"/>
                <w:highlight w:val="none"/>
              </w:rPr>
              <w:t>根据项目情况，本项目事故存储设施总有效容积计算如下：</w:t>
            </w:r>
          </w:p>
          <w:p w14:paraId="7B78BCDC">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A</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1</w:t>
            </w:r>
            <w:r>
              <w:rPr>
                <w:rFonts w:hint="eastAsia" w:ascii="Times New Roman" w:eastAsia="宋体"/>
                <w:color w:val="000000"/>
                <w:szCs w:val="24"/>
                <w:highlight w:val="none"/>
              </w:rPr>
              <w:t>：本项目无储罐，因此</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1</w:t>
            </w:r>
            <w:r>
              <w:rPr>
                <w:rFonts w:ascii="Times New Roman" w:hAnsi="Times New Roman" w:eastAsia="宋体"/>
                <w:color w:val="000000"/>
                <w:szCs w:val="24"/>
                <w:highlight w:val="none"/>
              </w:rPr>
              <w:t>=0</w:t>
            </w:r>
            <w:r>
              <w:rPr>
                <w:rFonts w:hint="eastAsia" w:ascii="Times New Roman" w:eastAsia="宋体"/>
                <w:color w:val="000000"/>
                <w:szCs w:val="24"/>
                <w:highlight w:val="none"/>
              </w:rPr>
              <w:t>。</w:t>
            </w:r>
          </w:p>
          <w:p w14:paraId="6623F8CE">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B</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2</w:t>
            </w:r>
            <w:r>
              <w:rPr>
                <w:rFonts w:hint="eastAsia" w:ascii="Times New Roman" w:eastAsia="宋体"/>
                <w:color w:val="000000"/>
                <w:szCs w:val="24"/>
                <w:highlight w:val="none"/>
              </w:rPr>
              <w:t>：厂区内厂房最高等级为丙类厂房，根据《消防给水及消防栓系统技术规范》（</w:t>
            </w:r>
            <w:r>
              <w:rPr>
                <w:rFonts w:ascii="Times New Roman" w:hAnsi="Times New Roman" w:eastAsia="宋体"/>
                <w:color w:val="000000"/>
                <w:szCs w:val="24"/>
                <w:highlight w:val="none"/>
              </w:rPr>
              <w:t>GB50974-2014</w:t>
            </w:r>
            <w:r>
              <w:rPr>
                <w:rFonts w:hint="eastAsia" w:ascii="Times New Roman" w:eastAsia="宋体"/>
                <w:color w:val="000000"/>
                <w:szCs w:val="24"/>
                <w:highlight w:val="none"/>
              </w:rPr>
              <w:t>），丙类厂房的消防水用量按照最大用水量考虑（</w:t>
            </w:r>
            <w:r>
              <w:rPr>
                <w:rFonts w:hint="eastAsia" w:ascii="Times New Roman" w:hAnsi="Times New Roman" w:eastAsia="宋体"/>
                <w:color w:val="000000"/>
                <w:szCs w:val="24"/>
                <w:highlight w:val="none"/>
              </w:rPr>
              <w:t>40</w:t>
            </w:r>
            <w:r>
              <w:rPr>
                <w:rFonts w:ascii="Times New Roman" w:hAnsi="Times New Roman" w:eastAsia="宋体"/>
                <w:color w:val="000000"/>
                <w:szCs w:val="24"/>
                <w:highlight w:val="none"/>
              </w:rPr>
              <w:t>L/S</w:t>
            </w:r>
            <w:r>
              <w:rPr>
                <w:rFonts w:hint="eastAsia" w:ascii="Times New Roman" w:eastAsia="宋体"/>
                <w:color w:val="000000"/>
                <w:szCs w:val="24"/>
                <w:highlight w:val="none"/>
              </w:rPr>
              <w:t>），消防救火时间按</w:t>
            </w:r>
            <w:r>
              <w:rPr>
                <w:rFonts w:hint="eastAsia" w:ascii="Times New Roman" w:hAnsi="Times New Roman" w:eastAsia="宋体"/>
                <w:color w:val="000000"/>
                <w:szCs w:val="24"/>
                <w:highlight w:val="none"/>
              </w:rPr>
              <w:t>1</w:t>
            </w:r>
            <w:r>
              <w:rPr>
                <w:rFonts w:hint="eastAsia" w:ascii="Times New Roman" w:eastAsia="宋体"/>
                <w:color w:val="000000"/>
                <w:szCs w:val="24"/>
                <w:highlight w:val="none"/>
              </w:rPr>
              <w:t>小时考虑，则产生的消防水量为</w:t>
            </w:r>
            <w:r>
              <w:rPr>
                <w:rFonts w:hint="eastAsia" w:ascii="Times New Roman" w:hAnsi="Times New Roman" w:eastAsia="宋体"/>
                <w:color w:val="000000"/>
                <w:szCs w:val="24"/>
                <w:highlight w:val="none"/>
              </w:rPr>
              <w:t>144</w:t>
            </w:r>
            <w:r>
              <w:rPr>
                <w:rFonts w:ascii="Times New Roman" w:hAnsi="Times New Roman" w:eastAsia="宋体"/>
                <w:color w:val="000000"/>
                <w:szCs w:val="24"/>
                <w:highlight w:val="none"/>
              </w:rPr>
              <w:t>m³</w:t>
            </w:r>
            <w:r>
              <w:rPr>
                <w:rFonts w:hint="eastAsia" w:ascii="Times New Roman" w:eastAsia="宋体"/>
                <w:color w:val="000000"/>
                <w:szCs w:val="24"/>
                <w:highlight w:val="none"/>
              </w:rPr>
              <w:t>。</w:t>
            </w:r>
          </w:p>
          <w:p w14:paraId="6DDC7251">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C</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3</w:t>
            </w:r>
            <w:r>
              <w:rPr>
                <w:rFonts w:hint="eastAsia" w:ascii="Times New Roman" w:eastAsia="宋体"/>
                <w:color w:val="000000"/>
                <w:szCs w:val="24"/>
                <w:highlight w:val="none"/>
              </w:rPr>
              <w:t>：本项目发生事故时可以转输到其他储存或处理设施的物料量为</w:t>
            </w:r>
            <w:r>
              <w:rPr>
                <w:rFonts w:ascii="Times New Roman" w:hAnsi="Times New Roman" w:eastAsia="宋体"/>
                <w:color w:val="000000"/>
                <w:szCs w:val="24"/>
                <w:highlight w:val="none"/>
              </w:rPr>
              <w:t>0</w:t>
            </w:r>
            <w:r>
              <w:rPr>
                <w:rFonts w:hint="eastAsia" w:ascii="Times New Roman" w:eastAsia="宋体"/>
                <w:color w:val="000000"/>
                <w:szCs w:val="24"/>
                <w:highlight w:val="none"/>
              </w:rPr>
              <w:t>。</w:t>
            </w:r>
          </w:p>
          <w:p w14:paraId="29D35CAC">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D</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4</w:t>
            </w:r>
            <w:r>
              <w:rPr>
                <w:rFonts w:hint="eastAsia" w:ascii="Times New Roman" w:eastAsia="宋体"/>
                <w:color w:val="000000"/>
                <w:szCs w:val="24"/>
                <w:highlight w:val="none"/>
              </w:rPr>
              <w:t>：本项目生产废水产生</w:t>
            </w:r>
            <w:r>
              <w:rPr>
                <w:rFonts w:hint="eastAsia" w:ascii="Times New Roman" w:eastAsia="宋体"/>
                <w:color w:val="000000"/>
                <w:szCs w:val="24"/>
                <w:highlight w:val="none"/>
                <w:lang w:val="en-US" w:eastAsia="zh-CN"/>
              </w:rPr>
              <w:t>量</w:t>
            </w:r>
            <w:r>
              <w:rPr>
                <w:rFonts w:hint="eastAsia" w:ascii="Times New Roman" w:eastAsia="宋体"/>
                <w:color w:val="000000"/>
                <w:szCs w:val="24"/>
                <w:highlight w:val="none"/>
              </w:rPr>
              <w:t>V</w:t>
            </w:r>
            <w:r>
              <w:rPr>
                <w:rFonts w:hint="eastAsia" w:ascii="Times New Roman" w:eastAsia="宋体"/>
                <w:color w:val="000000"/>
                <w:szCs w:val="24"/>
                <w:highlight w:val="none"/>
                <w:vertAlign w:val="subscript"/>
              </w:rPr>
              <w:t>4</w:t>
            </w:r>
            <w:r>
              <w:rPr>
                <w:rFonts w:hint="eastAsia" w:ascii="Times New Roman" w:eastAsia="宋体"/>
                <w:color w:val="000000"/>
                <w:szCs w:val="24"/>
                <w:highlight w:val="none"/>
              </w:rPr>
              <w:t>=0</w:t>
            </w:r>
            <w:r>
              <w:rPr>
                <w:rFonts w:hint="eastAsia" w:ascii="Times New Roman" w:eastAsia="宋体"/>
                <w:color w:val="000000"/>
                <w:szCs w:val="24"/>
                <w:highlight w:val="none"/>
                <w:lang w:val="en-US" w:eastAsia="zh-CN"/>
              </w:rPr>
              <w:t>.2</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hint="eastAsia" w:ascii="Times New Roman" w:eastAsia="宋体"/>
                <w:color w:val="000000"/>
                <w:szCs w:val="24"/>
                <w:highlight w:val="none"/>
              </w:rPr>
              <w:t>。</w:t>
            </w:r>
          </w:p>
          <w:p w14:paraId="36827F13">
            <w:pPr>
              <w:pStyle w:val="36"/>
              <w:keepNext w:val="0"/>
              <w:keepLines w:val="0"/>
              <w:pageBreakBefore w:val="0"/>
              <w:kinsoku/>
              <w:wordWrap/>
              <w:overflowPunct/>
              <w:topLinePunct w:val="0"/>
              <w:bidi w:val="0"/>
              <w:adjustRightInd/>
              <w:snapToGrid/>
              <w:spacing w:line="360" w:lineRule="auto"/>
              <w:jc w:val="both"/>
              <w:textAlignment w:val="auto"/>
              <w:rPr>
                <w:rFonts w:ascii="Times New Roman" w:hAnsi="Times New Roman" w:eastAsia="宋体"/>
                <w:color w:val="000000"/>
                <w:szCs w:val="24"/>
                <w:highlight w:val="none"/>
              </w:rPr>
            </w:pPr>
            <w:r>
              <w:rPr>
                <w:rFonts w:ascii="Times New Roman" w:hAnsi="Times New Roman" w:eastAsia="宋体"/>
                <w:color w:val="000000"/>
                <w:szCs w:val="24"/>
                <w:highlight w:val="none"/>
              </w:rPr>
              <w:t>E</w:t>
            </w:r>
            <w:r>
              <w:rPr>
                <w:rFonts w:hint="eastAsia" w:ascii="Times New Roman" w:eastAsia="宋体"/>
                <w:color w:val="000000"/>
                <w:szCs w:val="24"/>
                <w:highlight w:val="none"/>
              </w:rPr>
              <w:t>：</w:t>
            </w:r>
            <w:r>
              <w:rPr>
                <w:rFonts w:ascii="Times New Roman" w:hAnsi="Times New Roman" w:eastAsia="宋体"/>
                <w:color w:val="000000"/>
                <w:szCs w:val="24"/>
                <w:highlight w:val="none"/>
              </w:rPr>
              <w:t>V</w:t>
            </w:r>
            <w:r>
              <w:rPr>
                <w:rFonts w:ascii="Times New Roman" w:hAnsi="Times New Roman" w:eastAsia="宋体"/>
                <w:color w:val="000000"/>
                <w:szCs w:val="24"/>
                <w:highlight w:val="none"/>
                <w:vertAlign w:val="subscript"/>
              </w:rPr>
              <w:t>5</w:t>
            </w:r>
            <w:r>
              <w:rPr>
                <w:rFonts w:hint="eastAsia" w:ascii="Times New Roman" w:eastAsia="宋体"/>
                <w:color w:val="000000"/>
                <w:szCs w:val="24"/>
                <w:highlight w:val="none"/>
              </w:rPr>
              <w:t>：</w:t>
            </w:r>
            <w:r>
              <w:rPr>
                <w:rFonts w:hint="eastAsia" w:ascii="Times New Roman" w:eastAsia="宋体"/>
                <w:color w:val="000000"/>
                <w:szCs w:val="24"/>
                <w:highlight w:val="none"/>
                <w:lang w:val="en-US" w:eastAsia="zh-CN"/>
              </w:rPr>
              <w:t>经计算，本项目需收集的初期雨水V</w:t>
            </w:r>
            <w:r>
              <w:rPr>
                <w:rFonts w:hint="eastAsia" w:ascii="Times New Roman" w:eastAsia="宋体"/>
                <w:color w:val="000000"/>
                <w:szCs w:val="24"/>
                <w:highlight w:val="none"/>
                <w:vertAlign w:val="subscript"/>
                <w:lang w:val="en-US" w:eastAsia="zh-CN"/>
              </w:rPr>
              <w:t>5</w:t>
            </w:r>
            <w:r>
              <w:rPr>
                <w:rFonts w:hint="eastAsia" w:ascii="Times New Roman" w:eastAsia="宋体"/>
                <w:color w:val="000000"/>
                <w:szCs w:val="24"/>
                <w:highlight w:val="none"/>
                <w:lang w:val="en-US" w:eastAsia="zh-CN"/>
              </w:rPr>
              <w:t>=0</w:t>
            </w:r>
            <w:r>
              <w:rPr>
                <w:rFonts w:hint="eastAsia" w:ascii="Times New Roman" w:eastAsia="宋体"/>
                <w:color w:val="000000"/>
                <w:szCs w:val="24"/>
                <w:highlight w:val="none"/>
              </w:rPr>
              <w:t>。</w:t>
            </w:r>
          </w:p>
          <w:p w14:paraId="3714FF4D">
            <w:pPr>
              <w:pStyle w:val="36"/>
              <w:keepNext w:val="0"/>
              <w:keepLines w:val="0"/>
              <w:pageBreakBefore w:val="0"/>
              <w:kinsoku/>
              <w:wordWrap/>
              <w:overflowPunct/>
              <w:topLinePunct w:val="0"/>
              <w:bidi w:val="0"/>
              <w:adjustRightInd/>
              <w:snapToGrid/>
              <w:spacing w:line="360" w:lineRule="auto"/>
              <w:jc w:val="both"/>
              <w:textAlignment w:val="auto"/>
              <w:rPr>
                <w:rFonts w:hint="eastAsia" w:ascii="Times New Roman" w:hAnsi="Times New Roman" w:eastAsia="宋体"/>
                <w:color w:val="000000"/>
                <w:szCs w:val="24"/>
                <w:highlight w:val="none"/>
                <w:vertAlign w:val="baseline"/>
                <w:lang w:val="en-US" w:eastAsia="zh-CN"/>
              </w:rPr>
            </w:pPr>
            <w:r>
              <w:rPr>
                <w:rFonts w:hint="eastAsia" w:ascii="Times New Roman" w:eastAsia="宋体"/>
                <w:color w:val="000000"/>
                <w:szCs w:val="24"/>
                <w:highlight w:val="none"/>
              </w:rPr>
              <w:t>综上，经计算</w:t>
            </w:r>
            <w:r>
              <w:rPr>
                <w:rFonts w:ascii="Times New Roman" w:hAnsi="Times New Roman" w:eastAsia="宋体"/>
                <w:color w:val="000000"/>
                <w:szCs w:val="24"/>
                <w:highlight w:val="none"/>
              </w:rPr>
              <w:t>V</w:t>
            </w:r>
            <w:r>
              <w:rPr>
                <w:rFonts w:hint="eastAsia" w:ascii="Times New Roman" w:eastAsia="宋体"/>
                <w:color w:val="000000"/>
                <w:szCs w:val="24"/>
                <w:highlight w:val="none"/>
                <w:vertAlign w:val="subscript"/>
              </w:rPr>
              <w:t>总</w:t>
            </w:r>
            <w:r>
              <w:rPr>
                <w:rFonts w:ascii="Times New Roman" w:hAnsi="Times New Roman" w:eastAsia="宋体"/>
                <w:color w:val="000000"/>
                <w:szCs w:val="24"/>
                <w:highlight w:val="none"/>
              </w:rPr>
              <w:t>=</w:t>
            </w:r>
            <w:r>
              <w:rPr>
                <w:rFonts w:hint="eastAsia" w:ascii="Times New Roman" w:hAnsi="Times New Roman" w:eastAsia="宋体"/>
                <w:color w:val="000000"/>
                <w:szCs w:val="24"/>
                <w:highlight w:val="none"/>
                <w:lang w:val="en-US" w:eastAsia="zh-CN"/>
              </w:rPr>
              <w:t>144.2</w:t>
            </w:r>
            <w:r>
              <w:rPr>
                <w:rFonts w:ascii="Times New Roman" w:hAnsi="Times New Roman" w:eastAsia="宋体"/>
                <w:color w:val="000000"/>
                <w:szCs w:val="24"/>
                <w:highlight w:val="none"/>
              </w:rPr>
              <w:t>m</w:t>
            </w:r>
            <w:r>
              <w:rPr>
                <w:rFonts w:ascii="Times New Roman" w:hAnsi="Times New Roman" w:eastAsia="宋体"/>
                <w:color w:val="000000"/>
                <w:szCs w:val="24"/>
                <w:highlight w:val="none"/>
                <w:vertAlign w:val="superscript"/>
              </w:rPr>
              <w:t>3</w:t>
            </w:r>
            <w:r>
              <w:rPr>
                <w:rFonts w:hint="eastAsia" w:ascii="Times New Roman" w:hAnsi="Times New Roman" w:eastAsia="宋体"/>
                <w:color w:val="000000"/>
                <w:szCs w:val="24"/>
                <w:highlight w:val="none"/>
                <w:vertAlign w:val="superscript"/>
                <w:lang w:val="en-US" w:eastAsia="zh-CN"/>
              </w:rPr>
              <w:t xml:space="preserve"> </w:t>
            </w:r>
            <w:r>
              <w:rPr>
                <w:rFonts w:hint="eastAsia" w:ascii="Times New Roman" w:hAnsi="Times New Roman" w:eastAsia="宋体"/>
                <w:color w:val="000000"/>
                <w:szCs w:val="24"/>
                <w:highlight w:val="none"/>
                <w:vertAlign w:val="baseline"/>
                <w:lang w:val="en-US" w:eastAsia="zh-CN"/>
              </w:rPr>
              <w:t>。</w:t>
            </w:r>
          </w:p>
          <w:p w14:paraId="1A1C521D">
            <w:pPr>
              <w:keepNext w:val="0"/>
              <w:keepLines w:val="0"/>
              <w:pageBreakBefore w:val="0"/>
              <w:kinsoku/>
              <w:wordWrap/>
              <w:overflowPunct/>
              <w:topLinePunct w:val="0"/>
              <w:bidi w:val="0"/>
              <w:adjustRightInd/>
              <w:snapToGrid/>
              <w:spacing w:line="360" w:lineRule="auto"/>
              <w:ind w:firstLine="480" w:firstLineChars="200"/>
              <w:textAlignment w:val="auto"/>
              <w:rPr>
                <w:rFonts w:hAnsi="宋体"/>
                <w:color w:val="000000"/>
                <w:sz w:val="24"/>
                <w:highlight w:val="none"/>
              </w:rPr>
            </w:pPr>
            <w:r>
              <w:rPr>
                <w:rFonts w:hint="eastAsia" w:hAnsi="宋体"/>
                <w:color w:val="000000"/>
                <w:sz w:val="24"/>
                <w:highlight w:val="none"/>
              </w:rPr>
              <w:t>根据计算结果可知，该项目事故应急池总有效容积应大于</w:t>
            </w:r>
            <w:r>
              <w:rPr>
                <w:rFonts w:hint="eastAsia"/>
                <w:color w:val="000000"/>
                <w:sz w:val="24"/>
                <w:highlight w:val="none"/>
                <w:lang w:val="en-US" w:eastAsia="zh-CN"/>
              </w:rPr>
              <w:t>144.2</w:t>
            </w:r>
            <w:r>
              <w:rPr>
                <w:color w:val="000000"/>
                <w:sz w:val="24"/>
                <w:highlight w:val="none"/>
              </w:rPr>
              <w:t>m</w:t>
            </w:r>
            <w:r>
              <w:rPr>
                <w:color w:val="000000"/>
                <w:sz w:val="24"/>
                <w:highlight w:val="none"/>
                <w:vertAlign w:val="superscript"/>
              </w:rPr>
              <w:t>3</w:t>
            </w:r>
            <w:r>
              <w:rPr>
                <w:rFonts w:hint="eastAsia" w:hAnsi="宋体"/>
                <w:color w:val="000000"/>
                <w:sz w:val="24"/>
                <w:highlight w:val="none"/>
              </w:rPr>
              <w:t>，厂区需建设一个</w:t>
            </w:r>
            <w:r>
              <w:rPr>
                <w:rFonts w:hint="eastAsia"/>
                <w:color w:val="000000"/>
                <w:sz w:val="24"/>
                <w:highlight w:val="none"/>
                <w:lang w:val="en-US" w:eastAsia="zh-CN"/>
              </w:rPr>
              <w:t>144.2</w:t>
            </w:r>
            <w:r>
              <w:rPr>
                <w:color w:val="000000"/>
                <w:sz w:val="24"/>
                <w:highlight w:val="none"/>
              </w:rPr>
              <w:t>m</w:t>
            </w:r>
            <w:r>
              <w:rPr>
                <w:color w:val="000000"/>
                <w:sz w:val="24"/>
                <w:highlight w:val="none"/>
                <w:vertAlign w:val="superscript"/>
              </w:rPr>
              <w:t>3</w:t>
            </w:r>
            <w:r>
              <w:rPr>
                <w:rFonts w:hint="eastAsia" w:hAnsi="宋体"/>
                <w:color w:val="000000"/>
                <w:sz w:val="24"/>
                <w:highlight w:val="none"/>
              </w:rPr>
              <w:t>的事故应急池，以满足消防尾水或事故废水的储存要求。</w:t>
            </w:r>
            <w:r>
              <w:rPr>
                <w:rFonts w:hint="eastAsia" w:hAnsi="宋体"/>
                <w:color w:val="000000"/>
                <w:sz w:val="24"/>
                <w:highlight w:val="none"/>
                <w:lang w:val="en-US" w:eastAsia="zh-CN"/>
              </w:rPr>
              <w:t>该</w:t>
            </w:r>
            <w:r>
              <w:rPr>
                <w:rFonts w:hint="eastAsia" w:hAnsi="宋体"/>
                <w:color w:val="000000"/>
                <w:sz w:val="24"/>
                <w:highlight w:val="none"/>
              </w:rPr>
              <w:t>事故应急池</w:t>
            </w:r>
            <w:r>
              <w:rPr>
                <w:rFonts w:hint="eastAsia" w:hAnsi="宋体"/>
                <w:color w:val="000000"/>
                <w:sz w:val="24"/>
                <w:highlight w:val="none"/>
                <w:lang w:val="en-US" w:eastAsia="zh-CN"/>
              </w:rPr>
              <w:t>由企业建设</w:t>
            </w:r>
            <w:r>
              <w:rPr>
                <w:rFonts w:hint="eastAsia" w:hAnsi="宋体"/>
                <w:color w:val="000000"/>
                <w:sz w:val="24"/>
                <w:highlight w:val="none"/>
                <w:lang w:eastAsia="zh-CN"/>
              </w:rPr>
              <w:t>。</w:t>
            </w:r>
          </w:p>
          <w:p w14:paraId="65D036BA">
            <w:pPr>
              <w:keepNext w:val="0"/>
              <w:keepLines w:val="0"/>
              <w:pageBreakBefore w:val="0"/>
              <w:kinsoku/>
              <w:wordWrap/>
              <w:overflowPunct/>
              <w:topLinePunct w:val="0"/>
              <w:bidi w:val="0"/>
              <w:adjustRightInd/>
              <w:snapToGrid/>
              <w:spacing w:line="360" w:lineRule="auto"/>
              <w:ind w:firstLine="480" w:firstLineChars="200"/>
              <w:textAlignment w:val="auto"/>
              <w:rPr>
                <w:color w:val="000000"/>
                <w:sz w:val="24"/>
                <w:highlight w:val="none"/>
              </w:rPr>
            </w:pPr>
            <w:r>
              <w:rPr>
                <w:color w:val="000000"/>
                <w:sz w:val="24"/>
                <w:highlight w:val="none"/>
              </w:rPr>
              <w:t>项目环境风险简单分析见下表。</w:t>
            </w:r>
          </w:p>
          <w:p w14:paraId="64F28FB0">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cs="Arial"/>
                <w:b/>
                <w:color w:val="000000"/>
                <w:sz w:val="21"/>
                <w:szCs w:val="21"/>
              </w:rPr>
            </w:pPr>
            <w:r>
              <w:rPr>
                <w:rFonts w:hint="eastAsia" w:cs="Arial"/>
                <w:b/>
                <w:color w:val="000000"/>
                <w:sz w:val="21"/>
                <w:szCs w:val="21"/>
              </w:rPr>
              <w:t>表4-3</w:t>
            </w:r>
            <w:r>
              <w:rPr>
                <w:rFonts w:hint="eastAsia" w:cs="Arial"/>
                <w:b/>
                <w:color w:val="000000"/>
                <w:sz w:val="21"/>
                <w:szCs w:val="21"/>
                <w:lang w:val="en-US" w:eastAsia="zh-CN"/>
              </w:rPr>
              <w:t xml:space="preserve">4 </w:t>
            </w:r>
            <w:r>
              <w:rPr>
                <w:rFonts w:hint="eastAsia" w:cs="Arial"/>
                <w:b/>
                <w:color w:val="000000"/>
                <w:sz w:val="21"/>
                <w:szCs w:val="21"/>
              </w:rPr>
              <w:t>建设项目环境风险简单分析内容表</w:t>
            </w:r>
          </w:p>
          <w:tbl>
            <w:tblPr>
              <w:tblStyle w:val="20"/>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47"/>
              <w:gridCol w:w="890"/>
              <w:gridCol w:w="2417"/>
              <w:gridCol w:w="976"/>
              <w:gridCol w:w="2305"/>
            </w:tblGrid>
            <w:tr w14:paraId="15C23F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99" w:type="pct"/>
                  <w:tcBorders>
                    <w:tl2br w:val="nil"/>
                    <w:tr2bl w:val="nil"/>
                  </w:tcBorders>
                  <w:noWrap w:val="0"/>
                  <w:vAlign w:val="center"/>
                </w:tcPr>
                <w:p w14:paraId="67A02E6B">
                  <w:pPr>
                    <w:pageBreakBefore w:val="0"/>
                    <w:widowControl w:val="0"/>
                    <w:kinsoku/>
                    <w:wordWrap/>
                    <w:overflowPunct/>
                    <w:topLinePunct w:val="0"/>
                    <w:autoSpaceDE w:val="0"/>
                    <w:autoSpaceDN w:val="0"/>
                    <w:bidi w:val="0"/>
                    <w:adjustRightInd w:val="0"/>
                    <w:snapToGrid w:val="0"/>
                    <w:ind w:firstLine="0"/>
                    <w:jc w:val="center"/>
                    <w:textAlignment w:val="auto"/>
                    <w:rPr>
                      <w:b/>
                      <w:color w:val="000000"/>
                      <w:szCs w:val="21"/>
                      <w:lang w:val="zh-CN"/>
                    </w:rPr>
                  </w:pPr>
                  <w:r>
                    <w:rPr>
                      <w:rFonts w:hAnsi="宋体"/>
                      <w:b/>
                      <w:color w:val="000000"/>
                      <w:szCs w:val="21"/>
                      <w:lang w:val="zh-CN"/>
                    </w:rPr>
                    <w:t>建设项目名称</w:t>
                  </w:r>
                </w:p>
              </w:tc>
              <w:tc>
                <w:tcPr>
                  <w:tcW w:w="4000" w:type="pct"/>
                  <w:gridSpan w:val="4"/>
                  <w:tcBorders>
                    <w:tl2br w:val="nil"/>
                    <w:tr2bl w:val="nil"/>
                  </w:tcBorders>
                  <w:noWrap w:val="0"/>
                  <w:vAlign w:val="center"/>
                </w:tcPr>
                <w:p w14:paraId="44CE81D7">
                  <w:pPr>
                    <w:pageBreakBefore w:val="0"/>
                    <w:widowControl w:val="0"/>
                    <w:kinsoku/>
                    <w:wordWrap/>
                    <w:overflowPunct/>
                    <w:topLinePunct w:val="0"/>
                    <w:autoSpaceDE w:val="0"/>
                    <w:autoSpaceDN w:val="0"/>
                    <w:bidi w:val="0"/>
                    <w:adjustRightInd w:val="0"/>
                    <w:snapToGrid w:val="0"/>
                    <w:ind w:firstLine="0"/>
                    <w:jc w:val="center"/>
                    <w:textAlignment w:val="auto"/>
                    <w:rPr>
                      <w:color w:val="000000"/>
                      <w:szCs w:val="21"/>
                      <w:lang w:val="zh-CN"/>
                    </w:rPr>
                  </w:pPr>
                  <w:r>
                    <w:rPr>
                      <w:rFonts w:hint="eastAsia"/>
                      <w:color w:val="000000"/>
                      <w:szCs w:val="21"/>
                      <w:lang w:val="zh-CN"/>
                    </w:rPr>
                    <w:t>2308-320509-89-01-791378年产针灸器械8亿支项目</w:t>
                  </w:r>
                </w:p>
              </w:tc>
            </w:tr>
            <w:tr w14:paraId="0A32BA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67" w:hRule="atLeast"/>
              </w:trPr>
              <w:tc>
                <w:tcPr>
                  <w:tcW w:w="999" w:type="pct"/>
                  <w:tcBorders>
                    <w:tl2br w:val="nil"/>
                    <w:tr2bl w:val="nil"/>
                  </w:tcBorders>
                  <w:noWrap w:val="0"/>
                  <w:vAlign w:val="center"/>
                </w:tcPr>
                <w:p w14:paraId="2C006684">
                  <w:pPr>
                    <w:pageBreakBefore w:val="0"/>
                    <w:widowControl w:val="0"/>
                    <w:kinsoku/>
                    <w:wordWrap/>
                    <w:overflowPunct/>
                    <w:topLinePunct w:val="0"/>
                    <w:autoSpaceDE w:val="0"/>
                    <w:autoSpaceDN w:val="0"/>
                    <w:bidi w:val="0"/>
                    <w:adjustRightInd w:val="0"/>
                    <w:snapToGrid w:val="0"/>
                    <w:ind w:firstLine="0"/>
                    <w:jc w:val="center"/>
                    <w:textAlignment w:val="auto"/>
                    <w:rPr>
                      <w:b/>
                      <w:color w:val="000000"/>
                      <w:szCs w:val="21"/>
                      <w:lang w:val="zh-CN"/>
                    </w:rPr>
                  </w:pPr>
                  <w:r>
                    <w:rPr>
                      <w:rFonts w:hAnsi="宋体"/>
                      <w:b/>
                      <w:color w:val="000000"/>
                      <w:szCs w:val="21"/>
                      <w:lang w:val="zh-CN"/>
                    </w:rPr>
                    <w:t>建设地点</w:t>
                  </w:r>
                </w:p>
              </w:tc>
              <w:tc>
                <w:tcPr>
                  <w:tcW w:w="4000" w:type="pct"/>
                  <w:gridSpan w:val="4"/>
                  <w:tcBorders>
                    <w:tl2br w:val="nil"/>
                    <w:tr2bl w:val="nil"/>
                  </w:tcBorders>
                  <w:noWrap w:val="0"/>
                  <w:vAlign w:val="center"/>
                </w:tcPr>
                <w:p w14:paraId="08361E9C">
                  <w:pPr>
                    <w:pageBreakBefore w:val="0"/>
                    <w:widowControl w:val="0"/>
                    <w:kinsoku/>
                    <w:wordWrap/>
                    <w:overflowPunct/>
                    <w:topLinePunct w:val="0"/>
                    <w:autoSpaceDE w:val="0"/>
                    <w:autoSpaceDN w:val="0"/>
                    <w:bidi w:val="0"/>
                    <w:adjustRightInd w:val="0"/>
                    <w:snapToGrid w:val="0"/>
                    <w:ind w:firstLine="0"/>
                    <w:jc w:val="center"/>
                    <w:textAlignment w:val="auto"/>
                    <w:rPr>
                      <w:rFonts w:hint="eastAsia"/>
                      <w:color w:val="000000"/>
                      <w:szCs w:val="21"/>
                      <w:lang w:val="zh-CN"/>
                    </w:rPr>
                  </w:pPr>
                  <w:r>
                    <w:rPr>
                      <w:rFonts w:hint="eastAsia"/>
                      <w:color w:val="000000"/>
                      <w:szCs w:val="21"/>
                      <w:lang w:val="zh-CN"/>
                    </w:rPr>
                    <w:t>江苏省苏州市吴江区黎里镇黎民南路37号</w:t>
                  </w:r>
                </w:p>
              </w:tc>
            </w:tr>
            <w:tr w14:paraId="588B60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99" w:type="pct"/>
                  <w:tcBorders>
                    <w:tl2br w:val="nil"/>
                    <w:tr2bl w:val="nil"/>
                  </w:tcBorders>
                  <w:noWrap w:val="0"/>
                  <w:vAlign w:val="center"/>
                </w:tcPr>
                <w:p w14:paraId="2BC90BAA">
                  <w:pPr>
                    <w:pageBreakBefore w:val="0"/>
                    <w:widowControl w:val="0"/>
                    <w:kinsoku/>
                    <w:wordWrap/>
                    <w:overflowPunct/>
                    <w:topLinePunct w:val="0"/>
                    <w:autoSpaceDE w:val="0"/>
                    <w:autoSpaceDN w:val="0"/>
                    <w:bidi w:val="0"/>
                    <w:adjustRightInd w:val="0"/>
                    <w:snapToGrid w:val="0"/>
                    <w:ind w:firstLine="0"/>
                    <w:jc w:val="center"/>
                    <w:textAlignment w:val="auto"/>
                    <w:rPr>
                      <w:b/>
                      <w:color w:val="000000"/>
                      <w:szCs w:val="21"/>
                      <w:lang w:val="zh-CN"/>
                    </w:rPr>
                  </w:pPr>
                  <w:r>
                    <w:rPr>
                      <w:rFonts w:hAnsi="宋体"/>
                      <w:b/>
                      <w:color w:val="000000"/>
                      <w:szCs w:val="21"/>
                      <w:lang w:val="zh-CN"/>
                    </w:rPr>
                    <w:t>地理坐标</w:t>
                  </w:r>
                </w:p>
              </w:tc>
              <w:tc>
                <w:tcPr>
                  <w:tcW w:w="534" w:type="pct"/>
                  <w:tcBorders>
                    <w:tl2br w:val="nil"/>
                    <w:tr2bl w:val="nil"/>
                  </w:tcBorders>
                  <w:noWrap w:val="0"/>
                  <w:vAlign w:val="center"/>
                </w:tcPr>
                <w:p w14:paraId="5BD02BD5">
                  <w:pPr>
                    <w:pageBreakBefore w:val="0"/>
                    <w:widowControl w:val="0"/>
                    <w:kinsoku/>
                    <w:wordWrap/>
                    <w:overflowPunct/>
                    <w:topLinePunct w:val="0"/>
                    <w:autoSpaceDE w:val="0"/>
                    <w:autoSpaceDN w:val="0"/>
                    <w:bidi w:val="0"/>
                    <w:adjustRightInd w:val="0"/>
                    <w:snapToGrid w:val="0"/>
                    <w:ind w:firstLine="0"/>
                    <w:jc w:val="center"/>
                    <w:textAlignment w:val="auto"/>
                    <w:rPr>
                      <w:color w:val="000000"/>
                      <w:szCs w:val="21"/>
                      <w:lang w:val="zh-CN"/>
                    </w:rPr>
                  </w:pPr>
                  <w:r>
                    <w:rPr>
                      <w:rFonts w:hAnsi="宋体"/>
                      <w:color w:val="000000"/>
                      <w:szCs w:val="21"/>
                      <w:lang w:val="zh-CN"/>
                    </w:rPr>
                    <w:t>经度</w:t>
                  </w:r>
                </w:p>
              </w:tc>
              <w:tc>
                <w:tcPr>
                  <w:tcW w:w="1461" w:type="pct"/>
                  <w:tcBorders>
                    <w:tl2br w:val="nil"/>
                    <w:tr2bl w:val="nil"/>
                  </w:tcBorders>
                  <w:noWrap w:val="0"/>
                  <w:vAlign w:val="center"/>
                </w:tcPr>
                <w:p w14:paraId="7FB85B19">
                  <w:pPr>
                    <w:pageBreakBefore w:val="0"/>
                    <w:widowControl w:val="0"/>
                    <w:kinsoku/>
                    <w:wordWrap/>
                    <w:overflowPunct/>
                    <w:topLinePunct w:val="0"/>
                    <w:autoSpaceDE w:val="0"/>
                    <w:autoSpaceDN w:val="0"/>
                    <w:bidi w:val="0"/>
                    <w:adjustRightInd w:val="0"/>
                    <w:snapToGrid w:val="0"/>
                    <w:ind w:firstLine="0"/>
                    <w:jc w:val="center"/>
                    <w:textAlignment w:val="auto"/>
                    <w:rPr>
                      <w:rFonts w:hint="default" w:eastAsia="宋体"/>
                      <w:color w:val="000000"/>
                      <w:szCs w:val="21"/>
                      <w:lang w:val="en-US" w:eastAsia="zh-CN"/>
                    </w:rPr>
                  </w:pPr>
                  <w:r>
                    <w:rPr>
                      <w:rFonts w:hint="default" w:ascii="Times New Roman" w:hAnsi="Times New Roman" w:cs="Times New Roman"/>
                      <w:color w:val="000000"/>
                      <w:szCs w:val="21"/>
                      <w:lang w:val="en-US" w:eastAsia="zh-CN"/>
                    </w:rPr>
                    <w:t>120°42′3.034″</w:t>
                  </w:r>
                </w:p>
              </w:tc>
              <w:tc>
                <w:tcPr>
                  <w:tcW w:w="590" w:type="pct"/>
                  <w:tcBorders>
                    <w:tl2br w:val="nil"/>
                    <w:tr2bl w:val="nil"/>
                  </w:tcBorders>
                  <w:noWrap w:val="0"/>
                  <w:vAlign w:val="center"/>
                </w:tcPr>
                <w:p w14:paraId="07729FAF">
                  <w:pPr>
                    <w:pageBreakBefore w:val="0"/>
                    <w:widowControl w:val="0"/>
                    <w:kinsoku/>
                    <w:wordWrap/>
                    <w:overflowPunct/>
                    <w:topLinePunct w:val="0"/>
                    <w:autoSpaceDE w:val="0"/>
                    <w:autoSpaceDN w:val="0"/>
                    <w:bidi w:val="0"/>
                    <w:adjustRightInd w:val="0"/>
                    <w:snapToGrid w:val="0"/>
                    <w:ind w:firstLine="0"/>
                    <w:jc w:val="center"/>
                    <w:textAlignment w:val="auto"/>
                    <w:rPr>
                      <w:color w:val="000000"/>
                      <w:szCs w:val="21"/>
                      <w:lang w:val="zh-CN"/>
                    </w:rPr>
                  </w:pPr>
                  <w:r>
                    <w:rPr>
                      <w:rFonts w:hAnsi="宋体"/>
                      <w:color w:val="000000"/>
                      <w:szCs w:val="21"/>
                      <w:lang w:val="zh-CN"/>
                    </w:rPr>
                    <w:t>纬度</w:t>
                  </w:r>
                </w:p>
              </w:tc>
              <w:tc>
                <w:tcPr>
                  <w:tcW w:w="1414" w:type="pct"/>
                  <w:tcBorders>
                    <w:tl2br w:val="nil"/>
                    <w:tr2bl w:val="nil"/>
                  </w:tcBorders>
                  <w:noWrap w:val="0"/>
                  <w:vAlign w:val="center"/>
                </w:tcPr>
                <w:p w14:paraId="0C1589DA">
                  <w:pPr>
                    <w:pageBreakBefore w:val="0"/>
                    <w:widowControl w:val="0"/>
                    <w:kinsoku/>
                    <w:wordWrap/>
                    <w:overflowPunct/>
                    <w:topLinePunct w:val="0"/>
                    <w:autoSpaceDE w:val="0"/>
                    <w:autoSpaceDN w:val="0"/>
                    <w:bidi w:val="0"/>
                    <w:adjustRightInd w:val="0"/>
                    <w:snapToGrid w:val="0"/>
                    <w:ind w:firstLine="0"/>
                    <w:jc w:val="center"/>
                    <w:textAlignment w:val="auto"/>
                    <w:rPr>
                      <w:rFonts w:hint="default" w:eastAsia="宋体"/>
                      <w:color w:val="000000"/>
                      <w:szCs w:val="21"/>
                      <w:lang w:val="en-US" w:eastAsia="zh-CN"/>
                    </w:rPr>
                  </w:pPr>
                  <w:r>
                    <w:rPr>
                      <w:rFonts w:hint="default" w:ascii="Times New Roman" w:hAnsi="Times New Roman" w:cs="Times New Roman"/>
                      <w:color w:val="000000"/>
                      <w:szCs w:val="21"/>
                      <w:lang w:val="en-US" w:eastAsia="zh-CN"/>
                    </w:rPr>
                    <w:t>31°0′2.119″</w:t>
                  </w:r>
                </w:p>
              </w:tc>
            </w:tr>
            <w:tr w14:paraId="5BDEA9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99" w:type="pct"/>
                  <w:tcBorders>
                    <w:tl2br w:val="nil"/>
                    <w:tr2bl w:val="nil"/>
                  </w:tcBorders>
                  <w:noWrap w:val="0"/>
                  <w:vAlign w:val="center"/>
                </w:tcPr>
                <w:p w14:paraId="47B2FE92">
                  <w:pPr>
                    <w:pageBreakBefore w:val="0"/>
                    <w:widowControl w:val="0"/>
                    <w:kinsoku/>
                    <w:wordWrap/>
                    <w:overflowPunct/>
                    <w:topLinePunct w:val="0"/>
                    <w:autoSpaceDE w:val="0"/>
                    <w:autoSpaceDN w:val="0"/>
                    <w:bidi w:val="0"/>
                    <w:adjustRightInd w:val="0"/>
                    <w:snapToGrid w:val="0"/>
                    <w:ind w:firstLine="0"/>
                    <w:jc w:val="center"/>
                    <w:textAlignment w:val="auto"/>
                    <w:rPr>
                      <w:b/>
                      <w:color w:val="000000"/>
                      <w:szCs w:val="21"/>
                      <w:highlight w:val="none"/>
                      <w:lang w:val="zh-CN"/>
                    </w:rPr>
                  </w:pPr>
                  <w:r>
                    <w:rPr>
                      <w:rFonts w:hAnsi="宋体"/>
                      <w:b/>
                      <w:color w:val="000000"/>
                      <w:szCs w:val="21"/>
                      <w:highlight w:val="none"/>
                      <w:lang w:val="zh-CN"/>
                    </w:rPr>
                    <w:t>主要危险物质及分布</w:t>
                  </w:r>
                </w:p>
              </w:tc>
              <w:tc>
                <w:tcPr>
                  <w:tcW w:w="4000" w:type="pct"/>
                  <w:gridSpan w:val="4"/>
                  <w:tcBorders>
                    <w:tl2br w:val="nil"/>
                    <w:tr2bl w:val="nil"/>
                  </w:tcBorders>
                  <w:noWrap w:val="0"/>
                  <w:vAlign w:val="center"/>
                </w:tcPr>
                <w:p w14:paraId="3310FF75">
                  <w:pPr>
                    <w:pageBreakBefore w:val="0"/>
                    <w:widowControl w:val="0"/>
                    <w:kinsoku/>
                    <w:wordWrap/>
                    <w:overflowPunct/>
                    <w:topLinePunct w:val="0"/>
                    <w:autoSpaceDE w:val="0"/>
                    <w:autoSpaceDN w:val="0"/>
                    <w:bidi w:val="0"/>
                    <w:adjustRightInd w:val="0"/>
                    <w:snapToGrid w:val="0"/>
                    <w:ind w:firstLine="0"/>
                    <w:jc w:val="center"/>
                    <w:textAlignment w:val="auto"/>
                    <w:rPr>
                      <w:color w:val="000000"/>
                      <w:szCs w:val="21"/>
                      <w:highlight w:val="none"/>
                      <w:lang w:val="zh-CN"/>
                    </w:rPr>
                  </w:pPr>
                  <w:r>
                    <w:rPr>
                      <w:rFonts w:hint="eastAsia"/>
                      <w:color w:val="000000"/>
                      <w:kern w:val="0"/>
                      <w:szCs w:val="21"/>
                      <w:highlight w:val="none"/>
                    </w:rPr>
                    <w:t>主要风险物质为</w:t>
                  </w:r>
                  <w:r>
                    <w:rPr>
                      <w:rFonts w:hint="eastAsia"/>
                      <w:color w:val="000000"/>
                      <w:kern w:val="0"/>
                      <w:szCs w:val="21"/>
                      <w:highlight w:val="none"/>
                      <w:lang w:val="en-US" w:eastAsia="zh-CN"/>
                    </w:rPr>
                    <w:t>润滑油、废润滑油、废油桶、废活性炭、蒸发残液</w:t>
                  </w:r>
                  <w:r>
                    <w:rPr>
                      <w:rFonts w:hint="eastAsia"/>
                      <w:color w:val="000000"/>
                      <w:kern w:val="0"/>
                      <w:szCs w:val="21"/>
                      <w:highlight w:val="none"/>
                    </w:rPr>
                    <w:t>等</w:t>
                  </w:r>
                  <w:r>
                    <w:rPr>
                      <w:rFonts w:hint="eastAsia"/>
                      <w:color w:val="000000"/>
                      <w:kern w:val="0"/>
                      <w:szCs w:val="21"/>
                      <w:highlight w:val="none"/>
                      <w:lang w:val="zh-CN"/>
                    </w:rPr>
                    <w:t>，主要分布于</w:t>
                  </w:r>
                  <w:r>
                    <w:rPr>
                      <w:rFonts w:hint="eastAsia"/>
                      <w:color w:val="000000"/>
                      <w:kern w:val="0"/>
                      <w:szCs w:val="21"/>
                      <w:highlight w:val="none"/>
                      <w:lang w:val="en-US" w:eastAsia="zh-CN"/>
                    </w:rPr>
                    <w:t>原料</w:t>
                  </w:r>
                  <w:r>
                    <w:rPr>
                      <w:rFonts w:hint="eastAsia"/>
                      <w:color w:val="000000"/>
                      <w:kern w:val="0"/>
                      <w:szCs w:val="21"/>
                      <w:highlight w:val="none"/>
                      <w:lang w:val="zh-CN"/>
                    </w:rPr>
                    <w:t>仓库、生产区域、危废</w:t>
                  </w:r>
                  <w:r>
                    <w:rPr>
                      <w:rFonts w:hint="eastAsia"/>
                      <w:color w:val="000000"/>
                      <w:kern w:val="0"/>
                      <w:szCs w:val="21"/>
                      <w:highlight w:val="none"/>
                    </w:rPr>
                    <w:t>暂存区</w:t>
                  </w:r>
                  <w:r>
                    <w:rPr>
                      <w:rFonts w:hint="eastAsia"/>
                      <w:color w:val="000000"/>
                      <w:kern w:val="0"/>
                      <w:szCs w:val="21"/>
                      <w:highlight w:val="none"/>
                      <w:lang w:val="en-US" w:eastAsia="zh-CN"/>
                    </w:rPr>
                    <w:t>区域、</w:t>
                  </w:r>
                  <w:r>
                    <w:rPr>
                      <w:rFonts w:hint="eastAsia"/>
                      <w:color w:val="000000"/>
                      <w:lang w:val="en-US" w:eastAsia="zh-CN"/>
                    </w:rPr>
                    <w:t>污水处理设施区域</w:t>
                  </w:r>
                  <w:r>
                    <w:rPr>
                      <w:rFonts w:hint="eastAsia"/>
                      <w:color w:val="000000"/>
                      <w:kern w:val="0"/>
                      <w:szCs w:val="21"/>
                      <w:highlight w:val="none"/>
                      <w:lang w:val="zh-CN"/>
                    </w:rPr>
                    <w:t>。</w:t>
                  </w:r>
                </w:p>
              </w:tc>
            </w:tr>
            <w:tr w14:paraId="2CFB8A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99" w:type="pct"/>
                  <w:tcBorders>
                    <w:tl2br w:val="nil"/>
                    <w:tr2bl w:val="nil"/>
                  </w:tcBorders>
                  <w:noWrap w:val="0"/>
                  <w:vAlign w:val="center"/>
                </w:tcPr>
                <w:p w14:paraId="6EF0D85A">
                  <w:pPr>
                    <w:pageBreakBefore w:val="0"/>
                    <w:widowControl w:val="0"/>
                    <w:kinsoku/>
                    <w:wordWrap/>
                    <w:overflowPunct/>
                    <w:topLinePunct w:val="0"/>
                    <w:autoSpaceDE w:val="0"/>
                    <w:autoSpaceDN w:val="0"/>
                    <w:bidi w:val="0"/>
                    <w:adjustRightInd w:val="0"/>
                    <w:snapToGrid w:val="0"/>
                    <w:ind w:firstLine="0"/>
                    <w:jc w:val="center"/>
                    <w:textAlignment w:val="auto"/>
                    <w:rPr>
                      <w:b/>
                      <w:color w:val="000000"/>
                      <w:szCs w:val="21"/>
                      <w:highlight w:val="none"/>
                      <w:lang w:val="zh-CN"/>
                    </w:rPr>
                  </w:pPr>
                  <w:r>
                    <w:rPr>
                      <w:rFonts w:hAnsi="宋体"/>
                      <w:b/>
                      <w:color w:val="000000"/>
                      <w:szCs w:val="21"/>
                      <w:highlight w:val="none"/>
                      <w:lang w:val="zh-CN"/>
                    </w:rPr>
                    <w:t>环境影响途径及危害后果</w:t>
                  </w:r>
                </w:p>
              </w:tc>
              <w:tc>
                <w:tcPr>
                  <w:tcW w:w="4000" w:type="pct"/>
                  <w:gridSpan w:val="4"/>
                  <w:tcBorders>
                    <w:tl2br w:val="nil"/>
                    <w:tr2bl w:val="nil"/>
                  </w:tcBorders>
                  <w:noWrap w:val="0"/>
                  <w:vAlign w:val="center"/>
                </w:tcPr>
                <w:p w14:paraId="257E1485">
                  <w:pPr>
                    <w:pageBreakBefore w:val="0"/>
                    <w:widowControl w:val="0"/>
                    <w:kinsoku/>
                    <w:wordWrap/>
                    <w:overflowPunct/>
                    <w:topLinePunct w:val="0"/>
                    <w:autoSpaceDE w:val="0"/>
                    <w:autoSpaceDN w:val="0"/>
                    <w:bidi w:val="0"/>
                    <w:adjustRightInd w:val="0"/>
                    <w:snapToGrid w:val="0"/>
                    <w:ind w:firstLine="0"/>
                    <w:jc w:val="center"/>
                    <w:textAlignment w:val="auto"/>
                    <w:rPr>
                      <w:rFonts w:hint="default" w:ascii="Times New Roman" w:hAnsi="Times New Roman" w:eastAsia="宋体" w:cs="Times New Roman"/>
                      <w:color w:val="000000"/>
                      <w:kern w:val="0"/>
                      <w:sz w:val="21"/>
                      <w:szCs w:val="21"/>
                      <w:highlight w:val="none"/>
                      <w:lang w:val="zh-CN"/>
                    </w:rPr>
                  </w:pPr>
                  <w:r>
                    <w:rPr>
                      <w:rFonts w:hint="default" w:ascii="Times New Roman" w:hAnsi="Times New Roman" w:eastAsia="宋体" w:cs="Times New Roman"/>
                      <w:color w:val="000000"/>
                      <w:kern w:val="0"/>
                      <w:sz w:val="21"/>
                      <w:szCs w:val="21"/>
                      <w:highlight w:val="none"/>
                      <w:lang w:val="en-US" w:eastAsia="zh-CN"/>
                    </w:rPr>
                    <w:t>本</w:t>
                  </w:r>
                  <w:r>
                    <w:rPr>
                      <w:rFonts w:hint="default" w:ascii="Times New Roman" w:hAnsi="Times New Roman" w:eastAsia="宋体" w:cs="Times New Roman"/>
                      <w:color w:val="000000"/>
                      <w:kern w:val="0"/>
                      <w:sz w:val="21"/>
                      <w:szCs w:val="21"/>
                      <w:highlight w:val="none"/>
                      <w:lang w:val="zh-CN"/>
                    </w:rPr>
                    <w:t>项目</w:t>
                  </w:r>
                  <w:r>
                    <w:rPr>
                      <w:rFonts w:hint="eastAsia" w:ascii="Times New Roman" w:hAnsi="Times New Roman" w:eastAsia="宋体" w:cs="Times New Roman"/>
                      <w:color w:val="000000"/>
                      <w:kern w:val="0"/>
                      <w:sz w:val="21"/>
                      <w:szCs w:val="21"/>
                      <w:highlight w:val="none"/>
                      <w:lang w:val="en-US" w:eastAsia="zh-CN"/>
                    </w:rPr>
                    <w:t>润滑油、蒸发残液</w:t>
                  </w:r>
                  <w:r>
                    <w:rPr>
                      <w:rFonts w:hint="default" w:ascii="Times New Roman" w:hAnsi="Times New Roman" w:eastAsia="宋体" w:cs="Times New Roman"/>
                      <w:color w:val="000000"/>
                      <w:kern w:val="0"/>
                      <w:sz w:val="21"/>
                      <w:szCs w:val="21"/>
                      <w:highlight w:val="none"/>
                      <w:lang w:val="zh-CN"/>
                    </w:rPr>
                    <w:t>等在储存、使用过程中若发生泄露会污染周围地表水、土壤及地下水。火灾次生伴生污染。遇明火发生火灾，可能引发次生环境事故的风险。</w:t>
                  </w:r>
                </w:p>
              </w:tc>
            </w:tr>
            <w:tr w14:paraId="7E91B1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99" w:type="pct"/>
                  <w:tcBorders>
                    <w:tl2br w:val="nil"/>
                    <w:tr2bl w:val="nil"/>
                  </w:tcBorders>
                  <w:noWrap w:val="0"/>
                  <w:vAlign w:val="center"/>
                </w:tcPr>
                <w:p w14:paraId="1065FDB6">
                  <w:pPr>
                    <w:pageBreakBefore w:val="0"/>
                    <w:widowControl w:val="0"/>
                    <w:kinsoku/>
                    <w:wordWrap/>
                    <w:overflowPunct/>
                    <w:topLinePunct w:val="0"/>
                    <w:autoSpaceDE w:val="0"/>
                    <w:autoSpaceDN w:val="0"/>
                    <w:bidi w:val="0"/>
                    <w:adjustRightInd w:val="0"/>
                    <w:snapToGrid w:val="0"/>
                    <w:ind w:firstLine="0"/>
                    <w:jc w:val="center"/>
                    <w:textAlignment w:val="auto"/>
                    <w:rPr>
                      <w:b/>
                      <w:color w:val="000000"/>
                      <w:szCs w:val="21"/>
                      <w:highlight w:val="none"/>
                      <w:lang w:val="zh-CN"/>
                    </w:rPr>
                  </w:pPr>
                  <w:r>
                    <w:rPr>
                      <w:rFonts w:hAnsi="宋体"/>
                      <w:b/>
                      <w:color w:val="000000"/>
                      <w:szCs w:val="21"/>
                      <w:highlight w:val="none"/>
                      <w:lang w:val="zh-CN"/>
                    </w:rPr>
                    <w:t>风险防范措施</w:t>
                  </w:r>
                </w:p>
              </w:tc>
              <w:tc>
                <w:tcPr>
                  <w:tcW w:w="4000" w:type="pct"/>
                  <w:gridSpan w:val="4"/>
                  <w:tcBorders>
                    <w:tl2br w:val="nil"/>
                    <w:tr2bl w:val="nil"/>
                  </w:tcBorders>
                  <w:noWrap w:val="0"/>
                  <w:vAlign w:val="center"/>
                </w:tcPr>
                <w:p w14:paraId="187271C4">
                  <w:pPr>
                    <w:pStyle w:val="2"/>
                    <w:pageBreakBefore w:val="0"/>
                    <w:widowControl w:val="0"/>
                    <w:kinsoku/>
                    <w:wordWrap/>
                    <w:overflowPunct/>
                    <w:topLinePunct w:val="0"/>
                    <w:bidi w:val="0"/>
                    <w:adjustRightInd w:val="0"/>
                    <w:snapToGrid w:val="0"/>
                    <w:spacing w:before="0" w:after="0" w:line="240" w:lineRule="auto"/>
                    <w:ind w:firstLine="0" w:firstLineChars="0"/>
                    <w:jc w:val="both"/>
                    <w:textAlignment w:val="auto"/>
                    <w:rPr>
                      <w:rFonts w:hint="default" w:ascii="Times New Roman" w:hAnsi="Times New Roman" w:eastAsia="宋体" w:cs="Times New Roman"/>
                      <w:b w:val="0"/>
                      <w:bCs w:val="0"/>
                      <w:snapToGrid w:val="0"/>
                      <w:color w:val="000000"/>
                      <w:sz w:val="21"/>
                      <w:szCs w:val="21"/>
                      <w:highlight w:val="none"/>
                      <w:lang w:val="zh-CN"/>
                    </w:rPr>
                  </w:pPr>
                  <w:r>
                    <w:rPr>
                      <w:rFonts w:hint="default" w:ascii="Times New Roman" w:hAnsi="Times New Roman" w:eastAsia="宋体" w:cs="Times New Roman"/>
                      <w:b w:val="0"/>
                      <w:bCs w:val="0"/>
                      <w:snapToGrid w:val="0"/>
                      <w:color w:val="000000"/>
                      <w:sz w:val="21"/>
                      <w:szCs w:val="21"/>
                      <w:highlight w:val="none"/>
                      <w:lang w:val="zh-CN"/>
                    </w:rPr>
                    <w:t>①</w:t>
                  </w:r>
                  <w:r>
                    <w:rPr>
                      <w:rFonts w:hint="default" w:ascii="Times New Roman" w:hAnsi="Times New Roman" w:eastAsia="宋体" w:cs="Times New Roman"/>
                      <w:b w:val="0"/>
                      <w:bCs w:val="0"/>
                      <w:snapToGrid w:val="0"/>
                      <w:color w:val="000000"/>
                      <w:sz w:val="21"/>
                      <w:szCs w:val="21"/>
                      <w:highlight w:val="none"/>
                    </w:rPr>
                    <w:t>建立环境风险防控和应急措施制度，明确环境风险防控重点岗位的责任人或责任机构，落实定期巡检和维护责任制度</w:t>
                  </w:r>
                  <w:r>
                    <w:rPr>
                      <w:rFonts w:hint="default" w:ascii="Times New Roman" w:hAnsi="Times New Roman" w:eastAsia="宋体" w:cs="Times New Roman"/>
                      <w:b w:val="0"/>
                      <w:bCs w:val="0"/>
                      <w:snapToGrid w:val="0"/>
                      <w:color w:val="000000"/>
                      <w:sz w:val="21"/>
                      <w:szCs w:val="21"/>
                      <w:highlight w:val="none"/>
                      <w:lang w:val="zh-CN"/>
                    </w:rPr>
                    <w:t>；</w:t>
                  </w:r>
                </w:p>
                <w:p w14:paraId="11697B80">
                  <w:pPr>
                    <w:pStyle w:val="2"/>
                    <w:pageBreakBefore w:val="0"/>
                    <w:widowControl w:val="0"/>
                    <w:kinsoku/>
                    <w:wordWrap/>
                    <w:overflowPunct/>
                    <w:topLinePunct w:val="0"/>
                    <w:bidi w:val="0"/>
                    <w:adjustRightInd w:val="0"/>
                    <w:snapToGrid w:val="0"/>
                    <w:spacing w:before="0" w:after="0" w:line="240" w:lineRule="auto"/>
                    <w:ind w:firstLine="0" w:firstLineChars="0"/>
                    <w:jc w:val="both"/>
                    <w:textAlignment w:val="auto"/>
                    <w:rPr>
                      <w:rFonts w:hint="default" w:ascii="Times New Roman" w:hAnsi="Times New Roman" w:eastAsia="宋体" w:cs="Times New Roman"/>
                      <w:b w:val="0"/>
                      <w:bCs w:val="0"/>
                      <w:snapToGrid w:val="0"/>
                      <w:color w:val="000000"/>
                      <w:sz w:val="21"/>
                      <w:szCs w:val="21"/>
                      <w:highlight w:val="none"/>
                      <w:lang w:val="zh-CN"/>
                    </w:rPr>
                  </w:pPr>
                  <w:r>
                    <w:rPr>
                      <w:rFonts w:hint="default" w:ascii="Times New Roman" w:hAnsi="Times New Roman" w:eastAsia="宋体" w:cs="Times New Roman"/>
                      <w:b w:val="0"/>
                      <w:bCs w:val="0"/>
                      <w:snapToGrid w:val="0"/>
                      <w:color w:val="000000"/>
                      <w:sz w:val="21"/>
                      <w:szCs w:val="21"/>
                      <w:highlight w:val="none"/>
                      <w:lang w:val="zh-CN"/>
                    </w:rPr>
                    <w:t>②危废仓库按照《危险废物贮存污染控制标准》（GB 18597-2023）建设管理，设置防风、防雨、防晒、防渗等措施；</w:t>
                  </w:r>
                </w:p>
                <w:p w14:paraId="130D2B4E">
                  <w:pPr>
                    <w:pStyle w:val="2"/>
                    <w:pageBreakBefore w:val="0"/>
                    <w:widowControl w:val="0"/>
                    <w:kinsoku/>
                    <w:wordWrap/>
                    <w:overflowPunct/>
                    <w:topLinePunct w:val="0"/>
                    <w:bidi w:val="0"/>
                    <w:adjustRightInd w:val="0"/>
                    <w:snapToGrid w:val="0"/>
                    <w:spacing w:before="0" w:after="0" w:line="240" w:lineRule="auto"/>
                    <w:ind w:firstLine="0" w:firstLineChars="0"/>
                    <w:jc w:val="both"/>
                    <w:textAlignment w:val="auto"/>
                    <w:rPr>
                      <w:rFonts w:hint="default" w:ascii="Times New Roman" w:hAnsi="Times New Roman" w:eastAsia="宋体" w:cs="Times New Roman"/>
                      <w:b w:val="0"/>
                      <w:bCs w:val="0"/>
                      <w:snapToGrid w:val="0"/>
                      <w:color w:val="000000"/>
                      <w:sz w:val="21"/>
                      <w:szCs w:val="21"/>
                      <w:highlight w:val="none"/>
                    </w:rPr>
                  </w:pPr>
                  <w:r>
                    <w:rPr>
                      <w:rFonts w:hint="default" w:ascii="Times New Roman" w:hAnsi="Times New Roman" w:eastAsia="宋体" w:cs="Times New Roman"/>
                      <w:b w:val="0"/>
                      <w:bCs w:val="0"/>
                      <w:snapToGrid w:val="0"/>
                      <w:color w:val="000000"/>
                      <w:sz w:val="21"/>
                      <w:szCs w:val="21"/>
                      <w:highlight w:val="none"/>
                      <w:lang w:val="zh-CN"/>
                    </w:rPr>
                    <w:t>③</w:t>
                  </w:r>
                  <w:r>
                    <w:rPr>
                      <w:rFonts w:hint="default" w:ascii="Times New Roman" w:hAnsi="Times New Roman" w:eastAsia="宋体" w:cs="Times New Roman"/>
                      <w:b w:val="0"/>
                      <w:bCs w:val="0"/>
                      <w:snapToGrid w:val="0"/>
                      <w:color w:val="000000"/>
                      <w:sz w:val="21"/>
                      <w:szCs w:val="21"/>
                      <w:highlight w:val="none"/>
                    </w:rPr>
                    <w:t>采取截流措施：事故排水收集措施（设置应急事故池）、雨水系统防控措施（外排总排口设置监视及关闭设施）等</w:t>
                  </w:r>
                  <w:r>
                    <w:rPr>
                      <w:rFonts w:hint="default" w:ascii="Times New Roman" w:hAnsi="Times New Roman" w:eastAsia="宋体" w:cs="Times New Roman"/>
                      <w:b w:val="0"/>
                      <w:bCs w:val="0"/>
                      <w:snapToGrid w:val="0"/>
                      <w:color w:val="000000"/>
                      <w:sz w:val="21"/>
                      <w:szCs w:val="21"/>
                      <w:highlight w:val="none"/>
                      <w:lang w:val="zh-CN"/>
                    </w:rPr>
                    <w:t>；</w:t>
                  </w:r>
                </w:p>
                <w:p w14:paraId="3A95DF2B">
                  <w:pPr>
                    <w:pStyle w:val="2"/>
                    <w:pageBreakBefore w:val="0"/>
                    <w:widowControl w:val="0"/>
                    <w:kinsoku/>
                    <w:wordWrap/>
                    <w:overflowPunct/>
                    <w:topLinePunct w:val="0"/>
                    <w:bidi w:val="0"/>
                    <w:adjustRightInd w:val="0"/>
                    <w:snapToGrid w:val="0"/>
                    <w:spacing w:before="0" w:after="0" w:line="240" w:lineRule="auto"/>
                    <w:ind w:firstLine="0" w:firstLineChars="0"/>
                    <w:jc w:val="both"/>
                    <w:textAlignment w:val="auto"/>
                    <w:rPr>
                      <w:rFonts w:hint="default" w:ascii="Times New Roman" w:hAnsi="Times New Roman" w:eastAsia="宋体" w:cs="Times New Roman"/>
                      <w:b w:val="0"/>
                      <w:bCs w:val="0"/>
                      <w:snapToGrid w:val="0"/>
                      <w:color w:val="000000"/>
                      <w:sz w:val="21"/>
                      <w:szCs w:val="21"/>
                      <w:highlight w:val="none"/>
                    </w:rPr>
                  </w:pPr>
                  <w:r>
                    <w:rPr>
                      <w:rFonts w:hint="default" w:ascii="Times New Roman" w:hAnsi="Times New Roman" w:eastAsia="宋体" w:cs="Times New Roman"/>
                      <w:b w:val="0"/>
                      <w:bCs w:val="0"/>
                      <w:snapToGrid w:val="0"/>
                      <w:color w:val="000000"/>
                      <w:sz w:val="21"/>
                      <w:szCs w:val="21"/>
                      <w:highlight w:val="none"/>
                    </w:rPr>
                    <w:t>④项目建成后，根据实际生产和运营情况编制环境应急预案</w:t>
                  </w:r>
                  <w:r>
                    <w:rPr>
                      <w:rFonts w:hint="default" w:ascii="Times New Roman" w:hAnsi="Times New Roman" w:eastAsia="宋体" w:cs="Times New Roman"/>
                      <w:b w:val="0"/>
                      <w:bCs w:val="0"/>
                      <w:snapToGrid w:val="0"/>
                      <w:color w:val="000000"/>
                      <w:sz w:val="21"/>
                      <w:szCs w:val="21"/>
                      <w:highlight w:val="none"/>
                      <w:lang w:eastAsia="zh-CN"/>
                    </w:rPr>
                    <w:t>，</w:t>
                  </w:r>
                  <w:r>
                    <w:rPr>
                      <w:rFonts w:hint="default" w:ascii="Times New Roman" w:hAnsi="Times New Roman" w:eastAsia="宋体" w:cs="Times New Roman"/>
                      <w:b w:val="0"/>
                      <w:bCs w:val="0"/>
                      <w:snapToGrid w:val="0"/>
                      <w:color w:val="000000"/>
                      <w:sz w:val="21"/>
                      <w:szCs w:val="21"/>
                      <w:highlight w:val="none"/>
                      <w:lang w:val="en-US" w:eastAsia="zh-CN"/>
                    </w:rPr>
                    <w:t>并</w:t>
                  </w:r>
                  <w:r>
                    <w:rPr>
                      <w:rFonts w:hint="default" w:ascii="Times New Roman" w:hAnsi="Times New Roman" w:eastAsia="宋体" w:cs="Times New Roman"/>
                      <w:b w:val="0"/>
                      <w:bCs w:val="0"/>
                      <w:snapToGrid w:val="0"/>
                      <w:color w:val="000000"/>
                      <w:sz w:val="21"/>
                      <w:szCs w:val="21"/>
                      <w:highlight w:val="none"/>
                    </w:rPr>
                    <w:t>成立</w:t>
                  </w:r>
                  <w:r>
                    <w:rPr>
                      <w:rFonts w:hint="default" w:ascii="Times New Roman" w:hAnsi="Times New Roman" w:eastAsia="宋体" w:cs="Times New Roman"/>
                      <w:b w:val="0"/>
                      <w:bCs w:val="0"/>
                      <w:snapToGrid w:val="0"/>
                      <w:color w:val="000000"/>
                      <w:sz w:val="21"/>
                      <w:szCs w:val="21"/>
                      <w:highlight w:val="none"/>
                      <w:lang w:val="en-US" w:eastAsia="zh-CN"/>
                    </w:rPr>
                    <w:t>厂内</w:t>
                  </w:r>
                  <w:r>
                    <w:rPr>
                      <w:rFonts w:hint="default" w:ascii="Times New Roman" w:hAnsi="Times New Roman" w:eastAsia="宋体" w:cs="Times New Roman"/>
                      <w:b w:val="0"/>
                      <w:bCs w:val="0"/>
                      <w:snapToGrid w:val="0"/>
                      <w:color w:val="000000"/>
                      <w:sz w:val="21"/>
                      <w:szCs w:val="21"/>
                      <w:highlight w:val="none"/>
                    </w:rPr>
                    <w:t>事故应急处理小组，一旦发生泄漏、火灾等事故，应立即启动事故应急预案，并向有关环境管理部门汇报情况，协助环境管理部门进行应急监测等工作。</w:t>
                  </w:r>
                </w:p>
                <w:p w14:paraId="12B3F56B">
                  <w:pPr>
                    <w:pStyle w:val="3"/>
                    <w:pageBreakBefore w:val="0"/>
                    <w:widowControl w:val="0"/>
                    <w:kinsoku/>
                    <w:wordWrap/>
                    <w:overflowPunct/>
                    <w:topLinePunct w:val="0"/>
                    <w:bidi w:val="0"/>
                    <w:adjustRightInd w:val="0"/>
                    <w:snapToGrid w:val="0"/>
                    <w:ind w:firstLine="0"/>
                    <w:jc w:val="both"/>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color w:val="000000"/>
                      <w:sz w:val="21"/>
                      <w:szCs w:val="21"/>
                      <w:highlight w:val="none"/>
                      <w:lang w:val="zh-CN"/>
                    </w:rPr>
                    <w:t>⑤加强环境风险防范措施，增加应急、消防物资储备。</w:t>
                  </w:r>
                </w:p>
              </w:tc>
            </w:tr>
            <w:tr w14:paraId="652C41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99" w:type="pct"/>
                  <w:tcBorders>
                    <w:tl2br w:val="nil"/>
                    <w:tr2bl w:val="nil"/>
                  </w:tcBorders>
                  <w:noWrap w:val="0"/>
                  <w:vAlign w:val="center"/>
                </w:tcPr>
                <w:p w14:paraId="2FCD9294">
                  <w:pPr>
                    <w:pageBreakBefore w:val="0"/>
                    <w:widowControl w:val="0"/>
                    <w:kinsoku/>
                    <w:wordWrap/>
                    <w:overflowPunct/>
                    <w:topLinePunct w:val="0"/>
                    <w:autoSpaceDE w:val="0"/>
                    <w:autoSpaceDN w:val="0"/>
                    <w:bidi w:val="0"/>
                    <w:adjustRightInd w:val="0"/>
                    <w:snapToGrid w:val="0"/>
                    <w:ind w:firstLine="0"/>
                    <w:jc w:val="center"/>
                    <w:textAlignment w:val="auto"/>
                    <w:rPr>
                      <w:rFonts w:hAnsi="宋体"/>
                      <w:b/>
                      <w:color w:val="000000"/>
                      <w:szCs w:val="21"/>
                      <w:lang w:val="zh-CN"/>
                    </w:rPr>
                  </w:pPr>
                  <w:r>
                    <w:rPr>
                      <w:rFonts w:hint="eastAsia" w:hAnsi="宋体"/>
                      <w:b/>
                      <w:color w:val="000000"/>
                      <w:szCs w:val="21"/>
                      <w:lang w:val="zh-CN"/>
                    </w:rPr>
                    <w:t>填表说明（列出项目相关信息及评价说明）：</w:t>
                  </w:r>
                </w:p>
              </w:tc>
              <w:tc>
                <w:tcPr>
                  <w:tcW w:w="4000" w:type="pct"/>
                  <w:gridSpan w:val="4"/>
                  <w:tcBorders>
                    <w:tl2br w:val="nil"/>
                    <w:tr2bl w:val="nil"/>
                  </w:tcBorders>
                  <w:noWrap w:val="0"/>
                  <w:vAlign w:val="center"/>
                </w:tcPr>
                <w:p w14:paraId="14B9F5E1">
                  <w:pPr>
                    <w:pageBreakBefore w:val="0"/>
                    <w:widowControl w:val="0"/>
                    <w:kinsoku/>
                    <w:wordWrap/>
                    <w:overflowPunct/>
                    <w:topLinePunct w:val="0"/>
                    <w:autoSpaceDE w:val="0"/>
                    <w:autoSpaceDN w:val="0"/>
                    <w:bidi w:val="0"/>
                    <w:adjustRightInd w:val="0"/>
                    <w:snapToGrid w:val="0"/>
                    <w:ind w:firstLine="0"/>
                    <w:jc w:val="center"/>
                    <w:textAlignment w:val="auto"/>
                    <w:rPr>
                      <w:snapToGrid w:val="0"/>
                      <w:color w:val="000000"/>
                      <w:szCs w:val="21"/>
                    </w:rPr>
                  </w:pPr>
                  <w:r>
                    <w:rPr>
                      <w:rFonts w:hint="default" w:ascii="Times New Roman" w:hAnsi="Times New Roman" w:cs="Times New Roman"/>
                      <w:snapToGrid w:val="0"/>
                      <w:color w:val="000000"/>
                      <w:szCs w:val="21"/>
                    </w:rPr>
                    <w:t>本项</w:t>
                  </w:r>
                  <w:r>
                    <w:rPr>
                      <w:rFonts w:hint="default" w:ascii="Times New Roman" w:hAnsi="Times New Roman" w:cs="Times New Roman"/>
                      <w:snapToGrid w:val="0"/>
                      <w:color w:val="000000"/>
                      <w:szCs w:val="21"/>
                      <w:lang w:val="en-US" w:eastAsia="zh-CN"/>
                    </w:rPr>
                    <w:t>目</w:t>
                  </w:r>
                  <w:r>
                    <w:rPr>
                      <w:rFonts w:hint="default" w:ascii="Times New Roman" w:hAnsi="Times New Roman" w:cs="Times New Roman"/>
                      <w:snapToGrid w:val="0"/>
                      <w:color w:val="000000"/>
                      <w:szCs w:val="21"/>
                    </w:rPr>
                    <w:t>为</w:t>
                  </w:r>
                  <w:r>
                    <w:rPr>
                      <w:rFonts w:hint="default" w:ascii="Times New Roman" w:hAnsi="Times New Roman" w:cs="Times New Roman"/>
                      <w:snapToGrid w:val="0"/>
                      <w:color w:val="000000"/>
                      <w:szCs w:val="21"/>
                      <w:lang w:val="en-US" w:eastAsia="zh-CN"/>
                    </w:rPr>
                    <w:t>其他医疗设备及器械制造的</w:t>
                  </w:r>
                  <w:r>
                    <w:rPr>
                      <w:rFonts w:hint="default" w:ascii="Times New Roman" w:hAnsi="Times New Roman" w:cs="Times New Roman"/>
                      <w:snapToGrid w:val="0"/>
                      <w:color w:val="000000"/>
                      <w:szCs w:val="21"/>
                    </w:rPr>
                    <w:t>生产，工艺危险性较低，环境敏感度较低。项目风险潜势为Ⅰ，可开展简单分析。</w:t>
                  </w:r>
                </w:p>
              </w:tc>
            </w:tr>
          </w:tbl>
          <w:p w14:paraId="49DE83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rFonts w:hint="eastAsia"/>
                <w:b/>
                <w:color w:val="000000"/>
                <w:sz w:val="24"/>
              </w:rPr>
              <w:t>8、电磁辐射</w:t>
            </w:r>
          </w:p>
          <w:p w14:paraId="235A08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本项目不涉及广播电台、差转台、电视塔台、卫星地球上行站、雷达等电磁辐射类项目，故本报告不再进行电磁辐射评价。</w:t>
            </w:r>
          </w:p>
          <w:p w14:paraId="139C3C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color w:val="000000"/>
                <w:sz w:val="24"/>
              </w:rPr>
            </w:pPr>
            <w:r>
              <w:rPr>
                <w:rFonts w:hint="eastAsia"/>
                <w:b/>
                <w:color w:val="000000"/>
                <w:sz w:val="24"/>
              </w:rPr>
              <w:t>9、排污口规范化设置</w:t>
            </w:r>
          </w:p>
          <w:p w14:paraId="433F17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根据江苏省环保局《江苏省排污口设置及规范化整治管理办法》（苏环控</w:t>
            </w:r>
            <w:r>
              <w:rPr>
                <w:rFonts w:hint="eastAsia"/>
                <w:color w:val="000000"/>
                <w:sz w:val="24"/>
                <w:lang w:eastAsia="zh-CN"/>
              </w:rPr>
              <w:t>〔</w:t>
            </w:r>
            <w:r>
              <w:rPr>
                <w:rFonts w:hint="eastAsia"/>
                <w:color w:val="000000"/>
                <w:sz w:val="24"/>
              </w:rPr>
              <w:t>1997</w:t>
            </w:r>
            <w:r>
              <w:rPr>
                <w:rFonts w:hint="eastAsia"/>
                <w:color w:val="000000"/>
                <w:sz w:val="24"/>
                <w:lang w:eastAsia="zh-CN"/>
              </w:rPr>
              <w:t>〕</w:t>
            </w:r>
            <w:r>
              <w:rPr>
                <w:rFonts w:hint="eastAsia"/>
                <w:color w:val="000000"/>
                <w:sz w:val="24"/>
              </w:rPr>
              <w:t>122号）的要求，应统一规划设置本项目的废气排气</w:t>
            </w:r>
            <w:r>
              <w:rPr>
                <w:rFonts w:hint="eastAsia"/>
                <w:color w:val="000000"/>
                <w:sz w:val="24"/>
                <w:lang w:val="en-US" w:eastAsia="zh-CN"/>
              </w:rPr>
              <w:t>筒</w:t>
            </w:r>
            <w:r>
              <w:rPr>
                <w:rFonts w:hint="eastAsia"/>
                <w:color w:val="000000"/>
                <w:sz w:val="24"/>
              </w:rPr>
              <w:t>、废水排放口和固定噪声源，规范固体废物贮存（处置）场所。</w:t>
            </w:r>
          </w:p>
          <w:p w14:paraId="14F25E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（1）废水排放口：根据“江苏省排污口设置及规范化整治管理办法”，企业现已建成</w:t>
            </w:r>
            <w:r>
              <w:rPr>
                <w:rFonts w:hint="eastAsia"/>
                <w:color w:val="000000"/>
                <w:sz w:val="24"/>
                <w:lang w:val="en-US" w:eastAsia="zh-CN"/>
              </w:rPr>
              <w:t>1</w:t>
            </w:r>
            <w:r>
              <w:rPr>
                <w:rFonts w:hint="eastAsia"/>
                <w:color w:val="000000"/>
                <w:sz w:val="24"/>
              </w:rPr>
              <w:t>个雨水排放口、1个生活污水排放口。已按要求在雨水排放口、生活污水排放口设立明显标志牌，符合《环境保护图形标志》（GB15562.1-1995）要求。</w:t>
            </w:r>
          </w:p>
          <w:p w14:paraId="7A3386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（2）废气排放</w:t>
            </w:r>
            <w:r>
              <w:rPr>
                <w:rFonts w:hint="eastAsia"/>
                <w:color w:val="000000"/>
                <w:sz w:val="24"/>
                <w:highlight w:val="none"/>
              </w:rPr>
              <w:t>口：本项目新增</w:t>
            </w:r>
            <w:r>
              <w:rPr>
                <w:rFonts w:hint="eastAsia"/>
                <w:color w:val="000000"/>
                <w:sz w:val="24"/>
                <w:highlight w:val="none"/>
                <w:lang w:val="en-US" w:eastAsia="zh-CN"/>
              </w:rPr>
              <w:t>2</w:t>
            </w:r>
            <w:r>
              <w:rPr>
                <w:rFonts w:hint="eastAsia"/>
                <w:color w:val="000000"/>
                <w:sz w:val="24"/>
                <w:highlight w:val="none"/>
              </w:rPr>
              <w:t>个废气排放口（</w:t>
            </w:r>
            <w:r>
              <w:rPr>
                <w:rFonts w:hint="eastAsia"/>
                <w:color w:val="000000"/>
                <w:sz w:val="24"/>
                <w:highlight w:val="none"/>
                <w:lang w:val="en-US" w:eastAsia="zh-CN"/>
              </w:rPr>
              <w:t>1#排气筒、2#排气筒</w:t>
            </w:r>
            <w:r>
              <w:rPr>
                <w:rFonts w:hint="eastAsia"/>
                <w:color w:val="000000"/>
                <w:sz w:val="24"/>
                <w:highlight w:val="none"/>
              </w:rPr>
              <w:t>），对于有组织排放的废气，排气筒应设置便于采样、监测的采样口，采样口的设</w:t>
            </w:r>
            <w:r>
              <w:rPr>
                <w:rFonts w:hint="eastAsia"/>
                <w:color w:val="000000"/>
                <w:sz w:val="24"/>
              </w:rPr>
              <w:t>置应符合《污染源监测技术规范》要求。废气排放口均应设置环保图形标志牌。</w:t>
            </w:r>
          </w:p>
          <w:p w14:paraId="4DBA7F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（3）固定噪声源：根据不同噪声源的情况，采取减振降噪、吸声、隔声等措施，使厂界达到相应功能区的标准要求。在厂界噪声敏感且对外界影响最大处设置固定噪声源的监测点和噪声环境保护图形标志牌。</w:t>
            </w:r>
          </w:p>
          <w:p w14:paraId="79BDD3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（4）固废：对于一般固体废物应设置专用贮存、堆放场地。对于危险废物应设置专用堆放场地，并须有防扬散、防流失、防漏防渗措施。各类固体废物贮存场所均应设置醒目的标志牌。</w:t>
            </w:r>
          </w:p>
          <w:p w14:paraId="610FB1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针对固废设置固体废物临时贮存场所。一般固废贮存场所要求：</w:t>
            </w:r>
          </w:p>
          <w:p w14:paraId="2BAB9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①固体废物贮存场所要有防火、防扬散、防流失、</w:t>
            </w:r>
            <w:r>
              <w:rPr>
                <w:rFonts w:hint="eastAsia"/>
                <w:color w:val="000000"/>
                <w:sz w:val="24"/>
                <w:lang w:eastAsia="zh-CN"/>
              </w:rPr>
              <w:t>防</w:t>
            </w:r>
            <w:r>
              <w:rPr>
                <w:rFonts w:hint="eastAsia"/>
                <w:color w:val="000000"/>
                <w:sz w:val="24"/>
              </w:rPr>
              <w:t>渗漏、防雨措施；</w:t>
            </w:r>
          </w:p>
          <w:p w14:paraId="1AB96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②固体废物贮存场所在醒目处设置一个标志牌。固废环境保护图形标志牌按照《环境保护图形标志》（GB15562.1-1995，GB15562.2-</w:t>
            </w:r>
            <w:r>
              <w:rPr>
                <w:color w:val="000000"/>
                <w:sz w:val="24"/>
              </w:rPr>
              <w:t>1995</w:t>
            </w:r>
            <w:r>
              <w:rPr>
                <w:rFonts w:hint="eastAsia"/>
                <w:color w:val="000000"/>
                <w:sz w:val="24"/>
              </w:rPr>
              <w:t>）规定制作。</w:t>
            </w:r>
          </w:p>
          <w:p w14:paraId="10A001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③固废（液）应收集后尽快出售综合利用，</w:t>
            </w:r>
            <w:r>
              <w:rPr>
                <w:rFonts w:hint="eastAsia"/>
                <w:color w:val="000000"/>
                <w:sz w:val="24"/>
                <w:lang w:eastAsia="zh-CN"/>
              </w:rPr>
              <w:t>不宜</w:t>
            </w:r>
            <w:r>
              <w:rPr>
                <w:rFonts w:hint="eastAsia"/>
                <w:color w:val="000000"/>
                <w:sz w:val="24"/>
              </w:rPr>
              <w:t>存放过长时间，以防止存放过程中，易挥发有机溶剂无组织挥发进入大气，造成二次污染。</w:t>
            </w:r>
          </w:p>
          <w:p w14:paraId="6BB5FA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确需暂存的危险废物，根据《危险废物贮存污染控制标准》（GB18597-20</w:t>
            </w:r>
            <w:r>
              <w:rPr>
                <w:color w:val="000000"/>
                <w:sz w:val="24"/>
              </w:rPr>
              <w:t>23</w:t>
            </w:r>
            <w:r>
              <w:rPr>
                <w:rFonts w:hint="eastAsia"/>
                <w:color w:val="000000"/>
                <w:sz w:val="24"/>
              </w:rPr>
              <w:t>）中对危险废物贮存的要求，应做到以下几点：</w:t>
            </w:r>
          </w:p>
          <w:p w14:paraId="7C3F70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①贮存场所必须有符合GB15562.2的专用标志；</w:t>
            </w:r>
          </w:p>
          <w:p w14:paraId="783302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②贮存场所内禁止混放不相容危险废物；</w:t>
            </w:r>
          </w:p>
          <w:p w14:paraId="318AA6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③贮存场所有集排水和防渗漏设施；</w:t>
            </w:r>
          </w:p>
          <w:p w14:paraId="10F42E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④贮存场所要符合消防要求；</w:t>
            </w:r>
          </w:p>
          <w:p w14:paraId="07A01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color w:val="000000"/>
                <w:sz w:val="24"/>
              </w:rPr>
              <w:t>⑤贮存场所容器必须有明显标志，具有耐腐蚀、耐压、密封和不与所贮存的</w:t>
            </w:r>
            <w:r>
              <w:rPr>
                <w:rFonts w:hint="eastAsia"/>
                <w:color w:val="000000"/>
                <w:sz w:val="24"/>
                <w:lang w:val="en-US" w:eastAsia="zh-CN"/>
              </w:rPr>
              <w:t>危险废物相容的特点</w:t>
            </w:r>
            <w:r>
              <w:rPr>
                <w:rFonts w:hint="eastAsia"/>
                <w:color w:val="000000"/>
                <w:sz w:val="24"/>
              </w:rPr>
              <w:t>。</w:t>
            </w:r>
          </w:p>
          <w:p w14:paraId="0F7C6CA3">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b/>
                <w:color w:val="000000"/>
              </w:rPr>
            </w:pPr>
            <w:r>
              <w:rPr>
                <w:rFonts w:hint="eastAsia"/>
                <w:b/>
                <w:color w:val="000000"/>
              </w:rPr>
              <w:t>9、“三同时”验收一览表</w:t>
            </w:r>
          </w:p>
          <w:p w14:paraId="742F06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color w:val="000000"/>
                <w:sz w:val="24"/>
                <w:highlight w:val="none"/>
              </w:rPr>
            </w:pPr>
            <w:r>
              <w:rPr>
                <w:rFonts w:hAnsi="宋体"/>
                <w:color w:val="000000"/>
                <w:sz w:val="24"/>
              </w:rPr>
              <w:t>企业应严格执行建设项目</w:t>
            </w:r>
            <w:r>
              <w:rPr>
                <w:rFonts w:hint="eastAsia"/>
                <w:color w:val="000000"/>
                <w:sz w:val="24"/>
              </w:rPr>
              <w:t>“</w:t>
            </w:r>
            <w:r>
              <w:rPr>
                <w:rFonts w:hAnsi="宋体"/>
                <w:color w:val="000000"/>
                <w:sz w:val="24"/>
              </w:rPr>
              <w:t>三同时</w:t>
            </w:r>
            <w:r>
              <w:rPr>
                <w:rFonts w:hint="eastAsia"/>
                <w:color w:val="000000"/>
                <w:sz w:val="24"/>
              </w:rPr>
              <w:t>”</w:t>
            </w:r>
            <w:r>
              <w:rPr>
                <w:rFonts w:hAnsi="宋体"/>
                <w:color w:val="000000"/>
                <w:sz w:val="24"/>
              </w:rPr>
              <w:t>制度。根据我国有关建设项目环境保护管理制度的规定，建设项目的污染治理设施必须与主体工程</w:t>
            </w:r>
            <w:r>
              <w:rPr>
                <w:rFonts w:hint="eastAsia"/>
                <w:color w:val="000000"/>
                <w:sz w:val="24"/>
              </w:rPr>
              <w:t>“</w:t>
            </w:r>
            <w:r>
              <w:rPr>
                <w:rFonts w:hAnsi="宋体"/>
                <w:color w:val="000000"/>
                <w:sz w:val="24"/>
              </w:rPr>
              <w:t>同时设计、同时施工、同时投入运行</w:t>
            </w:r>
            <w:r>
              <w:rPr>
                <w:rFonts w:hint="eastAsia"/>
                <w:color w:val="000000"/>
                <w:sz w:val="24"/>
              </w:rPr>
              <w:t>”</w:t>
            </w:r>
            <w:r>
              <w:rPr>
                <w:rFonts w:hAnsi="宋体"/>
                <w:color w:val="000000"/>
                <w:sz w:val="24"/>
              </w:rPr>
              <w:t>。因此，拟建项目的污染治理设施必须严格执行</w:t>
            </w:r>
            <w:r>
              <w:rPr>
                <w:rFonts w:hint="eastAsia"/>
                <w:color w:val="000000"/>
                <w:sz w:val="24"/>
              </w:rPr>
              <w:t>“</w:t>
            </w:r>
            <w:r>
              <w:rPr>
                <w:rFonts w:hAnsi="宋体"/>
                <w:color w:val="000000"/>
                <w:sz w:val="24"/>
              </w:rPr>
              <w:t>三同时</w:t>
            </w:r>
            <w:r>
              <w:rPr>
                <w:rFonts w:hint="eastAsia"/>
                <w:color w:val="000000"/>
                <w:sz w:val="24"/>
              </w:rPr>
              <w:t>”</w:t>
            </w:r>
            <w:r>
              <w:rPr>
                <w:rFonts w:hAnsi="宋体"/>
                <w:color w:val="000000"/>
                <w:sz w:val="24"/>
              </w:rPr>
              <w:t>制度，在各种污染治理设施未按要求完工之前，项目不得进行试生产，污染治理设施必须</w:t>
            </w:r>
            <w:r>
              <w:rPr>
                <w:rFonts w:hAnsi="宋体"/>
                <w:color w:val="000000"/>
                <w:sz w:val="24"/>
                <w:highlight w:val="none"/>
              </w:rPr>
              <w:t>由当地环保部门验收合格后方可投入正式运行，具体见下表。</w:t>
            </w:r>
          </w:p>
          <w:p w14:paraId="66E5536E">
            <w:pPr>
              <w:keepNext w:val="0"/>
              <w:keepLines w:val="0"/>
              <w:pageBreakBefore w:val="0"/>
              <w:widowControl w:val="0"/>
              <w:kinsoku/>
              <w:wordWrap/>
              <w:overflowPunct/>
              <w:topLinePunct w:val="0"/>
              <w:autoSpaceDE w:val="0"/>
              <w:autoSpaceDN w:val="0"/>
              <w:bidi w:val="0"/>
              <w:adjustRightInd w:val="0"/>
              <w:snapToGrid/>
              <w:spacing w:line="240" w:lineRule="auto"/>
              <w:ind w:firstLine="0"/>
              <w:jc w:val="center"/>
              <w:textAlignment w:val="auto"/>
              <w:rPr>
                <w:b/>
                <w:bCs/>
                <w:color w:val="000000"/>
                <w:sz w:val="21"/>
                <w:szCs w:val="21"/>
                <w:highlight w:val="none"/>
                <w:lang w:val="zh-CN"/>
              </w:rPr>
            </w:pPr>
            <w:r>
              <w:rPr>
                <w:rFonts w:hint="eastAsia"/>
                <w:b/>
                <w:bCs/>
                <w:color w:val="000000"/>
                <w:sz w:val="21"/>
                <w:szCs w:val="21"/>
                <w:highlight w:val="none"/>
              </w:rPr>
              <w:t>表4-3</w:t>
            </w:r>
            <w:r>
              <w:rPr>
                <w:rFonts w:hint="eastAsia"/>
                <w:b/>
                <w:bCs/>
                <w:color w:val="000000"/>
                <w:sz w:val="21"/>
                <w:szCs w:val="21"/>
                <w:highlight w:val="none"/>
                <w:lang w:val="en-US" w:eastAsia="zh-CN"/>
              </w:rPr>
              <w:t>5</w:t>
            </w:r>
            <w:r>
              <w:rPr>
                <w:rFonts w:hint="eastAsia"/>
                <w:b/>
                <w:bCs/>
                <w:color w:val="000000"/>
                <w:sz w:val="21"/>
                <w:szCs w:val="21"/>
                <w:highlight w:val="none"/>
              </w:rPr>
              <w:t xml:space="preserve"> 污染治理投资</w:t>
            </w:r>
            <w:r>
              <w:rPr>
                <w:rFonts w:hint="eastAsia" w:ascii="宋体" w:hAnsi="宋体" w:eastAsia="宋体" w:cs="宋体"/>
                <w:b/>
                <w:bCs/>
                <w:color w:val="000000"/>
                <w:sz w:val="21"/>
                <w:szCs w:val="21"/>
                <w:highlight w:val="none"/>
              </w:rPr>
              <w:t>和“</w:t>
            </w:r>
            <w:r>
              <w:rPr>
                <w:rFonts w:hint="eastAsia" w:ascii="宋体" w:hAnsi="宋体" w:eastAsia="宋体" w:cs="宋体"/>
                <w:b/>
                <w:bCs/>
                <w:color w:val="000000"/>
                <w:sz w:val="21"/>
                <w:szCs w:val="21"/>
                <w:highlight w:val="none"/>
                <w:lang w:val="zh-CN"/>
              </w:rPr>
              <w:t>三同时</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val="zh-CN"/>
              </w:rPr>
              <w:t>验</w:t>
            </w:r>
            <w:r>
              <w:rPr>
                <w:rFonts w:hint="eastAsia"/>
                <w:b/>
                <w:bCs/>
                <w:color w:val="000000"/>
                <w:sz w:val="21"/>
                <w:szCs w:val="21"/>
                <w:highlight w:val="none"/>
                <w:lang w:val="zh-CN"/>
              </w:rPr>
              <w:t>收一览表</w:t>
            </w:r>
          </w:p>
          <w:tbl>
            <w:tblPr>
              <w:tblStyle w:val="20"/>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833"/>
              <w:gridCol w:w="1281"/>
              <w:gridCol w:w="2100"/>
              <w:gridCol w:w="1497"/>
              <w:gridCol w:w="822"/>
              <w:gridCol w:w="700"/>
            </w:tblGrid>
            <w:tr w14:paraId="62517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70232394">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项目名称</w:t>
                  </w:r>
                </w:p>
              </w:tc>
              <w:tc>
                <w:tcPr>
                  <w:tcW w:w="4392" w:type="pct"/>
                  <w:gridSpan w:val="6"/>
                  <w:tcBorders>
                    <w:tl2br w:val="nil"/>
                    <w:tr2bl w:val="nil"/>
                  </w:tcBorders>
                  <w:noWrap w:val="0"/>
                  <w:tcMar>
                    <w:top w:w="0" w:type="dxa"/>
                    <w:left w:w="57" w:type="dxa"/>
                    <w:bottom w:w="0" w:type="dxa"/>
                    <w:right w:w="57" w:type="dxa"/>
                  </w:tcMar>
                  <w:vAlign w:val="center"/>
                </w:tcPr>
                <w:p w14:paraId="731F2DE3">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lang w:val="zh-CN"/>
                    </w:rPr>
                    <w:t>2308-320509-89-01-791378年产针灸器械8亿支项目</w:t>
                  </w:r>
                </w:p>
              </w:tc>
            </w:tr>
            <w:tr w14:paraId="71A4D4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0B54D76F">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类别</w:t>
                  </w:r>
                </w:p>
              </w:tc>
              <w:tc>
                <w:tcPr>
                  <w:tcW w:w="505" w:type="pct"/>
                  <w:tcBorders>
                    <w:tl2br w:val="nil"/>
                    <w:tr2bl w:val="nil"/>
                  </w:tcBorders>
                  <w:noWrap w:val="0"/>
                  <w:tcMar>
                    <w:top w:w="0" w:type="dxa"/>
                    <w:left w:w="57" w:type="dxa"/>
                    <w:bottom w:w="0" w:type="dxa"/>
                    <w:right w:w="57" w:type="dxa"/>
                  </w:tcMar>
                  <w:vAlign w:val="center"/>
                </w:tcPr>
                <w:p w14:paraId="695CA5E3">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污染源</w:t>
                  </w:r>
                </w:p>
              </w:tc>
              <w:tc>
                <w:tcPr>
                  <w:tcW w:w="777" w:type="pct"/>
                  <w:tcBorders>
                    <w:tl2br w:val="nil"/>
                    <w:tr2bl w:val="nil"/>
                  </w:tcBorders>
                  <w:noWrap w:val="0"/>
                  <w:tcMar>
                    <w:top w:w="0" w:type="dxa"/>
                    <w:left w:w="57" w:type="dxa"/>
                    <w:bottom w:w="0" w:type="dxa"/>
                    <w:right w:w="57" w:type="dxa"/>
                  </w:tcMar>
                  <w:vAlign w:val="center"/>
                </w:tcPr>
                <w:p w14:paraId="18BDA682">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污染物</w:t>
                  </w:r>
                </w:p>
              </w:tc>
              <w:tc>
                <w:tcPr>
                  <w:tcW w:w="1275" w:type="pct"/>
                  <w:tcBorders>
                    <w:tl2br w:val="nil"/>
                    <w:tr2bl w:val="nil"/>
                  </w:tcBorders>
                  <w:noWrap w:val="0"/>
                  <w:tcMar>
                    <w:top w:w="0" w:type="dxa"/>
                    <w:left w:w="57" w:type="dxa"/>
                    <w:bottom w:w="0" w:type="dxa"/>
                    <w:right w:w="57" w:type="dxa"/>
                  </w:tcMar>
                  <w:vAlign w:val="center"/>
                </w:tcPr>
                <w:p w14:paraId="14439BC5">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治理措施（设施数量、规模、处理能力等）</w:t>
                  </w:r>
                </w:p>
              </w:tc>
              <w:tc>
                <w:tcPr>
                  <w:tcW w:w="909" w:type="pct"/>
                  <w:tcBorders>
                    <w:tl2br w:val="nil"/>
                    <w:tr2bl w:val="nil"/>
                  </w:tcBorders>
                  <w:noWrap w:val="0"/>
                  <w:tcMar>
                    <w:top w:w="0" w:type="dxa"/>
                    <w:left w:w="57" w:type="dxa"/>
                    <w:bottom w:w="0" w:type="dxa"/>
                    <w:right w:w="57" w:type="dxa"/>
                  </w:tcMar>
                  <w:vAlign w:val="center"/>
                </w:tcPr>
                <w:p w14:paraId="540F8DAE">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处理效果、执行标准</w:t>
                  </w:r>
                </w:p>
              </w:tc>
              <w:tc>
                <w:tcPr>
                  <w:tcW w:w="499" w:type="pct"/>
                  <w:tcBorders>
                    <w:tl2br w:val="nil"/>
                    <w:tr2bl w:val="nil"/>
                  </w:tcBorders>
                  <w:noWrap w:val="0"/>
                  <w:tcMar>
                    <w:top w:w="0" w:type="dxa"/>
                    <w:left w:w="57" w:type="dxa"/>
                    <w:bottom w:w="0" w:type="dxa"/>
                    <w:right w:w="57" w:type="dxa"/>
                  </w:tcMar>
                  <w:vAlign w:val="center"/>
                </w:tcPr>
                <w:p w14:paraId="35BD9565">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环保投资（万元）</w:t>
                  </w:r>
                </w:p>
              </w:tc>
              <w:tc>
                <w:tcPr>
                  <w:tcW w:w="425" w:type="pct"/>
                  <w:tcBorders>
                    <w:tl2br w:val="nil"/>
                    <w:tr2bl w:val="nil"/>
                  </w:tcBorders>
                  <w:noWrap w:val="0"/>
                  <w:vAlign w:val="center"/>
                </w:tcPr>
                <w:p w14:paraId="22AB3E64">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完成</w:t>
                  </w:r>
                </w:p>
                <w:p w14:paraId="04A973E4">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时间</w:t>
                  </w:r>
                </w:p>
              </w:tc>
            </w:tr>
            <w:tr w14:paraId="41C07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restart"/>
                  <w:tcBorders>
                    <w:tl2br w:val="nil"/>
                    <w:tr2bl w:val="nil"/>
                  </w:tcBorders>
                  <w:noWrap w:val="0"/>
                  <w:tcMar>
                    <w:top w:w="0" w:type="dxa"/>
                    <w:left w:w="57" w:type="dxa"/>
                    <w:bottom w:w="0" w:type="dxa"/>
                    <w:right w:w="57" w:type="dxa"/>
                  </w:tcMar>
                  <w:vAlign w:val="center"/>
                </w:tcPr>
                <w:p w14:paraId="7954F411">
                  <w:pPr>
                    <w:keepNext w:val="0"/>
                    <w:keepLines w:val="0"/>
                    <w:pageBreakBefore w:val="0"/>
                    <w:kinsoku/>
                    <w:wordWrap/>
                    <w:overflowPunct/>
                    <w:topLinePunct w:val="0"/>
                    <w:bidi w:val="0"/>
                    <w:adjustRightInd w:val="0"/>
                    <w:snapToGrid w:val="0"/>
                    <w:ind w:firstLine="0"/>
                    <w:jc w:val="center"/>
                    <w:textAlignment w:val="auto"/>
                    <w:rPr>
                      <w:rFonts w:hint="eastAsia"/>
                      <w:b/>
                      <w:color w:val="000000"/>
                      <w:szCs w:val="21"/>
                    </w:rPr>
                  </w:pPr>
                  <w:r>
                    <w:rPr>
                      <w:rFonts w:hint="eastAsia"/>
                      <w:b/>
                      <w:color w:val="000000"/>
                      <w:szCs w:val="21"/>
                    </w:rPr>
                    <w:t>废气</w:t>
                  </w:r>
                </w:p>
              </w:tc>
              <w:tc>
                <w:tcPr>
                  <w:tcW w:w="505" w:type="pct"/>
                  <w:tcBorders>
                    <w:tl2br w:val="nil"/>
                    <w:tr2bl w:val="nil"/>
                  </w:tcBorders>
                  <w:noWrap w:val="0"/>
                  <w:tcMar>
                    <w:top w:w="0" w:type="dxa"/>
                    <w:left w:w="57" w:type="dxa"/>
                    <w:bottom w:w="0" w:type="dxa"/>
                    <w:right w:w="57" w:type="dxa"/>
                  </w:tcMar>
                  <w:vAlign w:val="center"/>
                </w:tcPr>
                <w:p w14:paraId="363540B7">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1#排气筒</w:t>
                  </w:r>
                </w:p>
              </w:tc>
              <w:tc>
                <w:tcPr>
                  <w:tcW w:w="777" w:type="pct"/>
                  <w:tcBorders>
                    <w:tl2br w:val="nil"/>
                    <w:tr2bl w:val="nil"/>
                  </w:tcBorders>
                  <w:noWrap w:val="0"/>
                  <w:tcMar>
                    <w:top w:w="0" w:type="dxa"/>
                    <w:left w:w="57" w:type="dxa"/>
                    <w:bottom w:w="0" w:type="dxa"/>
                    <w:right w:w="57" w:type="dxa"/>
                  </w:tcMar>
                  <w:vAlign w:val="center"/>
                </w:tcPr>
                <w:p w14:paraId="741B2F7C">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eastAsia="宋体"/>
                      <w:color w:val="000000"/>
                      <w:szCs w:val="21"/>
                      <w:highlight w:val="none"/>
                      <w:lang w:val="en-US" w:eastAsia="zh-CN"/>
                    </w:rPr>
                    <w:t>颗粒物</w:t>
                  </w:r>
                </w:p>
              </w:tc>
              <w:tc>
                <w:tcPr>
                  <w:tcW w:w="1275" w:type="pct"/>
                  <w:tcBorders>
                    <w:tl2br w:val="nil"/>
                    <w:tr2bl w:val="nil"/>
                  </w:tcBorders>
                  <w:noWrap w:val="0"/>
                  <w:tcMar>
                    <w:top w:w="0" w:type="dxa"/>
                    <w:left w:w="57" w:type="dxa"/>
                    <w:bottom w:w="0" w:type="dxa"/>
                    <w:right w:w="57" w:type="dxa"/>
                  </w:tcMar>
                  <w:vAlign w:val="center"/>
                </w:tcPr>
                <w:p w14:paraId="23F39158">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lang w:val="en-US" w:eastAsia="zh-CN" w:bidi="ar-SA"/>
                    </w:rPr>
                    <w:t>布袋除尘装置</w:t>
                  </w:r>
                  <w:r>
                    <w:rPr>
                      <w:rFonts w:hint="eastAsia"/>
                      <w:color w:val="000000"/>
                      <w:szCs w:val="21"/>
                      <w:highlight w:val="none"/>
                      <w:lang w:val="en-US" w:eastAsia="zh-CN"/>
                    </w:rPr>
                    <w:t>处理后通过15m高</w:t>
                  </w:r>
                  <w:r>
                    <w:rPr>
                      <w:rFonts w:hint="eastAsia" w:cs="Times New Roman"/>
                      <w:color w:val="000000"/>
                      <w:sz w:val="21"/>
                      <w:szCs w:val="21"/>
                      <w:highlight w:val="none"/>
                      <w:lang w:val="en-US" w:eastAsia="zh-CN"/>
                    </w:rPr>
                    <w:t>1#</w:t>
                  </w:r>
                  <w:r>
                    <w:rPr>
                      <w:rFonts w:hint="eastAsia"/>
                      <w:color w:val="000000"/>
                      <w:szCs w:val="21"/>
                      <w:highlight w:val="none"/>
                      <w:lang w:val="en-US" w:eastAsia="zh-CN"/>
                    </w:rPr>
                    <w:t>排气筒排放</w:t>
                  </w:r>
                </w:p>
              </w:tc>
              <w:tc>
                <w:tcPr>
                  <w:tcW w:w="909" w:type="pct"/>
                  <w:tcBorders>
                    <w:tl2br w:val="nil"/>
                    <w:tr2bl w:val="nil"/>
                  </w:tcBorders>
                  <w:noWrap w:val="0"/>
                  <w:tcMar>
                    <w:top w:w="0" w:type="dxa"/>
                    <w:left w:w="57" w:type="dxa"/>
                    <w:bottom w:w="0" w:type="dxa"/>
                    <w:right w:w="57" w:type="dxa"/>
                  </w:tcMar>
                  <w:vAlign w:val="center"/>
                </w:tcPr>
                <w:p w14:paraId="7FB7C03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rPr>
                    <w:t>《大气污染物综合排放标准》（DB32/4041-2021）表</w:t>
                  </w:r>
                  <w:r>
                    <w:rPr>
                      <w:rFonts w:hint="eastAsia"/>
                      <w:lang w:val="en-US" w:eastAsia="zh-CN"/>
                    </w:rPr>
                    <w:t>1</w:t>
                  </w:r>
                  <w:r>
                    <w:rPr>
                      <w:rFonts w:hint="eastAsia"/>
                    </w:rPr>
                    <w:t>标准</w:t>
                  </w:r>
                </w:p>
              </w:tc>
              <w:tc>
                <w:tcPr>
                  <w:tcW w:w="499" w:type="pct"/>
                  <w:tcBorders>
                    <w:tl2br w:val="nil"/>
                    <w:tr2bl w:val="nil"/>
                  </w:tcBorders>
                  <w:noWrap w:val="0"/>
                  <w:tcMar>
                    <w:top w:w="0" w:type="dxa"/>
                    <w:left w:w="57" w:type="dxa"/>
                    <w:bottom w:w="0" w:type="dxa"/>
                    <w:right w:w="57" w:type="dxa"/>
                  </w:tcMar>
                  <w:vAlign w:val="center"/>
                </w:tcPr>
                <w:p w14:paraId="5AD62C43">
                  <w:pPr>
                    <w:keepNext w:val="0"/>
                    <w:keepLines w:val="0"/>
                    <w:pageBreakBefore w:val="0"/>
                    <w:kinsoku/>
                    <w:wordWrap/>
                    <w:overflowPunct/>
                    <w:topLinePunct w:val="0"/>
                    <w:bidi w:val="0"/>
                    <w:adjustRightInd w:val="0"/>
                    <w:snapToGrid w:val="0"/>
                    <w:ind w:firstLine="0"/>
                    <w:jc w:val="center"/>
                    <w:textAlignment w:val="auto"/>
                    <w:rPr>
                      <w:rFonts w:hint="default"/>
                      <w:color w:val="000000"/>
                      <w:szCs w:val="21"/>
                      <w:highlight w:val="none"/>
                      <w:lang w:val="en-US" w:eastAsia="zh-CN"/>
                    </w:rPr>
                  </w:pPr>
                  <w:r>
                    <w:rPr>
                      <w:rFonts w:hint="eastAsia"/>
                      <w:color w:val="000000"/>
                      <w:szCs w:val="21"/>
                      <w:highlight w:val="none"/>
                      <w:lang w:val="en-US" w:eastAsia="zh-CN"/>
                    </w:rPr>
                    <w:t>5</w:t>
                  </w:r>
                </w:p>
              </w:tc>
              <w:tc>
                <w:tcPr>
                  <w:tcW w:w="425" w:type="pct"/>
                  <w:vMerge w:val="restart"/>
                  <w:tcBorders>
                    <w:tl2br w:val="nil"/>
                    <w:tr2bl w:val="nil"/>
                  </w:tcBorders>
                  <w:noWrap w:val="0"/>
                  <w:vAlign w:val="center"/>
                </w:tcPr>
                <w:p w14:paraId="5FFCA847">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rPr>
                  </w:pPr>
                  <w:r>
                    <w:rPr>
                      <w:rFonts w:hint="eastAsia"/>
                      <w:color w:val="000000"/>
                      <w:szCs w:val="21"/>
                    </w:rPr>
                    <w:t>与主体工程同时设计、施工、投入使用</w:t>
                  </w:r>
                </w:p>
              </w:tc>
            </w:tr>
            <w:tr w14:paraId="2E086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continue"/>
                  <w:tcBorders>
                    <w:tl2br w:val="nil"/>
                    <w:tr2bl w:val="nil"/>
                  </w:tcBorders>
                  <w:noWrap w:val="0"/>
                  <w:tcMar>
                    <w:top w:w="0" w:type="dxa"/>
                    <w:left w:w="57" w:type="dxa"/>
                    <w:bottom w:w="0" w:type="dxa"/>
                    <w:right w:w="57" w:type="dxa"/>
                  </w:tcMar>
                  <w:vAlign w:val="center"/>
                </w:tcPr>
                <w:p w14:paraId="119D1577">
                  <w:pPr>
                    <w:keepNext w:val="0"/>
                    <w:keepLines w:val="0"/>
                    <w:pageBreakBefore w:val="0"/>
                    <w:kinsoku/>
                    <w:wordWrap/>
                    <w:overflowPunct/>
                    <w:topLinePunct w:val="0"/>
                    <w:bidi w:val="0"/>
                    <w:adjustRightInd w:val="0"/>
                    <w:snapToGrid w:val="0"/>
                    <w:ind w:firstLine="0"/>
                    <w:jc w:val="center"/>
                    <w:textAlignment w:val="auto"/>
                    <w:rPr>
                      <w:b/>
                      <w:color w:val="000000"/>
                      <w:szCs w:val="21"/>
                      <w:highlight w:val="yellow"/>
                    </w:rPr>
                  </w:pPr>
                </w:p>
              </w:tc>
              <w:tc>
                <w:tcPr>
                  <w:tcW w:w="505" w:type="pct"/>
                  <w:tcBorders>
                    <w:tl2br w:val="nil"/>
                    <w:tr2bl w:val="nil"/>
                  </w:tcBorders>
                  <w:noWrap w:val="0"/>
                  <w:tcMar>
                    <w:top w:w="0" w:type="dxa"/>
                    <w:left w:w="57" w:type="dxa"/>
                    <w:bottom w:w="0" w:type="dxa"/>
                    <w:right w:w="57" w:type="dxa"/>
                  </w:tcMar>
                  <w:vAlign w:val="center"/>
                </w:tcPr>
                <w:p w14:paraId="2AD3BD3E">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2#</w:t>
                  </w:r>
                  <w:r>
                    <w:rPr>
                      <w:rFonts w:hint="eastAsia" w:eastAsia="宋体"/>
                      <w:color w:val="000000"/>
                      <w:szCs w:val="21"/>
                      <w:lang w:val="en-US" w:eastAsia="zh-CN"/>
                    </w:rPr>
                    <w:t>排气筒</w:t>
                  </w:r>
                </w:p>
              </w:tc>
              <w:tc>
                <w:tcPr>
                  <w:tcW w:w="777" w:type="pct"/>
                  <w:tcBorders>
                    <w:tl2br w:val="nil"/>
                    <w:tr2bl w:val="nil"/>
                  </w:tcBorders>
                  <w:noWrap w:val="0"/>
                  <w:tcMar>
                    <w:top w:w="0" w:type="dxa"/>
                    <w:left w:w="57" w:type="dxa"/>
                    <w:bottom w:w="0" w:type="dxa"/>
                    <w:right w:w="57" w:type="dxa"/>
                  </w:tcMar>
                  <w:vAlign w:val="center"/>
                </w:tcPr>
                <w:p w14:paraId="38A891E4">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eastAsia="宋体"/>
                      <w:color w:val="000000"/>
                      <w:szCs w:val="21"/>
                      <w:highlight w:val="none"/>
                      <w:lang w:val="en-US" w:eastAsia="zh-CN"/>
                    </w:rPr>
                  </w:pPr>
                  <w:r>
                    <w:rPr>
                      <w:rFonts w:hint="eastAsia" w:eastAsia="宋体"/>
                      <w:color w:val="000000"/>
                      <w:szCs w:val="21"/>
                      <w:highlight w:val="none"/>
                      <w:lang w:val="en-US" w:eastAsia="zh-CN"/>
                    </w:rPr>
                    <w:t>非甲烷总烃</w:t>
                  </w:r>
                </w:p>
              </w:tc>
              <w:tc>
                <w:tcPr>
                  <w:tcW w:w="1275" w:type="pct"/>
                  <w:tcBorders>
                    <w:tl2br w:val="nil"/>
                    <w:tr2bl w:val="nil"/>
                  </w:tcBorders>
                  <w:noWrap w:val="0"/>
                  <w:tcMar>
                    <w:top w:w="0" w:type="dxa"/>
                    <w:left w:w="57" w:type="dxa"/>
                    <w:bottom w:w="0" w:type="dxa"/>
                    <w:right w:w="57" w:type="dxa"/>
                  </w:tcMar>
                  <w:vAlign w:val="center"/>
                </w:tcPr>
                <w:p w14:paraId="31916907">
                  <w:pPr>
                    <w:keepNext w:val="0"/>
                    <w:keepLines w:val="0"/>
                    <w:pageBreakBefore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highlight w:val="none"/>
                      <w:lang w:val="en-US" w:eastAsia="zh-CN"/>
                    </w:rPr>
                    <w:t>二级活性炭吸附</w:t>
                  </w:r>
                  <w:r>
                    <w:rPr>
                      <w:rFonts w:hint="eastAsia" w:ascii="Times New Roman" w:hAnsi="Times New Roman" w:eastAsia="宋体" w:cs="Times New Roman"/>
                      <w:color w:val="000000"/>
                      <w:kern w:val="2"/>
                      <w:sz w:val="21"/>
                      <w:szCs w:val="21"/>
                      <w:lang w:val="en-US" w:eastAsia="zh-CN" w:bidi="ar-SA"/>
                    </w:rPr>
                    <w:t>装置处理后通过15m高</w:t>
                  </w:r>
                  <w:r>
                    <w:rPr>
                      <w:rFonts w:hint="eastAsia" w:cs="Times New Roman"/>
                      <w:color w:val="000000"/>
                      <w:kern w:val="2"/>
                      <w:sz w:val="21"/>
                      <w:szCs w:val="21"/>
                      <w:lang w:val="en-US" w:eastAsia="zh-CN" w:bidi="ar-SA"/>
                    </w:rPr>
                    <w:t>2#</w:t>
                  </w:r>
                  <w:r>
                    <w:rPr>
                      <w:rFonts w:hint="eastAsia" w:ascii="Times New Roman" w:hAnsi="Times New Roman" w:eastAsia="宋体" w:cs="Times New Roman"/>
                      <w:color w:val="000000"/>
                      <w:kern w:val="2"/>
                      <w:sz w:val="21"/>
                      <w:szCs w:val="21"/>
                      <w:lang w:val="en-US" w:eastAsia="zh-CN" w:bidi="ar-SA"/>
                    </w:rPr>
                    <w:t>排气筒排放</w:t>
                  </w:r>
                </w:p>
              </w:tc>
              <w:tc>
                <w:tcPr>
                  <w:tcW w:w="909" w:type="pct"/>
                  <w:tcBorders>
                    <w:tl2br w:val="nil"/>
                    <w:tr2bl w:val="nil"/>
                  </w:tcBorders>
                  <w:noWrap w:val="0"/>
                  <w:tcMar>
                    <w:top w:w="0" w:type="dxa"/>
                    <w:left w:w="57" w:type="dxa"/>
                    <w:bottom w:w="0" w:type="dxa"/>
                    <w:right w:w="57" w:type="dxa"/>
                  </w:tcMar>
                  <w:vAlign w:val="center"/>
                </w:tcPr>
                <w:p w14:paraId="47E07111">
                  <w:pPr>
                    <w:keepNext w:val="0"/>
                    <w:keepLines w:val="0"/>
                    <w:pageBreakBefore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auto"/>
                      <w:szCs w:val="21"/>
                      <w:lang w:eastAsia="zh-CN"/>
                    </w:rPr>
                    <w:t>《合成树脂工业污染物排放标准》（GB31572-2015，含2024年修改单）</w:t>
                  </w:r>
                  <w:r>
                    <w:rPr>
                      <w:rFonts w:hint="eastAsia" w:eastAsia="宋体" w:cs="Times New Roman"/>
                      <w:color w:val="auto"/>
                      <w:szCs w:val="21"/>
                      <w:lang w:val="en-US" w:eastAsia="zh-CN"/>
                    </w:rPr>
                    <w:t>表5标准</w:t>
                  </w:r>
                </w:p>
              </w:tc>
              <w:tc>
                <w:tcPr>
                  <w:tcW w:w="499" w:type="pct"/>
                  <w:tcBorders>
                    <w:tl2br w:val="nil"/>
                    <w:tr2bl w:val="nil"/>
                  </w:tcBorders>
                  <w:noWrap w:val="0"/>
                  <w:tcMar>
                    <w:top w:w="0" w:type="dxa"/>
                    <w:left w:w="57" w:type="dxa"/>
                    <w:bottom w:w="0" w:type="dxa"/>
                    <w:right w:w="57" w:type="dxa"/>
                  </w:tcMar>
                  <w:vAlign w:val="center"/>
                </w:tcPr>
                <w:p w14:paraId="6EA7BC84">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5</w:t>
                  </w:r>
                </w:p>
              </w:tc>
              <w:tc>
                <w:tcPr>
                  <w:tcW w:w="425" w:type="pct"/>
                  <w:vMerge w:val="continue"/>
                  <w:tcBorders>
                    <w:tl2br w:val="nil"/>
                    <w:tr2bl w:val="nil"/>
                  </w:tcBorders>
                  <w:noWrap w:val="0"/>
                  <w:vAlign w:val="center"/>
                </w:tcPr>
                <w:p w14:paraId="18F00E9A">
                  <w:pPr>
                    <w:keepNext w:val="0"/>
                    <w:keepLines w:val="0"/>
                    <w:pageBreakBefore w:val="0"/>
                    <w:kinsoku/>
                    <w:wordWrap/>
                    <w:overflowPunct/>
                    <w:topLinePunct w:val="0"/>
                    <w:bidi w:val="0"/>
                    <w:adjustRightInd w:val="0"/>
                    <w:snapToGrid w:val="0"/>
                    <w:ind w:firstLine="0"/>
                    <w:jc w:val="center"/>
                    <w:textAlignment w:val="auto"/>
                    <w:rPr>
                      <w:color w:val="000000"/>
                      <w:szCs w:val="21"/>
                      <w:highlight w:val="yellow"/>
                    </w:rPr>
                  </w:pPr>
                </w:p>
              </w:tc>
            </w:tr>
            <w:tr w14:paraId="0CD40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4" w:hRule="atLeast"/>
              </w:trPr>
              <w:tc>
                <w:tcPr>
                  <w:tcW w:w="607" w:type="pct"/>
                  <w:vMerge w:val="continue"/>
                  <w:tcBorders>
                    <w:tl2br w:val="nil"/>
                    <w:tr2bl w:val="nil"/>
                  </w:tcBorders>
                  <w:noWrap w:val="0"/>
                  <w:tcMar>
                    <w:top w:w="0" w:type="dxa"/>
                    <w:left w:w="57" w:type="dxa"/>
                    <w:bottom w:w="0" w:type="dxa"/>
                    <w:right w:w="57" w:type="dxa"/>
                  </w:tcMar>
                  <w:vAlign w:val="center"/>
                </w:tcPr>
                <w:p w14:paraId="3A57EF5E">
                  <w:pPr>
                    <w:keepNext w:val="0"/>
                    <w:keepLines w:val="0"/>
                    <w:pageBreakBefore w:val="0"/>
                    <w:kinsoku/>
                    <w:wordWrap/>
                    <w:overflowPunct/>
                    <w:topLinePunct w:val="0"/>
                    <w:bidi w:val="0"/>
                    <w:adjustRightInd w:val="0"/>
                    <w:snapToGrid w:val="0"/>
                    <w:ind w:firstLine="0"/>
                    <w:jc w:val="center"/>
                    <w:textAlignment w:val="auto"/>
                    <w:rPr>
                      <w:b/>
                      <w:color w:val="000000"/>
                      <w:szCs w:val="21"/>
                      <w:highlight w:val="yellow"/>
                    </w:rPr>
                  </w:pPr>
                </w:p>
              </w:tc>
              <w:tc>
                <w:tcPr>
                  <w:tcW w:w="505" w:type="pct"/>
                  <w:vMerge w:val="restart"/>
                  <w:tcBorders>
                    <w:tl2br w:val="nil"/>
                    <w:tr2bl w:val="nil"/>
                  </w:tcBorders>
                  <w:noWrap w:val="0"/>
                  <w:tcMar>
                    <w:top w:w="0" w:type="dxa"/>
                    <w:left w:w="57" w:type="dxa"/>
                    <w:bottom w:w="0" w:type="dxa"/>
                    <w:right w:w="57" w:type="dxa"/>
                  </w:tcMar>
                  <w:vAlign w:val="center"/>
                </w:tcPr>
                <w:p w14:paraId="21B4ADFB">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lang w:val="en-US" w:eastAsia="zh-CN"/>
                    </w:rPr>
                  </w:pPr>
                  <w:r>
                    <w:rPr>
                      <w:rFonts w:hint="eastAsia" w:eastAsia="宋体"/>
                      <w:color w:val="000000"/>
                      <w:szCs w:val="21"/>
                      <w:lang w:val="en-US" w:eastAsia="zh-CN"/>
                    </w:rPr>
                    <w:t>厂界</w:t>
                  </w:r>
                </w:p>
              </w:tc>
              <w:tc>
                <w:tcPr>
                  <w:tcW w:w="777" w:type="pct"/>
                  <w:tcBorders>
                    <w:tl2br w:val="nil"/>
                    <w:tr2bl w:val="nil"/>
                  </w:tcBorders>
                  <w:noWrap w:val="0"/>
                  <w:tcMar>
                    <w:top w:w="0" w:type="dxa"/>
                    <w:left w:w="57" w:type="dxa"/>
                    <w:bottom w:w="0" w:type="dxa"/>
                    <w:right w:w="57" w:type="dxa"/>
                  </w:tcMar>
                  <w:vAlign w:val="center"/>
                </w:tcPr>
                <w:p w14:paraId="22E4265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eastAsia="宋体"/>
                      <w:color w:val="000000"/>
                      <w:szCs w:val="21"/>
                      <w:highlight w:val="none"/>
                      <w:lang w:val="en-US" w:eastAsia="zh-CN"/>
                    </w:rPr>
                    <w:t>颗粒物</w:t>
                  </w:r>
                </w:p>
              </w:tc>
              <w:tc>
                <w:tcPr>
                  <w:tcW w:w="1275" w:type="pct"/>
                  <w:tcBorders>
                    <w:tl2br w:val="nil"/>
                    <w:tr2bl w:val="nil"/>
                  </w:tcBorders>
                  <w:noWrap w:val="0"/>
                  <w:tcMar>
                    <w:top w:w="0" w:type="dxa"/>
                    <w:left w:w="57" w:type="dxa"/>
                    <w:bottom w:w="0" w:type="dxa"/>
                    <w:right w:w="57" w:type="dxa"/>
                  </w:tcMar>
                  <w:vAlign w:val="center"/>
                </w:tcPr>
                <w:p w14:paraId="2FD08BF6">
                  <w:pPr>
                    <w:keepNext w:val="0"/>
                    <w:keepLines w:val="0"/>
                    <w:pageBreakBefore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Cs w:val="21"/>
                      <w:highlight w:val="none"/>
                      <w:lang w:val="en-US" w:eastAsia="zh-CN"/>
                    </w:rPr>
                    <w:t>加强车间通风</w:t>
                  </w:r>
                </w:p>
              </w:tc>
              <w:tc>
                <w:tcPr>
                  <w:tcW w:w="909" w:type="pct"/>
                  <w:vMerge w:val="restart"/>
                  <w:tcBorders>
                    <w:tl2br w:val="nil"/>
                    <w:tr2bl w:val="nil"/>
                  </w:tcBorders>
                  <w:noWrap w:val="0"/>
                  <w:tcMar>
                    <w:top w:w="0" w:type="dxa"/>
                    <w:left w:w="57" w:type="dxa"/>
                    <w:bottom w:w="0" w:type="dxa"/>
                    <w:right w:w="57" w:type="dxa"/>
                  </w:tcMar>
                  <w:vAlign w:val="center"/>
                </w:tcPr>
                <w:p w14:paraId="150BBF9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000000"/>
                      <w:kern w:val="2"/>
                      <w:sz w:val="21"/>
                      <w:szCs w:val="21"/>
                      <w:highlight w:val="none"/>
                      <w:lang w:val="en-US" w:eastAsia="zh-CN" w:bidi="ar-SA"/>
                    </w:rPr>
                  </w:pPr>
                  <w:r>
                    <w:rPr>
                      <w:rFonts w:hint="eastAsia"/>
                      <w:color w:val="000000"/>
                      <w:szCs w:val="21"/>
                      <w:highlight w:val="none"/>
                    </w:rPr>
                    <w:t>《大气污染物综合排放标准》（DB32/4041-2021）表3</w:t>
                  </w:r>
                </w:p>
              </w:tc>
              <w:tc>
                <w:tcPr>
                  <w:tcW w:w="499" w:type="pct"/>
                  <w:vMerge w:val="restart"/>
                  <w:tcBorders>
                    <w:tl2br w:val="nil"/>
                    <w:tr2bl w:val="nil"/>
                  </w:tcBorders>
                  <w:noWrap w:val="0"/>
                  <w:tcMar>
                    <w:top w:w="0" w:type="dxa"/>
                    <w:left w:w="57" w:type="dxa"/>
                    <w:bottom w:w="0" w:type="dxa"/>
                    <w:right w:w="57" w:type="dxa"/>
                  </w:tcMar>
                  <w:vAlign w:val="center"/>
                </w:tcPr>
                <w:p w14:paraId="3EFEF92B">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0</w:t>
                  </w:r>
                </w:p>
              </w:tc>
              <w:tc>
                <w:tcPr>
                  <w:tcW w:w="425" w:type="pct"/>
                  <w:vMerge w:val="continue"/>
                  <w:tcBorders>
                    <w:tl2br w:val="nil"/>
                    <w:tr2bl w:val="nil"/>
                  </w:tcBorders>
                  <w:noWrap w:val="0"/>
                  <w:vAlign w:val="center"/>
                </w:tcPr>
                <w:p w14:paraId="3A8A5AA4">
                  <w:pPr>
                    <w:keepNext w:val="0"/>
                    <w:keepLines w:val="0"/>
                    <w:pageBreakBefore w:val="0"/>
                    <w:kinsoku/>
                    <w:wordWrap/>
                    <w:overflowPunct/>
                    <w:topLinePunct w:val="0"/>
                    <w:bidi w:val="0"/>
                    <w:adjustRightInd w:val="0"/>
                    <w:snapToGrid w:val="0"/>
                    <w:ind w:firstLine="0"/>
                    <w:jc w:val="center"/>
                    <w:textAlignment w:val="auto"/>
                    <w:rPr>
                      <w:color w:val="000000"/>
                      <w:szCs w:val="21"/>
                      <w:highlight w:val="yellow"/>
                    </w:rPr>
                  </w:pPr>
                </w:p>
              </w:tc>
            </w:tr>
            <w:tr w14:paraId="02DB7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continue"/>
                  <w:tcBorders>
                    <w:tl2br w:val="nil"/>
                    <w:tr2bl w:val="nil"/>
                  </w:tcBorders>
                  <w:noWrap w:val="0"/>
                  <w:tcMar>
                    <w:top w:w="0" w:type="dxa"/>
                    <w:left w:w="57" w:type="dxa"/>
                    <w:bottom w:w="0" w:type="dxa"/>
                    <w:right w:w="57" w:type="dxa"/>
                  </w:tcMar>
                  <w:vAlign w:val="center"/>
                </w:tcPr>
                <w:p w14:paraId="578E147E">
                  <w:pPr>
                    <w:keepNext w:val="0"/>
                    <w:keepLines w:val="0"/>
                    <w:pageBreakBefore w:val="0"/>
                    <w:kinsoku/>
                    <w:wordWrap/>
                    <w:overflowPunct/>
                    <w:topLinePunct w:val="0"/>
                    <w:bidi w:val="0"/>
                    <w:adjustRightInd w:val="0"/>
                    <w:snapToGrid w:val="0"/>
                    <w:ind w:firstLine="0" w:firstLineChars="0"/>
                    <w:jc w:val="center"/>
                    <w:textAlignment w:val="auto"/>
                  </w:pPr>
                </w:p>
              </w:tc>
              <w:tc>
                <w:tcPr>
                  <w:tcW w:w="505" w:type="pct"/>
                  <w:vMerge w:val="continue"/>
                  <w:tcBorders>
                    <w:tl2br w:val="nil"/>
                    <w:tr2bl w:val="nil"/>
                  </w:tcBorders>
                  <w:noWrap w:val="0"/>
                  <w:tcMar>
                    <w:top w:w="0" w:type="dxa"/>
                    <w:left w:w="57" w:type="dxa"/>
                    <w:bottom w:w="0" w:type="dxa"/>
                    <w:right w:w="57" w:type="dxa"/>
                  </w:tcMar>
                  <w:vAlign w:val="center"/>
                </w:tcPr>
                <w:p w14:paraId="64E1DED7">
                  <w:pPr>
                    <w:keepNext w:val="0"/>
                    <w:keepLines w:val="0"/>
                    <w:pageBreakBefore w:val="0"/>
                    <w:kinsoku/>
                    <w:wordWrap/>
                    <w:overflowPunct/>
                    <w:topLinePunct w:val="0"/>
                    <w:bidi w:val="0"/>
                    <w:adjustRightInd w:val="0"/>
                    <w:snapToGrid w:val="0"/>
                    <w:ind w:firstLine="0" w:firstLineChars="0"/>
                    <w:jc w:val="center"/>
                    <w:textAlignment w:val="auto"/>
                  </w:pPr>
                </w:p>
              </w:tc>
              <w:tc>
                <w:tcPr>
                  <w:tcW w:w="777" w:type="pct"/>
                  <w:tcBorders>
                    <w:tl2br w:val="nil"/>
                    <w:tr2bl w:val="nil"/>
                  </w:tcBorders>
                  <w:noWrap w:val="0"/>
                  <w:tcMar>
                    <w:top w:w="0" w:type="dxa"/>
                    <w:left w:w="57" w:type="dxa"/>
                    <w:bottom w:w="0" w:type="dxa"/>
                    <w:right w:w="57" w:type="dxa"/>
                  </w:tcMar>
                  <w:vAlign w:val="center"/>
                </w:tcPr>
                <w:p w14:paraId="0A1BE938">
                  <w:pPr>
                    <w:keepNext w:val="0"/>
                    <w:keepLines w:val="0"/>
                    <w:pageBreakBefore w:val="0"/>
                    <w:kinsoku/>
                    <w:wordWrap/>
                    <w:overflowPunct/>
                    <w:topLinePunct w:val="0"/>
                    <w:bidi w:val="0"/>
                    <w:adjustRightInd w:val="0"/>
                    <w:snapToGrid w:val="0"/>
                    <w:ind w:firstLine="0" w:firstLineChars="0"/>
                    <w:jc w:val="center"/>
                    <w:textAlignment w:val="auto"/>
                  </w:pPr>
                  <w:r>
                    <w:rPr>
                      <w:rFonts w:hint="eastAsia" w:eastAsia="宋体"/>
                      <w:color w:val="000000"/>
                      <w:szCs w:val="21"/>
                      <w:highlight w:val="none"/>
                      <w:lang w:val="en-US" w:eastAsia="zh-CN"/>
                    </w:rPr>
                    <w:t>非甲烷总烃</w:t>
                  </w:r>
                </w:p>
              </w:tc>
              <w:tc>
                <w:tcPr>
                  <w:tcW w:w="1275" w:type="pct"/>
                  <w:tcBorders>
                    <w:tl2br w:val="nil"/>
                    <w:tr2bl w:val="nil"/>
                  </w:tcBorders>
                  <w:noWrap w:val="0"/>
                  <w:tcMar>
                    <w:top w:w="0" w:type="dxa"/>
                    <w:left w:w="57" w:type="dxa"/>
                    <w:bottom w:w="0" w:type="dxa"/>
                    <w:right w:w="57" w:type="dxa"/>
                  </w:tcMar>
                  <w:vAlign w:val="center"/>
                </w:tcPr>
                <w:p w14:paraId="6F2A9D29">
                  <w:pPr>
                    <w:keepNext w:val="0"/>
                    <w:keepLines w:val="0"/>
                    <w:pageBreakBefore w:val="0"/>
                    <w:kinsoku/>
                    <w:wordWrap/>
                    <w:overflowPunct/>
                    <w:topLinePunct w:val="0"/>
                    <w:bidi w:val="0"/>
                    <w:adjustRightInd w:val="0"/>
                    <w:snapToGrid w:val="0"/>
                    <w:ind w:firstLine="0" w:firstLineChars="0"/>
                    <w:jc w:val="center"/>
                    <w:textAlignment w:val="auto"/>
                    <w:rPr>
                      <w:rFonts w:hint="eastAsia"/>
                      <w:snapToGrid w:val="0"/>
                      <w:color w:val="auto"/>
                      <w:kern w:val="18"/>
                      <w:highlight w:val="yellow"/>
                      <w:lang w:val="en-US" w:eastAsia="zh-CN"/>
                    </w:rPr>
                  </w:pPr>
                  <w:r>
                    <w:rPr>
                      <w:rFonts w:hint="eastAsia"/>
                      <w:snapToGrid w:val="0"/>
                      <w:color w:val="auto"/>
                      <w:kern w:val="18"/>
                      <w:highlight w:val="none"/>
                    </w:rPr>
                    <w:t>加强车间通风</w:t>
                  </w:r>
                </w:p>
              </w:tc>
              <w:tc>
                <w:tcPr>
                  <w:tcW w:w="909" w:type="pct"/>
                  <w:vMerge w:val="continue"/>
                  <w:tcBorders>
                    <w:tl2br w:val="nil"/>
                    <w:tr2bl w:val="nil"/>
                  </w:tcBorders>
                  <w:noWrap w:val="0"/>
                  <w:tcMar>
                    <w:top w:w="0" w:type="dxa"/>
                    <w:left w:w="57" w:type="dxa"/>
                    <w:bottom w:w="0" w:type="dxa"/>
                    <w:right w:w="57" w:type="dxa"/>
                  </w:tcMar>
                  <w:vAlign w:val="center"/>
                </w:tcPr>
                <w:p w14:paraId="65B25C98">
                  <w:pPr>
                    <w:keepNext w:val="0"/>
                    <w:keepLines w:val="0"/>
                    <w:pageBreakBefore w:val="0"/>
                    <w:kinsoku/>
                    <w:wordWrap/>
                    <w:overflowPunct/>
                    <w:topLinePunct w:val="0"/>
                    <w:bidi w:val="0"/>
                    <w:adjustRightInd w:val="0"/>
                    <w:snapToGrid w:val="0"/>
                    <w:ind w:firstLine="0" w:firstLineChars="0"/>
                    <w:jc w:val="center"/>
                    <w:textAlignment w:val="auto"/>
                    <w:rPr>
                      <w:rFonts w:hint="eastAsia"/>
                      <w:snapToGrid w:val="0"/>
                      <w:color w:val="auto"/>
                      <w:kern w:val="18"/>
                      <w:highlight w:val="yellow"/>
                      <w:lang w:val="en-US" w:eastAsia="zh-CN"/>
                    </w:rPr>
                  </w:pPr>
                </w:p>
              </w:tc>
              <w:tc>
                <w:tcPr>
                  <w:tcW w:w="499" w:type="pct"/>
                  <w:vMerge w:val="continue"/>
                  <w:tcBorders>
                    <w:tl2br w:val="nil"/>
                    <w:tr2bl w:val="nil"/>
                  </w:tcBorders>
                  <w:noWrap w:val="0"/>
                  <w:tcMar>
                    <w:top w:w="0" w:type="dxa"/>
                    <w:left w:w="57" w:type="dxa"/>
                    <w:bottom w:w="0" w:type="dxa"/>
                    <w:right w:w="57" w:type="dxa"/>
                  </w:tcMar>
                  <w:vAlign w:val="center"/>
                </w:tcPr>
                <w:p w14:paraId="48F7AD46">
                  <w:pPr>
                    <w:keepNext w:val="0"/>
                    <w:keepLines w:val="0"/>
                    <w:pageBreakBefore w:val="0"/>
                    <w:kinsoku/>
                    <w:wordWrap/>
                    <w:overflowPunct/>
                    <w:topLinePunct w:val="0"/>
                    <w:bidi w:val="0"/>
                    <w:adjustRightInd w:val="0"/>
                    <w:snapToGrid w:val="0"/>
                    <w:ind w:firstLine="0" w:firstLineChars="0"/>
                    <w:jc w:val="center"/>
                    <w:textAlignment w:val="auto"/>
                    <w:rPr>
                      <w:rFonts w:hint="eastAsia"/>
                      <w:snapToGrid w:val="0"/>
                      <w:color w:val="auto"/>
                      <w:kern w:val="18"/>
                      <w:highlight w:val="none"/>
                      <w:lang w:val="en-US" w:eastAsia="zh-CN"/>
                    </w:rPr>
                  </w:pPr>
                </w:p>
              </w:tc>
              <w:tc>
                <w:tcPr>
                  <w:tcW w:w="425" w:type="pct"/>
                  <w:vMerge w:val="continue"/>
                  <w:tcBorders>
                    <w:tl2br w:val="nil"/>
                    <w:tr2bl w:val="nil"/>
                  </w:tcBorders>
                  <w:noWrap w:val="0"/>
                  <w:vAlign w:val="center"/>
                </w:tcPr>
                <w:p w14:paraId="4BC90FBF">
                  <w:pPr>
                    <w:keepNext w:val="0"/>
                    <w:keepLines w:val="0"/>
                    <w:pageBreakBefore w:val="0"/>
                    <w:kinsoku/>
                    <w:wordWrap/>
                    <w:overflowPunct/>
                    <w:topLinePunct w:val="0"/>
                    <w:bidi w:val="0"/>
                    <w:adjustRightInd w:val="0"/>
                    <w:snapToGrid w:val="0"/>
                    <w:ind w:firstLine="0" w:firstLineChars="0"/>
                    <w:jc w:val="center"/>
                    <w:textAlignment w:val="auto"/>
                    <w:rPr>
                      <w:rFonts w:hint="eastAsia"/>
                      <w:snapToGrid w:val="0"/>
                      <w:color w:val="auto"/>
                      <w:kern w:val="18"/>
                      <w:highlight w:val="yellow"/>
                      <w:lang w:val="en-US" w:eastAsia="zh-CN"/>
                    </w:rPr>
                  </w:pPr>
                </w:p>
              </w:tc>
            </w:tr>
            <w:tr w14:paraId="299E3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07" w:type="pct"/>
                  <w:vMerge w:val="continue"/>
                  <w:tcBorders>
                    <w:tl2br w:val="nil"/>
                    <w:tr2bl w:val="nil"/>
                  </w:tcBorders>
                  <w:noWrap w:val="0"/>
                  <w:tcMar>
                    <w:top w:w="0" w:type="dxa"/>
                    <w:left w:w="57" w:type="dxa"/>
                    <w:bottom w:w="0" w:type="dxa"/>
                    <w:right w:w="57" w:type="dxa"/>
                  </w:tcMar>
                  <w:vAlign w:val="center"/>
                </w:tcPr>
                <w:p w14:paraId="446B5A54">
                  <w:pPr>
                    <w:keepNext w:val="0"/>
                    <w:keepLines w:val="0"/>
                    <w:pageBreakBefore w:val="0"/>
                    <w:kinsoku/>
                    <w:wordWrap/>
                    <w:overflowPunct/>
                    <w:topLinePunct w:val="0"/>
                    <w:bidi w:val="0"/>
                    <w:adjustRightInd w:val="0"/>
                    <w:snapToGrid w:val="0"/>
                    <w:ind w:firstLine="0" w:firstLineChars="0"/>
                    <w:jc w:val="center"/>
                    <w:textAlignment w:val="auto"/>
                  </w:pPr>
                </w:p>
              </w:tc>
              <w:tc>
                <w:tcPr>
                  <w:tcW w:w="505" w:type="pct"/>
                  <w:tcBorders>
                    <w:tl2br w:val="nil"/>
                    <w:tr2bl w:val="nil"/>
                  </w:tcBorders>
                  <w:shd w:val="clear" w:color="auto" w:fill="auto"/>
                  <w:noWrap w:val="0"/>
                  <w:tcMar>
                    <w:top w:w="0" w:type="dxa"/>
                    <w:left w:w="57" w:type="dxa"/>
                    <w:bottom w:w="0" w:type="dxa"/>
                    <w:right w:w="57" w:type="dxa"/>
                  </w:tcMar>
                  <w:vAlign w:val="center"/>
                </w:tcPr>
                <w:p w14:paraId="60D770EA">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eastAsia="宋体"/>
                      <w:color w:val="000000"/>
                      <w:szCs w:val="21"/>
                      <w:lang w:val="en-US" w:eastAsia="zh-CN"/>
                    </w:rPr>
                    <w:t>厂区内</w:t>
                  </w:r>
                </w:p>
              </w:tc>
              <w:tc>
                <w:tcPr>
                  <w:tcW w:w="777" w:type="pct"/>
                  <w:tcBorders>
                    <w:tl2br w:val="nil"/>
                    <w:tr2bl w:val="nil"/>
                  </w:tcBorders>
                  <w:shd w:val="clear" w:color="auto" w:fill="auto"/>
                  <w:noWrap w:val="0"/>
                  <w:tcMar>
                    <w:top w:w="0" w:type="dxa"/>
                    <w:left w:w="57" w:type="dxa"/>
                    <w:bottom w:w="0" w:type="dxa"/>
                    <w:right w:w="57" w:type="dxa"/>
                  </w:tcMar>
                  <w:vAlign w:val="center"/>
                </w:tcPr>
                <w:p w14:paraId="400DC47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非甲烷总烃</w:t>
                  </w:r>
                </w:p>
              </w:tc>
              <w:tc>
                <w:tcPr>
                  <w:tcW w:w="1275" w:type="pct"/>
                  <w:tcBorders>
                    <w:tl2br w:val="nil"/>
                    <w:tr2bl w:val="nil"/>
                  </w:tcBorders>
                  <w:shd w:val="clear" w:color="auto" w:fill="auto"/>
                  <w:noWrap w:val="0"/>
                  <w:tcMar>
                    <w:top w:w="0" w:type="dxa"/>
                    <w:left w:w="57" w:type="dxa"/>
                    <w:bottom w:w="0" w:type="dxa"/>
                    <w:right w:w="57" w:type="dxa"/>
                  </w:tcMar>
                  <w:vAlign w:val="center"/>
                </w:tcPr>
                <w:p w14:paraId="7054061A">
                  <w:pPr>
                    <w:keepNext w:val="0"/>
                    <w:keepLines w:val="0"/>
                    <w:pageBreakBefore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snapToGrid w:val="0"/>
                      <w:color w:val="000000"/>
                      <w:kern w:val="18"/>
                    </w:rPr>
                    <w:t>加强原料储存的密闭性、涉VOCs的原料使用过程中采用密闭设备或在密闭空间内操作等</w:t>
                  </w:r>
                </w:p>
              </w:tc>
              <w:tc>
                <w:tcPr>
                  <w:tcW w:w="909" w:type="pct"/>
                  <w:tcBorders>
                    <w:tl2br w:val="nil"/>
                    <w:tr2bl w:val="nil"/>
                  </w:tcBorders>
                  <w:noWrap w:val="0"/>
                  <w:tcMar>
                    <w:top w:w="0" w:type="dxa"/>
                    <w:left w:w="57" w:type="dxa"/>
                    <w:bottom w:w="0" w:type="dxa"/>
                    <w:right w:w="57" w:type="dxa"/>
                  </w:tcMar>
                  <w:vAlign w:val="center"/>
                </w:tcPr>
                <w:p w14:paraId="586DE716">
                  <w:pPr>
                    <w:keepNext w:val="0"/>
                    <w:keepLines w:val="0"/>
                    <w:pageBreakBefore w:val="0"/>
                    <w:kinsoku/>
                    <w:wordWrap/>
                    <w:overflowPunct/>
                    <w:topLinePunct w:val="0"/>
                    <w:bidi w:val="0"/>
                    <w:adjustRightInd w:val="0"/>
                    <w:snapToGrid w:val="0"/>
                    <w:ind w:firstLine="0" w:firstLineChars="0"/>
                    <w:jc w:val="center"/>
                    <w:textAlignment w:val="auto"/>
                    <w:rPr>
                      <w:rFonts w:hint="eastAsia"/>
                      <w:snapToGrid w:val="0"/>
                      <w:color w:val="auto"/>
                      <w:kern w:val="18"/>
                      <w:highlight w:val="yellow"/>
                      <w:lang w:val="en-US" w:eastAsia="zh-CN"/>
                    </w:rPr>
                  </w:pPr>
                  <w:r>
                    <w:rPr>
                      <w:rFonts w:hint="eastAsia"/>
                      <w:snapToGrid w:val="0"/>
                      <w:color w:val="auto"/>
                      <w:kern w:val="18"/>
                      <w:highlight w:val="none"/>
                      <w:lang w:val="en-US" w:eastAsia="zh-CN"/>
                    </w:rPr>
                    <w:t>《挥发性有机物无组织排放控制标准》（GB37822-2019）附录A标准</w:t>
                  </w:r>
                </w:p>
              </w:tc>
              <w:tc>
                <w:tcPr>
                  <w:tcW w:w="499" w:type="pct"/>
                  <w:tcBorders>
                    <w:tl2br w:val="nil"/>
                    <w:tr2bl w:val="nil"/>
                  </w:tcBorders>
                  <w:noWrap w:val="0"/>
                  <w:tcMar>
                    <w:top w:w="0" w:type="dxa"/>
                    <w:left w:w="57" w:type="dxa"/>
                    <w:bottom w:w="0" w:type="dxa"/>
                    <w:right w:w="57" w:type="dxa"/>
                  </w:tcMar>
                  <w:vAlign w:val="center"/>
                </w:tcPr>
                <w:p w14:paraId="0B2687B6">
                  <w:pPr>
                    <w:keepNext w:val="0"/>
                    <w:keepLines w:val="0"/>
                    <w:pageBreakBefore w:val="0"/>
                    <w:kinsoku/>
                    <w:wordWrap/>
                    <w:overflowPunct/>
                    <w:topLinePunct w:val="0"/>
                    <w:bidi w:val="0"/>
                    <w:adjustRightInd w:val="0"/>
                    <w:snapToGrid w:val="0"/>
                    <w:ind w:firstLine="0" w:firstLineChars="0"/>
                    <w:jc w:val="center"/>
                    <w:textAlignment w:val="auto"/>
                    <w:rPr>
                      <w:rFonts w:hint="default"/>
                      <w:snapToGrid w:val="0"/>
                      <w:color w:val="auto"/>
                      <w:kern w:val="18"/>
                      <w:highlight w:val="none"/>
                      <w:lang w:val="en-US" w:eastAsia="zh-CN"/>
                    </w:rPr>
                  </w:pPr>
                  <w:r>
                    <w:rPr>
                      <w:rFonts w:hint="eastAsia"/>
                      <w:snapToGrid w:val="0"/>
                      <w:color w:val="auto"/>
                      <w:kern w:val="18"/>
                      <w:highlight w:val="none"/>
                      <w:lang w:val="en-US" w:eastAsia="zh-CN"/>
                    </w:rPr>
                    <w:t>/</w:t>
                  </w:r>
                </w:p>
              </w:tc>
              <w:tc>
                <w:tcPr>
                  <w:tcW w:w="425" w:type="pct"/>
                  <w:vMerge w:val="continue"/>
                  <w:tcBorders>
                    <w:tl2br w:val="nil"/>
                    <w:tr2bl w:val="nil"/>
                  </w:tcBorders>
                  <w:noWrap w:val="0"/>
                  <w:vAlign w:val="center"/>
                </w:tcPr>
                <w:p w14:paraId="2F71FB78">
                  <w:pPr>
                    <w:keepNext w:val="0"/>
                    <w:keepLines w:val="0"/>
                    <w:pageBreakBefore w:val="0"/>
                    <w:kinsoku/>
                    <w:wordWrap/>
                    <w:overflowPunct/>
                    <w:topLinePunct w:val="0"/>
                    <w:bidi w:val="0"/>
                    <w:adjustRightInd w:val="0"/>
                    <w:snapToGrid w:val="0"/>
                    <w:ind w:firstLine="0" w:firstLineChars="0"/>
                    <w:jc w:val="center"/>
                    <w:textAlignment w:val="auto"/>
                    <w:rPr>
                      <w:rFonts w:hint="eastAsia"/>
                      <w:snapToGrid w:val="0"/>
                      <w:color w:val="auto"/>
                      <w:kern w:val="18"/>
                      <w:highlight w:val="yellow"/>
                      <w:lang w:val="en-US" w:eastAsia="zh-CN"/>
                    </w:rPr>
                  </w:pPr>
                </w:p>
              </w:tc>
            </w:tr>
            <w:tr w14:paraId="469C6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restart"/>
                  <w:tcBorders>
                    <w:tl2br w:val="nil"/>
                    <w:tr2bl w:val="nil"/>
                  </w:tcBorders>
                  <w:noWrap w:val="0"/>
                  <w:tcMar>
                    <w:top w:w="0" w:type="dxa"/>
                    <w:left w:w="57" w:type="dxa"/>
                    <w:bottom w:w="0" w:type="dxa"/>
                    <w:right w:w="57" w:type="dxa"/>
                  </w:tcMar>
                  <w:vAlign w:val="center"/>
                </w:tcPr>
                <w:p w14:paraId="7A025D06">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废水</w:t>
                  </w:r>
                </w:p>
              </w:tc>
              <w:tc>
                <w:tcPr>
                  <w:tcW w:w="505" w:type="pct"/>
                  <w:tcBorders>
                    <w:tl2br w:val="nil"/>
                    <w:tr2bl w:val="nil"/>
                  </w:tcBorders>
                  <w:noWrap w:val="0"/>
                  <w:tcMar>
                    <w:top w:w="0" w:type="dxa"/>
                    <w:left w:w="57" w:type="dxa"/>
                    <w:bottom w:w="0" w:type="dxa"/>
                    <w:right w:w="57" w:type="dxa"/>
                  </w:tcMar>
                  <w:vAlign w:val="center"/>
                </w:tcPr>
                <w:p w14:paraId="36DBE116">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生活污水</w:t>
                  </w:r>
                </w:p>
              </w:tc>
              <w:tc>
                <w:tcPr>
                  <w:tcW w:w="777" w:type="pct"/>
                  <w:tcBorders>
                    <w:tl2br w:val="nil"/>
                    <w:tr2bl w:val="nil"/>
                  </w:tcBorders>
                  <w:noWrap w:val="0"/>
                  <w:tcMar>
                    <w:top w:w="0" w:type="dxa"/>
                    <w:left w:w="57" w:type="dxa"/>
                    <w:bottom w:w="0" w:type="dxa"/>
                    <w:right w:w="57" w:type="dxa"/>
                  </w:tcMar>
                  <w:vAlign w:val="center"/>
                </w:tcPr>
                <w:p w14:paraId="4D787616">
                  <w:pPr>
                    <w:keepNext w:val="0"/>
                    <w:keepLines w:val="0"/>
                    <w:pageBreakBefore w:val="0"/>
                    <w:kinsoku/>
                    <w:wordWrap/>
                    <w:overflowPunct/>
                    <w:topLinePunct w:val="0"/>
                    <w:bidi w:val="0"/>
                    <w:adjustRightInd w:val="0"/>
                    <w:snapToGrid w:val="0"/>
                    <w:ind w:firstLine="0"/>
                    <w:jc w:val="center"/>
                    <w:textAlignment w:val="auto"/>
                    <w:rPr>
                      <w:color w:val="000000"/>
                      <w:szCs w:val="21"/>
                    </w:rPr>
                  </w:pPr>
                  <w:r>
                    <w:rPr>
                      <w:snapToGrid w:val="0"/>
                      <w:color w:val="000000"/>
                      <w:kern w:val="0"/>
                      <w:szCs w:val="21"/>
                    </w:rPr>
                    <w:t>COD</w:t>
                  </w:r>
                  <w:r>
                    <w:rPr>
                      <w:rFonts w:hint="eastAsia"/>
                      <w:snapToGrid w:val="0"/>
                      <w:color w:val="000000"/>
                      <w:kern w:val="0"/>
                      <w:szCs w:val="21"/>
                    </w:rPr>
                    <w:t>、</w:t>
                  </w:r>
                  <w:r>
                    <w:rPr>
                      <w:snapToGrid w:val="0"/>
                      <w:color w:val="000000"/>
                      <w:kern w:val="0"/>
                      <w:szCs w:val="21"/>
                    </w:rPr>
                    <w:t>SS</w:t>
                  </w:r>
                  <w:r>
                    <w:rPr>
                      <w:rFonts w:hint="eastAsia"/>
                      <w:snapToGrid w:val="0"/>
                      <w:color w:val="000000"/>
                      <w:kern w:val="0"/>
                      <w:szCs w:val="21"/>
                    </w:rPr>
                    <w:t>、</w:t>
                  </w:r>
                  <w:r>
                    <w:rPr>
                      <w:snapToGrid w:val="0"/>
                      <w:color w:val="000000"/>
                      <w:kern w:val="0"/>
                      <w:szCs w:val="21"/>
                    </w:rPr>
                    <w:t>NH</w:t>
                  </w:r>
                  <w:r>
                    <w:rPr>
                      <w:snapToGrid w:val="0"/>
                      <w:color w:val="000000"/>
                      <w:kern w:val="0"/>
                      <w:szCs w:val="21"/>
                      <w:vertAlign w:val="subscript"/>
                    </w:rPr>
                    <w:t>3</w:t>
                  </w:r>
                  <w:r>
                    <w:rPr>
                      <w:snapToGrid w:val="0"/>
                      <w:color w:val="000000"/>
                      <w:kern w:val="0"/>
                      <w:szCs w:val="21"/>
                    </w:rPr>
                    <w:t>-N</w:t>
                  </w:r>
                  <w:r>
                    <w:rPr>
                      <w:rFonts w:hint="eastAsia"/>
                      <w:snapToGrid w:val="0"/>
                      <w:color w:val="000000"/>
                      <w:kern w:val="0"/>
                      <w:szCs w:val="21"/>
                    </w:rPr>
                    <w:t>、</w:t>
                  </w:r>
                  <w:r>
                    <w:rPr>
                      <w:snapToGrid w:val="0"/>
                      <w:color w:val="000000"/>
                      <w:kern w:val="0"/>
                      <w:szCs w:val="21"/>
                    </w:rPr>
                    <w:t>TP</w:t>
                  </w:r>
                  <w:r>
                    <w:rPr>
                      <w:rFonts w:hint="eastAsia"/>
                      <w:snapToGrid w:val="0"/>
                      <w:color w:val="000000"/>
                      <w:kern w:val="0"/>
                      <w:szCs w:val="21"/>
                    </w:rPr>
                    <w:t>、TN</w:t>
                  </w:r>
                </w:p>
              </w:tc>
              <w:tc>
                <w:tcPr>
                  <w:tcW w:w="1275" w:type="pct"/>
                  <w:tcBorders>
                    <w:tl2br w:val="nil"/>
                    <w:tr2bl w:val="nil"/>
                  </w:tcBorders>
                  <w:noWrap w:val="0"/>
                  <w:tcMar>
                    <w:top w:w="0" w:type="dxa"/>
                    <w:left w:w="57" w:type="dxa"/>
                    <w:bottom w:w="0" w:type="dxa"/>
                    <w:right w:w="57" w:type="dxa"/>
                  </w:tcMar>
                  <w:vAlign w:val="center"/>
                </w:tcPr>
                <w:p w14:paraId="7A323FBC">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lang w:val="en-US" w:eastAsia="zh-CN"/>
                    </w:rPr>
                    <w:t>接管至</w:t>
                  </w:r>
                  <w:r>
                    <w:rPr>
                      <w:rFonts w:hint="eastAsia"/>
                      <w:color w:val="000000"/>
                      <w:szCs w:val="21"/>
                      <w:lang w:val="ru-RU" w:eastAsia="zh-CN"/>
                    </w:rPr>
                    <w:t>苏州汾湖水务发展有限公司（黎里工业再生水厂）</w:t>
                  </w:r>
                  <w:r>
                    <w:rPr>
                      <w:rFonts w:hint="eastAsia"/>
                      <w:color w:val="000000"/>
                      <w:szCs w:val="21"/>
                      <w:lang w:eastAsia="zh-CN"/>
                    </w:rPr>
                    <w:t>处理，</w:t>
                  </w:r>
                  <w:r>
                    <w:rPr>
                      <w:rFonts w:hint="eastAsia"/>
                      <w:color w:val="000000"/>
                      <w:szCs w:val="21"/>
                    </w:rPr>
                    <w:t>尾水排放至</w:t>
                  </w:r>
                  <w:r>
                    <w:rPr>
                      <w:rFonts w:hint="eastAsia"/>
                      <w:color w:val="000000"/>
                      <w:szCs w:val="21"/>
                      <w:lang w:eastAsia="zh-CN"/>
                    </w:rPr>
                    <w:t>杜公漾</w:t>
                  </w:r>
                </w:p>
              </w:tc>
              <w:tc>
                <w:tcPr>
                  <w:tcW w:w="909" w:type="pct"/>
                  <w:tcBorders>
                    <w:tl2br w:val="nil"/>
                    <w:tr2bl w:val="nil"/>
                  </w:tcBorders>
                  <w:noWrap w:val="0"/>
                  <w:tcMar>
                    <w:top w:w="0" w:type="dxa"/>
                    <w:left w:w="57" w:type="dxa"/>
                    <w:bottom w:w="0" w:type="dxa"/>
                    <w:right w:w="57" w:type="dxa"/>
                  </w:tcMar>
                  <w:vAlign w:val="center"/>
                </w:tcPr>
                <w:p w14:paraId="56D1BD33">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达到《污水综合排放标准》（</w:t>
                  </w:r>
                  <w:r>
                    <w:rPr>
                      <w:color w:val="000000"/>
                      <w:szCs w:val="21"/>
                      <w:highlight w:val="none"/>
                    </w:rPr>
                    <w:t>GB8978-1996</w:t>
                  </w:r>
                  <w:r>
                    <w:rPr>
                      <w:rFonts w:hint="eastAsia"/>
                      <w:color w:val="000000"/>
                      <w:szCs w:val="21"/>
                      <w:highlight w:val="none"/>
                    </w:rPr>
                    <w:t>）表</w:t>
                  </w:r>
                  <w:r>
                    <w:rPr>
                      <w:color w:val="000000"/>
                      <w:szCs w:val="21"/>
                      <w:highlight w:val="none"/>
                    </w:rPr>
                    <w:t>4</w:t>
                  </w:r>
                  <w:r>
                    <w:rPr>
                      <w:rFonts w:hint="eastAsia"/>
                      <w:color w:val="000000"/>
                      <w:szCs w:val="21"/>
                      <w:highlight w:val="none"/>
                    </w:rPr>
                    <w:t>中的三级标准</w:t>
                  </w:r>
                </w:p>
              </w:tc>
              <w:tc>
                <w:tcPr>
                  <w:tcW w:w="499" w:type="pct"/>
                  <w:tcBorders>
                    <w:tl2br w:val="nil"/>
                    <w:tr2bl w:val="nil"/>
                  </w:tcBorders>
                  <w:noWrap w:val="0"/>
                  <w:tcMar>
                    <w:top w:w="0" w:type="dxa"/>
                    <w:left w:w="57" w:type="dxa"/>
                    <w:bottom w:w="0" w:type="dxa"/>
                    <w:right w:w="57" w:type="dxa"/>
                  </w:tcMar>
                  <w:vAlign w:val="center"/>
                </w:tcPr>
                <w:p w14:paraId="6C62A663">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1</w:t>
                  </w:r>
                </w:p>
              </w:tc>
              <w:tc>
                <w:tcPr>
                  <w:tcW w:w="425" w:type="pct"/>
                  <w:vMerge w:val="continue"/>
                  <w:tcBorders>
                    <w:tl2br w:val="nil"/>
                    <w:tr2bl w:val="nil"/>
                  </w:tcBorders>
                  <w:noWrap w:val="0"/>
                  <w:vAlign w:val="center"/>
                </w:tcPr>
                <w:p w14:paraId="3B20D6C8">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216B0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continue"/>
                  <w:tcBorders>
                    <w:tl2br w:val="nil"/>
                    <w:tr2bl w:val="nil"/>
                  </w:tcBorders>
                  <w:noWrap w:val="0"/>
                  <w:tcMar>
                    <w:top w:w="0" w:type="dxa"/>
                    <w:left w:w="57" w:type="dxa"/>
                    <w:bottom w:w="0" w:type="dxa"/>
                    <w:right w:w="57" w:type="dxa"/>
                  </w:tcMar>
                  <w:vAlign w:val="center"/>
                </w:tcPr>
                <w:p w14:paraId="4E83CE39">
                  <w:pPr>
                    <w:keepNext w:val="0"/>
                    <w:keepLines w:val="0"/>
                    <w:pageBreakBefore w:val="0"/>
                    <w:kinsoku/>
                    <w:wordWrap/>
                    <w:overflowPunct/>
                    <w:topLinePunct w:val="0"/>
                    <w:bidi w:val="0"/>
                    <w:adjustRightInd w:val="0"/>
                    <w:snapToGrid w:val="0"/>
                    <w:ind w:firstLine="0"/>
                    <w:jc w:val="center"/>
                    <w:textAlignment w:val="auto"/>
                    <w:rPr>
                      <w:rFonts w:hint="eastAsia"/>
                      <w:b/>
                      <w:color w:val="000000"/>
                      <w:szCs w:val="21"/>
                    </w:rPr>
                  </w:pPr>
                </w:p>
              </w:tc>
              <w:tc>
                <w:tcPr>
                  <w:tcW w:w="505" w:type="pct"/>
                  <w:tcBorders>
                    <w:tl2br w:val="nil"/>
                    <w:tr2bl w:val="nil"/>
                  </w:tcBorders>
                  <w:noWrap w:val="0"/>
                  <w:tcMar>
                    <w:top w:w="0" w:type="dxa"/>
                    <w:left w:w="57" w:type="dxa"/>
                    <w:bottom w:w="0" w:type="dxa"/>
                    <w:right w:w="57" w:type="dxa"/>
                  </w:tcMar>
                  <w:vAlign w:val="center"/>
                </w:tcPr>
                <w:p w14:paraId="639F14C6">
                  <w:pPr>
                    <w:keepNext w:val="0"/>
                    <w:keepLines w:val="0"/>
                    <w:pageBreakBefore w:val="0"/>
                    <w:kinsoku/>
                    <w:wordWrap/>
                    <w:overflowPunct/>
                    <w:topLinePunct w:val="0"/>
                    <w:bidi w:val="0"/>
                    <w:adjustRightInd w:val="0"/>
                    <w:snapToGrid w:val="0"/>
                    <w:ind w:firstLine="0"/>
                    <w:jc w:val="center"/>
                    <w:textAlignment w:val="auto"/>
                    <w:rPr>
                      <w:rFonts w:hint="eastAsia" w:eastAsia="宋体"/>
                      <w:color w:val="000000"/>
                      <w:szCs w:val="21"/>
                      <w:lang w:val="en-US" w:eastAsia="zh-CN"/>
                    </w:rPr>
                  </w:pPr>
                  <w:r>
                    <w:rPr>
                      <w:rFonts w:hint="eastAsia"/>
                      <w:color w:val="000000"/>
                      <w:szCs w:val="21"/>
                      <w:lang w:val="en-US" w:eastAsia="zh-CN"/>
                    </w:rPr>
                    <w:t>生产废水</w:t>
                  </w:r>
                </w:p>
              </w:tc>
              <w:tc>
                <w:tcPr>
                  <w:tcW w:w="777" w:type="pct"/>
                  <w:tcBorders>
                    <w:tl2br w:val="nil"/>
                    <w:tr2bl w:val="nil"/>
                  </w:tcBorders>
                  <w:noWrap w:val="0"/>
                  <w:tcMar>
                    <w:top w:w="0" w:type="dxa"/>
                    <w:left w:w="57" w:type="dxa"/>
                    <w:bottom w:w="0" w:type="dxa"/>
                    <w:right w:w="57" w:type="dxa"/>
                  </w:tcMar>
                  <w:vAlign w:val="center"/>
                </w:tcPr>
                <w:p w14:paraId="0295434E">
                  <w:pPr>
                    <w:keepNext w:val="0"/>
                    <w:keepLines w:val="0"/>
                    <w:pageBreakBefore w:val="0"/>
                    <w:widowControl w:val="0"/>
                    <w:kinsoku/>
                    <w:wordWrap/>
                    <w:overflowPunct/>
                    <w:topLinePunct w:val="0"/>
                    <w:bidi w:val="0"/>
                    <w:adjustRightInd w:val="0"/>
                    <w:snapToGrid w:val="0"/>
                    <w:ind w:firstLine="0" w:firstLineChars="0"/>
                    <w:jc w:val="center"/>
                    <w:textAlignment w:val="auto"/>
                    <w:rPr>
                      <w:rFonts w:hint="default" w:eastAsia="宋体"/>
                      <w:color w:val="000000"/>
                      <w:kern w:val="2"/>
                      <w:sz w:val="21"/>
                      <w:szCs w:val="21"/>
                      <w:lang w:val="en-US" w:eastAsia="zh-CN" w:bidi="ar-SA"/>
                    </w:rPr>
                  </w:pPr>
                  <w:r>
                    <w:rPr>
                      <w:rFonts w:hint="eastAsia"/>
                      <w:color w:val="000000"/>
                      <w:szCs w:val="21"/>
                      <w:highlight w:val="none"/>
                      <w:lang w:val="en-US" w:eastAsia="zh-CN"/>
                    </w:rPr>
                    <w:t>COD、SS、pH、LAS</w:t>
                  </w:r>
                </w:p>
              </w:tc>
              <w:tc>
                <w:tcPr>
                  <w:tcW w:w="1275" w:type="pct"/>
                  <w:tcBorders>
                    <w:tl2br w:val="nil"/>
                    <w:tr2bl w:val="nil"/>
                  </w:tcBorders>
                  <w:noWrap w:val="0"/>
                  <w:tcMar>
                    <w:top w:w="0" w:type="dxa"/>
                    <w:left w:w="57" w:type="dxa"/>
                    <w:bottom w:w="0" w:type="dxa"/>
                    <w:right w:w="57" w:type="dxa"/>
                  </w:tcMar>
                  <w:vAlign w:val="center"/>
                </w:tcPr>
                <w:p w14:paraId="3D18063A">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color w:val="000000"/>
                      <w:kern w:val="2"/>
                      <w:sz w:val="21"/>
                      <w:szCs w:val="21"/>
                      <w:lang w:val="en-US" w:eastAsia="zh-CN" w:bidi="ar-SA"/>
                    </w:rPr>
                  </w:pPr>
                  <w:r>
                    <w:rPr>
                      <w:rFonts w:hint="eastAsia"/>
                      <w:color w:val="000000"/>
                      <w:szCs w:val="21"/>
                      <w:lang w:val="en-US" w:eastAsia="zh-CN"/>
                    </w:rPr>
                    <w:t>进入低温真空蒸发器处理后回用，不外排</w:t>
                  </w:r>
                </w:p>
              </w:tc>
              <w:tc>
                <w:tcPr>
                  <w:tcW w:w="909" w:type="pct"/>
                  <w:tcBorders>
                    <w:tl2br w:val="nil"/>
                    <w:tr2bl w:val="nil"/>
                  </w:tcBorders>
                  <w:noWrap w:val="0"/>
                  <w:tcMar>
                    <w:top w:w="0" w:type="dxa"/>
                    <w:left w:w="57" w:type="dxa"/>
                    <w:bottom w:w="0" w:type="dxa"/>
                    <w:right w:w="57" w:type="dxa"/>
                  </w:tcMar>
                  <w:vAlign w:val="center"/>
                </w:tcPr>
                <w:p w14:paraId="217E3DCD">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color w:val="000000"/>
                      <w:kern w:val="2"/>
                      <w:sz w:val="21"/>
                      <w:szCs w:val="21"/>
                      <w:lang w:val="en-US" w:eastAsia="zh-CN" w:bidi="ar-SA"/>
                    </w:rPr>
                  </w:pPr>
                  <w:r>
                    <w:rPr>
                      <w:rFonts w:hint="eastAsia"/>
                      <w:color w:val="000000"/>
                      <w:szCs w:val="21"/>
                    </w:rPr>
                    <w:t>《城市污水再生利用</w:t>
                  </w:r>
                  <w:r>
                    <w:rPr>
                      <w:rFonts w:hint="eastAsia"/>
                      <w:color w:val="000000"/>
                      <w:szCs w:val="21"/>
                      <w:lang w:val="en-US" w:eastAsia="zh-CN"/>
                    </w:rPr>
                    <w:t xml:space="preserve"> </w:t>
                  </w:r>
                  <w:r>
                    <w:rPr>
                      <w:rFonts w:hint="eastAsia"/>
                      <w:color w:val="000000"/>
                      <w:szCs w:val="21"/>
                    </w:rPr>
                    <w:t>工业用水水质》</w:t>
                  </w:r>
                  <w:r>
                    <w:rPr>
                      <w:rFonts w:hint="eastAsia"/>
                      <w:color w:val="000000"/>
                      <w:szCs w:val="21"/>
                      <w:lang w:eastAsia="zh-CN"/>
                    </w:rPr>
                    <w:t>（</w:t>
                  </w:r>
                  <w:r>
                    <w:rPr>
                      <w:rFonts w:hint="eastAsia"/>
                      <w:color w:val="000000"/>
                      <w:szCs w:val="21"/>
                    </w:rPr>
                    <w:t>GB/T19923-2024</w:t>
                  </w:r>
                  <w:r>
                    <w:rPr>
                      <w:rFonts w:hint="eastAsia"/>
                      <w:color w:val="000000"/>
                      <w:szCs w:val="21"/>
                      <w:lang w:eastAsia="zh-CN"/>
                    </w:rPr>
                    <w:t>）</w:t>
                  </w:r>
                  <w:r>
                    <w:rPr>
                      <w:rFonts w:hint="eastAsia"/>
                      <w:color w:val="000000"/>
                      <w:szCs w:val="21"/>
                      <w:lang w:val="en-US" w:eastAsia="zh-CN"/>
                    </w:rPr>
                    <w:t>表1标准</w:t>
                  </w:r>
                </w:p>
              </w:tc>
              <w:tc>
                <w:tcPr>
                  <w:tcW w:w="499" w:type="pct"/>
                  <w:tcBorders>
                    <w:tl2br w:val="nil"/>
                    <w:tr2bl w:val="nil"/>
                  </w:tcBorders>
                  <w:noWrap w:val="0"/>
                  <w:tcMar>
                    <w:top w:w="0" w:type="dxa"/>
                    <w:left w:w="57" w:type="dxa"/>
                    <w:bottom w:w="0" w:type="dxa"/>
                    <w:right w:w="57" w:type="dxa"/>
                  </w:tcMar>
                  <w:vAlign w:val="center"/>
                </w:tcPr>
                <w:p w14:paraId="4AC7B10B">
                  <w:pPr>
                    <w:keepNext w:val="0"/>
                    <w:keepLines w:val="0"/>
                    <w:pageBreakBefore w:val="0"/>
                    <w:kinsoku/>
                    <w:wordWrap/>
                    <w:overflowPunct/>
                    <w:topLinePunct w:val="0"/>
                    <w:bidi w:val="0"/>
                    <w:adjustRightInd w:val="0"/>
                    <w:snapToGrid w:val="0"/>
                    <w:ind w:firstLine="0"/>
                    <w:jc w:val="center"/>
                    <w:textAlignment w:val="auto"/>
                    <w:rPr>
                      <w:rFonts w:hint="default"/>
                      <w:color w:val="000000"/>
                      <w:szCs w:val="21"/>
                      <w:highlight w:val="none"/>
                      <w:lang w:val="en-US" w:eastAsia="zh-CN"/>
                    </w:rPr>
                  </w:pPr>
                  <w:r>
                    <w:rPr>
                      <w:rFonts w:hint="eastAsia"/>
                      <w:color w:val="000000"/>
                      <w:szCs w:val="21"/>
                      <w:highlight w:val="none"/>
                      <w:lang w:val="en-US" w:eastAsia="zh-CN"/>
                    </w:rPr>
                    <w:t>1</w:t>
                  </w:r>
                </w:p>
              </w:tc>
              <w:tc>
                <w:tcPr>
                  <w:tcW w:w="425" w:type="pct"/>
                  <w:vMerge w:val="continue"/>
                  <w:tcBorders>
                    <w:tl2br w:val="nil"/>
                    <w:tr2bl w:val="nil"/>
                  </w:tcBorders>
                  <w:noWrap w:val="0"/>
                  <w:vAlign w:val="center"/>
                </w:tcPr>
                <w:p w14:paraId="51973A99">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06760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47B20139">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噪声</w:t>
                  </w:r>
                </w:p>
              </w:tc>
              <w:tc>
                <w:tcPr>
                  <w:tcW w:w="505" w:type="pct"/>
                  <w:tcBorders>
                    <w:tl2br w:val="nil"/>
                    <w:tr2bl w:val="nil"/>
                  </w:tcBorders>
                  <w:noWrap w:val="0"/>
                  <w:tcMar>
                    <w:top w:w="0" w:type="dxa"/>
                    <w:left w:w="57" w:type="dxa"/>
                    <w:bottom w:w="0" w:type="dxa"/>
                    <w:right w:w="57" w:type="dxa"/>
                  </w:tcMar>
                  <w:vAlign w:val="center"/>
                </w:tcPr>
                <w:p w14:paraId="764C4652">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bCs/>
                      <w:color w:val="000000"/>
                      <w:szCs w:val="21"/>
                    </w:rPr>
                    <w:t>生产设备、公辅设备等</w:t>
                  </w:r>
                </w:p>
              </w:tc>
              <w:tc>
                <w:tcPr>
                  <w:tcW w:w="777" w:type="pct"/>
                  <w:tcBorders>
                    <w:tl2br w:val="nil"/>
                    <w:tr2bl w:val="nil"/>
                  </w:tcBorders>
                  <w:noWrap w:val="0"/>
                  <w:tcMar>
                    <w:top w:w="0" w:type="dxa"/>
                    <w:left w:w="57" w:type="dxa"/>
                    <w:bottom w:w="0" w:type="dxa"/>
                    <w:right w:w="57" w:type="dxa"/>
                  </w:tcMar>
                  <w:vAlign w:val="center"/>
                </w:tcPr>
                <w:p w14:paraId="47F083E4">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spacing w:val="-12"/>
                      <w:szCs w:val="21"/>
                    </w:rPr>
                  </w:pPr>
                  <w:r>
                    <w:rPr>
                      <w:rFonts w:hint="eastAsia"/>
                      <w:color w:val="000000"/>
                      <w:spacing w:val="-12"/>
                      <w:szCs w:val="21"/>
                    </w:rPr>
                    <w:t>噪声</w:t>
                  </w:r>
                </w:p>
              </w:tc>
              <w:tc>
                <w:tcPr>
                  <w:tcW w:w="1275" w:type="pct"/>
                  <w:tcBorders>
                    <w:tl2br w:val="nil"/>
                    <w:tr2bl w:val="nil"/>
                  </w:tcBorders>
                  <w:noWrap w:val="0"/>
                  <w:tcMar>
                    <w:top w:w="0" w:type="dxa"/>
                    <w:left w:w="57" w:type="dxa"/>
                    <w:bottom w:w="0" w:type="dxa"/>
                    <w:right w:w="57" w:type="dxa"/>
                  </w:tcMar>
                  <w:vAlign w:val="center"/>
                </w:tcPr>
                <w:p w14:paraId="4BEE732D">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隔声、减振、消声、合理布局等</w:t>
                  </w:r>
                </w:p>
              </w:tc>
              <w:tc>
                <w:tcPr>
                  <w:tcW w:w="909" w:type="pct"/>
                  <w:tcBorders>
                    <w:tl2br w:val="nil"/>
                    <w:tr2bl w:val="nil"/>
                  </w:tcBorders>
                  <w:noWrap w:val="0"/>
                  <w:tcMar>
                    <w:top w:w="0" w:type="dxa"/>
                    <w:left w:w="57" w:type="dxa"/>
                    <w:bottom w:w="0" w:type="dxa"/>
                    <w:right w:w="57" w:type="dxa"/>
                  </w:tcMar>
                  <w:vAlign w:val="center"/>
                </w:tcPr>
                <w:p w14:paraId="79D75298">
                  <w:pPr>
                    <w:keepNext w:val="0"/>
                    <w:keepLines w:val="0"/>
                    <w:pageBreakBefore w:val="0"/>
                    <w:kinsoku/>
                    <w:wordWrap/>
                    <w:overflowPunct/>
                    <w:topLinePunct w:val="0"/>
                    <w:autoSpaceDE w:val="0"/>
                    <w:autoSpaceDN w:val="0"/>
                    <w:bidi w:val="0"/>
                    <w:adjustRightInd w:val="0"/>
                    <w:snapToGrid w:val="0"/>
                    <w:ind w:firstLine="0"/>
                    <w:jc w:val="center"/>
                    <w:textAlignment w:val="auto"/>
                    <w:rPr>
                      <w:color w:val="000000"/>
                      <w:szCs w:val="21"/>
                      <w:highlight w:val="none"/>
                    </w:rPr>
                  </w:pPr>
                  <w:r>
                    <w:rPr>
                      <w:rFonts w:hint="eastAsia"/>
                      <w:color w:val="000000"/>
                      <w:szCs w:val="21"/>
                      <w:highlight w:val="none"/>
                    </w:rPr>
                    <w:t>达到《工业企业厂界环境噪声排放标准》（</w:t>
                  </w:r>
                  <w:r>
                    <w:rPr>
                      <w:color w:val="000000"/>
                      <w:szCs w:val="21"/>
                      <w:highlight w:val="none"/>
                    </w:rPr>
                    <w:t>GB12348-2008</w:t>
                  </w:r>
                  <w:r>
                    <w:rPr>
                      <w:rFonts w:hint="eastAsia"/>
                      <w:color w:val="000000"/>
                      <w:szCs w:val="21"/>
                      <w:highlight w:val="none"/>
                    </w:rPr>
                    <w:t>）的</w:t>
                  </w:r>
                  <w:r>
                    <w:rPr>
                      <w:rFonts w:hint="eastAsia"/>
                      <w:color w:val="000000"/>
                      <w:szCs w:val="21"/>
                      <w:highlight w:val="none"/>
                      <w:lang w:val="en-US" w:eastAsia="zh-CN"/>
                    </w:rPr>
                    <w:t>2</w:t>
                  </w:r>
                  <w:r>
                    <w:rPr>
                      <w:rFonts w:hint="eastAsia"/>
                      <w:color w:val="000000"/>
                      <w:szCs w:val="21"/>
                      <w:highlight w:val="none"/>
                    </w:rPr>
                    <w:t>类标准</w:t>
                  </w:r>
                </w:p>
              </w:tc>
              <w:tc>
                <w:tcPr>
                  <w:tcW w:w="499" w:type="pct"/>
                  <w:tcBorders>
                    <w:tl2br w:val="nil"/>
                    <w:tr2bl w:val="nil"/>
                  </w:tcBorders>
                  <w:noWrap w:val="0"/>
                  <w:tcMar>
                    <w:top w:w="0" w:type="dxa"/>
                    <w:left w:w="57" w:type="dxa"/>
                    <w:bottom w:w="0" w:type="dxa"/>
                    <w:right w:w="57" w:type="dxa"/>
                  </w:tcMar>
                  <w:vAlign w:val="center"/>
                </w:tcPr>
                <w:p w14:paraId="4167A721">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eastAsia="宋体"/>
                      <w:color w:val="000000"/>
                      <w:szCs w:val="21"/>
                      <w:highlight w:val="none"/>
                      <w:lang w:val="en-US" w:eastAsia="zh-CN"/>
                    </w:rPr>
                    <w:t>5</w:t>
                  </w:r>
                </w:p>
              </w:tc>
              <w:tc>
                <w:tcPr>
                  <w:tcW w:w="425" w:type="pct"/>
                  <w:vMerge w:val="continue"/>
                  <w:tcBorders>
                    <w:tl2br w:val="nil"/>
                    <w:tr2bl w:val="nil"/>
                  </w:tcBorders>
                  <w:noWrap w:val="0"/>
                  <w:vAlign w:val="center"/>
                </w:tcPr>
                <w:p w14:paraId="5BB36FA5">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5AB08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restart"/>
                  <w:tcBorders>
                    <w:tl2br w:val="nil"/>
                    <w:tr2bl w:val="nil"/>
                  </w:tcBorders>
                  <w:noWrap w:val="0"/>
                  <w:tcMar>
                    <w:top w:w="0" w:type="dxa"/>
                    <w:left w:w="57" w:type="dxa"/>
                    <w:bottom w:w="0" w:type="dxa"/>
                    <w:right w:w="57" w:type="dxa"/>
                  </w:tcMar>
                  <w:vAlign w:val="center"/>
                </w:tcPr>
                <w:p w14:paraId="5F27E127">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固废</w:t>
                  </w:r>
                </w:p>
              </w:tc>
              <w:tc>
                <w:tcPr>
                  <w:tcW w:w="505" w:type="pct"/>
                  <w:vMerge w:val="restart"/>
                  <w:tcBorders>
                    <w:tl2br w:val="nil"/>
                    <w:tr2bl w:val="nil"/>
                  </w:tcBorders>
                  <w:noWrap w:val="0"/>
                  <w:tcMar>
                    <w:top w:w="0" w:type="dxa"/>
                    <w:left w:w="57" w:type="dxa"/>
                    <w:bottom w:w="0" w:type="dxa"/>
                    <w:right w:w="57" w:type="dxa"/>
                  </w:tcMar>
                  <w:vAlign w:val="center"/>
                </w:tcPr>
                <w:p w14:paraId="7DCE1111">
                  <w:pPr>
                    <w:keepNext w:val="0"/>
                    <w:keepLines w:val="0"/>
                    <w:pageBreakBefore w:val="0"/>
                    <w:kinsoku/>
                    <w:wordWrap/>
                    <w:overflowPunct/>
                    <w:topLinePunct w:val="0"/>
                    <w:bidi w:val="0"/>
                    <w:adjustRightInd w:val="0"/>
                    <w:snapToGrid w:val="0"/>
                    <w:ind w:firstLine="0"/>
                    <w:jc w:val="center"/>
                    <w:textAlignment w:val="auto"/>
                    <w:rPr>
                      <w:color w:val="000000"/>
                      <w:kern w:val="0"/>
                      <w:szCs w:val="21"/>
                      <w:highlight w:val="none"/>
                    </w:rPr>
                  </w:pPr>
                  <w:r>
                    <w:rPr>
                      <w:rFonts w:hint="eastAsia"/>
                      <w:color w:val="000000"/>
                      <w:kern w:val="0"/>
                      <w:szCs w:val="21"/>
                      <w:highlight w:val="none"/>
                    </w:rPr>
                    <w:t>一般固废</w:t>
                  </w:r>
                </w:p>
              </w:tc>
              <w:tc>
                <w:tcPr>
                  <w:tcW w:w="777" w:type="pct"/>
                  <w:tcBorders>
                    <w:tl2br w:val="nil"/>
                    <w:tr2bl w:val="nil"/>
                  </w:tcBorders>
                  <w:noWrap w:val="0"/>
                  <w:tcMar>
                    <w:top w:w="0" w:type="dxa"/>
                    <w:left w:w="57" w:type="dxa"/>
                    <w:bottom w:w="0" w:type="dxa"/>
                    <w:right w:w="57" w:type="dxa"/>
                  </w:tcMar>
                  <w:vAlign w:val="center"/>
                </w:tcPr>
                <w:p w14:paraId="25B41FF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szCs w:val="21"/>
                      <w:highlight w:val="none"/>
                      <w:lang w:val="en-US" w:eastAsia="zh-CN"/>
                    </w:rPr>
                    <w:t>金属碎屑</w:t>
                  </w:r>
                </w:p>
              </w:tc>
              <w:tc>
                <w:tcPr>
                  <w:tcW w:w="1275" w:type="pct"/>
                  <w:vMerge w:val="restart"/>
                  <w:tcBorders>
                    <w:tl2br w:val="nil"/>
                    <w:tr2bl w:val="nil"/>
                  </w:tcBorders>
                  <w:noWrap w:val="0"/>
                  <w:tcMar>
                    <w:top w:w="0" w:type="dxa"/>
                    <w:left w:w="57" w:type="dxa"/>
                    <w:bottom w:w="0" w:type="dxa"/>
                    <w:right w:w="57" w:type="dxa"/>
                  </w:tcMar>
                  <w:vAlign w:val="center"/>
                </w:tcPr>
                <w:p w14:paraId="20A49D9E">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收集后外售，</w:t>
                  </w:r>
                  <w:r>
                    <w:rPr>
                      <w:rFonts w:hint="eastAsia"/>
                      <w:color w:val="000000"/>
                      <w:kern w:val="0"/>
                      <w:szCs w:val="21"/>
                      <w:highlight w:val="none"/>
                    </w:rPr>
                    <w:t>面积</w:t>
                  </w:r>
                  <w:r>
                    <w:rPr>
                      <w:rFonts w:hint="eastAsia"/>
                      <w:color w:val="000000"/>
                      <w:kern w:val="0"/>
                      <w:szCs w:val="21"/>
                      <w:highlight w:val="none"/>
                      <w:lang w:val="en-US" w:eastAsia="zh-CN"/>
                    </w:rPr>
                    <w:t>15</w:t>
                  </w:r>
                  <w:r>
                    <w:rPr>
                      <w:color w:val="000000"/>
                      <w:kern w:val="0"/>
                      <w:szCs w:val="21"/>
                      <w:highlight w:val="none"/>
                    </w:rPr>
                    <w:t>m</w:t>
                  </w:r>
                  <w:r>
                    <w:rPr>
                      <w:color w:val="000000"/>
                      <w:kern w:val="0"/>
                      <w:szCs w:val="21"/>
                      <w:highlight w:val="none"/>
                      <w:vertAlign w:val="superscript"/>
                    </w:rPr>
                    <w:t>2</w:t>
                  </w:r>
                </w:p>
              </w:tc>
              <w:tc>
                <w:tcPr>
                  <w:tcW w:w="909" w:type="pct"/>
                  <w:vMerge w:val="restart"/>
                  <w:tcBorders>
                    <w:tl2br w:val="nil"/>
                    <w:tr2bl w:val="nil"/>
                  </w:tcBorders>
                  <w:noWrap w:val="0"/>
                  <w:tcMar>
                    <w:top w:w="0" w:type="dxa"/>
                    <w:left w:w="57" w:type="dxa"/>
                    <w:bottom w:w="0" w:type="dxa"/>
                    <w:right w:w="57" w:type="dxa"/>
                  </w:tcMar>
                  <w:vAlign w:val="center"/>
                </w:tcPr>
                <w:p w14:paraId="731ACE76">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无渗漏，零排放，不造成二次污染</w:t>
                  </w:r>
                </w:p>
              </w:tc>
              <w:tc>
                <w:tcPr>
                  <w:tcW w:w="499" w:type="pct"/>
                  <w:vMerge w:val="restart"/>
                  <w:tcBorders>
                    <w:tl2br w:val="nil"/>
                    <w:tr2bl w:val="nil"/>
                  </w:tcBorders>
                  <w:noWrap w:val="0"/>
                  <w:tcMar>
                    <w:top w:w="0" w:type="dxa"/>
                    <w:left w:w="57" w:type="dxa"/>
                    <w:bottom w:w="0" w:type="dxa"/>
                    <w:right w:w="57" w:type="dxa"/>
                  </w:tcMar>
                  <w:vAlign w:val="center"/>
                </w:tcPr>
                <w:p w14:paraId="674440D6">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8</w:t>
                  </w:r>
                </w:p>
              </w:tc>
              <w:tc>
                <w:tcPr>
                  <w:tcW w:w="425" w:type="pct"/>
                  <w:vMerge w:val="continue"/>
                  <w:tcBorders>
                    <w:tl2br w:val="nil"/>
                    <w:tr2bl w:val="nil"/>
                  </w:tcBorders>
                  <w:noWrap w:val="0"/>
                  <w:vAlign w:val="center"/>
                </w:tcPr>
                <w:p w14:paraId="44DF40B5">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600C6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07" w:type="pct"/>
                  <w:vMerge w:val="continue"/>
                  <w:tcBorders>
                    <w:tl2br w:val="nil"/>
                    <w:tr2bl w:val="nil"/>
                  </w:tcBorders>
                  <w:noWrap w:val="0"/>
                  <w:tcMar>
                    <w:top w:w="0" w:type="dxa"/>
                    <w:left w:w="57" w:type="dxa"/>
                    <w:bottom w:w="0" w:type="dxa"/>
                    <w:right w:w="57" w:type="dxa"/>
                  </w:tcMar>
                  <w:vAlign w:val="center"/>
                </w:tcPr>
                <w:p w14:paraId="0AA9FCB5">
                  <w:pPr>
                    <w:keepNext w:val="0"/>
                    <w:keepLines w:val="0"/>
                    <w:pageBreakBefore w:val="0"/>
                    <w:kinsoku/>
                    <w:wordWrap/>
                    <w:overflowPunct/>
                    <w:topLinePunct w:val="0"/>
                    <w:bidi w:val="0"/>
                    <w:adjustRightInd w:val="0"/>
                    <w:snapToGrid w:val="0"/>
                    <w:ind w:firstLine="0"/>
                    <w:jc w:val="center"/>
                    <w:textAlignment w:val="auto"/>
                    <w:rPr>
                      <w:rFonts w:hint="eastAsia"/>
                      <w:b/>
                      <w:color w:val="000000"/>
                      <w:szCs w:val="21"/>
                    </w:rPr>
                  </w:pPr>
                </w:p>
              </w:tc>
              <w:tc>
                <w:tcPr>
                  <w:tcW w:w="505" w:type="pct"/>
                  <w:vMerge w:val="continue"/>
                  <w:tcBorders>
                    <w:tl2br w:val="nil"/>
                    <w:tr2bl w:val="nil"/>
                  </w:tcBorders>
                  <w:noWrap w:val="0"/>
                  <w:tcMar>
                    <w:top w:w="0" w:type="dxa"/>
                    <w:left w:w="57" w:type="dxa"/>
                    <w:bottom w:w="0" w:type="dxa"/>
                    <w:right w:w="57" w:type="dxa"/>
                  </w:tcMar>
                  <w:vAlign w:val="center"/>
                </w:tcPr>
                <w:p w14:paraId="57A46983">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777" w:type="pct"/>
                  <w:tcBorders>
                    <w:tl2br w:val="nil"/>
                    <w:tr2bl w:val="nil"/>
                  </w:tcBorders>
                  <w:noWrap w:val="0"/>
                  <w:tcMar>
                    <w:top w:w="0" w:type="dxa"/>
                    <w:left w:w="57" w:type="dxa"/>
                    <w:bottom w:w="0" w:type="dxa"/>
                    <w:right w:w="57" w:type="dxa"/>
                  </w:tcMar>
                  <w:vAlign w:val="center"/>
                </w:tcPr>
                <w:p w14:paraId="7099690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不合格品</w:t>
                  </w:r>
                </w:p>
              </w:tc>
              <w:tc>
                <w:tcPr>
                  <w:tcW w:w="1275" w:type="pct"/>
                  <w:vMerge w:val="continue"/>
                  <w:tcBorders>
                    <w:tl2br w:val="nil"/>
                    <w:tr2bl w:val="nil"/>
                  </w:tcBorders>
                  <w:noWrap w:val="0"/>
                  <w:tcMar>
                    <w:top w:w="0" w:type="dxa"/>
                    <w:left w:w="57" w:type="dxa"/>
                    <w:bottom w:w="0" w:type="dxa"/>
                    <w:right w:w="57" w:type="dxa"/>
                  </w:tcMar>
                  <w:vAlign w:val="center"/>
                </w:tcPr>
                <w:p w14:paraId="670E43E7">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highlight w:val="none"/>
                    </w:rPr>
                  </w:pPr>
                </w:p>
              </w:tc>
              <w:tc>
                <w:tcPr>
                  <w:tcW w:w="909" w:type="pct"/>
                  <w:vMerge w:val="continue"/>
                  <w:tcBorders>
                    <w:tl2br w:val="nil"/>
                    <w:tr2bl w:val="nil"/>
                  </w:tcBorders>
                  <w:noWrap w:val="0"/>
                  <w:tcMar>
                    <w:top w:w="0" w:type="dxa"/>
                    <w:left w:w="57" w:type="dxa"/>
                    <w:bottom w:w="0" w:type="dxa"/>
                    <w:right w:w="57" w:type="dxa"/>
                  </w:tcMar>
                  <w:vAlign w:val="center"/>
                </w:tcPr>
                <w:p w14:paraId="5E6FD549">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rPr>
                  </w:pPr>
                </w:p>
              </w:tc>
              <w:tc>
                <w:tcPr>
                  <w:tcW w:w="499" w:type="pct"/>
                  <w:vMerge w:val="continue"/>
                  <w:tcBorders>
                    <w:tl2br w:val="nil"/>
                    <w:tr2bl w:val="nil"/>
                  </w:tcBorders>
                  <w:noWrap w:val="0"/>
                  <w:tcMar>
                    <w:top w:w="0" w:type="dxa"/>
                    <w:left w:w="57" w:type="dxa"/>
                    <w:bottom w:w="0" w:type="dxa"/>
                    <w:right w:w="57" w:type="dxa"/>
                  </w:tcMar>
                  <w:vAlign w:val="center"/>
                </w:tcPr>
                <w:p w14:paraId="65293B36">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highlight w:val="none"/>
                      <w:lang w:val="en-US" w:eastAsia="zh-CN"/>
                    </w:rPr>
                  </w:pPr>
                </w:p>
              </w:tc>
              <w:tc>
                <w:tcPr>
                  <w:tcW w:w="425" w:type="pct"/>
                  <w:vMerge w:val="continue"/>
                  <w:tcBorders>
                    <w:tl2br w:val="nil"/>
                    <w:tr2bl w:val="nil"/>
                  </w:tcBorders>
                  <w:noWrap w:val="0"/>
                  <w:vAlign w:val="center"/>
                </w:tcPr>
                <w:p w14:paraId="1F900D9F">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385697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vMerge w:val="continue"/>
                  <w:tcBorders>
                    <w:tl2br w:val="nil"/>
                    <w:tr2bl w:val="nil"/>
                  </w:tcBorders>
                  <w:noWrap w:val="0"/>
                  <w:tcMar>
                    <w:top w:w="0" w:type="dxa"/>
                    <w:left w:w="57" w:type="dxa"/>
                    <w:bottom w:w="0" w:type="dxa"/>
                    <w:right w:w="57" w:type="dxa"/>
                  </w:tcMar>
                  <w:vAlign w:val="center"/>
                </w:tcPr>
                <w:p w14:paraId="56353743">
                  <w:pPr>
                    <w:keepNext w:val="0"/>
                    <w:keepLines w:val="0"/>
                    <w:pageBreakBefore w:val="0"/>
                    <w:kinsoku/>
                    <w:wordWrap/>
                    <w:overflowPunct/>
                    <w:topLinePunct w:val="0"/>
                    <w:bidi w:val="0"/>
                    <w:adjustRightInd w:val="0"/>
                    <w:snapToGrid w:val="0"/>
                    <w:ind w:firstLine="0"/>
                    <w:jc w:val="center"/>
                    <w:textAlignment w:val="auto"/>
                    <w:rPr>
                      <w:rFonts w:hint="eastAsia"/>
                      <w:b/>
                      <w:color w:val="000000"/>
                      <w:szCs w:val="21"/>
                    </w:rPr>
                  </w:pPr>
                </w:p>
              </w:tc>
              <w:tc>
                <w:tcPr>
                  <w:tcW w:w="505" w:type="pct"/>
                  <w:vMerge w:val="continue"/>
                  <w:tcBorders>
                    <w:tl2br w:val="nil"/>
                    <w:tr2bl w:val="nil"/>
                  </w:tcBorders>
                  <w:noWrap w:val="0"/>
                  <w:tcMar>
                    <w:top w:w="0" w:type="dxa"/>
                    <w:left w:w="57" w:type="dxa"/>
                    <w:bottom w:w="0" w:type="dxa"/>
                    <w:right w:w="57" w:type="dxa"/>
                  </w:tcMar>
                  <w:vAlign w:val="center"/>
                </w:tcPr>
                <w:p w14:paraId="6B0FF794">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777" w:type="pct"/>
                  <w:tcBorders>
                    <w:tl2br w:val="nil"/>
                    <w:tr2bl w:val="nil"/>
                  </w:tcBorders>
                  <w:noWrap w:val="0"/>
                  <w:tcMar>
                    <w:top w:w="0" w:type="dxa"/>
                    <w:left w:w="57" w:type="dxa"/>
                    <w:bottom w:w="0" w:type="dxa"/>
                    <w:right w:w="57" w:type="dxa"/>
                  </w:tcMar>
                  <w:vAlign w:val="center"/>
                </w:tcPr>
                <w:p w14:paraId="12A6D21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废布袋</w:t>
                  </w:r>
                </w:p>
              </w:tc>
              <w:tc>
                <w:tcPr>
                  <w:tcW w:w="1275" w:type="pct"/>
                  <w:vMerge w:val="continue"/>
                  <w:tcBorders>
                    <w:tl2br w:val="nil"/>
                    <w:tr2bl w:val="nil"/>
                  </w:tcBorders>
                  <w:noWrap w:val="0"/>
                  <w:tcMar>
                    <w:top w:w="0" w:type="dxa"/>
                    <w:left w:w="57" w:type="dxa"/>
                    <w:bottom w:w="0" w:type="dxa"/>
                    <w:right w:w="57" w:type="dxa"/>
                  </w:tcMar>
                  <w:vAlign w:val="center"/>
                </w:tcPr>
                <w:p w14:paraId="050E1A16">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highlight w:val="none"/>
                    </w:rPr>
                  </w:pPr>
                </w:p>
              </w:tc>
              <w:tc>
                <w:tcPr>
                  <w:tcW w:w="909" w:type="pct"/>
                  <w:vMerge w:val="continue"/>
                  <w:tcBorders>
                    <w:tl2br w:val="nil"/>
                    <w:tr2bl w:val="nil"/>
                  </w:tcBorders>
                  <w:noWrap w:val="0"/>
                  <w:tcMar>
                    <w:top w:w="0" w:type="dxa"/>
                    <w:left w:w="57" w:type="dxa"/>
                    <w:bottom w:w="0" w:type="dxa"/>
                    <w:right w:w="57" w:type="dxa"/>
                  </w:tcMar>
                  <w:vAlign w:val="center"/>
                </w:tcPr>
                <w:p w14:paraId="0F45373A">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rPr>
                  </w:pPr>
                </w:p>
              </w:tc>
              <w:tc>
                <w:tcPr>
                  <w:tcW w:w="499" w:type="pct"/>
                  <w:vMerge w:val="continue"/>
                  <w:tcBorders>
                    <w:tl2br w:val="nil"/>
                    <w:tr2bl w:val="nil"/>
                  </w:tcBorders>
                  <w:noWrap w:val="0"/>
                  <w:tcMar>
                    <w:top w:w="0" w:type="dxa"/>
                    <w:left w:w="57" w:type="dxa"/>
                    <w:bottom w:w="0" w:type="dxa"/>
                    <w:right w:w="57" w:type="dxa"/>
                  </w:tcMar>
                  <w:vAlign w:val="center"/>
                </w:tcPr>
                <w:p w14:paraId="4914D0B9">
                  <w:pPr>
                    <w:keepNext w:val="0"/>
                    <w:keepLines w:val="0"/>
                    <w:pageBreakBefore w:val="0"/>
                    <w:kinsoku/>
                    <w:wordWrap/>
                    <w:overflowPunct/>
                    <w:topLinePunct w:val="0"/>
                    <w:bidi w:val="0"/>
                    <w:adjustRightInd w:val="0"/>
                    <w:snapToGrid w:val="0"/>
                    <w:ind w:firstLine="0"/>
                    <w:jc w:val="center"/>
                    <w:textAlignment w:val="auto"/>
                    <w:rPr>
                      <w:rFonts w:hint="eastAsia"/>
                      <w:color w:val="000000"/>
                      <w:szCs w:val="21"/>
                      <w:highlight w:val="none"/>
                      <w:lang w:val="en-US" w:eastAsia="zh-CN"/>
                    </w:rPr>
                  </w:pPr>
                </w:p>
              </w:tc>
              <w:tc>
                <w:tcPr>
                  <w:tcW w:w="425" w:type="pct"/>
                  <w:vMerge w:val="continue"/>
                  <w:tcBorders>
                    <w:tl2br w:val="nil"/>
                    <w:tr2bl w:val="nil"/>
                  </w:tcBorders>
                  <w:noWrap w:val="0"/>
                  <w:vAlign w:val="center"/>
                </w:tcPr>
                <w:p w14:paraId="53F43F8B">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0329C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07" w:type="pct"/>
                  <w:vMerge w:val="continue"/>
                  <w:tcBorders>
                    <w:tl2br w:val="nil"/>
                    <w:tr2bl w:val="nil"/>
                  </w:tcBorders>
                  <w:noWrap w:val="0"/>
                  <w:vAlign w:val="center"/>
                </w:tcPr>
                <w:p w14:paraId="392CDE2A">
                  <w:pPr>
                    <w:keepNext w:val="0"/>
                    <w:keepLines w:val="0"/>
                    <w:pageBreakBefore w:val="0"/>
                    <w:widowControl/>
                    <w:kinsoku/>
                    <w:wordWrap/>
                    <w:overflowPunct/>
                    <w:topLinePunct w:val="0"/>
                    <w:bidi w:val="0"/>
                    <w:adjustRightInd w:val="0"/>
                    <w:snapToGrid w:val="0"/>
                    <w:ind w:firstLine="0"/>
                    <w:jc w:val="center"/>
                    <w:textAlignment w:val="auto"/>
                    <w:rPr>
                      <w:b/>
                      <w:color w:val="000000"/>
                      <w:szCs w:val="21"/>
                    </w:rPr>
                  </w:pPr>
                </w:p>
              </w:tc>
              <w:tc>
                <w:tcPr>
                  <w:tcW w:w="505" w:type="pct"/>
                  <w:vMerge w:val="restart"/>
                  <w:tcBorders>
                    <w:tl2br w:val="nil"/>
                    <w:tr2bl w:val="nil"/>
                  </w:tcBorders>
                  <w:noWrap w:val="0"/>
                  <w:tcMar>
                    <w:top w:w="0" w:type="dxa"/>
                    <w:left w:w="57" w:type="dxa"/>
                    <w:bottom w:w="0" w:type="dxa"/>
                    <w:right w:w="57" w:type="dxa"/>
                  </w:tcMar>
                  <w:vAlign w:val="center"/>
                </w:tcPr>
                <w:p w14:paraId="63A4E1DE">
                  <w:pPr>
                    <w:keepNext w:val="0"/>
                    <w:keepLines w:val="0"/>
                    <w:pageBreakBefore w:val="0"/>
                    <w:kinsoku/>
                    <w:wordWrap/>
                    <w:overflowPunct/>
                    <w:topLinePunct w:val="0"/>
                    <w:bidi w:val="0"/>
                    <w:adjustRightInd w:val="0"/>
                    <w:snapToGrid w:val="0"/>
                    <w:ind w:firstLine="0"/>
                    <w:jc w:val="center"/>
                    <w:textAlignment w:val="auto"/>
                    <w:rPr>
                      <w:color w:val="000000"/>
                    </w:rPr>
                  </w:pPr>
                  <w:r>
                    <w:rPr>
                      <w:rFonts w:hint="eastAsia"/>
                      <w:color w:val="000000"/>
                      <w:kern w:val="0"/>
                      <w:szCs w:val="21"/>
                      <w:highlight w:val="none"/>
                    </w:rPr>
                    <w:t>危险废物</w:t>
                  </w:r>
                </w:p>
              </w:tc>
              <w:tc>
                <w:tcPr>
                  <w:tcW w:w="777" w:type="pct"/>
                  <w:tcBorders>
                    <w:tl2br w:val="nil"/>
                    <w:tr2bl w:val="nil"/>
                  </w:tcBorders>
                  <w:noWrap w:val="0"/>
                  <w:tcMar>
                    <w:top w:w="0" w:type="dxa"/>
                    <w:left w:w="57" w:type="dxa"/>
                    <w:bottom w:w="0" w:type="dxa"/>
                    <w:right w:w="57" w:type="dxa"/>
                  </w:tcMar>
                  <w:vAlign w:val="center"/>
                </w:tcPr>
                <w:p w14:paraId="5BDE077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废润滑油</w:t>
                  </w:r>
                </w:p>
              </w:tc>
              <w:tc>
                <w:tcPr>
                  <w:tcW w:w="1275" w:type="pct"/>
                  <w:vMerge w:val="restart"/>
                  <w:tcBorders>
                    <w:tl2br w:val="nil"/>
                    <w:tr2bl w:val="nil"/>
                  </w:tcBorders>
                  <w:noWrap w:val="0"/>
                  <w:tcMar>
                    <w:top w:w="0" w:type="dxa"/>
                    <w:left w:w="57" w:type="dxa"/>
                    <w:bottom w:w="0" w:type="dxa"/>
                    <w:right w:w="57" w:type="dxa"/>
                  </w:tcMar>
                  <w:vAlign w:val="center"/>
                </w:tcPr>
                <w:p w14:paraId="195F06F0">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委托有资质单位处置，</w:t>
                  </w:r>
                  <w:r>
                    <w:rPr>
                      <w:rFonts w:hint="eastAsia"/>
                      <w:color w:val="000000"/>
                      <w:kern w:val="0"/>
                      <w:szCs w:val="21"/>
                      <w:highlight w:val="none"/>
                    </w:rPr>
                    <w:t>面积</w:t>
                  </w:r>
                  <w:r>
                    <w:rPr>
                      <w:rFonts w:hint="eastAsia"/>
                      <w:color w:val="000000"/>
                      <w:kern w:val="0"/>
                      <w:szCs w:val="21"/>
                      <w:highlight w:val="none"/>
                      <w:lang w:val="en-US" w:eastAsia="zh-CN"/>
                    </w:rPr>
                    <w:t>10</w:t>
                  </w:r>
                  <w:r>
                    <w:rPr>
                      <w:color w:val="000000"/>
                      <w:kern w:val="0"/>
                      <w:szCs w:val="21"/>
                      <w:highlight w:val="none"/>
                    </w:rPr>
                    <w:t>m</w:t>
                  </w:r>
                  <w:r>
                    <w:rPr>
                      <w:color w:val="000000"/>
                      <w:kern w:val="0"/>
                      <w:szCs w:val="21"/>
                      <w:highlight w:val="none"/>
                      <w:vertAlign w:val="superscript"/>
                    </w:rPr>
                    <w:t>2</w:t>
                  </w:r>
                </w:p>
              </w:tc>
              <w:tc>
                <w:tcPr>
                  <w:tcW w:w="909" w:type="pct"/>
                  <w:vMerge w:val="continue"/>
                  <w:tcBorders>
                    <w:tl2br w:val="nil"/>
                    <w:tr2bl w:val="nil"/>
                  </w:tcBorders>
                  <w:noWrap w:val="0"/>
                  <w:tcMar>
                    <w:top w:w="0" w:type="dxa"/>
                    <w:left w:w="57" w:type="dxa"/>
                    <w:bottom w:w="0" w:type="dxa"/>
                    <w:right w:w="57" w:type="dxa"/>
                  </w:tcMar>
                  <w:vAlign w:val="center"/>
                </w:tcPr>
                <w:p w14:paraId="24A19FCC">
                  <w:pPr>
                    <w:keepNext w:val="0"/>
                    <w:keepLines w:val="0"/>
                    <w:pageBreakBefore w:val="0"/>
                    <w:kinsoku/>
                    <w:wordWrap/>
                    <w:overflowPunct/>
                    <w:topLinePunct w:val="0"/>
                    <w:bidi w:val="0"/>
                    <w:adjustRightInd w:val="0"/>
                    <w:snapToGrid w:val="0"/>
                    <w:ind w:firstLine="0"/>
                    <w:jc w:val="both"/>
                    <w:textAlignment w:val="auto"/>
                    <w:rPr>
                      <w:color w:val="000000"/>
                      <w:szCs w:val="21"/>
                    </w:rPr>
                  </w:pPr>
                </w:p>
              </w:tc>
              <w:tc>
                <w:tcPr>
                  <w:tcW w:w="499" w:type="pct"/>
                  <w:vMerge w:val="continue"/>
                  <w:tcBorders>
                    <w:tl2br w:val="nil"/>
                    <w:tr2bl w:val="nil"/>
                  </w:tcBorders>
                  <w:noWrap w:val="0"/>
                  <w:vAlign w:val="center"/>
                </w:tcPr>
                <w:p w14:paraId="7BD0BAA3">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none"/>
                    </w:rPr>
                  </w:pPr>
                </w:p>
              </w:tc>
              <w:tc>
                <w:tcPr>
                  <w:tcW w:w="425" w:type="pct"/>
                  <w:vMerge w:val="continue"/>
                  <w:tcBorders>
                    <w:tl2br w:val="nil"/>
                    <w:tr2bl w:val="nil"/>
                  </w:tcBorders>
                  <w:noWrap w:val="0"/>
                  <w:vAlign w:val="center"/>
                </w:tcPr>
                <w:p w14:paraId="20CC1251">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562A8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vMerge w:val="continue"/>
                  <w:tcBorders>
                    <w:tl2br w:val="nil"/>
                    <w:tr2bl w:val="nil"/>
                  </w:tcBorders>
                  <w:noWrap w:val="0"/>
                  <w:vAlign w:val="center"/>
                </w:tcPr>
                <w:p w14:paraId="3B9C364F">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505" w:type="pct"/>
                  <w:vMerge w:val="continue"/>
                  <w:tcBorders>
                    <w:tl2br w:val="nil"/>
                    <w:tr2bl w:val="nil"/>
                  </w:tcBorders>
                  <w:noWrap w:val="0"/>
                  <w:tcMar>
                    <w:top w:w="0" w:type="dxa"/>
                    <w:left w:w="57" w:type="dxa"/>
                    <w:bottom w:w="0" w:type="dxa"/>
                    <w:right w:w="57" w:type="dxa"/>
                  </w:tcMar>
                  <w:vAlign w:val="center"/>
                </w:tcPr>
                <w:p w14:paraId="1F5FB261">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777" w:type="pct"/>
                  <w:tcBorders>
                    <w:tl2br w:val="nil"/>
                    <w:tr2bl w:val="nil"/>
                  </w:tcBorders>
                  <w:noWrap w:val="0"/>
                  <w:tcMar>
                    <w:top w:w="0" w:type="dxa"/>
                    <w:left w:w="57" w:type="dxa"/>
                    <w:bottom w:w="0" w:type="dxa"/>
                    <w:right w:w="57" w:type="dxa"/>
                  </w:tcMar>
                  <w:vAlign w:val="center"/>
                </w:tcPr>
                <w:p w14:paraId="466B0C2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1275" w:type="pct"/>
                  <w:vMerge w:val="continue"/>
                  <w:tcBorders>
                    <w:tl2br w:val="nil"/>
                    <w:tr2bl w:val="nil"/>
                  </w:tcBorders>
                  <w:noWrap w:val="0"/>
                  <w:tcMar>
                    <w:top w:w="0" w:type="dxa"/>
                    <w:left w:w="57" w:type="dxa"/>
                    <w:bottom w:w="0" w:type="dxa"/>
                    <w:right w:w="57" w:type="dxa"/>
                  </w:tcMar>
                  <w:vAlign w:val="center"/>
                </w:tcPr>
                <w:p w14:paraId="0B2634DA">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909" w:type="pct"/>
                  <w:vMerge w:val="continue"/>
                  <w:tcBorders>
                    <w:tl2br w:val="nil"/>
                    <w:tr2bl w:val="nil"/>
                  </w:tcBorders>
                  <w:noWrap w:val="0"/>
                  <w:tcMar>
                    <w:top w:w="0" w:type="dxa"/>
                    <w:left w:w="57" w:type="dxa"/>
                    <w:bottom w:w="0" w:type="dxa"/>
                    <w:right w:w="57" w:type="dxa"/>
                  </w:tcMar>
                  <w:vAlign w:val="center"/>
                </w:tcPr>
                <w:p w14:paraId="74241526">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499" w:type="pct"/>
                  <w:vMerge w:val="continue"/>
                  <w:tcBorders>
                    <w:tl2br w:val="nil"/>
                    <w:tr2bl w:val="nil"/>
                  </w:tcBorders>
                  <w:noWrap w:val="0"/>
                  <w:vAlign w:val="center"/>
                </w:tcPr>
                <w:p w14:paraId="14FFD703">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425" w:type="pct"/>
                  <w:vMerge w:val="continue"/>
                  <w:tcBorders>
                    <w:tl2br w:val="nil"/>
                    <w:tr2bl w:val="nil"/>
                  </w:tcBorders>
                  <w:noWrap w:val="0"/>
                  <w:vAlign w:val="center"/>
                </w:tcPr>
                <w:p w14:paraId="1BCEE918">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r>
            <w:tr w14:paraId="7FA2D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continue"/>
                  <w:tcBorders>
                    <w:tl2br w:val="nil"/>
                    <w:tr2bl w:val="nil"/>
                  </w:tcBorders>
                  <w:noWrap w:val="0"/>
                  <w:vAlign w:val="center"/>
                </w:tcPr>
                <w:p w14:paraId="40D7834D">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505" w:type="pct"/>
                  <w:vMerge w:val="continue"/>
                  <w:tcBorders>
                    <w:tl2br w:val="nil"/>
                    <w:tr2bl w:val="nil"/>
                  </w:tcBorders>
                  <w:noWrap w:val="0"/>
                  <w:tcMar>
                    <w:top w:w="0" w:type="dxa"/>
                    <w:left w:w="57" w:type="dxa"/>
                    <w:bottom w:w="0" w:type="dxa"/>
                    <w:right w:w="57" w:type="dxa"/>
                  </w:tcMar>
                  <w:vAlign w:val="center"/>
                </w:tcPr>
                <w:p w14:paraId="044D7487">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777" w:type="pct"/>
                  <w:tcBorders>
                    <w:tl2br w:val="nil"/>
                    <w:tr2bl w:val="nil"/>
                  </w:tcBorders>
                  <w:noWrap w:val="0"/>
                  <w:tcMar>
                    <w:top w:w="0" w:type="dxa"/>
                    <w:left w:w="57" w:type="dxa"/>
                    <w:bottom w:w="0" w:type="dxa"/>
                    <w:right w:w="57" w:type="dxa"/>
                  </w:tcMar>
                  <w:vAlign w:val="center"/>
                </w:tcPr>
                <w:p w14:paraId="212BA2F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废油桶</w:t>
                  </w:r>
                </w:p>
              </w:tc>
              <w:tc>
                <w:tcPr>
                  <w:tcW w:w="1275" w:type="pct"/>
                  <w:vMerge w:val="continue"/>
                  <w:tcBorders>
                    <w:tl2br w:val="nil"/>
                    <w:tr2bl w:val="nil"/>
                  </w:tcBorders>
                  <w:noWrap w:val="0"/>
                  <w:tcMar>
                    <w:top w:w="0" w:type="dxa"/>
                    <w:left w:w="57" w:type="dxa"/>
                    <w:bottom w:w="0" w:type="dxa"/>
                    <w:right w:w="57" w:type="dxa"/>
                  </w:tcMar>
                  <w:vAlign w:val="center"/>
                </w:tcPr>
                <w:p w14:paraId="60504EE0">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909" w:type="pct"/>
                  <w:vMerge w:val="continue"/>
                  <w:tcBorders>
                    <w:tl2br w:val="nil"/>
                    <w:tr2bl w:val="nil"/>
                  </w:tcBorders>
                  <w:noWrap w:val="0"/>
                  <w:tcMar>
                    <w:top w:w="0" w:type="dxa"/>
                    <w:left w:w="57" w:type="dxa"/>
                    <w:bottom w:w="0" w:type="dxa"/>
                    <w:right w:w="57" w:type="dxa"/>
                  </w:tcMar>
                  <w:vAlign w:val="center"/>
                </w:tcPr>
                <w:p w14:paraId="09C4823F">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499" w:type="pct"/>
                  <w:vMerge w:val="continue"/>
                  <w:tcBorders>
                    <w:tl2br w:val="nil"/>
                    <w:tr2bl w:val="nil"/>
                  </w:tcBorders>
                  <w:noWrap w:val="0"/>
                  <w:vAlign w:val="center"/>
                </w:tcPr>
                <w:p w14:paraId="2FF4ABD9">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425" w:type="pct"/>
                  <w:vMerge w:val="continue"/>
                  <w:tcBorders>
                    <w:tl2br w:val="nil"/>
                    <w:tr2bl w:val="nil"/>
                  </w:tcBorders>
                  <w:noWrap w:val="0"/>
                  <w:vAlign w:val="center"/>
                </w:tcPr>
                <w:p w14:paraId="37523A06">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r>
            <w:tr w14:paraId="50A9C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vMerge w:val="continue"/>
                  <w:tcBorders>
                    <w:tl2br w:val="nil"/>
                    <w:tr2bl w:val="nil"/>
                  </w:tcBorders>
                  <w:noWrap w:val="0"/>
                  <w:vAlign w:val="center"/>
                </w:tcPr>
                <w:p w14:paraId="01C2EC93">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505" w:type="pct"/>
                  <w:vMerge w:val="continue"/>
                  <w:tcBorders>
                    <w:tl2br w:val="nil"/>
                    <w:tr2bl w:val="nil"/>
                  </w:tcBorders>
                  <w:noWrap w:val="0"/>
                  <w:tcMar>
                    <w:top w:w="0" w:type="dxa"/>
                    <w:left w:w="57" w:type="dxa"/>
                    <w:bottom w:w="0" w:type="dxa"/>
                    <w:right w:w="57" w:type="dxa"/>
                  </w:tcMar>
                  <w:vAlign w:val="center"/>
                </w:tcPr>
                <w:p w14:paraId="571BB43D">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777" w:type="pct"/>
                  <w:tcBorders>
                    <w:tl2br w:val="nil"/>
                    <w:tr2bl w:val="nil"/>
                  </w:tcBorders>
                  <w:noWrap w:val="0"/>
                  <w:tcMar>
                    <w:top w:w="0" w:type="dxa"/>
                    <w:left w:w="57" w:type="dxa"/>
                    <w:bottom w:w="0" w:type="dxa"/>
                    <w:right w:w="57" w:type="dxa"/>
                  </w:tcMar>
                  <w:vAlign w:val="center"/>
                </w:tcPr>
                <w:p w14:paraId="27B96D28">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蒸发残液</w:t>
                  </w:r>
                </w:p>
              </w:tc>
              <w:tc>
                <w:tcPr>
                  <w:tcW w:w="1275" w:type="pct"/>
                  <w:vMerge w:val="continue"/>
                  <w:tcBorders>
                    <w:tl2br w:val="nil"/>
                    <w:tr2bl w:val="nil"/>
                  </w:tcBorders>
                  <w:noWrap w:val="0"/>
                  <w:tcMar>
                    <w:top w:w="0" w:type="dxa"/>
                    <w:left w:w="57" w:type="dxa"/>
                    <w:bottom w:w="0" w:type="dxa"/>
                    <w:right w:w="57" w:type="dxa"/>
                  </w:tcMar>
                  <w:vAlign w:val="center"/>
                </w:tcPr>
                <w:p w14:paraId="4980DAE1">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909" w:type="pct"/>
                  <w:vMerge w:val="continue"/>
                  <w:tcBorders>
                    <w:tl2br w:val="nil"/>
                    <w:tr2bl w:val="nil"/>
                  </w:tcBorders>
                  <w:noWrap w:val="0"/>
                  <w:tcMar>
                    <w:top w:w="0" w:type="dxa"/>
                    <w:left w:w="57" w:type="dxa"/>
                    <w:bottom w:w="0" w:type="dxa"/>
                    <w:right w:w="57" w:type="dxa"/>
                  </w:tcMar>
                  <w:vAlign w:val="center"/>
                </w:tcPr>
                <w:p w14:paraId="39E9F237">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499" w:type="pct"/>
                  <w:vMerge w:val="continue"/>
                  <w:tcBorders>
                    <w:tl2br w:val="nil"/>
                    <w:tr2bl w:val="nil"/>
                  </w:tcBorders>
                  <w:noWrap w:val="0"/>
                  <w:vAlign w:val="center"/>
                </w:tcPr>
                <w:p w14:paraId="062FE012">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c>
                <w:tcPr>
                  <w:tcW w:w="425" w:type="pct"/>
                  <w:vMerge w:val="continue"/>
                  <w:tcBorders>
                    <w:tl2br w:val="nil"/>
                    <w:tr2bl w:val="nil"/>
                  </w:tcBorders>
                  <w:noWrap w:val="0"/>
                  <w:vAlign w:val="center"/>
                </w:tcPr>
                <w:p w14:paraId="572D7E0E">
                  <w:pPr>
                    <w:keepNext w:val="0"/>
                    <w:keepLines w:val="0"/>
                    <w:pageBreakBefore w:val="0"/>
                    <w:kinsoku/>
                    <w:wordWrap/>
                    <w:overflowPunct/>
                    <w:topLinePunct w:val="0"/>
                    <w:bidi w:val="0"/>
                    <w:adjustRightInd w:val="0"/>
                    <w:snapToGrid w:val="0"/>
                    <w:ind w:firstLine="0"/>
                    <w:jc w:val="center"/>
                    <w:textAlignment w:val="auto"/>
                    <w:rPr>
                      <w:rFonts w:hint="eastAsia"/>
                      <w:color w:val="000000"/>
                      <w:kern w:val="0"/>
                      <w:szCs w:val="21"/>
                      <w:highlight w:val="none"/>
                    </w:rPr>
                  </w:pPr>
                </w:p>
              </w:tc>
            </w:tr>
            <w:tr w14:paraId="012EE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vMerge w:val="continue"/>
                  <w:tcBorders>
                    <w:tl2br w:val="nil"/>
                    <w:tr2bl w:val="nil"/>
                  </w:tcBorders>
                  <w:noWrap w:val="0"/>
                  <w:vAlign w:val="center"/>
                </w:tcPr>
                <w:p w14:paraId="2447F658">
                  <w:pPr>
                    <w:keepNext w:val="0"/>
                    <w:keepLines w:val="0"/>
                    <w:pageBreakBefore w:val="0"/>
                    <w:widowControl/>
                    <w:kinsoku/>
                    <w:wordWrap/>
                    <w:overflowPunct/>
                    <w:topLinePunct w:val="0"/>
                    <w:bidi w:val="0"/>
                    <w:adjustRightInd w:val="0"/>
                    <w:snapToGrid w:val="0"/>
                    <w:ind w:firstLine="0"/>
                    <w:jc w:val="center"/>
                    <w:textAlignment w:val="auto"/>
                    <w:rPr>
                      <w:b/>
                      <w:color w:val="000000"/>
                      <w:szCs w:val="21"/>
                      <w:highlight w:val="yellow"/>
                    </w:rPr>
                  </w:pPr>
                </w:p>
              </w:tc>
              <w:tc>
                <w:tcPr>
                  <w:tcW w:w="1283" w:type="pct"/>
                  <w:gridSpan w:val="2"/>
                  <w:tcBorders>
                    <w:tl2br w:val="nil"/>
                    <w:tr2bl w:val="nil"/>
                  </w:tcBorders>
                  <w:noWrap w:val="0"/>
                  <w:tcMar>
                    <w:top w:w="0" w:type="dxa"/>
                    <w:left w:w="57" w:type="dxa"/>
                    <w:bottom w:w="0" w:type="dxa"/>
                    <w:right w:w="57" w:type="dxa"/>
                  </w:tcMar>
                  <w:vAlign w:val="center"/>
                </w:tcPr>
                <w:p w14:paraId="3B3FD471">
                  <w:pPr>
                    <w:keepNext w:val="0"/>
                    <w:keepLines w:val="0"/>
                    <w:pageBreakBefore w:val="0"/>
                    <w:kinsoku/>
                    <w:wordWrap/>
                    <w:overflowPunct/>
                    <w:topLinePunct w:val="0"/>
                    <w:bidi w:val="0"/>
                    <w:adjustRightInd w:val="0"/>
                    <w:snapToGrid w:val="0"/>
                    <w:ind w:firstLine="0"/>
                    <w:jc w:val="center"/>
                    <w:textAlignment w:val="auto"/>
                    <w:rPr>
                      <w:color w:val="000000"/>
                      <w:kern w:val="0"/>
                      <w:szCs w:val="21"/>
                    </w:rPr>
                  </w:pPr>
                  <w:r>
                    <w:rPr>
                      <w:rFonts w:hint="eastAsia"/>
                      <w:color w:val="000000"/>
                      <w:kern w:val="0"/>
                      <w:szCs w:val="21"/>
                    </w:rPr>
                    <w:t>生活垃圾</w:t>
                  </w:r>
                </w:p>
              </w:tc>
              <w:tc>
                <w:tcPr>
                  <w:tcW w:w="1275" w:type="pct"/>
                  <w:tcBorders>
                    <w:tl2br w:val="nil"/>
                    <w:tr2bl w:val="nil"/>
                  </w:tcBorders>
                  <w:noWrap w:val="0"/>
                  <w:tcMar>
                    <w:top w:w="0" w:type="dxa"/>
                    <w:left w:w="57" w:type="dxa"/>
                    <w:bottom w:w="0" w:type="dxa"/>
                    <w:right w:w="57" w:type="dxa"/>
                  </w:tcMar>
                  <w:vAlign w:val="center"/>
                </w:tcPr>
                <w:p w14:paraId="7D7E3BF8">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环卫统一收集</w:t>
                  </w:r>
                </w:p>
              </w:tc>
              <w:tc>
                <w:tcPr>
                  <w:tcW w:w="909" w:type="pct"/>
                  <w:vMerge w:val="continue"/>
                  <w:tcBorders>
                    <w:tl2br w:val="nil"/>
                    <w:tr2bl w:val="nil"/>
                  </w:tcBorders>
                  <w:noWrap w:val="0"/>
                  <w:tcMar>
                    <w:top w:w="0" w:type="dxa"/>
                    <w:left w:w="57" w:type="dxa"/>
                    <w:bottom w:w="0" w:type="dxa"/>
                    <w:right w:w="57" w:type="dxa"/>
                  </w:tcMar>
                  <w:vAlign w:val="center"/>
                </w:tcPr>
                <w:p w14:paraId="764C7D88">
                  <w:pPr>
                    <w:keepNext w:val="0"/>
                    <w:keepLines w:val="0"/>
                    <w:pageBreakBefore w:val="0"/>
                    <w:kinsoku/>
                    <w:wordWrap/>
                    <w:overflowPunct/>
                    <w:topLinePunct w:val="0"/>
                    <w:bidi w:val="0"/>
                    <w:adjustRightInd w:val="0"/>
                    <w:snapToGrid w:val="0"/>
                    <w:ind w:firstLine="0"/>
                    <w:jc w:val="center"/>
                    <w:textAlignment w:val="auto"/>
                    <w:rPr>
                      <w:color w:val="000000"/>
                      <w:szCs w:val="21"/>
                    </w:rPr>
                  </w:pPr>
                </w:p>
              </w:tc>
              <w:tc>
                <w:tcPr>
                  <w:tcW w:w="499" w:type="pct"/>
                  <w:vMerge w:val="continue"/>
                  <w:tcBorders>
                    <w:tl2br w:val="nil"/>
                    <w:tr2bl w:val="nil"/>
                  </w:tcBorders>
                  <w:noWrap w:val="0"/>
                  <w:vAlign w:val="center"/>
                </w:tcPr>
                <w:p w14:paraId="287B28E6">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none"/>
                    </w:rPr>
                  </w:pPr>
                </w:p>
              </w:tc>
              <w:tc>
                <w:tcPr>
                  <w:tcW w:w="425" w:type="pct"/>
                  <w:vMerge w:val="continue"/>
                  <w:tcBorders>
                    <w:tl2br w:val="nil"/>
                    <w:tr2bl w:val="nil"/>
                  </w:tcBorders>
                  <w:noWrap w:val="0"/>
                  <w:vAlign w:val="center"/>
                </w:tcPr>
                <w:p w14:paraId="6A7D64E5">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16F914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6ED00948">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绿化</w:t>
                  </w:r>
                </w:p>
              </w:tc>
              <w:tc>
                <w:tcPr>
                  <w:tcW w:w="3467" w:type="pct"/>
                  <w:gridSpan w:val="4"/>
                  <w:tcBorders>
                    <w:tl2br w:val="nil"/>
                    <w:tr2bl w:val="nil"/>
                  </w:tcBorders>
                  <w:noWrap w:val="0"/>
                  <w:tcMar>
                    <w:top w:w="0" w:type="dxa"/>
                    <w:left w:w="57" w:type="dxa"/>
                    <w:bottom w:w="0" w:type="dxa"/>
                    <w:right w:w="57" w:type="dxa"/>
                  </w:tcMar>
                  <w:vAlign w:val="center"/>
                </w:tcPr>
                <w:p w14:paraId="71A887FD">
                  <w:pPr>
                    <w:keepNext w:val="0"/>
                    <w:keepLines w:val="0"/>
                    <w:pageBreakBefore w:val="0"/>
                    <w:kinsoku/>
                    <w:wordWrap/>
                    <w:overflowPunct/>
                    <w:topLinePunct w:val="0"/>
                    <w:bidi w:val="0"/>
                    <w:adjustRightInd w:val="0"/>
                    <w:snapToGrid w:val="0"/>
                    <w:ind w:firstLine="0"/>
                    <w:jc w:val="center"/>
                    <w:textAlignment w:val="auto"/>
                    <w:rPr>
                      <w:rFonts w:hint="eastAsia" w:eastAsia="宋体"/>
                      <w:color w:val="000000"/>
                      <w:szCs w:val="21"/>
                      <w:lang w:eastAsia="zh-CN"/>
                    </w:rPr>
                  </w:pPr>
                  <w:r>
                    <w:rPr>
                      <w:rFonts w:hint="eastAsia"/>
                      <w:color w:val="000000"/>
                      <w:szCs w:val="21"/>
                    </w:rPr>
                    <w:t>依托</w:t>
                  </w:r>
                  <w:r>
                    <w:rPr>
                      <w:rFonts w:hint="eastAsia"/>
                      <w:color w:val="000000"/>
                      <w:szCs w:val="21"/>
                      <w:lang w:val="en-US" w:eastAsia="zh-CN"/>
                    </w:rPr>
                    <w:t>原有</w:t>
                  </w:r>
                </w:p>
              </w:tc>
              <w:tc>
                <w:tcPr>
                  <w:tcW w:w="499" w:type="pct"/>
                  <w:tcBorders>
                    <w:tl2br w:val="nil"/>
                    <w:tr2bl w:val="nil"/>
                  </w:tcBorders>
                  <w:noWrap w:val="0"/>
                  <w:tcMar>
                    <w:top w:w="0" w:type="dxa"/>
                    <w:left w:w="57" w:type="dxa"/>
                    <w:bottom w:w="0" w:type="dxa"/>
                    <w:right w:w="57" w:type="dxa"/>
                  </w:tcMar>
                  <w:vAlign w:val="center"/>
                </w:tcPr>
                <w:p w14:paraId="2E435D62">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w:t>
                  </w:r>
                </w:p>
              </w:tc>
              <w:tc>
                <w:tcPr>
                  <w:tcW w:w="425" w:type="pct"/>
                  <w:vMerge w:val="continue"/>
                  <w:tcBorders>
                    <w:tl2br w:val="nil"/>
                    <w:tr2bl w:val="nil"/>
                  </w:tcBorders>
                  <w:noWrap w:val="0"/>
                  <w:vAlign w:val="center"/>
                </w:tcPr>
                <w:p w14:paraId="45A6A338">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6FEEE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442F9C0C">
                  <w:pPr>
                    <w:keepNext w:val="0"/>
                    <w:keepLines w:val="0"/>
                    <w:pageBreakBefore w:val="0"/>
                    <w:kinsoku/>
                    <w:wordWrap/>
                    <w:overflowPunct/>
                    <w:topLinePunct w:val="0"/>
                    <w:bidi w:val="0"/>
                    <w:adjustRightInd w:val="0"/>
                    <w:snapToGrid w:val="0"/>
                    <w:ind w:firstLine="0"/>
                    <w:jc w:val="center"/>
                    <w:textAlignment w:val="auto"/>
                    <w:rPr>
                      <w:b/>
                      <w:color w:val="000000"/>
                      <w:szCs w:val="21"/>
                      <w:highlight w:val="none"/>
                    </w:rPr>
                  </w:pPr>
                  <w:r>
                    <w:rPr>
                      <w:rFonts w:hint="eastAsia"/>
                      <w:b/>
                      <w:color w:val="000000"/>
                      <w:szCs w:val="21"/>
                      <w:highlight w:val="none"/>
                    </w:rPr>
                    <w:t>事故应急措施</w:t>
                  </w:r>
                </w:p>
              </w:tc>
              <w:tc>
                <w:tcPr>
                  <w:tcW w:w="3467" w:type="pct"/>
                  <w:gridSpan w:val="4"/>
                  <w:tcBorders>
                    <w:tl2br w:val="nil"/>
                    <w:tr2bl w:val="nil"/>
                  </w:tcBorders>
                  <w:noWrap w:val="0"/>
                  <w:tcMar>
                    <w:top w:w="0" w:type="dxa"/>
                    <w:left w:w="57" w:type="dxa"/>
                    <w:bottom w:w="0" w:type="dxa"/>
                    <w:right w:w="57" w:type="dxa"/>
                  </w:tcMar>
                  <w:vAlign w:val="center"/>
                </w:tcPr>
                <w:p w14:paraId="6376062D">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定期维护保养、安装自动监控系统、制定应急操作规程、应急设施、应急预案、环境风险管理等；设置</w:t>
                  </w:r>
                  <w:r>
                    <w:rPr>
                      <w:rFonts w:hint="eastAsia"/>
                      <w:color w:val="000000"/>
                      <w:szCs w:val="21"/>
                      <w:highlight w:val="none"/>
                      <w:lang w:val="en-US" w:eastAsia="zh-CN"/>
                    </w:rPr>
                    <w:t>144.2</w:t>
                  </w:r>
                  <w:r>
                    <w:rPr>
                      <w:rFonts w:hint="eastAsia"/>
                      <w:color w:val="000000"/>
                      <w:szCs w:val="21"/>
                      <w:highlight w:val="none"/>
                    </w:rPr>
                    <w:t>m</w:t>
                  </w:r>
                  <w:r>
                    <w:rPr>
                      <w:rFonts w:hint="eastAsia"/>
                      <w:color w:val="000000"/>
                      <w:szCs w:val="21"/>
                      <w:highlight w:val="none"/>
                      <w:vertAlign w:val="superscript"/>
                    </w:rPr>
                    <w:t>3</w:t>
                  </w:r>
                  <w:r>
                    <w:rPr>
                      <w:rFonts w:hint="eastAsia"/>
                      <w:color w:val="000000"/>
                      <w:szCs w:val="21"/>
                      <w:highlight w:val="none"/>
                    </w:rPr>
                    <w:t>的事故应急池；详见环境风险影响分析章节</w:t>
                  </w:r>
                </w:p>
              </w:tc>
              <w:tc>
                <w:tcPr>
                  <w:tcW w:w="499" w:type="pct"/>
                  <w:tcBorders>
                    <w:tl2br w:val="nil"/>
                    <w:tr2bl w:val="nil"/>
                  </w:tcBorders>
                  <w:noWrap w:val="0"/>
                  <w:tcMar>
                    <w:top w:w="0" w:type="dxa"/>
                    <w:left w:w="57" w:type="dxa"/>
                    <w:bottom w:w="0" w:type="dxa"/>
                    <w:right w:w="57" w:type="dxa"/>
                  </w:tcMar>
                  <w:vAlign w:val="center"/>
                </w:tcPr>
                <w:p w14:paraId="224C76DC">
                  <w:pPr>
                    <w:keepNext w:val="0"/>
                    <w:keepLines w:val="0"/>
                    <w:pageBreakBefore w:val="0"/>
                    <w:kinsoku/>
                    <w:wordWrap/>
                    <w:overflowPunct/>
                    <w:topLinePunct w:val="0"/>
                    <w:bidi w:val="0"/>
                    <w:adjustRightInd w:val="0"/>
                    <w:snapToGrid w:val="0"/>
                    <w:ind w:firstLine="0"/>
                    <w:jc w:val="center"/>
                    <w:textAlignment w:val="auto"/>
                    <w:rPr>
                      <w:rFonts w:hint="eastAsia" w:eastAsia="宋体"/>
                      <w:color w:val="000000"/>
                      <w:szCs w:val="21"/>
                      <w:highlight w:val="none"/>
                      <w:lang w:eastAsia="zh-CN"/>
                    </w:rPr>
                  </w:pPr>
                  <w:r>
                    <w:rPr>
                      <w:rFonts w:hint="eastAsia"/>
                      <w:color w:val="000000"/>
                      <w:szCs w:val="21"/>
                      <w:highlight w:val="none"/>
                      <w:lang w:val="en-US" w:eastAsia="zh-CN"/>
                    </w:rPr>
                    <w:t>/</w:t>
                  </w:r>
                </w:p>
              </w:tc>
              <w:tc>
                <w:tcPr>
                  <w:tcW w:w="425" w:type="pct"/>
                  <w:vMerge w:val="continue"/>
                  <w:tcBorders>
                    <w:tl2br w:val="nil"/>
                    <w:tr2bl w:val="nil"/>
                  </w:tcBorders>
                  <w:noWrap w:val="0"/>
                  <w:vAlign w:val="center"/>
                </w:tcPr>
                <w:p w14:paraId="3BE6393B">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542BB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0B3C8632">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环境管理（机构、监测能力）</w:t>
                  </w:r>
                </w:p>
              </w:tc>
              <w:tc>
                <w:tcPr>
                  <w:tcW w:w="3467" w:type="pct"/>
                  <w:gridSpan w:val="4"/>
                  <w:tcBorders>
                    <w:tl2br w:val="nil"/>
                    <w:tr2bl w:val="nil"/>
                  </w:tcBorders>
                  <w:noWrap w:val="0"/>
                  <w:tcMar>
                    <w:top w:w="0" w:type="dxa"/>
                    <w:left w:w="57" w:type="dxa"/>
                    <w:bottom w:w="0" w:type="dxa"/>
                    <w:right w:w="57" w:type="dxa"/>
                  </w:tcMar>
                  <w:vAlign w:val="center"/>
                </w:tcPr>
                <w:p w14:paraId="743AABCC">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制定监测计划和环境管理计划，委托第三方有资质的检测公司定期监测</w:t>
                  </w:r>
                </w:p>
              </w:tc>
              <w:tc>
                <w:tcPr>
                  <w:tcW w:w="499" w:type="pct"/>
                  <w:tcBorders>
                    <w:tl2br w:val="nil"/>
                    <w:tr2bl w:val="nil"/>
                  </w:tcBorders>
                  <w:noWrap w:val="0"/>
                  <w:tcMar>
                    <w:top w:w="0" w:type="dxa"/>
                    <w:left w:w="57" w:type="dxa"/>
                    <w:bottom w:w="0" w:type="dxa"/>
                    <w:right w:w="57" w:type="dxa"/>
                  </w:tcMar>
                  <w:vAlign w:val="center"/>
                </w:tcPr>
                <w:p w14:paraId="2F069074">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c>
                <w:tcPr>
                  <w:tcW w:w="425" w:type="pct"/>
                  <w:vMerge w:val="continue"/>
                  <w:tcBorders>
                    <w:tl2br w:val="nil"/>
                    <w:tr2bl w:val="nil"/>
                  </w:tcBorders>
                  <w:noWrap w:val="0"/>
                  <w:vAlign w:val="center"/>
                </w:tcPr>
                <w:p w14:paraId="78A06B6A">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788BF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19E3E289">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清污分流、排污口规范化设置</w:t>
                  </w:r>
                </w:p>
              </w:tc>
              <w:tc>
                <w:tcPr>
                  <w:tcW w:w="3467" w:type="pct"/>
                  <w:gridSpan w:val="4"/>
                  <w:tcBorders>
                    <w:tl2br w:val="nil"/>
                    <w:tr2bl w:val="nil"/>
                  </w:tcBorders>
                  <w:noWrap w:val="0"/>
                  <w:tcMar>
                    <w:top w:w="0" w:type="dxa"/>
                    <w:left w:w="57" w:type="dxa"/>
                    <w:bottom w:w="0" w:type="dxa"/>
                    <w:right w:w="57" w:type="dxa"/>
                  </w:tcMar>
                  <w:vAlign w:val="center"/>
                </w:tcPr>
                <w:p w14:paraId="40EF3574">
                  <w:pPr>
                    <w:keepNext w:val="0"/>
                    <w:keepLines w:val="0"/>
                    <w:pageBreakBefore w:val="0"/>
                    <w:kinsoku/>
                    <w:wordWrap/>
                    <w:overflowPunct/>
                    <w:topLinePunct w:val="0"/>
                    <w:bidi w:val="0"/>
                    <w:adjustRightInd w:val="0"/>
                    <w:snapToGrid w:val="0"/>
                    <w:ind w:firstLine="0"/>
                    <w:jc w:val="center"/>
                    <w:textAlignment w:val="auto"/>
                    <w:rPr>
                      <w:rFonts w:hint="eastAsia" w:eastAsia="宋体"/>
                      <w:color w:val="000000"/>
                      <w:szCs w:val="21"/>
                      <w:lang w:eastAsia="zh-CN"/>
                    </w:rPr>
                  </w:pPr>
                  <w:r>
                    <w:rPr>
                      <w:rFonts w:hint="eastAsia"/>
                      <w:color w:val="000000"/>
                      <w:szCs w:val="21"/>
                    </w:rPr>
                    <w:t>规范化污水接管口、废气排口、固废暂</w:t>
                  </w:r>
                  <w:r>
                    <w:rPr>
                      <w:rFonts w:hint="eastAsia"/>
                      <w:color w:val="000000"/>
                      <w:szCs w:val="21"/>
                      <w:lang w:val="en-US" w:eastAsia="zh-CN"/>
                    </w:rPr>
                    <w:t>仓库</w:t>
                  </w:r>
                  <w:r>
                    <w:rPr>
                      <w:rFonts w:hint="eastAsia"/>
                      <w:color w:val="000000"/>
                      <w:szCs w:val="21"/>
                    </w:rPr>
                    <w:t>及危废</w:t>
                  </w:r>
                  <w:r>
                    <w:rPr>
                      <w:rFonts w:hint="eastAsia"/>
                      <w:color w:val="000000"/>
                      <w:szCs w:val="21"/>
                      <w:lang w:val="en-US" w:eastAsia="zh-CN"/>
                    </w:rPr>
                    <w:t>仓库</w:t>
                  </w:r>
                </w:p>
              </w:tc>
              <w:tc>
                <w:tcPr>
                  <w:tcW w:w="499" w:type="pct"/>
                  <w:tcBorders>
                    <w:tl2br w:val="nil"/>
                    <w:tr2bl w:val="nil"/>
                  </w:tcBorders>
                  <w:noWrap w:val="0"/>
                  <w:tcMar>
                    <w:top w:w="0" w:type="dxa"/>
                    <w:left w:w="57" w:type="dxa"/>
                    <w:bottom w:w="0" w:type="dxa"/>
                    <w:right w:w="57" w:type="dxa"/>
                  </w:tcMar>
                  <w:vAlign w:val="center"/>
                </w:tcPr>
                <w:p w14:paraId="531261D7">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c>
                <w:tcPr>
                  <w:tcW w:w="425" w:type="pct"/>
                  <w:vMerge w:val="continue"/>
                  <w:tcBorders>
                    <w:tl2br w:val="nil"/>
                    <w:tr2bl w:val="nil"/>
                  </w:tcBorders>
                  <w:noWrap w:val="0"/>
                  <w:vAlign w:val="center"/>
                </w:tcPr>
                <w:p w14:paraId="797F01CD">
                  <w:pPr>
                    <w:keepNext w:val="0"/>
                    <w:keepLines w:val="0"/>
                    <w:pageBreakBefore w:val="0"/>
                    <w:widowControl/>
                    <w:kinsoku/>
                    <w:wordWrap/>
                    <w:overflowPunct/>
                    <w:topLinePunct w:val="0"/>
                    <w:bidi w:val="0"/>
                    <w:adjustRightInd w:val="0"/>
                    <w:snapToGrid w:val="0"/>
                    <w:ind w:firstLine="0"/>
                    <w:jc w:val="center"/>
                    <w:textAlignment w:val="auto"/>
                    <w:rPr>
                      <w:color w:val="000000"/>
                      <w:szCs w:val="21"/>
                    </w:rPr>
                  </w:pPr>
                </w:p>
              </w:tc>
            </w:tr>
            <w:tr w14:paraId="10DD7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6AFF6C1D">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ascii="宋体" w:hAnsi="宋体" w:eastAsia="宋体" w:cs="宋体"/>
                      <w:b/>
                      <w:color w:val="000000"/>
                      <w:szCs w:val="21"/>
                    </w:rPr>
                    <w:t>“以新带老”措</w:t>
                  </w:r>
                  <w:r>
                    <w:rPr>
                      <w:rFonts w:hint="eastAsia"/>
                      <w:b/>
                      <w:color w:val="000000"/>
                      <w:szCs w:val="21"/>
                    </w:rPr>
                    <w:t>施</w:t>
                  </w:r>
                </w:p>
              </w:tc>
              <w:tc>
                <w:tcPr>
                  <w:tcW w:w="3467" w:type="pct"/>
                  <w:gridSpan w:val="4"/>
                  <w:tcBorders>
                    <w:tl2br w:val="nil"/>
                    <w:tr2bl w:val="nil"/>
                  </w:tcBorders>
                  <w:noWrap w:val="0"/>
                  <w:tcMar>
                    <w:top w:w="0" w:type="dxa"/>
                    <w:left w:w="57" w:type="dxa"/>
                    <w:bottom w:w="0" w:type="dxa"/>
                    <w:right w:w="57" w:type="dxa"/>
                  </w:tcMar>
                  <w:vAlign w:val="center"/>
                </w:tcPr>
                <w:p w14:paraId="731A1B4B">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w:t>
                  </w:r>
                </w:p>
              </w:tc>
              <w:tc>
                <w:tcPr>
                  <w:tcW w:w="499" w:type="pct"/>
                  <w:tcBorders>
                    <w:tl2br w:val="nil"/>
                    <w:tr2bl w:val="nil"/>
                  </w:tcBorders>
                  <w:noWrap w:val="0"/>
                  <w:tcMar>
                    <w:top w:w="0" w:type="dxa"/>
                    <w:left w:w="57" w:type="dxa"/>
                    <w:bottom w:w="0" w:type="dxa"/>
                    <w:right w:w="57" w:type="dxa"/>
                  </w:tcMar>
                  <w:vAlign w:val="center"/>
                </w:tcPr>
                <w:p w14:paraId="5D767653">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c>
                <w:tcPr>
                  <w:tcW w:w="425" w:type="pct"/>
                  <w:vMerge w:val="continue"/>
                  <w:tcBorders>
                    <w:tl2br w:val="nil"/>
                    <w:tr2bl w:val="nil"/>
                  </w:tcBorders>
                  <w:noWrap w:val="0"/>
                  <w:vAlign w:val="center"/>
                </w:tcPr>
                <w:p w14:paraId="6B670746">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71FDB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3A7A161F">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总量平衡具体方案</w:t>
                  </w:r>
                </w:p>
              </w:tc>
              <w:tc>
                <w:tcPr>
                  <w:tcW w:w="3467" w:type="pct"/>
                  <w:gridSpan w:val="4"/>
                  <w:tcBorders>
                    <w:tl2br w:val="nil"/>
                    <w:tr2bl w:val="nil"/>
                  </w:tcBorders>
                  <w:noWrap w:val="0"/>
                  <w:tcMar>
                    <w:top w:w="0" w:type="dxa"/>
                    <w:left w:w="57" w:type="dxa"/>
                    <w:bottom w:w="0" w:type="dxa"/>
                    <w:right w:w="57" w:type="dxa"/>
                  </w:tcMar>
                  <w:vAlign w:val="center"/>
                </w:tcPr>
                <w:p w14:paraId="683C0709">
                  <w:pPr>
                    <w:keepNext w:val="0"/>
                    <w:keepLines w:val="0"/>
                    <w:pageBreakBefore w:val="0"/>
                    <w:kinsoku/>
                    <w:wordWrap/>
                    <w:overflowPunct/>
                    <w:topLinePunct w:val="0"/>
                    <w:bidi w:val="0"/>
                    <w:adjustRightInd w:val="0"/>
                    <w:snapToGrid w:val="0"/>
                    <w:ind w:firstLine="420" w:firstLineChars="200"/>
                    <w:jc w:val="both"/>
                    <w:textAlignment w:val="auto"/>
                    <w:rPr>
                      <w:rFonts w:hint="eastAsia"/>
                      <w:color w:val="000000"/>
                      <w:szCs w:val="21"/>
                      <w:highlight w:val="none"/>
                    </w:rPr>
                  </w:pPr>
                  <w:r>
                    <w:rPr>
                      <w:rFonts w:hint="eastAsia"/>
                      <w:color w:val="000000"/>
                      <w:szCs w:val="21"/>
                      <w:highlight w:val="none"/>
                    </w:rPr>
                    <w:t>本项目生活污水排放量</w:t>
                  </w:r>
                  <w:r>
                    <w:rPr>
                      <w:rFonts w:hint="eastAsia"/>
                      <w:color w:val="000000"/>
                      <w:szCs w:val="21"/>
                      <w:highlight w:val="none"/>
                      <w:lang w:val="en-US" w:eastAsia="zh-CN"/>
                    </w:rPr>
                    <w:t>1352</w:t>
                  </w:r>
                  <w:r>
                    <w:rPr>
                      <w:rFonts w:hint="eastAsia"/>
                      <w:color w:val="000000"/>
                      <w:szCs w:val="21"/>
                      <w:highlight w:val="none"/>
                    </w:rPr>
                    <w:t>t/a、COD</w:t>
                  </w:r>
                  <w:r>
                    <w:rPr>
                      <w:rFonts w:hint="eastAsia"/>
                      <w:color w:val="000000"/>
                      <w:szCs w:val="21"/>
                      <w:highlight w:val="none"/>
                      <w:lang w:val="en-US" w:eastAsia="zh-CN"/>
                    </w:rPr>
                    <w:t>0.4056</w:t>
                  </w:r>
                  <w:r>
                    <w:rPr>
                      <w:rFonts w:hint="eastAsia"/>
                      <w:color w:val="000000"/>
                      <w:szCs w:val="21"/>
                      <w:highlight w:val="none"/>
                    </w:rPr>
                    <w:t>t/a、SS</w:t>
                  </w:r>
                  <w:r>
                    <w:rPr>
                      <w:rFonts w:hint="eastAsia"/>
                      <w:color w:val="000000"/>
                      <w:szCs w:val="21"/>
                      <w:highlight w:val="none"/>
                      <w:lang w:val="en-US" w:eastAsia="zh-CN"/>
                    </w:rPr>
                    <w:t>0.2704</w:t>
                  </w:r>
                  <w:r>
                    <w:rPr>
                      <w:rFonts w:hint="eastAsia"/>
                      <w:color w:val="000000"/>
                      <w:szCs w:val="21"/>
                      <w:highlight w:val="none"/>
                    </w:rPr>
                    <w:t>t/a、NH</w:t>
                  </w:r>
                  <w:r>
                    <w:rPr>
                      <w:rFonts w:hint="eastAsia"/>
                      <w:color w:val="000000"/>
                      <w:szCs w:val="21"/>
                      <w:highlight w:val="none"/>
                      <w:vertAlign w:val="subscript"/>
                    </w:rPr>
                    <w:t>3</w:t>
                  </w:r>
                  <w:r>
                    <w:rPr>
                      <w:rFonts w:hint="eastAsia"/>
                      <w:color w:val="000000"/>
                      <w:szCs w:val="21"/>
                      <w:highlight w:val="none"/>
                    </w:rPr>
                    <w:t>-N</w:t>
                  </w:r>
                  <w:r>
                    <w:rPr>
                      <w:rFonts w:hint="eastAsia"/>
                      <w:color w:val="000000"/>
                      <w:szCs w:val="21"/>
                      <w:highlight w:val="none"/>
                      <w:lang w:val="en-US" w:eastAsia="zh-CN"/>
                    </w:rPr>
                    <w:t>0.04056</w:t>
                  </w:r>
                  <w:r>
                    <w:rPr>
                      <w:rFonts w:hint="eastAsia"/>
                      <w:color w:val="000000"/>
                      <w:szCs w:val="21"/>
                      <w:highlight w:val="none"/>
                    </w:rPr>
                    <w:t>t/a、TP</w:t>
                  </w:r>
                  <w:r>
                    <w:rPr>
                      <w:rFonts w:hint="eastAsia"/>
                      <w:color w:val="000000"/>
                      <w:szCs w:val="21"/>
                      <w:highlight w:val="none"/>
                      <w:lang w:val="en-US" w:eastAsia="zh-CN"/>
                    </w:rPr>
                    <w:t>0.004056</w:t>
                  </w:r>
                  <w:r>
                    <w:rPr>
                      <w:rFonts w:hint="eastAsia"/>
                      <w:color w:val="000000"/>
                      <w:szCs w:val="21"/>
                      <w:highlight w:val="none"/>
                    </w:rPr>
                    <w:t>t/a、TN</w:t>
                  </w:r>
                  <w:r>
                    <w:rPr>
                      <w:rFonts w:hint="eastAsia"/>
                      <w:color w:val="000000"/>
                      <w:szCs w:val="21"/>
                      <w:highlight w:val="none"/>
                      <w:lang w:val="en-US" w:eastAsia="zh-CN"/>
                    </w:rPr>
                    <w:t>0.0676</w:t>
                  </w:r>
                  <w:r>
                    <w:rPr>
                      <w:rFonts w:hint="eastAsia"/>
                      <w:color w:val="000000"/>
                      <w:szCs w:val="21"/>
                      <w:highlight w:val="none"/>
                    </w:rPr>
                    <w:t>t/a，</w:t>
                  </w:r>
                  <w:r>
                    <w:rPr>
                      <w:rFonts w:hint="eastAsia"/>
                      <w:color w:val="000000"/>
                      <w:szCs w:val="21"/>
                      <w:highlight w:val="none"/>
                      <w:lang w:val="en-US" w:eastAsia="zh-CN"/>
                    </w:rPr>
                    <w:t>接管至苏州汾湖水务发展有限公司（黎里工业再生水厂）处理</w:t>
                  </w:r>
                  <w:r>
                    <w:rPr>
                      <w:rFonts w:hint="eastAsia"/>
                      <w:color w:val="000000"/>
                      <w:szCs w:val="21"/>
                      <w:highlight w:val="none"/>
                    </w:rPr>
                    <w:t>，水污染物排放总量指标在污水处理厂内部平衡，企业不再另行申请。</w:t>
                  </w:r>
                </w:p>
                <w:p w14:paraId="42017119">
                  <w:pPr>
                    <w:keepNext w:val="0"/>
                    <w:keepLines w:val="0"/>
                    <w:pageBreakBefore w:val="0"/>
                    <w:kinsoku/>
                    <w:wordWrap/>
                    <w:overflowPunct/>
                    <w:topLinePunct w:val="0"/>
                    <w:bidi w:val="0"/>
                    <w:adjustRightInd w:val="0"/>
                    <w:snapToGrid w:val="0"/>
                    <w:ind w:firstLine="420" w:firstLineChars="200"/>
                    <w:jc w:val="both"/>
                    <w:textAlignment w:val="auto"/>
                    <w:rPr>
                      <w:color w:val="000000"/>
                      <w:szCs w:val="21"/>
                      <w:highlight w:val="yellow"/>
                    </w:rPr>
                  </w:pPr>
                  <w:r>
                    <w:rPr>
                      <w:rFonts w:hint="eastAsia"/>
                      <w:color w:val="000000"/>
                      <w:szCs w:val="21"/>
                      <w:highlight w:val="none"/>
                    </w:rPr>
                    <w:t>本项目有组织</w:t>
                  </w:r>
                  <w:r>
                    <w:rPr>
                      <w:rFonts w:hint="eastAsia"/>
                      <w:color w:val="000000"/>
                      <w:szCs w:val="21"/>
                      <w:highlight w:val="none"/>
                      <w:lang w:val="en-US" w:eastAsia="zh-CN"/>
                    </w:rPr>
                    <w:t>颗粒物0.00378</w:t>
                  </w:r>
                  <w:r>
                    <w:rPr>
                      <w:rFonts w:hint="eastAsia"/>
                      <w:color w:val="000000"/>
                      <w:szCs w:val="21"/>
                      <w:highlight w:val="none"/>
                    </w:rPr>
                    <w:t>t/a</w:t>
                  </w:r>
                  <w:r>
                    <w:rPr>
                      <w:rFonts w:hint="eastAsia"/>
                      <w:color w:val="000000"/>
                      <w:szCs w:val="21"/>
                      <w:highlight w:val="none"/>
                      <w:lang w:eastAsia="zh-CN"/>
                    </w:rPr>
                    <w:t>、</w:t>
                  </w:r>
                  <w:r>
                    <w:rPr>
                      <w:rFonts w:hint="eastAsia"/>
                      <w:color w:val="000000"/>
                      <w:szCs w:val="21"/>
                      <w:highlight w:val="none"/>
                      <w:lang w:val="en-US" w:eastAsia="zh-CN"/>
                    </w:rPr>
                    <w:t>非甲烷总烃0.002325t/a；</w:t>
                  </w:r>
                  <w:r>
                    <w:rPr>
                      <w:rFonts w:hint="eastAsia"/>
                      <w:color w:val="000000"/>
                      <w:szCs w:val="21"/>
                      <w:highlight w:val="none"/>
                    </w:rPr>
                    <w:t>无组织</w:t>
                  </w:r>
                  <w:r>
                    <w:rPr>
                      <w:rFonts w:hint="eastAsia"/>
                      <w:color w:val="000000"/>
                      <w:szCs w:val="21"/>
                      <w:highlight w:val="none"/>
                      <w:lang w:val="en-US" w:eastAsia="zh-CN"/>
                    </w:rPr>
                    <w:t>颗粒物0.00841t/a</w:t>
                  </w:r>
                  <w:r>
                    <w:rPr>
                      <w:rFonts w:hint="eastAsia"/>
                      <w:color w:val="000000"/>
                      <w:szCs w:val="21"/>
                      <w:highlight w:val="none"/>
                      <w:lang w:eastAsia="zh-CN"/>
                    </w:rPr>
                    <w:t>、</w:t>
                  </w:r>
                  <w:r>
                    <w:rPr>
                      <w:rFonts w:hint="eastAsia"/>
                      <w:color w:val="000000"/>
                      <w:szCs w:val="21"/>
                      <w:highlight w:val="none"/>
                      <w:lang w:val="en-US" w:eastAsia="zh-CN"/>
                    </w:rPr>
                    <w:t>非甲烷总烃0.002584t/a</w:t>
                  </w:r>
                  <w:r>
                    <w:rPr>
                      <w:rFonts w:hint="eastAsia"/>
                      <w:color w:val="000000"/>
                      <w:szCs w:val="21"/>
                      <w:highlight w:val="none"/>
                    </w:rPr>
                    <w:t>，</w:t>
                  </w:r>
                  <w:r>
                    <w:rPr>
                      <w:rFonts w:hint="eastAsia"/>
                      <w:color w:val="000000"/>
                      <w:szCs w:val="21"/>
                      <w:highlight w:val="none"/>
                      <w:lang w:val="en-US" w:eastAsia="zh-CN"/>
                    </w:rPr>
                    <w:t>污染物排放总量指标向苏州市吴江生态环境局申请，在吴江区范围内平衡。</w:t>
                  </w:r>
                </w:p>
              </w:tc>
              <w:tc>
                <w:tcPr>
                  <w:tcW w:w="499" w:type="pct"/>
                  <w:tcBorders>
                    <w:tl2br w:val="nil"/>
                    <w:tr2bl w:val="nil"/>
                  </w:tcBorders>
                  <w:noWrap w:val="0"/>
                  <w:vAlign w:val="center"/>
                </w:tcPr>
                <w:p w14:paraId="7666EC93">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c>
                <w:tcPr>
                  <w:tcW w:w="425" w:type="pct"/>
                  <w:vMerge w:val="continue"/>
                  <w:tcBorders>
                    <w:tl2br w:val="nil"/>
                    <w:tr2bl w:val="nil"/>
                  </w:tcBorders>
                  <w:noWrap w:val="0"/>
                  <w:vAlign w:val="center"/>
                </w:tcPr>
                <w:p w14:paraId="3B6561F5">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10F6A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52D79101">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区域解决问题</w:t>
                  </w:r>
                </w:p>
              </w:tc>
              <w:tc>
                <w:tcPr>
                  <w:tcW w:w="3467" w:type="pct"/>
                  <w:gridSpan w:val="4"/>
                  <w:tcBorders>
                    <w:tl2br w:val="nil"/>
                    <w:tr2bl w:val="nil"/>
                  </w:tcBorders>
                  <w:noWrap w:val="0"/>
                  <w:tcMar>
                    <w:top w:w="0" w:type="dxa"/>
                    <w:left w:w="57" w:type="dxa"/>
                    <w:bottom w:w="0" w:type="dxa"/>
                    <w:right w:w="57" w:type="dxa"/>
                  </w:tcMar>
                  <w:vAlign w:val="center"/>
                </w:tcPr>
                <w:p w14:paraId="43FD50B7">
                  <w:pPr>
                    <w:keepNext w:val="0"/>
                    <w:keepLines w:val="0"/>
                    <w:pageBreakBefore w:val="0"/>
                    <w:kinsoku/>
                    <w:wordWrap/>
                    <w:overflowPunct/>
                    <w:topLinePunct w:val="0"/>
                    <w:bidi w:val="0"/>
                    <w:adjustRightInd w:val="0"/>
                    <w:snapToGrid w:val="0"/>
                    <w:ind w:firstLine="0"/>
                    <w:jc w:val="center"/>
                    <w:textAlignment w:val="auto"/>
                    <w:rPr>
                      <w:color w:val="000000"/>
                      <w:szCs w:val="21"/>
                    </w:rPr>
                  </w:pPr>
                  <w:r>
                    <w:rPr>
                      <w:color w:val="000000"/>
                      <w:szCs w:val="21"/>
                    </w:rPr>
                    <w:t>/</w:t>
                  </w:r>
                </w:p>
              </w:tc>
              <w:tc>
                <w:tcPr>
                  <w:tcW w:w="499" w:type="pct"/>
                  <w:tcBorders>
                    <w:tl2br w:val="nil"/>
                    <w:tr2bl w:val="nil"/>
                  </w:tcBorders>
                  <w:noWrap w:val="0"/>
                  <w:vAlign w:val="center"/>
                </w:tcPr>
                <w:p w14:paraId="75660F60">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c>
                <w:tcPr>
                  <w:tcW w:w="425" w:type="pct"/>
                  <w:vMerge w:val="continue"/>
                  <w:tcBorders>
                    <w:tl2br w:val="nil"/>
                    <w:tr2bl w:val="nil"/>
                  </w:tcBorders>
                  <w:noWrap w:val="0"/>
                  <w:vAlign w:val="center"/>
                </w:tcPr>
                <w:p w14:paraId="78897C99">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4B8A5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1B10D304">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卫生环境防护距离设置</w:t>
                  </w:r>
                </w:p>
              </w:tc>
              <w:tc>
                <w:tcPr>
                  <w:tcW w:w="3467" w:type="pct"/>
                  <w:gridSpan w:val="4"/>
                  <w:tcBorders>
                    <w:tl2br w:val="nil"/>
                    <w:tr2bl w:val="nil"/>
                  </w:tcBorders>
                  <w:noWrap w:val="0"/>
                  <w:tcMar>
                    <w:top w:w="0" w:type="dxa"/>
                    <w:left w:w="57" w:type="dxa"/>
                    <w:bottom w:w="0" w:type="dxa"/>
                    <w:right w:w="57" w:type="dxa"/>
                  </w:tcMar>
                  <w:vAlign w:val="center"/>
                </w:tcPr>
                <w:p w14:paraId="2836D752">
                  <w:pPr>
                    <w:keepNext w:val="0"/>
                    <w:keepLines w:val="0"/>
                    <w:pageBreakBefore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w:t>
                  </w:r>
                </w:p>
              </w:tc>
              <w:tc>
                <w:tcPr>
                  <w:tcW w:w="499" w:type="pct"/>
                  <w:tcBorders>
                    <w:tl2br w:val="nil"/>
                    <w:tr2bl w:val="nil"/>
                  </w:tcBorders>
                  <w:noWrap w:val="0"/>
                  <w:vAlign w:val="center"/>
                </w:tcPr>
                <w:p w14:paraId="29991E7C">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c>
                <w:tcPr>
                  <w:tcW w:w="425" w:type="pct"/>
                  <w:vMerge w:val="continue"/>
                  <w:tcBorders>
                    <w:tl2br w:val="nil"/>
                    <w:tr2bl w:val="nil"/>
                  </w:tcBorders>
                  <w:noWrap w:val="0"/>
                  <w:vAlign w:val="center"/>
                </w:tcPr>
                <w:p w14:paraId="7E9A5088">
                  <w:pPr>
                    <w:keepNext w:val="0"/>
                    <w:keepLines w:val="0"/>
                    <w:pageBreakBefore w:val="0"/>
                    <w:widowControl/>
                    <w:kinsoku/>
                    <w:wordWrap/>
                    <w:overflowPunct/>
                    <w:topLinePunct w:val="0"/>
                    <w:bidi w:val="0"/>
                    <w:adjustRightInd w:val="0"/>
                    <w:snapToGrid w:val="0"/>
                    <w:ind w:firstLine="0"/>
                    <w:jc w:val="center"/>
                    <w:textAlignment w:val="auto"/>
                    <w:rPr>
                      <w:color w:val="000000"/>
                      <w:szCs w:val="21"/>
                      <w:highlight w:val="yellow"/>
                    </w:rPr>
                  </w:pPr>
                </w:p>
              </w:tc>
            </w:tr>
            <w:tr w14:paraId="02339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7" w:type="pct"/>
                  <w:tcBorders>
                    <w:tl2br w:val="nil"/>
                    <w:tr2bl w:val="nil"/>
                  </w:tcBorders>
                  <w:noWrap w:val="0"/>
                  <w:tcMar>
                    <w:top w:w="0" w:type="dxa"/>
                    <w:left w:w="57" w:type="dxa"/>
                    <w:bottom w:w="0" w:type="dxa"/>
                    <w:right w:w="57" w:type="dxa"/>
                  </w:tcMar>
                  <w:vAlign w:val="center"/>
                </w:tcPr>
                <w:p w14:paraId="45B23F33">
                  <w:pPr>
                    <w:keepNext w:val="0"/>
                    <w:keepLines w:val="0"/>
                    <w:pageBreakBefore w:val="0"/>
                    <w:kinsoku/>
                    <w:wordWrap/>
                    <w:overflowPunct/>
                    <w:topLinePunct w:val="0"/>
                    <w:bidi w:val="0"/>
                    <w:adjustRightInd w:val="0"/>
                    <w:snapToGrid w:val="0"/>
                    <w:ind w:firstLine="0"/>
                    <w:jc w:val="center"/>
                    <w:textAlignment w:val="auto"/>
                    <w:rPr>
                      <w:b/>
                      <w:color w:val="000000"/>
                      <w:szCs w:val="21"/>
                    </w:rPr>
                  </w:pPr>
                  <w:r>
                    <w:rPr>
                      <w:rFonts w:hint="eastAsia"/>
                      <w:b/>
                      <w:color w:val="000000"/>
                      <w:szCs w:val="21"/>
                    </w:rPr>
                    <w:t>总计</w:t>
                  </w:r>
                </w:p>
              </w:tc>
              <w:tc>
                <w:tcPr>
                  <w:tcW w:w="3467" w:type="pct"/>
                  <w:gridSpan w:val="4"/>
                  <w:tcBorders>
                    <w:tl2br w:val="nil"/>
                    <w:tr2bl w:val="nil"/>
                  </w:tcBorders>
                  <w:noWrap w:val="0"/>
                  <w:tcMar>
                    <w:top w:w="0" w:type="dxa"/>
                    <w:left w:w="57" w:type="dxa"/>
                    <w:bottom w:w="0" w:type="dxa"/>
                    <w:right w:w="57" w:type="dxa"/>
                  </w:tcMar>
                  <w:vAlign w:val="center"/>
                </w:tcPr>
                <w:p w14:paraId="0D7F2DB8">
                  <w:pPr>
                    <w:keepNext w:val="0"/>
                    <w:keepLines w:val="0"/>
                    <w:pageBreakBefore w:val="0"/>
                    <w:kinsoku/>
                    <w:wordWrap/>
                    <w:overflowPunct/>
                    <w:topLinePunct w:val="0"/>
                    <w:bidi w:val="0"/>
                    <w:adjustRightInd w:val="0"/>
                    <w:snapToGrid w:val="0"/>
                    <w:ind w:firstLine="0"/>
                    <w:jc w:val="center"/>
                    <w:textAlignment w:val="auto"/>
                    <w:rPr>
                      <w:color w:val="000000"/>
                      <w:szCs w:val="21"/>
                    </w:rPr>
                  </w:pPr>
                  <w:r>
                    <w:rPr>
                      <w:color w:val="000000"/>
                      <w:szCs w:val="21"/>
                    </w:rPr>
                    <w:t>/</w:t>
                  </w:r>
                </w:p>
              </w:tc>
              <w:tc>
                <w:tcPr>
                  <w:tcW w:w="499" w:type="pct"/>
                  <w:tcBorders>
                    <w:tl2br w:val="nil"/>
                    <w:tr2bl w:val="nil"/>
                  </w:tcBorders>
                  <w:noWrap w:val="0"/>
                  <w:vAlign w:val="center"/>
                </w:tcPr>
                <w:p w14:paraId="2A7261A4">
                  <w:pPr>
                    <w:keepNext w:val="0"/>
                    <w:keepLines w:val="0"/>
                    <w:pageBreakBefore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25</w:t>
                  </w:r>
                </w:p>
              </w:tc>
              <w:tc>
                <w:tcPr>
                  <w:tcW w:w="425" w:type="pct"/>
                  <w:tcBorders>
                    <w:tl2br w:val="nil"/>
                    <w:tr2bl w:val="nil"/>
                  </w:tcBorders>
                  <w:noWrap w:val="0"/>
                  <w:vAlign w:val="center"/>
                </w:tcPr>
                <w:p w14:paraId="27D1B065">
                  <w:pPr>
                    <w:keepNext w:val="0"/>
                    <w:keepLines w:val="0"/>
                    <w:pageBreakBefore w:val="0"/>
                    <w:kinsoku/>
                    <w:wordWrap/>
                    <w:overflowPunct/>
                    <w:topLinePunct w:val="0"/>
                    <w:bidi w:val="0"/>
                    <w:adjustRightInd w:val="0"/>
                    <w:snapToGrid w:val="0"/>
                    <w:ind w:firstLine="0"/>
                    <w:jc w:val="center"/>
                    <w:textAlignment w:val="auto"/>
                    <w:rPr>
                      <w:color w:val="000000"/>
                      <w:szCs w:val="21"/>
                      <w:highlight w:val="none"/>
                    </w:rPr>
                  </w:pPr>
                  <w:r>
                    <w:rPr>
                      <w:color w:val="000000"/>
                      <w:szCs w:val="21"/>
                      <w:highlight w:val="none"/>
                    </w:rPr>
                    <w:t>—</w:t>
                  </w:r>
                </w:p>
              </w:tc>
            </w:tr>
          </w:tbl>
          <w:p w14:paraId="3D5BC9F2">
            <w:pPr>
              <w:rPr>
                <w:rFonts w:hint="eastAsia"/>
                <w:color w:val="000000"/>
              </w:rPr>
            </w:pPr>
          </w:p>
          <w:p w14:paraId="562E800B">
            <w:pPr>
              <w:adjustRightInd w:val="0"/>
              <w:snapToGrid w:val="0"/>
              <w:jc w:val="both"/>
              <w:rPr>
                <w:rFonts w:hint="eastAsia"/>
                <w:b/>
                <w:color w:val="auto"/>
              </w:rPr>
            </w:pPr>
          </w:p>
          <w:p w14:paraId="0A41B212">
            <w:pPr>
              <w:pStyle w:val="12"/>
              <w:rPr>
                <w:rFonts w:hint="eastAsia"/>
                <w:b/>
                <w:color w:val="auto"/>
              </w:rPr>
            </w:pPr>
          </w:p>
          <w:p w14:paraId="53FBDCD6">
            <w:pPr>
              <w:adjustRightInd w:val="0"/>
              <w:snapToGrid w:val="0"/>
              <w:spacing w:line="360" w:lineRule="auto"/>
              <w:rPr>
                <w:rFonts w:hint="eastAsia"/>
              </w:rPr>
            </w:pPr>
          </w:p>
          <w:p w14:paraId="58109E0C">
            <w:pPr>
              <w:adjustRightInd w:val="0"/>
              <w:snapToGrid w:val="0"/>
              <w:spacing w:line="360" w:lineRule="auto"/>
              <w:rPr>
                <w:rFonts w:hint="eastAsia"/>
              </w:rPr>
            </w:pPr>
          </w:p>
          <w:p w14:paraId="27EC237C">
            <w:pPr>
              <w:adjustRightInd w:val="0"/>
              <w:snapToGrid w:val="0"/>
              <w:spacing w:line="360" w:lineRule="auto"/>
              <w:rPr>
                <w:rFonts w:hint="eastAsia"/>
              </w:rPr>
            </w:pPr>
          </w:p>
          <w:p w14:paraId="5CD22C62">
            <w:pPr>
              <w:adjustRightInd w:val="0"/>
              <w:snapToGrid w:val="0"/>
              <w:spacing w:line="360" w:lineRule="auto"/>
              <w:rPr>
                <w:rFonts w:hint="eastAsia"/>
              </w:rPr>
            </w:pPr>
          </w:p>
          <w:p w14:paraId="2118BE35">
            <w:pPr>
              <w:adjustRightInd w:val="0"/>
              <w:snapToGrid w:val="0"/>
              <w:spacing w:line="360" w:lineRule="auto"/>
              <w:rPr>
                <w:rFonts w:hint="eastAsia"/>
              </w:rPr>
            </w:pPr>
          </w:p>
          <w:p w14:paraId="60166310">
            <w:pPr>
              <w:adjustRightInd w:val="0"/>
              <w:snapToGrid w:val="0"/>
              <w:spacing w:line="360" w:lineRule="auto"/>
              <w:rPr>
                <w:rFonts w:hint="eastAsia"/>
              </w:rPr>
            </w:pPr>
          </w:p>
        </w:tc>
      </w:tr>
    </w:tbl>
    <w:p w14:paraId="2A7F7872">
      <w:pPr>
        <w:tabs>
          <w:tab w:val="left" w:pos="1229"/>
        </w:tabs>
        <w:rPr>
          <w:rFonts w:hint="eastAsia" w:eastAsia="宋体"/>
          <w:lang w:eastAsia="zh-CN"/>
        </w:rPr>
        <w:sectPr>
          <w:pgSz w:w="11906" w:h="16838"/>
          <w:pgMar w:top="1440" w:right="1800" w:bottom="1440" w:left="1800" w:header="851" w:footer="992" w:gutter="0"/>
          <w:pgNumType w:fmt="decimal"/>
          <w:cols w:space="425" w:num="1"/>
          <w:docGrid w:type="lines" w:linePitch="312" w:charSpace="0"/>
        </w:sectPr>
      </w:pPr>
    </w:p>
    <w:p w14:paraId="7EDC614B">
      <w:pPr>
        <w:pStyle w:val="19"/>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黑体" w:hAnsi="黑体" w:eastAsia="黑体" w:cs="Times New Roman"/>
          <w:snapToGrid w:val="0"/>
          <w:color w:val="auto"/>
          <w:sz w:val="30"/>
          <w:szCs w:val="30"/>
        </w:rPr>
      </w:pPr>
      <w:bookmarkStart w:id="11" w:name="_Hlk54167917"/>
      <w:r>
        <w:rPr>
          <w:rFonts w:hint="eastAsia" w:ascii="黑体" w:hAnsi="黑体" w:eastAsia="黑体" w:cs="Times New Roman"/>
          <w:snapToGrid w:val="0"/>
          <w:color w:val="auto"/>
          <w:sz w:val="30"/>
          <w:szCs w:val="30"/>
          <w:lang w:val="en-US" w:eastAsia="zh-CN"/>
        </w:rPr>
        <w:t>五、</w:t>
      </w:r>
      <w:r>
        <w:rPr>
          <w:rFonts w:hint="eastAsia" w:ascii="黑体" w:hAnsi="黑体" w:eastAsia="黑体" w:cs="Times New Roman"/>
          <w:snapToGrid w:val="0"/>
          <w:color w:val="auto"/>
          <w:sz w:val="30"/>
          <w:szCs w:val="30"/>
        </w:rPr>
        <w:t>环境保护措施监督检查清单</w:t>
      </w:r>
      <w:bookmarkEnd w:id="11"/>
    </w:p>
    <w:tbl>
      <w:tblPr>
        <w:tblStyle w:val="20"/>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701"/>
        <w:gridCol w:w="1348"/>
        <w:gridCol w:w="2003"/>
        <w:gridCol w:w="2494"/>
      </w:tblGrid>
      <w:tr w14:paraId="26975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tcBorders>
              <w:tl2br w:val="single" w:color="auto" w:sz="4" w:space="0"/>
            </w:tcBorders>
            <w:noWrap w:val="0"/>
            <w:vAlign w:val="top"/>
          </w:tcPr>
          <w:p w14:paraId="0960233F">
            <w:pPr>
              <w:keepNext w:val="0"/>
              <w:keepLines w:val="0"/>
              <w:pageBreakBefore w:val="0"/>
              <w:widowControl w:val="0"/>
              <w:kinsoku/>
              <w:wordWrap/>
              <w:overflowPunct/>
              <w:topLinePunct w:val="0"/>
              <w:bidi w:val="0"/>
              <w:adjustRightInd w:val="0"/>
              <w:snapToGrid w:val="0"/>
              <w:ind w:firstLine="0"/>
              <w:jc w:val="right"/>
              <w:textAlignment w:val="auto"/>
              <w:rPr>
                <w:b/>
                <w:bCs/>
                <w:color w:val="000000"/>
                <w:szCs w:val="21"/>
              </w:rPr>
            </w:pPr>
            <w:r>
              <w:rPr>
                <w:b/>
                <w:bCs/>
                <w:color w:val="000000"/>
                <w:szCs w:val="21"/>
              </w:rPr>
              <w:t>内容</w:t>
            </w:r>
          </w:p>
          <w:p w14:paraId="279FB1EC">
            <w:pPr>
              <w:keepNext w:val="0"/>
              <w:keepLines w:val="0"/>
              <w:pageBreakBefore w:val="0"/>
              <w:widowControl w:val="0"/>
              <w:kinsoku/>
              <w:wordWrap/>
              <w:overflowPunct/>
              <w:topLinePunct w:val="0"/>
              <w:bidi w:val="0"/>
              <w:adjustRightInd w:val="0"/>
              <w:snapToGrid w:val="0"/>
              <w:ind w:firstLine="0"/>
              <w:jc w:val="both"/>
              <w:textAlignment w:val="auto"/>
              <w:rPr>
                <w:b/>
                <w:bCs/>
                <w:color w:val="000000"/>
                <w:szCs w:val="21"/>
              </w:rPr>
            </w:pPr>
            <w:r>
              <w:rPr>
                <w:b/>
                <w:bCs/>
                <w:color w:val="000000"/>
                <w:szCs w:val="21"/>
              </w:rPr>
              <w:t>要素</w:t>
            </w:r>
          </w:p>
        </w:tc>
        <w:tc>
          <w:tcPr>
            <w:tcW w:w="1701" w:type="dxa"/>
            <w:noWrap w:val="0"/>
            <w:vAlign w:val="center"/>
          </w:tcPr>
          <w:p w14:paraId="37A8A5DC">
            <w:pPr>
              <w:keepNext w:val="0"/>
              <w:keepLines w:val="0"/>
              <w:pageBreakBefore w:val="0"/>
              <w:widowControl w:val="0"/>
              <w:kinsoku/>
              <w:wordWrap/>
              <w:overflowPunct/>
              <w:topLinePunct w:val="0"/>
              <w:bidi w:val="0"/>
              <w:adjustRightInd w:val="0"/>
              <w:snapToGrid w:val="0"/>
              <w:ind w:firstLine="0"/>
              <w:jc w:val="center"/>
              <w:textAlignment w:val="auto"/>
              <w:rPr>
                <w:b/>
                <w:bCs/>
                <w:color w:val="000000"/>
                <w:szCs w:val="21"/>
              </w:rPr>
            </w:pPr>
            <w:r>
              <w:rPr>
                <w:b/>
                <w:bCs/>
                <w:color w:val="000000"/>
                <w:szCs w:val="21"/>
              </w:rPr>
              <w:t>排放口（编号、名称）/污染源</w:t>
            </w:r>
          </w:p>
        </w:tc>
        <w:tc>
          <w:tcPr>
            <w:tcW w:w="1348" w:type="dxa"/>
            <w:noWrap w:val="0"/>
            <w:vAlign w:val="center"/>
          </w:tcPr>
          <w:p w14:paraId="3B8201B4">
            <w:pPr>
              <w:keepNext w:val="0"/>
              <w:keepLines w:val="0"/>
              <w:pageBreakBefore w:val="0"/>
              <w:widowControl w:val="0"/>
              <w:kinsoku/>
              <w:wordWrap/>
              <w:overflowPunct/>
              <w:topLinePunct w:val="0"/>
              <w:bidi w:val="0"/>
              <w:adjustRightInd w:val="0"/>
              <w:snapToGrid w:val="0"/>
              <w:ind w:firstLine="0"/>
              <w:jc w:val="center"/>
              <w:textAlignment w:val="auto"/>
              <w:rPr>
                <w:b/>
                <w:bCs/>
                <w:color w:val="000000"/>
                <w:szCs w:val="21"/>
              </w:rPr>
            </w:pPr>
            <w:r>
              <w:rPr>
                <w:b/>
                <w:bCs/>
                <w:color w:val="000000"/>
                <w:szCs w:val="21"/>
              </w:rPr>
              <w:t>污染物项目</w:t>
            </w:r>
          </w:p>
        </w:tc>
        <w:tc>
          <w:tcPr>
            <w:tcW w:w="2003" w:type="dxa"/>
            <w:noWrap w:val="0"/>
            <w:vAlign w:val="center"/>
          </w:tcPr>
          <w:p w14:paraId="4A44ABD5">
            <w:pPr>
              <w:keepNext w:val="0"/>
              <w:keepLines w:val="0"/>
              <w:pageBreakBefore w:val="0"/>
              <w:widowControl w:val="0"/>
              <w:kinsoku/>
              <w:wordWrap/>
              <w:overflowPunct/>
              <w:topLinePunct w:val="0"/>
              <w:bidi w:val="0"/>
              <w:adjustRightInd w:val="0"/>
              <w:snapToGrid w:val="0"/>
              <w:ind w:firstLine="0"/>
              <w:jc w:val="center"/>
              <w:textAlignment w:val="auto"/>
              <w:rPr>
                <w:b/>
                <w:bCs/>
                <w:color w:val="000000"/>
                <w:szCs w:val="21"/>
              </w:rPr>
            </w:pPr>
            <w:r>
              <w:rPr>
                <w:b/>
                <w:bCs/>
                <w:color w:val="000000"/>
                <w:szCs w:val="21"/>
              </w:rPr>
              <w:t>环境保护措施</w:t>
            </w:r>
          </w:p>
        </w:tc>
        <w:tc>
          <w:tcPr>
            <w:tcW w:w="2494" w:type="dxa"/>
            <w:noWrap w:val="0"/>
            <w:vAlign w:val="center"/>
          </w:tcPr>
          <w:p w14:paraId="2448CD10">
            <w:pPr>
              <w:keepNext w:val="0"/>
              <w:keepLines w:val="0"/>
              <w:pageBreakBefore w:val="0"/>
              <w:widowControl w:val="0"/>
              <w:kinsoku/>
              <w:wordWrap/>
              <w:overflowPunct/>
              <w:topLinePunct w:val="0"/>
              <w:bidi w:val="0"/>
              <w:adjustRightInd w:val="0"/>
              <w:snapToGrid w:val="0"/>
              <w:ind w:firstLine="0"/>
              <w:jc w:val="center"/>
              <w:textAlignment w:val="auto"/>
              <w:rPr>
                <w:b/>
                <w:bCs/>
                <w:color w:val="000000"/>
                <w:szCs w:val="21"/>
              </w:rPr>
            </w:pPr>
            <w:r>
              <w:rPr>
                <w:b/>
                <w:bCs/>
                <w:color w:val="000000"/>
                <w:szCs w:val="21"/>
              </w:rPr>
              <w:t>执行标准</w:t>
            </w:r>
          </w:p>
        </w:tc>
      </w:tr>
      <w:tr w14:paraId="46967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1254" w:type="dxa"/>
            <w:vMerge w:val="restart"/>
            <w:noWrap w:val="0"/>
            <w:vAlign w:val="center"/>
          </w:tcPr>
          <w:p w14:paraId="3D38183E">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大气环境</w:t>
            </w:r>
          </w:p>
        </w:tc>
        <w:tc>
          <w:tcPr>
            <w:tcW w:w="1701" w:type="dxa"/>
            <w:noWrap w:val="0"/>
            <w:vAlign w:val="center"/>
          </w:tcPr>
          <w:p w14:paraId="33043D3F">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lang w:val="en-US" w:eastAsia="zh-CN"/>
              </w:rPr>
            </w:pPr>
            <w:r>
              <w:rPr>
                <w:rFonts w:hint="eastAsia"/>
                <w:color w:val="000000"/>
                <w:szCs w:val="21"/>
                <w:lang w:val="en-US" w:eastAsia="zh-CN"/>
              </w:rPr>
              <w:t>1#排气筒</w:t>
            </w:r>
          </w:p>
        </w:tc>
        <w:tc>
          <w:tcPr>
            <w:tcW w:w="1348" w:type="dxa"/>
            <w:noWrap w:val="0"/>
            <w:vAlign w:val="center"/>
          </w:tcPr>
          <w:p w14:paraId="019F824B">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eastAsia="宋体"/>
                <w:color w:val="000000"/>
                <w:szCs w:val="21"/>
                <w:highlight w:val="none"/>
                <w:lang w:val="en-US" w:eastAsia="zh-CN"/>
              </w:rPr>
              <w:t>颗粒物</w:t>
            </w:r>
          </w:p>
        </w:tc>
        <w:tc>
          <w:tcPr>
            <w:tcW w:w="2003" w:type="dxa"/>
            <w:noWrap w:val="0"/>
            <w:vAlign w:val="center"/>
          </w:tcPr>
          <w:p w14:paraId="29258964">
            <w:pPr>
              <w:keepNext w:val="0"/>
              <w:keepLines w:val="0"/>
              <w:pageBreakBefore w:val="0"/>
              <w:widowControl w:val="0"/>
              <w:kinsoku/>
              <w:wordWrap/>
              <w:overflowPunct/>
              <w:topLinePunct w:val="0"/>
              <w:bidi w:val="0"/>
              <w:adjustRightInd w:val="0"/>
              <w:snapToGrid w:val="0"/>
              <w:ind w:firstLine="0"/>
              <w:jc w:val="center"/>
              <w:textAlignment w:val="auto"/>
              <w:rPr>
                <w:rFonts w:hint="default"/>
                <w:color w:val="000000"/>
                <w:szCs w:val="21"/>
                <w:highlight w:val="none"/>
                <w:lang w:val="en-US" w:eastAsia="zh-CN"/>
              </w:rPr>
            </w:pPr>
            <w:r>
              <w:rPr>
                <w:rFonts w:hint="eastAsia" w:eastAsia="宋体"/>
                <w:color w:val="000000"/>
                <w:szCs w:val="21"/>
                <w:highlight w:val="none"/>
                <w:lang w:val="en-US" w:eastAsia="zh-CN"/>
              </w:rPr>
              <w:t>布袋除尘装置</w:t>
            </w:r>
            <w:r>
              <w:rPr>
                <w:rFonts w:hint="eastAsia"/>
                <w:color w:val="000000"/>
                <w:szCs w:val="21"/>
                <w:highlight w:val="none"/>
                <w:lang w:val="en-US" w:eastAsia="zh-CN"/>
              </w:rPr>
              <w:t>处理后通过15m高DA001排气筒排放</w:t>
            </w:r>
          </w:p>
        </w:tc>
        <w:tc>
          <w:tcPr>
            <w:tcW w:w="2494" w:type="dxa"/>
            <w:noWrap w:val="0"/>
            <w:vAlign w:val="center"/>
          </w:tcPr>
          <w:p w14:paraId="4E3C1DE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eastAsia="宋体"/>
                <w:color w:val="000000"/>
                <w:kern w:val="2"/>
                <w:sz w:val="21"/>
                <w:szCs w:val="21"/>
                <w:highlight w:val="none"/>
                <w:lang w:val="en-US" w:eastAsia="zh-CN" w:bidi="ar-SA"/>
              </w:rPr>
            </w:pPr>
            <w:r>
              <w:rPr>
                <w:rFonts w:hint="eastAsia"/>
              </w:rPr>
              <w:t>《大气污染物综合排放标准》（DB32/4041-2021）表</w:t>
            </w:r>
            <w:r>
              <w:rPr>
                <w:rFonts w:hint="eastAsia"/>
                <w:lang w:val="en-US" w:eastAsia="zh-CN"/>
              </w:rPr>
              <w:t>1</w:t>
            </w:r>
            <w:r>
              <w:rPr>
                <w:rFonts w:hint="eastAsia"/>
              </w:rPr>
              <w:t>标准</w:t>
            </w:r>
          </w:p>
        </w:tc>
      </w:tr>
      <w:tr w14:paraId="2D54F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vMerge w:val="continue"/>
            <w:noWrap w:val="0"/>
            <w:vAlign w:val="center"/>
          </w:tcPr>
          <w:p w14:paraId="3C4BD5BE">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p>
        </w:tc>
        <w:tc>
          <w:tcPr>
            <w:tcW w:w="1701" w:type="dxa"/>
            <w:noWrap w:val="0"/>
            <w:vAlign w:val="center"/>
          </w:tcPr>
          <w:p w14:paraId="6CDF4410">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2#</w:t>
            </w:r>
            <w:r>
              <w:rPr>
                <w:rFonts w:hint="eastAsia" w:eastAsia="宋体"/>
                <w:color w:val="000000"/>
                <w:szCs w:val="21"/>
                <w:highlight w:val="none"/>
                <w:lang w:val="en-US" w:eastAsia="zh-CN"/>
              </w:rPr>
              <w:t>排气筒</w:t>
            </w:r>
          </w:p>
        </w:tc>
        <w:tc>
          <w:tcPr>
            <w:tcW w:w="1348" w:type="dxa"/>
            <w:noWrap w:val="0"/>
            <w:vAlign w:val="center"/>
          </w:tcPr>
          <w:p w14:paraId="74FE50CA">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highlight w:val="none"/>
                <w:lang w:val="en-US" w:eastAsia="zh-CN"/>
              </w:rPr>
            </w:pPr>
            <w:r>
              <w:rPr>
                <w:rFonts w:hint="eastAsia" w:eastAsia="宋体"/>
                <w:color w:val="000000"/>
                <w:szCs w:val="21"/>
                <w:highlight w:val="none"/>
                <w:lang w:val="en-US" w:eastAsia="zh-CN"/>
              </w:rPr>
              <w:t>非甲烷总烃</w:t>
            </w:r>
          </w:p>
        </w:tc>
        <w:tc>
          <w:tcPr>
            <w:tcW w:w="2003" w:type="dxa"/>
            <w:noWrap w:val="0"/>
            <w:vAlign w:val="center"/>
          </w:tcPr>
          <w:p w14:paraId="6747E98F">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二级活性炭吸附装置</w:t>
            </w:r>
            <w:r>
              <w:rPr>
                <w:rFonts w:hint="eastAsia" w:eastAsia="宋体"/>
                <w:color w:val="000000"/>
                <w:szCs w:val="21"/>
                <w:highlight w:val="none"/>
                <w:lang w:val="en-US" w:eastAsia="zh-CN"/>
              </w:rPr>
              <w:t>处理后</w:t>
            </w:r>
            <w:r>
              <w:rPr>
                <w:rFonts w:hint="eastAsia"/>
                <w:color w:val="000000"/>
                <w:szCs w:val="21"/>
                <w:highlight w:val="none"/>
                <w:lang w:val="en-US" w:eastAsia="zh-CN"/>
              </w:rPr>
              <w:t>通过15m高DA002排气筒排放</w:t>
            </w:r>
          </w:p>
        </w:tc>
        <w:tc>
          <w:tcPr>
            <w:tcW w:w="2494" w:type="dxa"/>
            <w:noWrap w:val="0"/>
            <w:vAlign w:val="center"/>
          </w:tcPr>
          <w:p w14:paraId="1502DBA5">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highlight w:val="none"/>
                <w:lang w:val="en-US" w:eastAsia="zh-CN"/>
              </w:rPr>
            </w:pPr>
            <w:r>
              <w:rPr>
                <w:rFonts w:hint="eastAsia" w:ascii="Times New Roman" w:hAnsi="Times New Roman" w:eastAsia="宋体" w:cs="Times New Roman"/>
                <w:color w:val="auto"/>
                <w:szCs w:val="21"/>
                <w:lang w:eastAsia="zh-CN"/>
              </w:rPr>
              <w:t>《合成树脂工业污染物排放标准》（GB31572-2015，含2024年修改单）</w:t>
            </w:r>
            <w:r>
              <w:rPr>
                <w:rFonts w:hint="eastAsia" w:eastAsia="宋体" w:cs="Times New Roman"/>
                <w:color w:val="auto"/>
                <w:szCs w:val="21"/>
                <w:lang w:val="en-US" w:eastAsia="zh-CN"/>
              </w:rPr>
              <w:t>表5标准</w:t>
            </w:r>
          </w:p>
        </w:tc>
      </w:tr>
      <w:tr w14:paraId="66ADA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54" w:type="dxa"/>
            <w:vMerge w:val="continue"/>
            <w:noWrap w:val="0"/>
            <w:vAlign w:val="center"/>
          </w:tcPr>
          <w:p w14:paraId="421C2B2D">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p>
        </w:tc>
        <w:tc>
          <w:tcPr>
            <w:tcW w:w="1701" w:type="dxa"/>
            <w:vMerge w:val="restart"/>
            <w:noWrap w:val="0"/>
            <w:vAlign w:val="center"/>
          </w:tcPr>
          <w:p w14:paraId="14793083">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lang w:eastAsia="zh-CN"/>
              </w:rPr>
            </w:pPr>
            <w:r>
              <w:rPr>
                <w:rFonts w:hint="eastAsia"/>
                <w:color w:val="000000"/>
                <w:szCs w:val="21"/>
                <w:lang w:val="en-US" w:eastAsia="zh-CN"/>
              </w:rPr>
              <w:t>厂界</w:t>
            </w:r>
          </w:p>
        </w:tc>
        <w:tc>
          <w:tcPr>
            <w:tcW w:w="1348" w:type="dxa"/>
            <w:noWrap w:val="0"/>
            <w:vAlign w:val="center"/>
          </w:tcPr>
          <w:p w14:paraId="27F3B3ED">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eastAsia="宋体"/>
                <w:color w:val="000000"/>
                <w:szCs w:val="21"/>
                <w:highlight w:val="none"/>
                <w:lang w:val="en-US" w:eastAsia="zh-CN"/>
              </w:rPr>
              <w:t>颗粒物</w:t>
            </w:r>
          </w:p>
        </w:tc>
        <w:tc>
          <w:tcPr>
            <w:tcW w:w="2003" w:type="dxa"/>
            <w:noWrap w:val="0"/>
            <w:vAlign w:val="center"/>
          </w:tcPr>
          <w:p w14:paraId="0CDFC29F">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加强车间通风</w:t>
            </w:r>
          </w:p>
        </w:tc>
        <w:tc>
          <w:tcPr>
            <w:tcW w:w="2494" w:type="dxa"/>
            <w:vMerge w:val="restart"/>
            <w:noWrap w:val="0"/>
            <w:vAlign w:val="center"/>
          </w:tcPr>
          <w:p w14:paraId="501C425E">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《大气污染物综合排放标准》（DB32/4041-2021）表3</w:t>
            </w:r>
          </w:p>
        </w:tc>
      </w:tr>
      <w:tr w14:paraId="7FF38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4" w:type="dxa"/>
            <w:vMerge w:val="continue"/>
            <w:noWrap w:val="0"/>
            <w:vAlign w:val="center"/>
          </w:tcPr>
          <w:p w14:paraId="41E04F63">
            <w:pPr>
              <w:keepNext w:val="0"/>
              <w:keepLines w:val="0"/>
              <w:pageBreakBefore w:val="0"/>
              <w:widowControl w:val="0"/>
              <w:kinsoku/>
              <w:wordWrap/>
              <w:overflowPunct/>
              <w:topLinePunct w:val="0"/>
              <w:bidi w:val="0"/>
              <w:adjustRightInd w:val="0"/>
              <w:snapToGrid w:val="0"/>
              <w:ind w:firstLine="0"/>
              <w:jc w:val="center"/>
              <w:textAlignment w:val="auto"/>
            </w:pPr>
          </w:p>
        </w:tc>
        <w:tc>
          <w:tcPr>
            <w:tcW w:w="1701" w:type="dxa"/>
            <w:vMerge w:val="continue"/>
            <w:noWrap w:val="0"/>
            <w:vAlign w:val="center"/>
          </w:tcPr>
          <w:p w14:paraId="44011373">
            <w:pPr>
              <w:keepNext w:val="0"/>
              <w:keepLines w:val="0"/>
              <w:pageBreakBefore w:val="0"/>
              <w:widowControl w:val="0"/>
              <w:kinsoku/>
              <w:wordWrap/>
              <w:overflowPunct/>
              <w:topLinePunct w:val="0"/>
              <w:bidi w:val="0"/>
              <w:adjustRightInd w:val="0"/>
              <w:snapToGrid w:val="0"/>
              <w:ind w:firstLine="0"/>
              <w:jc w:val="center"/>
              <w:textAlignment w:val="auto"/>
            </w:pPr>
          </w:p>
        </w:tc>
        <w:tc>
          <w:tcPr>
            <w:tcW w:w="1348" w:type="dxa"/>
            <w:noWrap w:val="0"/>
            <w:vAlign w:val="center"/>
          </w:tcPr>
          <w:p w14:paraId="48A6990F">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highlight w:val="none"/>
                <w:lang w:val="en-US" w:eastAsia="zh-CN"/>
              </w:rPr>
            </w:pPr>
            <w:r>
              <w:rPr>
                <w:rFonts w:hint="eastAsia" w:eastAsia="宋体"/>
                <w:color w:val="000000"/>
                <w:szCs w:val="21"/>
                <w:highlight w:val="none"/>
                <w:lang w:val="en-US" w:eastAsia="zh-CN"/>
              </w:rPr>
              <w:t>非甲烷总烃</w:t>
            </w:r>
          </w:p>
        </w:tc>
        <w:tc>
          <w:tcPr>
            <w:tcW w:w="2003" w:type="dxa"/>
            <w:noWrap w:val="0"/>
            <w:vAlign w:val="center"/>
          </w:tcPr>
          <w:p w14:paraId="4315CAA0">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highlight w:val="none"/>
                <w:lang w:val="en-US" w:eastAsia="zh-CN"/>
              </w:rPr>
            </w:pPr>
            <w:r>
              <w:rPr>
                <w:color w:val="000000"/>
                <w:szCs w:val="21"/>
                <w:highlight w:val="none"/>
              </w:rPr>
              <w:t>加强车间通风</w:t>
            </w:r>
          </w:p>
        </w:tc>
        <w:tc>
          <w:tcPr>
            <w:tcW w:w="2494" w:type="dxa"/>
            <w:vMerge w:val="continue"/>
            <w:noWrap w:val="0"/>
            <w:vAlign w:val="center"/>
          </w:tcPr>
          <w:p w14:paraId="4CB3249C">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highlight w:val="none"/>
                <w:lang w:val="en-US" w:eastAsia="zh-CN"/>
              </w:rPr>
            </w:pPr>
          </w:p>
        </w:tc>
      </w:tr>
      <w:tr w14:paraId="6AB25A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vMerge w:val="continue"/>
            <w:noWrap w:val="0"/>
            <w:vAlign w:val="center"/>
          </w:tcPr>
          <w:p w14:paraId="38BE8130">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p>
        </w:tc>
        <w:tc>
          <w:tcPr>
            <w:tcW w:w="1701" w:type="dxa"/>
            <w:noWrap w:val="0"/>
            <w:vAlign w:val="center"/>
          </w:tcPr>
          <w:p w14:paraId="7C663DE8">
            <w:pPr>
              <w:keepNext w:val="0"/>
              <w:keepLines w:val="0"/>
              <w:pageBreakBefore w:val="0"/>
              <w:widowControl w:val="0"/>
              <w:kinsoku/>
              <w:wordWrap/>
              <w:overflowPunct/>
              <w:topLinePunct w:val="0"/>
              <w:bidi w:val="0"/>
              <w:adjustRightInd w:val="0"/>
              <w:snapToGrid w:val="0"/>
              <w:ind w:firstLine="0" w:firstLineChars="0"/>
              <w:jc w:val="center"/>
              <w:textAlignment w:val="auto"/>
              <w:rPr>
                <w:color w:val="000000"/>
                <w:szCs w:val="21"/>
              </w:rPr>
            </w:pPr>
            <w:r>
              <w:rPr>
                <w:rFonts w:hint="eastAsia"/>
                <w:color w:val="000000"/>
                <w:szCs w:val="21"/>
                <w:lang w:val="en-US" w:eastAsia="zh-CN"/>
              </w:rPr>
              <w:t>厂区内</w:t>
            </w:r>
          </w:p>
        </w:tc>
        <w:tc>
          <w:tcPr>
            <w:tcW w:w="1348" w:type="dxa"/>
            <w:noWrap w:val="0"/>
            <w:vAlign w:val="center"/>
          </w:tcPr>
          <w:p w14:paraId="752BA50A">
            <w:pPr>
              <w:keepNext w:val="0"/>
              <w:keepLines w:val="0"/>
              <w:pageBreakBefore w:val="0"/>
              <w:widowControl w:val="0"/>
              <w:kinsoku/>
              <w:wordWrap/>
              <w:overflowPunct/>
              <w:topLinePunct w:val="0"/>
              <w:bidi w:val="0"/>
              <w:adjustRightInd w:val="0"/>
              <w:snapToGrid w:val="0"/>
              <w:ind w:firstLine="0" w:firstLineChars="0"/>
              <w:jc w:val="center"/>
              <w:textAlignment w:val="auto"/>
              <w:rPr>
                <w:color w:val="000000"/>
                <w:szCs w:val="21"/>
              </w:rPr>
            </w:pPr>
            <w:r>
              <w:rPr>
                <w:rFonts w:hint="eastAsia"/>
                <w:color w:val="000000"/>
                <w:szCs w:val="21"/>
              </w:rPr>
              <w:t>非甲烷总烃</w:t>
            </w:r>
          </w:p>
        </w:tc>
        <w:tc>
          <w:tcPr>
            <w:tcW w:w="2003" w:type="dxa"/>
            <w:noWrap w:val="0"/>
            <w:vAlign w:val="center"/>
          </w:tcPr>
          <w:p w14:paraId="580FBA25">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color w:val="000000"/>
                <w:szCs w:val="21"/>
                <w:highlight w:val="none"/>
                <w:lang w:val="en-US" w:eastAsia="zh-CN"/>
              </w:rPr>
            </w:pPr>
            <w:r>
              <w:rPr>
                <w:rFonts w:hint="eastAsia"/>
                <w:color w:val="000000"/>
                <w:szCs w:val="21"/>
                <w:highlight w:val="none"/>
              </w:rPr>
              <w:t>加强原料储存的密闭性、涉</w:t>
            </w:r>
            <w:r>
              <w:rPr>
                <w:color w:val="000000"/>
                <w:szCs w:val="21"/>
                <w:highlight w:val="none"/>
              </w:rPr>
              <w:t>VOCs</w:t>
            </w:r>
            <w:r>
              <w:rPr>
                <w:rFonts w:hint="eastAsia"/>
                <w:color w:val="000000"/>
                <w:szCs w:val="21"/>
                <w:highlight w:val="none"/>
              </w:rPr>
              <w:t>的原料使用过程中采用密闭设备或在密闭空间内操作等</w:t>
            </w:r>
          </w:p>
        </w:tc>
        <w:tc>
          <w:tcPr>
            <w:tcW w:w="2494" w:type="dxa"/>
            <w:noWrap w:val="0"/>
            <w:vAlign w:val="center"/>
          </w:tcPr>
          <w:p w14:paraId="6A0806D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rFonts w:hint="eastAsia"/>
                <w:snapToGrid w:val="0"/>
                <w:color w:val="auto"/>
                <w:kern w:val="18"/>
                <w:highlight w:val="none"/>
                <w:lang w:val="en-US" w:eastAsia="zh-CN"/>
              </w:rPr>
              <w:t>《挥发性有机物无组织排放控制标准》（GB37822-2019）附录A标准</w:t>
            </w:r>
          </w:p>
        </w:tc>
      </w:tr>
      <w:tr w14:paraId="239CF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vMerge w:val="restart"/>
            <w:noWrap w:val="0"/>
            <w:vAlign w:val="center"/>
          </w:tcPr>
          <w:p w14:paraId="12DD3E1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地表水环境</w:t>
            </w:r>
          </w:p>
        </w:tc>
        <w:tc>
          <w:tcPr>
            <w:tcW w:w="1701" w:type="dxa"/>
            <w:noWrap w:val="0"/>
            <w:vAlign w:val="center"/>
          </w:tcPr>
          <w:p w14:paraId="3A7EB857">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生活污水</w:t>
            </w:r>
          </w:p>
        </w:tc>
        <w:tc>
          <w:tcPr>
            <w:tcW w:w="1348" w:type="dxa"/>
            <w:noWrap w:val="0"/>
            <w:vAlign w:val="center"/>
          </w:tcPr>
          <w:p w14:paraId="7F51AF85">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COD</w:t>
            </w:r>
            <w:r>
              <w:rPr>
                <w:rFonts w:hint="eastAsia"/>
                <w:color w:val="000000"/>
                <w:szCs w:val="21"/>
              </w:rPr>
              <w:t>、</w:t>
            </w:r>
            <w:r>
              <w:rPr>
                <w:color w:val="000000"/>
                <w:szCs w:val="21"/>
              </w:rPr>
              <w:t>SS</w:t>
            </w:r>
            <w:r>
              <w:rPr>
                <w:rFonts w:hint="eastAsia"/>
                <w:color w:val="000000"/>
                <w:szCs w:val="21"/>
              </w:rPr>
              <w:t>、</w:t>
            </w:r>
            <w:r>
              <w:rPr>
                <w:color w:val="000000"/>
                <w:szCs w:val="21"/>
              </w:rPr>
              <w:t>NH</w:t>
            </w:r>
            <w:r>
              <w:rPr>
                <w:color w:val="000000"/>
                <w:szCs w:val="21"/>
                <w:vertAlign w:val="subscript"/>
              </w:rPr>
              <w:t>3</w:t>
            </w:r>
            <w:r>
              <w:rPr>
                <w:color w:val="000000"/>
                <w:szCs w:val="21"/>
              </w:rPr>
              <w:t>-N</w:t>
            </w:r>
            <w:r>
              <w:rPr>
                <w:rFonts w:hint="eastAsia"/>
                <w:color w:val="000000"/>
                <w:szCs w:val="21"/>
              </w:rPr>
              <w:t>、</w:t>
            </w:r>
            <w:r>
              <w:rPr>
                <w:color w:val="000000"/>
                <w:szCs w:val="21"/>
              </w:rPr>
              <w:t>TP</w:t>
            </w:r>
            <w:r>
              <w:rPr>
                <w:rFonts w:hint="eastAsia"/>
                <w:color w:val="000000"/>
                <w:szCs w:val="21"/>
              </w:rPr>
              <w:t>、TN</w:t>
            </w:r>
          </w:p>
        </w:tc>
        <w:tc>
          <w:tcPr>
            <w:tcW w:w="2003" w:type="dxa"/>
            <w:noWrap w:val="0"/>
            <w:vAlign w:val="center"/>
          </w:tcPr>
          <w:p w14:paraId="5AF4C4D8">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lang w:val="en-US" w:eastAsia="zh-CN"/>
              </w:rPr>
              <w:t>接管至</w:t>
            </w:r>
            <w:r>
              <w:rPr>
                <w:rFonts w:hint="eastAsia"/>
                <w:color w:val="000000"/>
                <w:szCs w:val="21"/>
                <w:highlight w:val="none"/>
                <w:lang w:val="ru-RU" w:eastAsia="zh-CN"/>
              </w:rPr>
              <w:t>苏州汾湖水务发展有限公司（黎里工业再生水厂）</w:t>
            </w:r>
            <w:r>
              <w:rPr>
                <w:rFonts w:hint="eastAsia"/>
                <w:color w:val="000000"/>
                <w:szCs w:val="21"/>
                <w:highlight w:val="none"/>
              </w:rPr>
              <w:t>处理</w:t>
            </w:r>
          </w:p>
        </w:tc>
        <w:tc>
          <w:tcPr>
            <w:tcW w:w="2494" w:type="dxa"/>
            <w:noWrap w:val="0"/>
            <w:vAlign w:val="center"/>
          </w:tcPr>
          <w:p w14:paraId="3C5508F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《污水综合排放标准》（GB8979-1996）中三级标准、《污水排入城镇下水道水质标准》（GB/T 31962-2015）B级标准</w:t>
            </w:r>
          </w:p>
        </w:tc>
      </w:tr>
      <w:tr w14:paraId="67BA7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vMerge w:val="continue"/>
            <w:noWrap w:val="0"/>
            <w:vAlign w:val="center"/>
          </w:tcPr>
          <w:p w14:paraId="020C25FE">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p>
        </w:tc>
        <w:tc>
          <w:tcPr>
            <w:tcW w:w="1701" w:type="dxa"/>
            <w:noWrap w:val="0"/>
            <w:vAlign w:val="center"/>
          </w:tcPr>
          <w:p w14:paraId="32AC7DDA">
            <w:pPr>
              <w:keepNext w:val="0"/>
              <w:keepLines w:val="0"/>
              <w:pageBreakBefore w:val="0"/>
              <w:widowControl w:val="0"/>
              <w:kinsoku/>
              <w:wordWrap/>
              <w:overflowPunct/>
              <w:topLinePunct w:val="0"/>
              <w:bidi w:val="0"/>
              <w:adjustRightInd w:val="0"/>
              <w:snapToGrid w:val="0"/>
              <w:ind w:firstLine="0"/>
              <w:jc w:val="center"/>
              <w:textAlignment w:val="auto"/>
              <w:rPr>
                <w:rFonts w:hint="eastAsia" w:eastAsia="宋体"/>
                <w:color w:val="000000"/>
                <w:szCs w:val="21"/>
                <w:lang w:val="en-US" w:eastAsia="zh-CN"/>
              </w:rPr>
            </w:pPr>
            <w:r>
              <w:rPr>
                <w:rFonts w:hint="eastAsia"/>
                <w:color w:val="000000"/>
                <w:szCs w:val="21"/>
                <w:lang w:val="en-US" w:eastAsia="zh-CN"/>
              </w:rPr>
              <w:t>生产废水</w:t>
            </w:r>
          </w:p>
        </w:tc>
        <w:tc>
          <w:tcPr>
            <w:tcW w:w="1348" w:type="dxa"/>
            <w:noWrap w:val="0"/>
            <w:vAlign w:val="center"/>
          </w:tcPr>
          <w:p w14:paraId="68FF2209">
            <w:pPr>
              <w:keepNext w:val="0"/>
              <w:keepLines w:val="0"/>
              <w:pageBreakBefore w:val="0"/>
              <w:widowControl w:val="0"/>
              <w:kinsoku/>
              <w:wordWrap/>
              <w:overflowPunct/>
              <w:topLinePunct w:val="0"/>
              <w:bidi w:val="0"/>
              <w:adjustRightInd w:val="0"/>
              <w:snapToGrid w:val="0"/>
              <w:ind w:firstLine="0"/>
              <w:jc w:val="center"/>
              <w:textAlignment w:val="auto"/>
              <w:rPr>
                <w:rFonts w:hint="default" w:eastAsia="宋体"/>
                <w:color w:val="000000"/>
                <w:szCs w:val="21"/>
                <w:highlight w:val="none"/>
                <w:lang w:val="en-US" w:eastAsia="zh-CN"/>
              </w:rPr>
            </w:pPr>
            <w:r>
              <w:rPr>
                <w:rFonts w:hint="eastAsia"/>
                <w:color w:val="000000"/>
                <w:szCs w:val="21"/>
                <w:highlight w:val="none"/>
                <w:lang w:val="en-US" w:eastAsia="zh-CN"/>
              </w:rPr>
              <w:t>COD、SS、pH、LAS</w:t>
            </w:r>
          </w:p>
        </w:tc>
        <w:tc>
          <w:tcPr>
            <w:tcW w:w="2003" w:type="dxa"/>
            <w:noWrap w:val="0"/>
            <w:vAlign w:val="center"/>
          </w:tcPr>
          <w:p w14:paraId="67A7DF8B">
            <w:pPr>
              <w:keepNext w:val="0"/>
              <w:keepLines w:val="0"/>
              <w:pageBreakBefore w:val="0"/>
              <w:widowControl w:val="0"/>
              <w:kinsoku/>
              <w:wordWrap/>
              <w:overflowPunct/>
              <w:topLinePunct w:val="0"/>
              <w:bidi w:val="0"/>
              <w:adjustRightInd w:val="0"/>
              <w:snapToGrid w:val="0"/>
              <w:ind w:firstLine="0"/>
              <w:jc w:val="center"/>
              <w:textAlignment w:val="auto"/>
              <w:rPr>
                <w:rFonts w:hint="eastAsia"/>
                <w:color w:val="000000"/>
                <w:szCs w:val="21"/>
              </w:rPr>
            </w:pPr>
            <w:r>
              <w:rPr>
                <w:rFonts w:hint="eastAsia"/>
                <w:color w:val="000000"/>
                <w:szCs w:val="21"/>
                <w:lang w:val="en-US" w:eastAsia="zh-CN"/>
              </w:rPr>
              <w:t>进入低温真空蒸发器处理后回用，不外排</w:t>
            </w:r>
          </w:p>
        </w:tc>
        <w:tc>
          <w:tcPr>
            <w:tcW w:w="2494" w:type="dxa"/>
            <w:noWrap w:val="0"/>
            <w:vAlign w:val="center"/>
          </w:tcPr>
          <w:p w14:paraId="425A39E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《城市污水再生利用</w:t>
            </w:r>
            <w:r>
              <w:rPr>
                <w:rFonts w:hint="eastAsia"/>
                <w:color w:val="000000"/>
                <w:szCs w:val="21"/>
                <w:lang w:val="en-US" w:eastAsia="zh-CN"/>
              </w:rPr>
              <w:t xml:space="preserve"> </w:t>
            </w:r>
            <w:r>
              <w:rPr>
                <w:rFonts w:hint="eastAsia"/>
                <w:color w:val="000000"/>
                <w:szCs w:val="21"/>
              </w:rPr>
              <w:t>工业用水水质》</w:t>
            </w:r>
            <w:r>
              <w:rPr>
                <w:rFonts w:hint="eastAsia"/>
                <w:color w:val="000000"/>
                <w:szCs w:val="21"/>
                <w:lang w:eastAsia="zh-CN"/>
              </w:rPr>
              <w:t>（</w:t>
            </w:r>
            <w:r>
              <w:rPr>
                <w:rFonts w:hint="eastAsia"/>
                <w:color w:val="000000"/>
                <w:szCs w:val="21"/>
              </w:rPr>
              <w:t>GB/T19923-2024</w:t>
            </w:r>
            <w:r>
              <w:rPr>
                <w:rFonts w:hint="eastAsia"/>
                <w:color w:val="000000"/>
                <w:szCs w:val="21"/>
                <w:lang w:eastAsia="zh-CN"/>
              </w:rPr>
              <w:t>）</w:t>
            </w:r>
            <w:r>
              <w:rPr>
                <w:rFonts w:hint="eastAsia"/>
                <w:color w:val="000000"/>
                <w:szCs w:val="21"/>
                <w:lang w:val="en-US" w:eastAsia="zh-CN"/>
              </w:rPr>
              <w:t>表1标准</w:t>
            </w:r>
          </w:p>
        </w:tc>
      </w:tr>
      <w:tr w14:paraId="2EED6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noWrap w:val="0"/>
            <w:vAlign w:val="center"/>
          </w:tcPr>
          <w:p w14:paraId="6FFFC5B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声环境</w:t>
            </w:r>
          </w:p>
        </w:tc>
        <w:tc>
          <w:tcPr>
            <w:tcW w:w="1701" w:type="dxa"/>
            <w:noWrap w:val="0"/>
            <w:vAlign w:val="center"/>
          </w:tcPr>
          <w:p w14:paraId="137F506D">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生产设备</w:t>
            </w:r>
            <w:r>
              <w:rPr>
                <w:rFonts w:hint="eastAsia"/>
                <w:color w:val="000000"/>
                <w:szCs w:val="21"/>
              </w:rPr>
              <w:t>、公辅设备等</w:t>
            </w:r>
          </w:p>
        </w:tc>
        <w:tc>
          <w:tcPr>
            <w:tcW w:w="1348" w:type="dxa"/>
            <w:noWrap w:val="0"/>
            <w:vAlign w:val="center"/>
          </w:tcPr>
          <w:p w14:paraId="583EB4A5">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噪声</w:t>
            </w:r>
          </w:p>
        </w:tc>
        <w:tc>
          <w:tcPr>
            <w:tcW w:w="2003" w:type="dxa"/>
            <w:noWrap w:val="0"/>
            <w:vAlign w:val="center"/>
          </w:tcPr>
          <w:p w14:paraId="6D1F70CB">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隔声、减振、消声、合理布局等</w:t>
            </w:r>
          </w:p>
        </w:tc>
        <w:tc>
          <w:tcPr>
            <w:tcW w:w="2494" w:type="dxa"/>
            <w:noWrap w:val="0"/>
            <w:vAlign w:val="center"/>
          </w:tcPr>
          <w:p w14:paraId="4A221F80">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《工业企业厂界环境噪声排放标准》（GB12348-2008）的</w:t>
            </w:r>
            <w:r>
              <w:rPr>
                <w:rFonts w:hint="eastAsia"/>
                <w:color w:val="000000"/>
                <w:szCs w:val="21"/>
                <w:lang w:val="en-US" w:eastAsia="zh-CN"/>
              </w:rPr>
              <w:t>2</w:t>
            </w:r>
            <w:r>
              <w:rPr>
                <w:color w:val="000000"/>
                <w:szCs w:val="21"/>
              </w:rPr>
              <w:t>类标准</w:t>
            </w:r>
          </w:p>
        </w:tc>
      </w:tr>
      <w:tr w14:paraId="4460B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noWrap w:val="0"/>
            <w:vAlign w:val="center"/>
          </w:tcPr>
          <w:p w14:paraId="50474E1A">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电磁辐射</w:t>
            </w:r>
          </w:p>
        </w:tc>
        <w:tc>
          <w:tcPr>
            <w:tcW w:w="1701" w:type="dxa"/>
            <w:noWrap w:val="0"/>
            <w:vAlign w:val="center"/>
          </w:tcPr>
          <w:p w14:paraId="483BAA04">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无</w:t>
            </w:r>
          </w:p>
        </w:tc>
        <w:tc>
          <w:tcPr>
            <w:tcW w:w="5845" w:type="dxa"/>
            <w:gridSpan w:val="3"/>
            <w:noWrap w:val="0"/>
            <w:vAlign w:val="center"/>
          </w:tcPr>
          <w:p w14:paraId="252CB999">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w:t>
            </w:r>
          </w:p>
        </w:tc>
      </w:tr>
      <w:tr w14:paraId="2F796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noWrap w:val="0"/>
            <w:vAlign w:val="center"/>
          </w:tcPr>
          <w:p w14:paraId="676764B0">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固体废物</w:t>
            </w:r>
          </w:p>
        </w:tc>
        <w:tc>
          <w:tcPr>
            <w:tcW w:w="7546" w:type="dxa"/>
            <w:gridSpan w:val="4"/>
            <w:noWrap w:val="0"/>
            <w:vAlign w:val="center"/>
          </w:tcPr>
          <w:p w14:paraId="4974700F">
            <w:pPr>
              <w:pStyle w:val="7"/>
              <w:keepNext w:val="0"/>
              <w:keepLines w:val="0"/>
              <w:pageBreakBefore w:val="0"/>
              <w:widowControl w:val="0"/>
              <w:kinsoku/>
              <w:wordWrap/>
              <w:overflowPunct/>
              <w:topLinePunct w:val="0"/>
              <w:bidi w:val="0"/>
              <w:adjustRightInd w:val="0"/>
              <w:snapToGrid w:val="0"/>
              <w:spacing w:after="0"/>
              <w:ind w:left="0" w:leftChars="0" w:firstLine="0"/>
              <w:jc w:val="center"/>
              <w:textAlignment w:val="auto"/>
              <w:rPr>
                <w:color w:val="000000"/>
                <w:sz w:val="21"/>
                <w:szCs w:val="21"/>
              </w:rPr>
            </w:pPr>
            <w:r>
              <w:rPr>
                <w:color w:val="000000"/>
                <w:sz w:val="21"/>
                <w:szCs w:val="21"/>
              </w:rPr>
              <w:t>本项目产生的一般固废暂存于一般固废</w:t>
            </w:r>
            <w:r>
              <w:rPr>
                <w:rFonts w:hint="eastAsia"/>
                <w:color w:val="000000"/>
                <w:sz w:val="21"/>
                <w:szCs w:val="21"/>
                <w:lang w:val="en-US" w:eastAsia="zh-CN"/>
              </w:rPr>
              <w:t>仓库</w:t>
            </w:r>
            <w:r>
              <w:rPr>
                <w:color w:val="000000"/>
                <w:sz w:val="21"/>
                <w:szCs w:val="21"/>
              </w:rPr>
              <w:t>，</w:t>
            </w:r>
            <w:r>
              <w:rPr>
                <w:rFonts w:hint="eastAsia"/>
                <w:color w:val="000000"/>
                <w:sz w:val="21"/>
                <w:szCs w:val="21"/>
              </w:rPr>
              <w:t>由企业收集外售</w:t>
            </w:r>
            <w:r>
              <w:rPr>
                <w:color w:val="000000"/>
                <w:sz w:val="21"/>
                <w:szCs w:val="21"/>
              </w:rPr>
              <w:t>；危险废物暂存于危废</w:t>
            </w:r>
            <w:r>
              <w:rPr>
                <w:rFonts w:hint="eastAsia"/>
                <w:color w:val="000000"/>
                <w:sz w:val="21"/>
                <w:szCs w:val="21"/>
                <w:lang w:val="en-US" w:eastAsia="zh-CN"/>
              </w:rPr>
              <w:t>仓库</w:t>
            </w:r>
            <w:r>
              <w:rPr>
                <w:color w:val="000000"/>
                <w:sz w:val="21"/>
                <w:szCs w:val="21"/>
              </w:rPr>
              <w:t>，定期委托有资质单位处理；生活垃圾由环卫部门统一清运，均妥善处置，实现零排放。</w:t>
            </w:r>
          </w:p>
        </w:tc>
      </w:tr>
      <w:tr w14:paraId="11500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noWrap w:val="0"/>
            <w:vAlign w:val="center"/>
          </w:tcPr>
          <w:p w14:paraId="7F4E9118">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土壤及地下水污染防治措施</w:t>
            </w:r>
          </w:p>
        </w:tc>
        <w:tc>
          <w:tcPr>
            <w:tcW w:w="7546" w:type="dxa"/>
            <w:gridSpan w:val="4"/>
            <w:noWrap w:val="0"/>
            <w:vAlign w:val="center"/>
          </w:tcPr>
          <w:p w14:paraId="4B214AD3">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rFonts w:hint="eastAsia"/>
                <w:color w:val="000000"/>
                <w:szCs w:val="21"/>
              </w:rPr>
              <w:t>按照“源头控制、末端防治、污染监控、应急响应”相结合的原则，从污染物的产生、入渗、扩散、应急响应全阶段进行控制。根据企业物料或者污染物泄漏的途径和生产功能单元所处的位置，将厂区可划为非污染防治区、一般污染防治区和重点污染防治区。本项目分区防渗，建立完善的监测制度，合理设置地下水污染监控井，发现污染及时控制，制定应急预案。</w:t>
            </w:r>
          </w:p>
        </w:tc>
      </w:tr>
      <w:tr w14:paraId="1B082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54" w:type="dxa"/>
            <w:noWrap w:val="0"/>
            <w:vAlign w:val="center"/>
          </w:tcPr>
          <w:p w14:paraId="5B36C451">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生态保护措施</w:t>
            </w:r>
          </w:p>
        </w:tc>
        <w:tc>
          <w:tcPr>
            <w:tcW w:w="7546" w:type="dxa"/>
            <w:gridSpan w:val="4"/>
            <w:noWrap w:val="0"/>
            <w:vAlign w:val="center"/>
          </w:tcPr>
          <w:p w14:paraId="214E8CD4">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rPr>
            </w:pPr>
            <w:r>
              <w:rPr>
                <w:color w:val="000000"/>
                <w:szCs w:val="21"/>
              </w:rPr>
              <w:t>无</w:t>
            </w:r>
          </w:p>
        </w:tc>
      </w:tr>
      <w:tr w14:paraId="406D0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254" w:type="dxa"/>
            <w:noWrap w:val="0"/>
            <w:vAlign w:val="center"/>
          </w:tcPr>
          <w:p w14:paraId="45699DFD">
            <w:pPr>
              <w:keepNext w:val="0"/>
              <w:keepLines w:val="0"/>
              <w:pageBreakBefore w:val="0"/>
              <w:widowControl w:val="0"/>
              <w:kinsoku/>
              <w:wordWrap/>
              <w:overflowPunct/>
              <w:topLinePunct w:val="0"/>
              <w:bidi w:val="0"/>
              <w:adjustRightInd w:val="0"/>
              <w:snapToGrid w:val="0"/>
              <w:ind w:firstLine="0"/>
              <w:jc w:val="center"/>
              <w:textAlignment w:val="auto"/>
              <w:rPr>
                <w:color w:val="000000"/>
                <w:spacing w:val="-8"/>
                <w:szCs w:val="21"/>
              </w:rPr>
            </w:pPr>
            <w:r>
              <w:rPr>
                <w:color w:val="000000"/>
                <w:spacing w:val="-8"/>
                <w:szCs w:val="21"/>
              </w:rPr>
              <w:t>环境风险</w:t>
            </w:r>
          </w:p>
          <w:p w14:paraId="4BA17F9A">
            <w:pPr>
              <w:keepNext w:val="0"/>
              <w:keepLines w:val="0"/>
              <w:pageBreakBefore w:val="0"/>
              <w:widowControl w:val="0"/>
              <w:kinsoku/>
              <w:wordWrap/>
              <w:overflowPunct/>
              <w:topLinePunct w:val="0"/>
              <w:bidi w:val="0"/>
              <w:adjustRightInd w:val="0"/>
              <w:snapToGrid w:val="0"/>
              <w:ind w:firstLine="0"/>
              <w:jc w:val="center"/>
              <w:textAlignment w:val="auto"/>
              <w:rPr>
                <w:color w:val="000000"/>
                <w:spacing w:val="-8"/>
                <w:szCs w:val="21"/>
              </w:rPr>
            </w:pPr>
            <w:r>
              <w:rPr>
                <w:color w:val="000000"/>
                <w:spacing w:val="-8"/>
                <w:szCs w:val="21"/>
              </w:rPr>
              <w:t>防范措施</w:t>
            </w:r>
          </w:p>
        </w:tc>
        <w:tc>
          <w:tcPr>
            <w:tcW w:w="7546" w:type="dxa"/>
            <w:gridSpan w:val="4"/>
            <w:noWrap w:val="0"/>
            <w:vAlign w:val="center"/>
          </w:tcPr>
          <w:p w14:paraId="05A5E060">
            <w:pPr>
              <w:keepNext w:val="0"/>
              <w:keepLines w:val="0"/>
              <w:pageBreakBefore w:val="0"/>
              <w:widowControl w:val="0"/>
              <w:kinsoku/>
              <w:wordWrap/>
              <w:overflowPunct/>
              <w:topLinePunct w:val="0"/>
              <w:bidi w:val="0"/>
              <w:adjustRightInd w:val="0"/>
              <w:snapToGrid w:val="0"/>
              <w:ind w:firstLine="0"/>
              <w:jc w:val="center"/>
              <w:textAlignment w:val="auto"/>
              <w:rPr>
                <w:color w:val="000000"/>
                <w:szCs w:val="21"/>
                <w:highlight w:val="none"/>
              </w:rPr>
            </w:pPr>
            <w:r>
              <w:rPr>
                <w:rFonts w:hint="eastAsia"/>
                <w:color w:val="000000"/>
                <w:szCs w:val="21"/>
                <w:highlight w:val="none"/>
              </w:rPr>
              <w:t>定期维护保养、安装自动监控系统、制定应急操作规程、应急设施、应急预案、环境风险管理等；设置</w:t>
            </w:r>
            <w:r>
              <w:rPr>
                <w:rFonts w:hint="eastAsia"/>
                <w:color w:val="000000"/>
                <w:szCs w:val="21"/>
                <w:highlight w:val="none"/>
                <w:lang w:val="en-US" w:eastAsia="zh-CN"/>
              </w:rPr>
              <w:t>144.2</w:t>
            </w:r>
            <w:r>
              <w:rPr>
                <w:rFonts w:hint="eastAsia"/>
                <w:color w:val="000000"/>
                <w:szCs w:val="21"/>
                <w:highlight w:val="none"/>
              </w:rPr>
              <w:t>m</w:t>
            </w:r>
            <w:r>
              <w:rPr>
                <w:rFonts w:hint="eastAsia"/>
                <w:color w:val="000000"/>
                <w:szCs w:val="21"/>
                <w:highlight w:val="none"/>
                <w:vertAlign w:val="superscript"/>
              </w:rPr>
              <w:t>3</w:t>
            </w:r>
            <w:r>
              <w:rPr>
                <w:rFonts w:hint="eastAsia"/>
                <w:color w:val="000000"/>
                <w:szCs w:val="21"/>
                <w:highlight w:val="none"/>
              </w:rPr>
              <w:t>的事故应急池；详见环境风险影响分析章节</w:t>
            </w:r>
          </w:p>
        </w:tc>
      </w:tr>
      <w:tr w14:paraId="3778A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254" w:type="dxa"/>
            <w:noWrap w:val="0"/>
            <w:vAlign w:val="center"/>
          </w:tcPr>
          <w:p w14:paraId="60EE2763">
            <w:pPr>
              <w:keepNext w:val="0"/>
              <w:keepLines w:val="0"/>
              <w:pageBreakBefore w:val="0"/>
              <w:widowControl w:val="0"/>
              <w:kinsoku/>
              <w:wordWrap/>
              <w:overflowPunct/>
              <w:topLinePunct w:val="0"/>
              <w:bidi w:val="0"/>
              <w:adjustRightInd w:val="0"/>
              <w:snapToGrid w:val="0"/>
              <w:ind w:firstLine="0"/>
              <w:jc w:val="center"/>
              <w:textAlignment w:val="auto"/>
              <w:rPr>
                <w:color w:val="000000"/>
                <w:spacing w:val="-8"/>
                <w:szCs w:val="21"/>
              </w:rPr>
            </w:pPr>
            <w:r>
              <w:rPr>
                <w:color w:val="000000"/>
                <w:spacing w:val="-8"/>
                <w:szCs w:val="21"/>
              </w:rPr>
              <w:t>其他环境</w:t>
            </w:r>
          </w:p>
          <w:p w14:paraId="6EAD6193">
            <w:pPr>
              <w:keepNext w:val="0"/>
              <w:keepLines w:val="0"/>
              <w:pageBreakBefore w:val="0"/>
              <w:widowControl w:val="0"/>
              <w:kinsoku/>
              <w:wordWrap/>
              <w:overflowPunct/>
              <w:topLinePunct w:val="0"/>
              <w:bidi w:val="0"/>
              <w:adjustRightInd w:val="0"/>
              <w:snapToGrid w:val="0"/>
              <w:ind w:firstLine="0"/>
              <w:jc w:val="center"/>
              <w:textAlignment w:val="auto"/>
              <w:rPr>
                <w:color w:val="000000"/>
                <w:spacing w:val="-8"/>
                <w:szCs w:val="21"/>
              </w:rPr>
            </w:pPr>
            <w:r>
              <w:rPr>
                <w:color w:val="000000"/>
                <w:spacing w:val="-8"/>
                <w:szCs w:val="21"/>
              </w:rPr>
              <w:t>管理要求</w:t>
            </w:r>
          </w:p>
        </w:tc>
        <w:tc>
          <w:tcPr>
            <w:tcW w:w="7546" w:type="dxa"/>
            <w:gridSpan w:val="4"/>
            <w:noWrap w:val="0"/>
            <w:vAlign w:val="center"/>
          </w:tcPr>
          <w:p w14:paraId="173D97A6">
            <w:pPr>
              <w:keepNext w:val="0"/>
              <w:keepLines w:val="0"/>
              <w:pageBreakBefore w:val="0"/>
              <w:widowControl w:val="0"/>
              <w:kinsoku/>
              <w:wordWrap/>
              <w:overflowPunct/>
              <w:topLinePunct w:val="0"/>
              <w:autoSpaceDE w:val="0"/>
              <w:autoSpaceDN w:val="0"/>
              <w:bidi w:val="0"/>
              <w:adjustRightInd w:val="0"/>
              <w:snapToGrid w:val="0"/>
              <w:ind w:firstLine="0"/>
              <w:jc w:val="both"/>
              <w:textAlignment w:val="auto"/>
              <w:rPr>
                <w:color w:val="000000"/>
                <w:szCs w:val="21"/>
              </w:rPr>
            </w:pPr>
            <w:r>
              <w:rPr>
                <w:color w:val="000000"/>
                <w:szCs w:val="21"/>
              </w:rPr>
              <w:t>要求企业设置专门的环境管理部门，同时制定各类环境管理的相关规章、制度和措施的要求，具体包括：</w:t>
            </w:r>
          </w:p>
          <w:p w14:paraId="4B1B558F">
            <w:pPr>
              <w:keepNext w:val="0"/>
              <w:keepLines w:val="0"/>
              <w:pageBreakBefore w:val="0"/>
              <w:widowControl w:val="0"/>
              <w:numPr>
                <w:ilvl w:val="0"/>
                <w:numId w:val="0"/>
              </w:numPr>
              <w:kinsoku/>
              <w:wordWrap/>
              <w:overflowPunct/>
              <w:topLinePunct w:val="0"/>
              <w:autoSpaceDE w:val="0"/>
              <w:autoSpaceDN w:val="0"/>
              <w:bidi w:val="0"/>
              <w:adjustRightInd w:val="0"/>
              <w:snapToGrid w:val="0"/>
              <w:ind w:leftChars="0" w:firstLine="420" w:firstLineChars="200"/>
              <w:jc w:val="both"/>
              <w:textAlignment w:val="auto"/>
              <w:rPr>
                <w:color w:val="000000"/>
                <w:szCs w:val="21"/>
              </w:rPr>
            </w:pPr>
            <w:r>
              <w:rPr>
                <w:rFonts w:hint="eastAsia"/>
                <w:color w:val="000000"/>
                <w:szCs w:val="21"/>
                <w:lang w:eastAsia="zh-CN"/>
              </w:rPr>
              <w:t>（</w:t>
            </w:r>
            <w:r>
              <w:rPr>
                <w:rFonts w:hint="eastAsia"/>
                <w:color w:val="000000"/>
                <w:szCs w:val="21"/>
                <w:lang w:val="en-US" w:eastAsia="zh-CN"/>
              </w:rPr>
              <w:t>1</w:t>
            </w:r>
            <w:r>
              <w:rPr>
                <w:rFonts w:hint="eastAsia"/>
                <w:color w:val="000000"/>
                <w:szCs w:val="21"/>
                <w:lang w:eastAsia="zh-CN"/>
              </w:rPr>
              <w:t>）</w:t>
            </w:r>
            <w:r>
              <w:rPr>
                <w:color w:val="000000"/>
                <w:szCs w:val="21"/>
              </w:rPr>
              <w:t>定期报告制度</w:t>
            </w:r>
          </w:p>
          <w:p w14:paraId="7C635366">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要定期向当地环保部门报告污染治理设施运行情况、污染物排放情况以及污染事故、污染纠纷等情况。</w:t>
            </w:r>
          </w:p>
          <w:p w14:paraId="6B9A680F">
            <w:pPr>
              <w:keepNext w:val="0"/>
              <w:keepLines w:val="0"/>
              <w:pageBreakBefore w:val="0"/>
              <w:widowControl w:val="0"/>
              <w:numPr>
                <w:ilvl w:val="0"/>
                <w:numId w:val="0"/>
              </w:numPr>
              <w:kinsoku/>
              <w:wordWrap/>
              <w:overflowPunct/>
              <w:topLinePunct w:val="0"/>
              <w:autoSpaceDE w:val="0"/>
              <w:autoSpaceDN w:val="0"/>
              <w:bidi w:val="0"/>
              <w:adjustRightInd w:val="0"/>
              <w:snapToGrid w:val="0"/>
              <w:ind w:leftChars="0" w:firstLine="420" w:firstLineChars="200"/>
              <w:jc w:val="both"/>
              <w:textAlignment w:val="auto"/>
              <w:rPr>
                <w:color w:val="000000"/>
                <w:szCs w:val="21"/>
              </w:rPr>
            </w:pPr>
            <w:r>
              <w:rPr>
                <w:rFonts w:hint="eastAsia"/>
                <w:color w:val="000000"/>
                <w:szCs w:val="21"/>
                <w:lang w:eastAsia="zh-CN"/>
              </w:rPr>
              <w:t>（</w:t>
            </w:r>
            <w:r>
              <w:rPr>
                <w:rFonts w:hint="eastAsia"/>
                <w:color w:val="000000"/>
                <w:szCs w:val="21"/>
                <w:lang w:val="en-US" w:eastAsia="zh-CN"/>
              </w:rPr>
              <w:t>2</w:t>
            </w:r>
            <w:r>
              <w:rPr>
                <w:rFonts w:hint="eastAsia"/>
                <w:color w:val="000000"/>
                <w:szCs w:val="21"/>
                <w:lang w:eastAsia="zh-CN"/>
              </w:rPr>
              <w:t>）</w:t>
            </w:r>
            <w:r>
              <w:rPr>
                <w:color w:val="000000"/>
                <w:szCs w:val="21"/>
              </w:rPr>
              <w:t>污染处理设施的管理制度。</w:t>
            </w:r>
          </w:p>
          <w:p w14:paraId="591B85CB">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对污染治理设施的管理必须与生产经营活动一起纳入企业的日常管理中，要建立岗位责任制，制定操作规程，建立管理台</w:t>
            </w:r>
            <w:r>
              <w:rPr>
                <w:rFonts w:hint="eastAsia"/>
                <w:color w:val="000000"/>
                <w:szCs w:val="21"/>
                <w:lang w:val="en-US" w:eastAsia="zh-CN"/>
              </w:rPr>
              <w:t>账</w:t>
            </w:r>
            <w:r>
              <w:rPr>
                <w:color w:val="000000"/>
                <w:szCs w:val="21"/>
              </w:rPr>
              <w:t>。</w:t>
            </w:r>
          </w:p>
          <w:p w14:paraId="208431CD">
            <w:pPr>
              <w:keepNext w:val="0"/>
              <w:keepLines w:val="0"/>
              <w:pageBreakBefore w:val="0"/>
              <w:widowControl w:val="0"/>
              <w:numPr>
                <w:ilvl w:val="0"/>
                <w:numId w:val="0"/>
              </w:numPr>
              <w:kinsoku/>
              <w:wordWrap/>
              <w:overflowPunct/>
              <w:topLinePunct w:val="0"/>
              <w:autoSpaceDE w:val="0"/>
              <w:autoSpaceDN w:val="0"/>
              <w:bidi w:val="0"/>
              <w:adjustRightInd w:val="0"/>
              <w:snapToGrid w:val="0"/>
              <w:ind w:leftChars="0" w:firstLine="420" w:firstLineChars="200"/>
              <w:jc w:val="both"/>
              <w:textAlignment w:val="auto"/>
              <w:rPr>
                <w:color w:val="000000"/>
                <w:szCs w:val="21"/>
              </w:rPr>
            </w:pPr>
            <w:r>
              <w:rPr>
                <w:rFonts w:hint="eastAsia"/>
                <w:color w:val="000000"/>
                <w:szCs w:val="21"/>
                <w:lang w:eastAsia="zh-CN"/>
              </w:rPr>
              <w:t>（</w:t>
            </w:r>
            <w:r>
              <w:rPr>
                <w:rFonts w:hint="eastAsia"/>
                <w:color w:val="000000"/>
                <w:szCs w:val="21"/>
                <w:lang w:val="en-US" w:eastAsia="zh-CN"/>
              </w:rPr>
              <w:t>3</w:t>
            </w:r>
            <w:r>
              <w:rPr>
                <w:rFonts w:hint="eastAsia"/>
                <w:color w:val="000000"/>
                <w:szCs w:val="21"/>
                <w:lang w:eastAsia="zh-CN"/>
              </w:rPr>
              <w:t>）</w:t>
            </w:r>
            <w:r>
              <w:rPr>
                <w:color w:val="000000"/>
                <w:szCs w:val="21"/>
              </w:rPr>
              <w:t>奖惩制度</w:t>
            </w:r>
          </w:p>
          <w:p w14:paraId="7738BBD5">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企业应设置环境保护奖惩制度，对爱护环保设施，节能降耗、改善环境者实行奖励；对不按环保要求管理，造成环保设施损坏、环境污染和资源、能源浪费者予以处罚。</w:t>
            </w:r>
          </w:p>
          <w:p w14:paraId="445BE6EB">
            <w:pPr>
              <w:keepNext w:val="0"/>
              <w:keepLines w:val="0"/>
              <w:pageBreakBefore w:val="0"/>
              <w:widowControl w:val="0"/>
              <w:numPr>
                <w:ilvl w:val="0"/>
                <w:numId w:val="0"/>
              </w:numPr>
              <w:kinsoku/>
              <w:wordWrap/>
              <w:overflowPunct/>
              <w:topLinePunct w:val="0"/>
              <w:autoSpaceDE w:val="0"/>
              <w:autoSpaceDN w:val="0"/>
              <w:bidi w:val="0"/>
              <w:adjustRightInd w:val="0"/>
              <w:snapToGrid w:val="0"/>
              <w:ind w:leftChars="0" w:firstLine="420" w:firstLineChars="200"/>
              <w:jc w:val="both"/>
              <w:textAlignment w:val="auto"/>
              <w:rPr>
                <w:color w:val="000000"/>
                <w:szCs w:val="21"/>
              </w:rPr>
            </w:pPr>
            <w:r>
              <w:rPr>
                <w:rFonts w:hint="eastAsia"/>
                <w:color w:val="000000"/>
                <w:szCs w:val="21"/>
                <w:lang w:eastAsia="zh-CN"/>
              </w:rPr>
              <w:t>（</w:t>
            </w:r>
            <w:r>
              <w:rPr>
                <w:rFonts w:hint="eastAsia"/>
                <w:color w:val="000000"/>
                <w:szCs w:val="21"/>
                <w:lang w:val="en-US" w:eastAsia="zh-CN"/>
              </w:rPr>
              <w:t>4</w:t>
            </w:r>
            <w:r>
              <w:rPr>
                <w:rFonts w:hint="eastAsia"/>
                <w:color w:val="000000"/>
                <w:szCs w:val="21"/>
                <w:lang w:eastAsia="zh-CN"/>
              </w:rPr>
              <w:t>）</w:t>
            </w:r>
            <w:r>
              <w:rPr>
                <w:color w:val="000000"/>
                <w:szCs w:val="21"/>
              </w:rPr>
              <w:t>制定各类环保规章制度</w:t>
            </w:r>
          </w:p>
          <w:p w14:paraId="022654E4">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制定了全公司的环境方针、环境管理手册及一系列作业指导书以促进全公司的环境保护工作，使环境保护工作规范化和程序化，通过重要环境因素识别、提出持续改进措施，将全公司环境污染的影响逐年降低。</w:t>
            </w:r>
          </w:p>
          <w:p w14:paraId="049A2276">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依法向社会公开：</w:t>
            </w:r>
          </w:p>
          <w:p w14:paraId="5EB60444">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①</w:t>
            </w:r>
            <w:r>
              <w:rPr>
                <w:color w:val="000000"/>
                <w:szCs w:val="21"/>
              </w:rPr>
              <w:t>企业环境保护方针、年度环境保护目标及成效；</w:t>
            </w:r>
          </w:p>
          <w:p w14:paraId="698461AD">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②</w:t>
            </w:r>
            <w:r>
              <w:rPr>
                <w:color w:val="000000"/>
                <w:szCs w:val="21"/>
              </w:rPr>
              <w:t>企业年度资源消耗量；</w:t>
            </w:r>
          </w:p>
          <w:p w14:paraId="630B6C56">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③</w:t>
            </w:r>
            <w:r>
              <w:rPr>
                <w:color w:val="000000"/>
                <w:szCs w:val="21"/>
              </w:rPr>
              <w:t>企业环保投资和环境技术开发情况；</w:t>
            </w:r>
          </w:p>
          <w:p w14:paraId="08800D2E">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④</w:t>
            </w:r>
            <w:r>
              <w:rPr>
                <w:color w:val="000000"/>
                <w:szCs w:val="21"/>
              </w:rPr>
              <w:t>企业排放污染物种类、数量、浓度和去向；</w:t>
            </w:r>
          </w:p>
          <w:p w14:paraId="3B6F7F97">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⑤</w:t>
            </w:r>
            <w:r>
              <w:rPr>
                <w:color w:val="000000"/>
                <w:szCs w:val="21"/>
              </w:rPr>
              <w:t>企业环保设施的建设和运行情况；</w:t>
            </w:r>
          </w:p>
          <w:p w14:paraId="44EAA41A">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⑥</w:t>
            </w:r>
            <w:r>
              <w:rPr>
                <w:color w:val="000000"/>
                <w:szCs w:val="21"/>
              </w:rPr>
              <w:t>企业在生产过程中产生的废物的处理、处置情况，废弃产品的回收、综合利用情况；</w:t>
            </w:r>
          </w:p>
          <w:p w14:paraId="0809DE42">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⑦</w:t>
            </w:r>
            <w:r>
              <w:rPr>
                <w:color w:val="000000"/>
                <w:szCs w:val="21"/>
              </w:rPr>
              <w:t>与环保部门签订的改善环境行为的自愿协议；</w:t>
            </w:r>
          </w:p>
          <w:p w14:paraId="12323A3A">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⑧</w:t>
            </w:r>
            <w:r>
              <w:rPr>
                <w:color w:val="000000"/>
                <w:szCs w:val="21"/>
              </w:rPr>
              <w:t>企业履行社会责任的情况；</w:t>
            </w:r>
          </w:p>
          <w:p w14:paraId="216B976B">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⑨</w:t>
            </w:r>
            <w:r>
              <w:rPr>
                <w:color w:val="000000"/>
                <w:szCs w:val="21"/>
              </w:rPr>
              <w:t>企业自愿公开的其他环境信息。</w:t>
            </w:r>
          </w:p>
          <w:p w14:paraId="7BE14721">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rFonts w:hint="eastAsia" w:ascii="宋体" w:hAnsi="宋体"/>
                <w:color w:val="000000"/>
                <w:szCs w:val="21"/>
              </w:rPr>
              <w:t>⑩</w:t>
            </w:r>
            <w:r>
              <w:rPr>
                <w:color w:val="000000"/>
                <w:szCs w:val="21"/>
              </w:rPr>
              <w:t>环境保护设施竣工信息公示：</w:t>
            </w:r>
          </w:p>
          <w:p w14:paraId="7D1B6422">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a.建设项目配套建设的环保设施竣工后，公开竣工日期；</w:t>
            </w:r>
          </w:p>
          <w:p w14:paraId="5D11EB98">
            <w:pPr>
              <w:keepNext w:val="0"/>
              <w:keepLines w:val="0"/>
              <w:pageBreakBefore w:val="0"/>
              <w:widowControl w:val="0"/>
              <w:kinsoku/>
              <w:wordWrap/>
              <w:overflowPunct/>
              <w:topLinePunct w:val="0"/>
              <w:autoSpaceDE w:val="0"/>
              <w:autoSpaceDN w:val="0"/>
              <w:bidi w:val="0"/>
              <w:adjustRightInd w:val="0"/>
              <w:snapToGrid w:val="0"/>
              <w:ind w:firstLine="420" w:firstLineChars="200"/>
              <w:jc w:val="both"/>
              <w:textAlignment w:val="auto"/>
              <w:rPr>
                <w:color w:val="000000"/>
                <w:szCs w:val="21"/>
              </w:rPr>
            </w:pPr>
            <w:r>
              <w:rPr>
                <w:color w:val="000000"/>
                <w:szCs w:val="21"/>
              </w:rPr>
              <w:t>b.对建设项目配套建设的环境保护设施进行调试前，公开调试的起止日期等；</w:t>
            </w:r>
          </w:p>
          <w:p w14:paraId="18BC75C2">
            <w:pPr>
              <w:keepNext w:val="0"/>
              <w:keepLines w:val="0"/>
              <w:pageBreakBefore w:val="0"/>
              <w:widowControl w:val="0"/>
              <w:kinsoku/>
              <w:wordWrap/>
              <w:overflowPunct/>
              <w:topLinePunct w:val="0"/>
              <w:bidi w:val="0"/>
              <w:adjustRightInd w:val="0"/>
              <w:snapToGrid w:val="0"/>
              <w:ind w:firstLine="420" w:firstLineChars="200"/>
              <w:jc w:val="both"/>
              <w:textAlignment w:val="auto"/>
              <w:rPr>
                <w:color w:val="000000"/>
                <w:szCs w:val="21"/>
              </w:rPr>
            </w:pPr>
            <w:r>
              <w:rPr>
                <w:color w:val="000000"/>
                <w:szCs w:val="21"/>
              </w:rPr>
              <w:t>c.验收报告编制完成后5个工作日内，公开验收报告，公示的期限不得少于20个工作日。</w:t>
            </w:r>
          </w:p>
          <w:p w14:paraId="46925A86">
            <w:pPr>
              <w:pStyle w:val="5"/>
              <w:rPr>
                <w:color w:val="000000"/>
                <w:szCs w:val="21"/>
              </w:rPr>
            </w:pPr>
          </w:p>
          <w:p w14:paraId="31F25F7D">
            <w:pPr>
              <w:rPr>
                <w:color w:val="000000"/>
                <w:szCs w:val="21"/>
              </w:rPr>
            </w:pPr>
          </w:p>
          <w:p w14:paraId="167C57B2">
            <w:pPr>
              <w:pStyle w:val="5"/>
              <w:rPr>
                <w:color w:val="000000"/>
                <w:szCs w:val="21"/>
              </w:rPr>
            </w:pPr>
          </w:p>
          <w:p w14:paraId="25857D57">
            <w:pPr>
              <w:rPr>
                <w:color w:val="000000"/>
                <w:szCs w:val="21"/>
              </w:rPr>
            </w:pPr>
          </w:p>
          <w:p w14:paraId="76FDCA0F">
            <w:pPr>
              <w:pStyle w:val="5"/>
              <w:rPr>
                <w:color w:val="000000"/>
                <w:szCs w:val="21"/>
              </w:rPr>
            </w:pPr>
          </w:p>
          <w:p w14:paraId="3E57978D">
            <w:pPr>
              <w:rPr>
                <w:color w:val="000000"/>
                <w:szCs w:val="21"/>
              </w:rPr>
            </w:pPr>
          </w:p>
          <w:p w14:paraId="1BD97862">
            <w:pPr>
              <w:pStyle w:val="5"/>
              <w:rPr>
                <w:color w:val="000000"/>
                <w:szCs w:val="21"/>
              </w:rPr>
            </w:pPr>
          </w:p>
          <w:p w14:paraId="68BABBB2">
            <w:pPr>
              <w:rPr>
                <w:color w:val="000000"/>
                <w:szCs w:val="21"/>
              </w:rPr>
            </w:pPr>
          </w:p>
          <w:p w14:paraId="0CB81DEA">
            <w:pPr>
              <w:pStyle w:val="5"/>
              <w:rPr>
                <w:color w:val="000000"/>
                <w:szCs w:val="21"/>
              </w:rPr>
            </w:pPr>
          </w:p>
          <w:p w14:paraId="6E90D868">
            <w:pPr>
              <w:rPr>
                <w:color w:val="000000"/>
                <w:szCs w:val="21"/>
              </w:rPr>
            </w:pPr>
          </w:p>
          <w:p w14:paraId="2DFAB85A">
            <w:pPr>
              <w:rPr>
                <w:color w:val="000000"/>
                <w:szCs w:val="21"/>
              </w:rPr>
            </w:pPr>
          </w:p>
          <w:p w14:paraId="6A375B5E">
            <w:pPr>
              <w:pStyle w:val="12"/>
              <w:ind w:left="0" w:leftChars="0" w:firstLine="0" w:firstLineChars="0"/>
              <w:rPr>
                <w:rFonts w:hint="eastAsia"/>
                <w:color w:val="000000"/>
              </w:rPr>
            </w:pPr>
          </w:p>
          <w:p w14:paraId="3B0F84D5">
            <w:pPr>
              <w:pStyle w:val="12"/>
              <w:ind w:left="0" w:leftChars="0" w:firstLine="0" w:firstLineChars="0"/>
              <w:rPr>
                <w:rFonts w:hint="eastAsia"/>
                <w:color w:val="000000"/>
              </w:rPr>
            </w:pPr>
          </w:p>
          <w:p w14:paraId="30876763">
            <w:pPr>
              <w:pStyle w:val="12"/>
              <w:ind w:left="0" w:leftChars="0" w:firstLine="0" w:firstLineChars="0"/>
              <w:rPr>
                <w:rFonts w:hint="eastAsia"/>
                <w:color w:val="000000"/>
              </w:rPr>
            </w:pPr>
          </w:p>
        </w:tc>
      </w:tr>
    </w:tbl>
    <w:p w14:paraId="15F518EE">
      <w:pPr>
        <w:tabs>
          <w:tab w:val="left" w:pos="1229"/>
        </w:tabs>
        <w:rPr>
          <w:rFonts w:hint="eastAsia" w:eastAsia="宋体"/>
          <w:lang w:eastAsia="zh-CN"/>
        </w:rPr>
        <w:sectPr>
          <w:pgSz w:w="11906" w:h="16838"/>
          <w:pgMar w:top="1440" w:right="1800" w:bottom="1440" w:left="1800" w:header="851" w:footer="992" w:gutter="0"/>
          <w:pgNumType w:fmt="decimal"/>
          <w:cols w:space="425" w:num="1"/>
          <w:docGrid w:type="lines" w:linePitch="312" w:charSpace="0"/>
        </w:sectPr>
      </w:pPr>
    </w:p>
    <w:p w14:paraId="5428701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snapToGrid w:val="0"/>
          <w:color w:val="auto"/>
          <w:sz w:val="30"/>
          <w:szCs w:val="30"/>
        </w:rPr>
      </w:pPr>
      <w:r>
        <w:rPr>
          <w:rFonts w:hint="eastAsia" w:ascii="黑体" w:hAnsi="黑体" w:eastAsia="黑体" w:cs="Times New Roman"/>
          <w:snapToGrid w:val="0"/>
          <w:color w:val="auto"/>
          <w:kern w:val="2"/>
          <w:sz w:val="30"/>
          <w:szCs w:val="30"/>
          <w:lang w:val="en-US" w:eastAsia="zh-CN" w:bidi="ar-SA"/>
        </w:rPr>
        <w:t>六、</w:t>
      </w:r>
      <w:r>
        <w:rPr>
          <w:rFonts w:hint="eastAsia" w:ascii="黑体" w:hAnsi="黑体" w:eastAsia="黑体"/>
          <w:snapToGrid w:val="0"/>
          <w:color w:val="auto"/>
          <w:sz w:val="30"/>
          <w:szCs w:val="30"/>
        </w:rPr>
        <w:t>结论</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139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5" w:type="dxa"/>
            <w:noWrap w:val="0"/>
            <w:vAlign w:val="top"/>
          </w:tcPr>
          <w:p w14:paraId="1CF66916">
            <w:pPr>
              <w:keepNext w:val="0"/>
              <w:keepLines w:val="0"/>
              <w:pageBreakBefore w:val="0"/>
              <w:widowControl w:val="0"/>
              <w:tabs>
                <w:tab w:val="left" w:pos="2385"/>
              </w:tabs>
              <w:kinsoku/>
              <w:wordWrap/>
              <w:overflowPunct/>
              <w:topLinePunct w:val="0"/>
              <w:autoSpaceDE/>
              <w:autoSpaceDN/>
              <w:bidi w:val="0"/>
              <w:adjustRightInd/>
              <w:snapToGrid/>
              <w:spacing w:line="360" w:lineRule="auto"/>
              <w:ind w:firstLine="480" w:firstLineChars="200"/>
              <w:textAlignment w:val="auto"/>
              <w:rPr>
                <w:b w:val="0"/>
                <w:bCs/>
                <w:snapToGrid w:val="0"/>
                <w:color w:val="auto"/>
                <w:kern w:val="0"/>
                <w:sz w:val="24"/>
              </w:rPr>
            </w:pPr>
            <w:r>
              <w:rPr>
                <w:rFonts w:hint="eastAsia"/>
                <w:bCs/>
                <w:color w:val="auto"/>
                <w:sz w:val="24"/>
                <w:lang w:val="en-US" w:eastAsia="zh-CN"/>
              </w:rPr>
              <w:t>吴江市佳辰针灸器械</w:t>
            </w:r>
            <w:r>
              <w:rPr>
                <w:rFonts w:hint="eastAsia"/>
                <w:bCs/>
                <w:color w:val="auto"/>
                <w:sz w:val="24"/>
                <w:lang w:eastAsia="zh-CN"/>
              </w:rPr>
              <w:t>有限公司</w:t>
            </w:r>
            <w:r>
              <w:rPr>
                <w:rFonts w:hint="eastAsia" w:ascii="Times New Roman" w:hAnsi="Times New Roman" w:eastAsia="宋体" w:cs="Times New Roman"/>
                <w:b w:val="0"/>
                <w:bCs/>
                <w:snapToGrid w:val="0"/>
                <w:color w:val="auto"/>
                <w:kern w:val="0"/>
                <w:sz w:val="24"/>
                <w:lang w:val="en-US" w:eastAsia="zh-CN"/>
              </w:rPr>
              <w:t>2308-320509-89-01-791378年产针灸器械8亿支项目</w:t>
            </w:r>
            <w:r>
              <w:rPr>
                <w:rFonts w:hint="eastAsia" w:ascii="Times New Roman" w:hAnsi="Times New Roman" w:eastAsia="宋体" w:cs="Times New Roman"/>
                <w:b w:val="0"/>
                <w:bCs/>
                <w:snapToGrid w:val="0"/>
                <w:color w:val="auto"/>
                <w:kern w:val="0"/>
                <w:sz w:val="24"/>
                <w:lang w:eastAsia="zh-CN"/>
              </w:rPr>
              <w:t>符合</w:t>
            </w:r>
            <w:r>
              <w:rPr>
                <w:b w:val="0"/>
                <w:bCs/>
                <w:snapToGrid w:val="0"/>
                <w:color w:val="auto"/>
                <w:kern w:val="0"/>
                <w:sz w:val="24"/>
              </w:rPr>
              <w:t>国家及地方产业政策，符合</w:t>
            </w:r>
            <w:r>
              <w:rPr>
                <w:rFonts w:hint="eastAsia"/>
                <w:b w:val="0"/>
                <w:bCs/>
                <w:snapToGrid w:val="0"/>
                <w:color w:val="auto"/>
                <w:kern w:val="0"/>
                <w:sz w:val="24"/>
              </w:rPr>
              <w:t>黎里镇总体规划要求和产业定位；项目废气排放满足</w:t>
            </w:r>
            <w:r>
              <w:rPr>
                <w:rFonts w:hint="eastAsia" w:ascii="Times New Roman" w:hAnsi="Times New Roman" w:eastAsia="宋体" w:cs="Times New Roman"/>
                <w:b w:val="0"/>
                <w:bCs/>
                <w:snapToGrid w:val="0"/>
                <w:color w:val="auto"/>
                <w:kern w:val="0"/>
                <w:sz w:val="24"/>
                <w:lang w:eastAsia="zh-CN"/>
              </w:rPr>
              <w:t>《大气污染物综合排放标准》（DB32/4041-2021）</w:t>
            </w:r>
            <w:r>
              <w:rPr>
                <w:rFonts w:hint="eastAsia" w:cs="Times New Roman"/>
                <w:b w:val="0"/>
                <w:bCs/>
                <w:snapToGrid w:val="0"/>
                <w:color w:val="auto"/>
                <w:kern w:val="0"/>
                <w:sz w:val="24"/>
                <w:lang w:eastAsia="zh-CN"/>
              </w:rPr>
              <w:t>、《合成树脂工业污染物排放标准》（GB31572-2015，含2024年修改单）</w:t>
            </w:r>
            <w:r>
              <w:rPr>
                <w:rFonts w:hint="eastAsia" w:ascii="Times New Roman" w:hAnsi="Times New Roman" w:eastAsia="宋体" w:cs="Times New Roman"/>
                <w:b w:val="0"/>
                <w:bCs/>
                <w:snapToGrid w:val="0"/>
                <w:color w:val="auto"/>
                <w:kern w:val="0"/>
                <w:sz w:val="24"/>
                <w:lang w:eastAsia="zh-CN"/>
              </w:rPr>
              <w:t>相关要求；项目不排放生产废水，生活污水</w:t>
            </w:r>
            <w:r>
              <w:rPr>
                <w:rFonts w:hint="eastAsia" w:cs="Times New Roman"/>
                <w:b w:val="0"/>
                <w:bCs/>
                <w:snapToGrid w:val="0"/>
                <w:color w:val="auto"/>
                <w:kern w:val="0"/>
                <w:sz w:val="24"/>
                <w:lang w:val="en-US" w:eastAsia="zh-CN"/>
              </w:rPr>
              <w:t>接管至</w:t>
            </w:r>
            <w:r>
              <w:rPr>
                <w:rFonts w:hint="eastAsia" w:cs="Times New Roman"/>
                <w:b w:val="0"/>
                <w:bCs/>
                <w:snapToGrid w:val="0"/>
                <w:color w:val="auto"/>
                <w:kern w:val="0"/>
                <w:sz w:val="24"/>
                <w:lang w:val="ru-RU" w:eastAsia="zh-CN"/>
              </w:rPr>
              <w:t>苏州汾湖水务发展有限公司（黎里工业再生水厂）</w:t>
            </w:r>
            <w:r>
              <w:rPr>
                <w:rFonts w:hint="eastAsia" w:ascii="Times New Roman" w:hAnsi="Times New Roman" w:eastAsia="宋体" w:cs="Times New Roman"/>
                <w:b w:val="0"/>
                <w:bCs/>
                <w:snapToGrid w:val="0"/>
                <w:color w:val="auto"/>
                <w:kern w:val="0"/>
                <w:sz w:val="24"/>
                <w:lang w:eastAsia="zh-CN"/>
              </w:rPr>
              <w:t>处</w:t>
            </w:r>
            <w:r>
              <w:rPr>
                <w:rFonts w:hint="eastAsia"/>
                <w:b w:val="0"/>
                <w:bCs/>
                <w:snapToGrid w:val="0"/>
                <w:color w:val="auto"/>
                <w:kern w:val="0"/>
                <w:sz w:val="24"/>
              </w:rPr>
              <w:t>理，尾水达标排放至</w:t>
            </w:r>
            <w:r>
              <w:rPr>
                <w:rFonts w:hint="eastAsia"/>
                <w:b w:val="0"/>
                <w:bCs/>
                <w:snapToGrid w:val="0"/>
                <w:color w:val="auto"/>
                <w:kern w:val="0"/>
                <w:sz w:val="24"/>
                <w:lang w:eastAsia="zh-CN"/>
              </w:rPr>
              <w:t>杜公漾</w:t>
            </w:r>
            <w:r>
              <w:rPr>
                <w:b w:val="0"/>
                <w:bCs/>
                <w:snapToGrid w:val="0"/>
                <w:color w:val="auto"/>
                <w:kern w:val="0"/>
                <w:sz w:val="24"/>
              </w:rPr>
              <w:t>；厂界噪声可以达到《工业企业厂界环境噪声排放标准》（GB12348-2008）</w:t>
            </w:r>
            <w:r>
              <w:rPr>
                <w:rFonts w:hint="eastAsia"/>
                <w:b w:val="0"/>
                <w:bCs/>
                <w:snapToGrid w:val="0"/>
                <w:color w:val="auto"/>
                <w:kern w:val="0"/>
                <w:sz w:val="24"/>
                <w:lang w:val="en-US" w:eastAsia="zh-CN"/>
              </w:rPr>
              <w:t>2类</w:t>
            </w:r>
            <w:r>
              <w:rPr>
                <w:b w:val="0"/>
                <w:bCs/>
                <w:snapToGrid w:val="0"/>
                <w:color w:val="auto"/>
                <w:kern w:val="0"/>
                <w:sz w:val="24"/>
              </w:rPr>
              <w:t>排放</w:t>
            </w:r>
            <w:r>
              <w:rPr>
                <w:rFonts w:hint="eastAsia"/>
                <w:b w:val="0"/>
                <w:bCs/>
                <w:snapToGrid w:val="0"/>
                <w:color w:val="auto"/>
                <w:kern w:val="0"/>
                <w:sz w:val="24"/>
              </w:rPr>
              <w:t>标准</w:t>
            </w:r>
            <w:r>
              <w:rPr>
                <w:b w:val="0"/>
                <w:bCs/>
                <w:snapToGrid w:val="0"/>
                <w:color w:val="auto"/>
                <w:kern w:val="0"/>
                <w:sz w:val="24"/>
              </w:rPr>
              <w:t>；固废处置率100%；对环境的影响较小，项目建成后，区域环境质量不会下降；项目潜在的风险水平可以接受，不会对周围环境及人员造成安全威胁。因此，从环境保护角度分析，该项目的建设是可行的。</w:t>
            </w:r>
          </w:p>
          <w:p w14:paraId="51EB12D6">
            <w:pPr>
              <w:keepNext w:val="0"/>
              <w:keepLines w:val="0"/>
              <w:pageBreakBefore w:val="0"/>
              <w:widowControl w:val="0"/>
              <w:tabs>
                <w:tab w:val="left" w:pos="2385"/>
              </w:tabs>
              <w:kinsoku/>
              <w:wordWrap/>
              <w:overflowPunct/>
              <w:topLinePunct w:val="0"/>
              <w:autoSpaceDE/>
              <w:autoSpaceDN/>
              <w:bidi w:val="0"/>
              <w:adjustRightInd/>
              <w:snapToGrid/>
              <w:spacing w:line="360" w:lineRule="auto"/>
              <w:ind w:firstLine="480" w:firstLineChars="200"/>
              <w:textAlignment w:val="auto"/>
              <w:rPr>
                <w:b w:val="0"/>
                <w:bCs/>
                <w:snapToGrid w:val="0"/>
                <w:color w:val="auto"/>
                <w:kern w:val="0"/>
                <w:sz w:val="24"/>
              </w:rPr>
            </w:pPr>
            <w:r>
              <w:rPr>
                <w:b w:val="0"/>
                <w:bCs/>
                <w:snapToGrid w:val="0"/>
                <w:color w:val="auto"/>
                <w:kern w:val="0"/>
                <w:sz w:val="24"/>
              </w:rPr>
              <w:t>上述评价结果是根据建设方提供的规模、布局做出的。如建设方扩大规模、改变布局，建设方必须按环保部门要求另行申请。</w:t>
            </w:r>
          </w:p>
          <w:p w14:paraId="687D0FDE">
            <w:pPr>
              <w:spacing w:line="360" w:lineRule="auto"/>
              <w:rPr>
                <w:rFonts w:hint="eastAsia" w:ascii="宋体" w:cs="宋体"/>
                <w:color w:val="auto"/>
                <w:sz w:val="24"/>
              </w:rPr>
            </w:pPr>
          </w:p>
          <w:p w14:paraId="7C9B0545">
            <w:pPr>
              <w:spacing w:line="360" w:lineRule="auto"/>
              <w:rPr>
                <w:rFonts w:hint="eastAsia" w:ascii="宋体" w:cs="宋体"/>
                <w:color w:val="auto"/>
                <w:sz w:val="24"/>
              </w:rPr>
            </w:pPr>
          </w:p>
          <w:p w14:paraId="02D409C4">
            <w:pPr>
              <w:spacing w:line="360" w:lineRule="auto"/>
              <w:rPr>
                <w:rFonts w:hint="eastAsia" w:ascii="宋体" w:cs="宋体"/>
                <w:color w:val="auto"/>
                <w:sz w:val="24"/>
              </w:rPr>
            </w:pPr>
          </w:p>
          <w:p w14:paraId="423DEECF">
            <w:pPr>
              <w:spacing w:line="360" w:lineRule="auto"/>
              <w:rPr>
                <w:rFonts w:hint="eastAsia" w:ascii="宋体" w:cs="宋体"/>
                <w:color w:val="auto"/>
                <w:sz w:val="24"/>
              </w:rPr>
            </w:pPr>
          </w:p>
          <w:p w14:paraId="0C916126">
            <w:pPr>
              <w:spacing w:line="360" w:lineRule="auto"/>
              <w:rPr>
                <w:rFonts w:hint="eastAsia" w:ascii="宋体" w:cs="宋体"/>
                <w:color w:val="auto"/>
                <w:sz w:val="24"/>
              </w:rPr>
            </w:pPr>
          </w:p>
          <w:p w14:paraId="0B0FD2AD">
            <w:pPr>
              <w:spacing w:line="360" w:lineRule="auto"/>
              <w:rPr>
                <w:rFonts w:hint="eastAsia" w:ascii="宋体" w:cs="宋体"/>
                <w:color w:val="auto"/>
                <w:sz w:val="24"/>
              </w:rPr>
            </w:pPr>
          </w:p>
          <w:p w14:paraId="591265A0">
            <w:pPr>
              <w:spacing w:line="360" w:lineRule="auto"/>
              <w:rPr>
                <w:rFonts w:hint="eastAsia" w:ascii="宋体" w:cs="宋体"/>
                <w:color w:val="auto"/>
                <w:sz w:val="24"/>
              </w:rPr>
            </w:pPr>
          </w:p>
          <w:p w14:paraId="7010C2BB">
            <w:pPr>
              <w:spacing w:line="360" w:lineRule="auto"/>
              <w:rPr>
                <w:rFonts w:hint="eastAsia" w:ascii="宋体" w:cs="宋体"/>
                <w:color w:val="auto"/>
                <w:sz w:val="24"/>
              </w:rPr>
            </w:pPr>
          </w:p>
          <w:p w14:paraId="5BE6FF0B">
            <w:pPr>
              <w:spacing w:line="360" w:lineRule="auto"/>
              <w:rPr>
                <w:rFonts w:hint="eastAsia" w:ascii="宋体" w:cs="宋体"/>
                <w:color w:val="auto"/>
                <w:sz w:val="24"/>
              </w:rPr>
            </w:pPr>
          </w:p>
          <w:p w14:paraId="6FCCEFC4">
            <w:pPr>
              <w:spacing w:line="360" w:lineRule="auto"/>
              <w:rPr>
                <w:rFonts w:hint="eastAsia" w:ascii="宋体" w:cs="宋体"/>
                <w:color w:val="auto"/>
                <w:sz w:val="24"/>
              </w:rPr>
            </w:pPr>
          </w:p>
          <w:p w14:paraId="249D788B">
            <w:pPr>
              <w:spacing w:line="360" w:lineRule="auto"/>
              <w:rPr>
                <w:rFonts w:hint="eastAsia" w:ascii="宋体" w:cs="宋体"/>
                <w:color w:val="auto"/>
                <w:sz w:val="24"/>
              </w:rPr>
            </w:pPr>
          </w:p>
          <w:p w14:paraId="67EC5C6B">
            <w:pPr>
              <w:spacing w:line="360" w:lineRule="auto"/>
              <w:rPr>
                <w:rFonts w:hint="eastAsia" w:ascii="宋体" w:cs="宋体"/>
                <w:color w:val="auto"/>
                <w:sz w:val="24"/>
              </w:rPr>
            </w:pPr>
          </w:p>
          <w:p w14:paraId="564C3900">
            <w:pPr>
              <w:spacing w:line="360" w:lineRule="auto"/>
              <w:rPr>
                <w:rFonts w:hint="eastAsia" w:ascii="宋体" w:cs="宋体"/>
                <w:color w:val="auto"/>
                <w:sz w:val="24"/>
              </w:rPr>
            </w:pPr>
          </w:p>
          <w:p w14:paraId="3E57D47A">
            <w:pPr>
              <w:spacing w:line="360" w:lineRule="auto"/>
              <w:rPr>
                <w:rFonts w:hint="eastAsia" w:ascii="宋体" w:cs="宋体"/>
                <w:color w:val="auto"/>
                <w:sz w:val="24"/>
              </w:rPr>
            </w:pPr>
          </w:p>
          <w:p w14:paraId="46FF47CB">
            <w:pPr>
              <w:spacing w:line="360" w:lineRule="auto"/>
              <w:rPr>
                <w:rFonts w:hint="eastAsia" w:ascii="宋体" w:cs="宋体"/>
                <w:color w:val="auto"/>
                <w:sz w:val="24"/>
              </w:rPr>
            </w:pPr>
          </w:p>
          <w:p w14:paraId="55FA6956">
            <w:pPr>
              <w:spacing w:line="360" w:lineRule="auto"/>
              <w:rPr>
                <w:rFonts w:hint="eastAsia" w:ascii="宋体" w:cs="宋体"/>
                <w:color w:val="auto"/>
                <w:sz w:val="24"/>
              </w:rPr>
            </w:pPr>
          </w:p>
          <w:p w14:paraId="19DF117F">
            <w:pPr>
              <w:adjustRightInd w:val="0"/>
              <w:snapToGrid w:val="0"/>
              <w:rPr>
                <w:rFonts w:ascii="宋体" w:cs="宋体"/>
                <w:color w:val="auto"/>
                <w:sz w:val="24"/>
              </w:rPr>
            </w:pPr>
          </w:p>
        </w:tc>
      </w:tr>
    </w:tbl>
    <w:p w14:paraId="39F7FD2D">
      <w:pPr>
        <w:tabs>
          <w:tab w:val="left" w:pos="1229"/>
        </w:tabs>
        <w:rPr>
          <w:rFonts w:hint="eastAsia" w:eastAsia="宋体"/>
          <w:lang w:eastAsia="zh-CN"/>
        </w:rPr>
        <w:sectPr>
          <w:pgSz w:w="11906" w:h="16838"/>
          <w:pgMar w:top="1440" w:right="1800" w:bottom="1440" w:left="1800" w:header="851" w:footer="992" w:gutter="0"/>
          <w:pgNumType w:fmt="decimal"/>
          <w:cols w:space="425" w:num="1"/>
          <w:docGrid w:type="lines" w:linePitch="312" w:charSpace="0"/>
        </w:sectPr>
      </w:pPr>
    </w:p>
    <w:p w14:paraId="738EA7AC">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left"/>
        <w:textAlignment w:val="auto"/>
        <w:outlineLvl w:val="0"/>
        <w:rPr>
          <w:rFonts w:hint="eastAsia" w:ascii="黑体" w:hAnsi="黑体" w:eastAsia="黑体" w:cs="Times New Roman"/>
          <w:snapToGrid w:val="0"/>
          <w:color w:val="000000"/>
          <w:kern w:val="2"/>
          <w:sz w:val="30"/>
          <w:szCs w:val="30"/>
          <w:lang w:val="en-US" w:eastAsia="zh-CN" w:bidi="ar-SA"/>
        </w:rPr>
      </w:pPr>
      <w:r>
        <w:rPr>
          <w:rFonts w:hint="eastAsia" w:ascii="黑体" w:hAnsi="黑体" w:eastAsia="黑体" w:cs="Times New Roman"/>
          <w:snapToGrid w:val="0"/>
          <w:color w:val="000000"/>
          <w:kern w:val="2"/>
          <w:sz w:val="30"/>
          <w:szCs w:val="30"/>
          <w:lang w:val="en-US" w:eastAsia="zh-CN" w:bidi="ar-SA"/>
        </w:rPr>
        <w:t>附表</w:t>
      </w:r>
    </w:p>
    <w:p w14:paraId="52983698">
      <w:pPr>
        <w:pStyle w:val="19"/>
        <w:adjustRightInd w:val="0"/>
        <w:snapToGrid w:val="0"/>
        <w:spacing w:before="0" w:beforeAutospacing="0" w:after="0" w:afterAutospacing="0"/>
        <w:jc w:val="center"/>
        <w:rPr>
          <w:rFonts w:hint="default" w:ascii="Times New Roman" w:hAnsi="Times New Roman" w:eastAsia="宋体" w:cs="Times New Roman"/>
          <w:b/>
          <w:bCs/>
          <w:snapToGrid w:val="0"/>
          <w:color w:val="000000"/>
          <w:sz w:val="30"/>
          <w:szCs w:val="30"/>
        </w:rPr>
      </w:pPr>
      <w:r>
        <w:rPr>
          <w:rFonts w:hint="default" w:ascii="Times New Roman" w:hAnsi="Times New Roman" w:eastAsia="宋体" w:cs="Times New Roman"/>
          <w:b/>
          <w:bCs/>
          <w:snapToGrid w:val="0"/>
          <w:color w:val="000000"/>
          <w:sz w:val="30"/>
          <w:szCs w:val="30"/>
        </w:rPr>
        <w:t>建设项目污染物排放量汇总表（单位：t/a）</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88"/>
        <w:gridCol w:w="1269"/>
        <w:gridCol w:w="1701"/>
        <w:gridCol w:w="1276"/>
        <w:gridCol w:w="1701"/>
        <w:gridCol w:w="1559"/>
        <w:gridCol w:w="1540"/>
        <w:gridCol w:w="1838"/>
        <w:gridCol w:w="1168"/>
      </w:tblGrid>
      <w:tr w14:paraId="07593A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tcBorders>
              <w:tl2br w:val="single" w:color="auto" w:sz="4" w:space="0"/>
            </w:tcBorders>
            <w:noWrap w:val="0"/>
            <w:tcMar>
              <w:left w:w="28" w:type="dxa"/>
              <w:right w:w="28" w:type="dxa"/>
            </w:tcMar>
            <w:vAlign w:val="center"/>
          </w:tcPr>
          <w:p w14:paraId="53A62553">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 xml:space="preserve">        项目</w:t>
            </w:r>
          </w:p>
          <w:p w14:paraId="2B6DDC0A">
            <w:pPr>
              <w:pStyle w:val="37"/>
              <w:keepNext w:val="0"/>
              <w:keepLines w:val="0"/>
              <w:pageBreakBefore w:val="0"/>
              <w:kinsoku/>
              <w:wordWrap/>
              <w:overflowPunct/>
              <w:topLinePunct w:val="0"/>
              <w:autoSpaceDE/>
              <w:autoSpaceDN/>
              <w:bidi w:val="0"/>
              <w:spacing w:beforeLines="0" w:afterLines="0" w:line="240" w:lineRule="auto"/>
              <w:ind w:firstLine="0"/>
              <w:jc w:val="both"/>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分类</w:t>
            </w:r>
          </w:p>
        </w:tc>
        <w:tc>
          <w:tcPr>
            <w:tcW w:w="1657" w:type="dxa"/>
            <w:gridSpan w:val="2"/>
            <w:noWrap w:val="0"/>
            <w:tcMar>
              <w:left w:w="28" w:type="dxa"/>
              <w:right w:w="28" w:type="dxa"/>
            </w:tcMar>
            <w:vAlign w:val="center"/>
          </w:tcPr>
          <w:p w14:paraId="0D794C7C">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污染物名称</w:t>
            </w:r>
          </w:p>
        </w:tc>
        <w:tc>
          <w:tcPr>
            <w:tcW w:w="1701" w:type="dxa"/>
            <w:noWrap w:val="0"/>
            <w:tcMar>
              <w:left w:w="28" w:type="dxa"/>
              <w:right w:w="28" w:type="dxa"/>
            </w:tcMar>
            <w:vAlign w:val="center"/>
          </w:tcPr>
          <w:p w14:paraId="67019138">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现有工程</w:t>
            </w:r>
          </w:p>
          <w:p w14:paraId="3CEE5364">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排放量（固体废物产生量）</w:t>
            </w: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1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①</w:t>
            </w:r>
            <w:r>
              <w:rPr>
                <w:rFonts w:hint="default" w:ascii="Times New Roman" w:hAnsi="Times New Roman" w:eastAsia="宋体" w:cs="Times New Roman"/>
                <w:b/>
                <w:bCs w:val="0"/>
                <w:snapToGrid w:val="0"/>
                <w:color w:val="auto"/>
                <w:sz w:val="21"/>
                <w:szCs w:val="21"/>
              </w:rPr>
              <w:fldChar w:fldCharType="end"/>
            </w:r>
          </w:p>
        </w:tc>
        <w:tc>
          <w:tcPr>
            <w:tcW w:w="1276" w:type="dxa"/>
            <w:noWrap w:val="0"/>
            <w:tcMar>
              <w:left w:w="28" w:type="dxa"/>
              <w:right w:w="28" w:type="dxa"/>
            </w:tcMar>
            <w:vAlign w:val="center"/>
          </w:tcPr>
          <w:p w14:paraId="4B7B1120">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现有工程</w:t>
            </w:r>
          </w:p>
          <w:p w14:paraId="19B1D2E3">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许可排放量</w:t>
            </w:r>
          </w:p>
          <w:p w14:paraId="5CC54E3F">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2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②</w:t>
            </w:r>
            <w:r>
              <w:rPr>
                <w:rFonts w:hint="default" w:ascii="Times New Roman" w:hAnsi="Times New Roman" w:eastAsia="宋体" w:cs="Times New Roman"/>
                <w:b/>
                <w:bCs w:val="0"/>
                <w:snapToGrid w:val="0"/>
                <w:color w:val="auto"/>
                <w:sz w:val="21"/>
                <w:szCs w:val="21"/>
              </w:rPr>
              <w:fldChar w:fldCharType="end"/>
            </w:r>
          </w:p>
        </w:tc>
        <w:tc>
          <w:tcPr>
            <w:tcW w:w="1701" w:type="dxa"/>
            <w:noWrap w:val="0"/>
            <w:tcMar>
              <w:left w:w="28" w:type="dxa"/>
              <w:right w:w="28" w:type="dxa"/>
            </w:tcMar>
            <w:vAlign w:val="center"/>
          </w:tcPr>
          <w:p w14:paraId="1C9E145D">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在建工程</w:t>
            </w:r>
          </w:p>
          <w:p w14:paraId="5AA510CC">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排放量（固体废物产生量）</w:t>
            </w: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3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③</w:t>
            </w:r>
            <w:r>
              <w:rPr>
                <w:rFonts w:hint="default" w:ascii="Times New Roman" w:hAnsi="Times New Roman" w:eastAsia="宋体" w:cs="Times New Roman"/>
                <w:b/>
                <w:bCs w:val="0"/>
                <w:snapToGrid w:val="0"/>
                <w:color w:val="auto"/>
                <w:sz w:val="21"/>
                <w:szCs w:val="21"/>
              </w:rPr>
              <w:fldChar w:fldCharType="end"/>
            </w:r>
          </w:p>
        </w:tc>
        <w:tc>
          <w:tcPr>
            <w:tcW w:w="1559" w:type="dxa"/>
            <w:noWrap w:val="0"/>
            <w:tcMar>
              <w:left w:w="28" w:type="dxa"/>
              <w:right w:w="28" w:type="dxa"/>
            </w:tcMar>
            <w:vAlign w:val="center"/>
          </w:tcPr>
          <w:p w14:paraId="71080455">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本项目</w:t>
            </w:r>
          </w:p>
          <w:p w14:paraId="38B662C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排放量（固体废物产生量）</w:t>
            </w: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4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④</w:t>
            </w:r>
            <w:r>
              <w:rPr>
                <w:rFonts w:hint="default" w:ascii="Times New Roman" w:hAnsi="Times New Roman" w:eastAsia="宋体" w:cs="Times New Roman"/>
                <w:b/>
                <w:bCs w:val="0"/>
                <w:snapToGrid w:val="0"/>
                <w:color w:val="auto"/>
                <w:sz w:val="21"/>
                <w:szCs w:val="21"/>
              </w:rPr>
              <w:fldChar w:fldCharType="end"/>
            </w:r>
          </w:p>
        </w:tc>
        <w:tc>
          <w:tcPr>
            <w:tcW w:w="1540" w:type="dxa"/>
            <w:noWrap w:val="0"/>
            <w:tcMar>
              <w:left w:w="28" w:type="dxa"/>
              <w:right w:w="28" w:type="dxa"/>
            </w:tcMar>
            <w:vAlign w:val="center"/>
          </w:tcPr>
          <w:p w14:paraId="2AAFC288">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以新带老削减量</w:t>
            </w:r>
          </w:p>
          <w:p w14:paraId="3CA0A404">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（新建项目不填）</w:t>
            </w: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5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⑤</w:t>
            </w:r>
            <w:r>
              <w:rPr>
                <w:rFonts w:hint="default" w:ascii="Times New Roman" w:hAnsi="Times New Roman" w:eastAsia="宋体" w:cs="Times New Roman"/>
                <w:b/>
                <w:bCs w:val="0"/>
                <w:snapToGrid w:val="0"/>
                <w:color w:val="auto"/>
                <w:sz w:val="21"/>
                <w:szCs w:val="21"/>
              </w:rPr>
              <w:fldChar w:fldCharType="end"/>
            </w:r>
          </w:p>
        </w:tc>
        <w:tc>
          <w:tcPr>
            <w:tcW w:w="1838" w:type="dxa"/>
            <w:noWrap w:val="0"/>
            <w:tcMar>
              <w:left w:w="28" w:type="dxa"/>
              <w:right w:w="28" w:type="dxa"/>
            </w:tcMar>
            <w:vAlign w:val="center"/>
          </w:tcPr>
          <w:p w14:paraId="1ED82614">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本项目建成后</w:t>
            </w:r>
          </w:p>
          <w:p w14:paraId="781E581C">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全厂排放量（固体废物产生量）</w:t>
            </w: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6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⑥</w:t>
            </w:r>
            <w:r>
              <w:rPr>
                <w:rFonts w:hint="default" w:ascii="Times New Roman" w:hAnsi="Times New Roman" w:eastAsia="宋体" w:cs="Times New Roman"/>
                <w:b/>
                <w:bCs w:val="0"/>
                <w:snapToGrid w:val="0"/>
                <w:color w:val="auto"/>
                <w:sz w:val="21"/>
                <w:szCs w:val="21"/>
              </w:rPr>
              <w:fldChar w:fldCharType="end"/>
            </w:r>
          </w:p>
        </w:tc>
        <w:tc>
          <w:tcPr>
            <w:tcW w:w="1168" w:type="dxa"/>
            <w:noWrap w:val="0"/>
            <w:tcMar>
              <w:left w:w="28" w:type="dxa"/>
              <w:right w:w="28" w:type="dxa"/>
            </w:tcMar>
            <w:vAlign w:val="center"/>
          </w:tcPr>
          <w:p w14:paraId="354A0E75">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t>变化量</w:t>
            </w:r>
          </w:p>
          <w:p w14:paraId="6294F131">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bCs w:val="0"/>
                <w:snapToGrid w:val="0"/>
                <w:color w:val="auto"/>
                <w:sz w:val="21"/>
                <w:szCs w:val="21"/>
              </w:rPr>
            </w:pPr>
            <w:r>
              <w:rPr>
                <w:rFonts w:hint="default" w:ascii="Times New Roman" w:hAnsi="Times New Roman" w:eastAsia="宋体" w:cs="Times New Roman"/>
                <w:b/>
                <w:bCs w:val="0"/>
                <w:snapToGrid w:val="0"/>
                <w:color w:val="auto"/>
                <w:sz w:val="21"/>
                <w:szCs w:val="21"/>
              </w:rPr>
              <w:fldChar w:fldCharType="begin"/>
            </w:r>
            <w:r>
              <w:rPr>
                <w:rFonts w:hint="default" w:ascii="Times New Roman" w:hAnsi="Times New Roman" w:eastAsia="宋体" w:cs="Times New Roman"/>
                <w:b/>
                <w:bCs w:val="0"/>
                <w:snapToGrid w:val="0"/>
                <w:color w:val="auto"/>
                <w:sz w:val="21"/>
                <w:szCs w:val="21"/>
              </w:rPr>
              <w:instrText xml:space="preserve"> = 7 \* GB3 \* MERGEFORMAT </w:instrText>
            </w:r>
            <w:r>
              <w:rPr>
                <w:rFonts w:hint="default" w:ascii="Times New Roman" w:hAnsi="Times New Roman" w:eastAsia="宋体" w:cs="Times New Roman"/>
                <w:b/>
                <w:bCs w:val="0"/>
                <w:snapToGrid w:val="0"/>
                <w:color w:val="auto"/>
                <w:sz w:val="21"/>
                <w:szCs w:val="21"/>
              </w:rPr>
              <w:fldChar w:fldCharType="separate"/>
            </w:r>
            <w:r>
              <w:rPr>
                <w:rFonts w:hint="default" w:ascii="Times New Roman" w:hAnsi="Times New Roman" w:eastAsia="宋体" w:cs="Times New Roman"/>
                <w:b/>
                <w:bCs w:val="0"/>
                <w:snapToGrid w:val="0"/>
                <w:color w:val="auto"/>
                <w:sz w:val="21"/>
                <w:szCs w:val="21"/>
              </w:rPr>
              <w:t>⑦</w:t>
            </w:r>
            <w:r>
              <w:rPr>
                <w:rFonts w:hint="default" w:ascii="Times New Roman" w:hAnsi="Times New Roman" w:eastAsia="宋体" w:cs="Times New Roman"/>
                <w:b/>
                <w:bCs w:val="0"/>
                <w:snapToGrid w:val="0"/>
                <w:color w:val="auto"/>
                <w:sz w:val="21"/>
                <w:szCs w:val="21"/>
              </w:rPr>
              <w:fldChar w:fldCharType="end"/>
            </w:r>
          </w:p>
        </w:tc>
      </w:tr>
      <w:tr w14:paraId="21A65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restart"/>
            <w:noWrap w:val="0"/>
            <w:vAlign w:val="center"/>
          </w:tcPr>
          <w:p w14:paraId="4FDE0DDC">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废气</w:t>
            </w:r>
          </w:p>
        </w:tc>
        <w:tc>
          <w:tcPr>
            <w:tcW w:w="388" w:type="dxa"/>
            <w:vMerge w:val="restart"/>
            <w:noWrap w:val="0"/>
            <w:vAlign w:val="center"/>
          </w:tcPr>
          <w:p w14:paraId="4DE0F638">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kern w:val="0"/>
                <w:sz w:val="21"/>
                <w:szCs w:val="21"/>
                <w:lang w:val="en-US" w:eastAsia="zh-CN" w:bidi="ar-SA"/>
              </w:rPr>
              <w:t>有组织</w:t>
            </w:r>
          </w:p>
        </w:tc>
        <w:tc>
          <w:tcPr>
            <w:tcW w:w="1269" w:type="dxa"/>
            <w:noWrap w:val="0"/>
            <w:vAlign w:val="center"/>
          </w:tcPr>
          <w:p w14:paraId="4B8BD78D">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sz w:val="21"/>
                <w:szCs w:val="21"/>
                <w:lang w:val="en-US" w:eastAsia="zh-CN"/>
              </w:rPr>
              <w:t>颗粒物</w:t>
            </w:r>
          </w:p>
        </w:tc>
        <w:tc>
          <w:tcPr>
            <w:tcW w:w="1701" w:type="dxa"/>
            <w:noWrap w:val="0"/>
            <w:vAlign w:val="center"/>
          </w:tcPr>
          <w:p w14:paraId="5937A644">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276" w:type="dxa"/>
            <w:noWrap w:val="0"/>
            <w:vAlign w:val="center"/>
          </w:tcPr>
          <w:p w14:paraId="65B22E65">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4B819C0B">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5348F06B">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0.00378</w:t>
            </w:r>
          </w:p>
        </w:tc>
        <w:tc>
          <w:tcPr>
            <w:tcW w:w="1540" w:type="dxa"/>
            <w:noWrap w:val="0"/>
            <w:vAlign w:val="center"/>
          </w:tcPr>
          <w:p w14:paraId="11E3946F">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838" w:type="dxa"/>
            <w:noWrap w:val="0"/>
            <w:vAlign w:val="center"/>
          </w:tcPr>
          <w:p w14:paraId="44E460A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sz w:val="21"/>
                <w:szCs w:val="21"/>
                <w:lang w:val="en-US" w:eastAsia="zh-CN"/>
              </w:rPr>
              <w:t>0.00378</w:t>
            </w:r>
          </w:p>
        </w:tc>
        <w:tc>
          <w:tcPr>
            <w:tcW w:w="1168" w:type="dxa"/>
            <w:noWrap w:val="0"/>
            <w:vAlign w:val="center"/>
          </w:tcPr>
          <w:p w14:paraId="7CA6DC8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kern w:val="2"/>
                <w:sz w:val="21"/>
                <w:szCs w:val="21"/>
                <w:lang w:val="en-US" w:eastAsia="zh-CN" w:bidi="ar-SA"/>
              </w:rPr>
              <w:t>+0.00378</w:t>
            </w:r>
          </w:p>
        </w:tc>
      </w:tr>
      <w:tr w14:paraId="3EAE01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5B735E3B">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388" w:type="dxa"/>
            <w:vMerge w:val="continue"/>
            <w:noWrap w:val="0"/>
            <w:vAlign w:val="center"/>
          </w:tcPr>
          <w:p w14:paraId="74278A1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color w:val="auto"/>
                <w:kern w:val="0"/>
                <w:sz w:val="21"/>
                <w:szCs w:val="21"/>
                <w:lang w:val="en-US" w:eastAsia="zh-CN" w:bidi="ar-SA"/>
              </w:rPr>
            </w:pPr>
          </w:p>
        </w:tc>
        <w:tc>
          <w:tcPr>
            <w:tcW w:w="1269" w:type="dxa"/>
            <w:noWrap w:val="0"/>
            <w:vAlign w:val="center"/>
          </w:tcPr>
          <w:p w14:paraId="18BF26A1">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color w:val="auto"/>
                <w:sz w:val="21"/>
                <w:szCs w:val="21"/>
              </w:rPr>
              <w:t>非甲烷总烃</w:t>
            </w:r>
          </w:p>
        </w:tc>
        <w:tc>
          <w:tcPr>
            <w:tcW w:w="1701" w:type="dxa"/>
            <w:noWrap w:val="0"/>
            <w:vAlign w:val="center"/>
          </w:tcPr>
          <w:p w14:paraId="7A9EFA12">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3F0AC6F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47B5DC92">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01A30D25">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eastAsia" w:cs="Times New Roman"/>
                <w:color w:val="000000"/>
                <w:sz w:val="21"/>
                <w:szCs w:val="21"/>
                <w:highlight w:val="none"/>
                <w:lang w:val="en-US" w:eastAsia="zh-CN"/>
              </w:rPr>
              <w:t>0.002325</w:t>
            </w:r>
          </w:p>
        </w:tc>
        <w:tc>
          <w:tcPr>
            <w:tcW w:w="1540" w:type="dxa"/>
            <w:noWrap w:val="0"/>
            <w:vAlign w:val="center"/>
          </w:tcPr>
          <w:p w14:paraId="087E0B12">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524B67B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color w:val="000000"/>
                <w:sz w:val="21"/>
                <w:szCs w:val="21"/>
                <w:highlight w:val="none"/>
                <w:lang w:val="en-US" w:eastAsia="zh-CN"/>
              </w:rPr>
              <w:t>0.002325</w:t>
            </w:r>
          </w:p>
        </w:tc>
        <w:tc>
          <w:tcPr>
            <w:tcW w:w="1168" w:type="dxa"/>
            <w:noWrap w:val="0"/>
            <w:vAlign w:val="center"/>
          </w:tcPr>
          <w:p w14:paraId="101DC6C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kern w:val="2"/>
                <w:sz w:val="21"/>
                <w:szCs w:val="21"/>
                <w:lang w:val="en-US" w:eastAsia="zh-CN" w:bidi="ar-SA"/>
              </w:rPr>
              <w:t>+</w:t>
            </w:r>
            <w:r>
              <w:rPr>
                <w:rFonts w:hint="eastAsia" w:cs="Times New Roman"/>
                <w:color w:val="000000"/>
                <w:sz w:val="21"/>
                <w:szCs w:val="21"/>
                <w:highlight w:val="none"/>
                <w:lang w:val="en-US" w:eastAsia="zh-CN"/>
              </w:rPr>
              <w:t>0.002325</w:t>
            </w:r>
          </w:p>
        </w:tc>
      </w:tr>
      <w:tr w14:paraId="63CE8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4B899664">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388" w:type="dxa"/>
            <w:vMerge w:val="restart"/>
            <w:noWrap w:val="0"/>
            <w:vAlign w:val="center"/>
          </w:tcPr>
          <w:p w14:paraId="3D3B8A03">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无组织</w:t>
            </w:r>
          </w:p>
        </w:tc>
        <w:tc>
          <w:tcPr>
            <w:tcW w:w="1269" w:type="dxa"/>
            <w:noWrap w:val="0"/>
            <w:vAlign w:val="center"/>
          </w:tcPr>
          <w:p w14:paraId="7647CA08">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sz w:val="21"/>
                <w:szCs w:val="21"/>
                <w:lang w:val="en-US" w:eastAsia="zh-CN"/>
              </w:rPr>
              <w:t>颗粒物</w:t>
            </w:r>
          </w:p>
        </w:tc>
        <w:tc>
          <w:tcPr>
            <w:tcW w:w="1701" w:type="dxa"/>
            <w:noWrap w:val="0"/>
            <w:vAlign w:val="center"/>
          </w:tcPr>
          <w:p w14:paraId="395FD259">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276" w:type="dxa"/>
            <w:noWrap w:val="0"/>
            <w:vAlign w:val="center"/>
          </w:tcPr>
          <w:p w14:paraId="00215D59">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15F32B79">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3CC1AEEC">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0.00841</w:t>
            </w:r>
          </w:p>
        </w:tc>
        <w:tc>
          <w:tcPr>
            <w:tcW w:w="1540" w:type="dxa"/>
            <w:noWrap w:val="0"/>
            <w:vAlign w:val="center"/>
          </w:tcPr>
          <w:p w14:paraId="6C769AA3">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838" w:type="dxa"/>
            <w:noWrap w:val="0"/>
            <w:vAlign w:val="center"/>
          </w:tcPr>
          <w:p w14:paraId="0D3727EF">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sz w:val="21"/>
                <w:szCs w:val="21"/>
                <w:lang w:val="en-US" w:eastAsia="zh-CN"/>
              </w:rPr>
              <w:t>0.00841</w:t>
            </w:r>
          </w:p>
        </w:tc>
        <w:tc>
          <w:tcPr>
            <w:tcW w:w="1168" w:type="dxa"/>
            <w:noWrap w:val="0"/>
            <w:vAlign w:val="center"/>
          </w:tcPr>
          <w:p w14:paraId="53E64CE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kern w:val="2"/>
                <w:sz w:val="21"/>
                <w:szCs w:val="21"/>
                <w:lang w:val="en-US" w:eastAsia="zh-CN" w:bidi="ar-SA"/>
              </w:rPr>
              <w:t>+0.00841</w:t>
            </w:r>
          </w:p>
        </w:tc>
      </w:tr>
      <w:tr w14:paraId="5EAE08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7F8D2E54">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388" w:type="dxa"/>
            <w:vMerge w:val="continue"/>
            <w:noWrap w:val="0"/>
            <w:vAlign w:val="center"/>
          </w:tcPr>
          <w:p w14:paraId="6371D5C8">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color w:val="auto"/>
                <w:sz w:val="21"/>
                <w:szCs w:val="21"/>
                <w:lang w:val="en-US" w:eastAsia="zh-CN"/>
              </w:rPr>
            </w:pPr>
          </w:p>
        </w:tc>
        <w:tc>
          <w:tcPr>
            <w:tcW w:w="1269" w:type="dxa"/>
            <w:noWrap w:val="0"/>
            <w:vAlign w:val="center"/>
          </w:tcPr>
          <w:p w14:paraId="77705893">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color w:val="auto"/>
                <w:sz w:val="21"/>
                <w:szCs w:val="21"/>
              </w:rPr>
              <w:t>非甲烷总烃</w:t>
            </w:r>
          </w:p>
        </w:tc>
        <w:tc>
          <w:tcPr>
            <w:tcW w:w="1701" w:type="dxa"/>
            <w:noWrap w:val="0"/>
            <w:vAlign w:val="center"/>
          </w:tcPr>
          <w:p w14:paraId="2A6C13AC">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276" w:type="dxa"/>
            <w:noWrap w:val="0"/>
            <w:vAlign w:val="center"/>
          </w:tcPr>
          <w:p w14:paraId="6F8DDEB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75FDED20">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0752AB05">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0.002584</w:t>
            </w:r>
          </w:p>
        </w:tc>
        <w:tc>
          <w:tcPr>
            <w:tcW w:w="1540" w:type="dxa"/>
            <w:noWrap w:val="0"/>
            <w:vAlign w:val="center"/>
          </w:tcPr>
          <w:p w14:paraId="7AD66CE6">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default" w:ascii="Times New Roman" w:hAnsi="Times New Roman" w:eastAsia="宋体" w:cs="Times New Roman"/>
                <w:b w:val="0"/>
                <w:bCs/>
                <w:snapToGrid w:val="0"/>
                <w:color w:val="auto"/>
                <w:sz w:val="21"/>
                <w:szCs w:val="21"/>
                <w:lang w:val="en-US" w:eastAsia="zh-CN"/>
              </w:rPr>
              <w:t>0</w:t>
            </w:r>
          </w:p>
        </w:tc>
        <w:tc>
          <w:tcPr>
            <w:tcW w:w="1838" w:type="dxa"/>
            <w:noWrap w:val="0"/>
            <w:vAlign w:val="center"/>
          </w:tcPr>
          <w:p w14:paraId="747BF327">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sz w:val="21"/>
                <w:szCs w:val="21"/>
                <w:lang w:val="en-US" w:eastAsia="zh-CN"/>
              </w:rPr>
              <w:t>0.002584</w:t>
            </w:r>
          </w:p>
        </w:tc>
        <w:tc>
          <w:tcPr>
            <w:tcW w:w="1168" w:type="dxa"/>
            <w:noWrap w:val="0"/>
            <w:vAlign w:val="center"/>
          </w:tcPr>
          <w:p w14:paraId="2F4BD4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cs="Times New Roman"/>
                <w:b w:val="0"/>
                <w:bCs/>
                <w:snapToGrid w:val="0"/>
                <w:color w:val="auto"/>
                <w:kern w:val="2"/>
                <w:sz w:val="21"/>
                <w:szCs w:val="21"/>
                <w:lang w:val="en-US" w:eastAsia="zh-CN" w:bidi="ar-SA"/>
              </w:rPr>
              <w:t>+0.002584</w:t>
            </w:r>
          </w:p>
        </w:tc>
      </w:tr>
      <w:tr w14:paraId="5C5E3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restart"/>
            <w:noWrap w:val="0"/>
            <w:vAlign w:val="center"/>
          </w:tcPr>
          <w:p w14:paraId="246A323F">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废水</w:t>
            </w:r>
          </w:p>
        </w:tc>
        <w:tc>
          <w:tcPr>
            <w:tcW w:w="1657" w:type="dxa"/>
            <w:gridSpan w:val="2"/>
            <w:noWrap w:val="0"/>
            <w:vAlign w:val="center"/>
          </w:tcPr>
          <w:p w14:paraId="6EE1E781">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废水量</w:t>
            </w:r>
          </w:p>
        </w:tc>
        <w:tc>
          <w:tcPr>
            <w:tcW w:w="1701" w:type="dxa"/>
            <w:noWrap w:val="0"/>
            <w:vAlign w:val="center"/>
          </w:tcPr>
          <w:p w14:paraId="0E168B17">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69FE7AFC">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5AD5660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2C5E4F1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1352</w:t>
            </w:r>
          </w:p>
        </w:tc>
        <w:tc>
          <w:tcPr>
            <w:tcW w:w="1540" w:type="dxa"/>
            <w:noWrap w:val="0"/>
            <w:vAlign w:val="center"/>
          </w:tcPr>
          <w:p w14:paraId="404FE958">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098131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eastAsia" w:cs="Times New Roman"/>
                <w:b w:val="0"/>
                <w:bCs/>
                <w:color w:val="000000"/>
                <w:kern w:val="2"/>
                <w:sz w:val="21"/>
                <w:szCs w:val="21"/>
                <w:lang w:val="en-US" w:eastAsia="zh-CN" w:bidi="ar-SA"/>
              </w:rPr>
              <w:t>1352</w:t>
            </w:r>
          </w:p>
        </w:tc>
        <w:tc>
          <w:tcPr>
            <w:tcW w:w="1168" w:type="dxa"/>
            <w:noWrap w:val="0"/>
            <w:vAlign w:val="center"/>
          </w:tcPr>
          <w:p w14:paraId="69A661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000000"/>
                <w:kern w:val="2"/>
                <w:sz w:val="21"/>
                <w:szCs w:val="21"/>
                <w:lang w:val="en-US" w:eastAsia="zh-CN" w:bidi="ar-SA"/>
              </w:rPr>
            </w:pPr>
            <w:r>
              <w:rPr>
                <w:rFonts w:hint="default" w:ascii="Times New Roman" w:hAnsi="Times New Roman" w:eastAsia="宋体" w:cs="Times New Roman"/>
                <w:b w:val="0"/>
                <w:bCs/>
                <w:color w:val="000000"/>
                <w:sz w:val="21"/>
                <w:szCs w:val="21"/>
                <w:lang w:val="en-US" w:eastAsia="zh-CN"/>
              </w:rPr>
              <w:t>+</w:t>
            </w:r>
            <w:r>
              <w:rPr>
                <w:rFonts w:hint="eastAsia" w:cs="Times New Roman"/>
                <w:b w:val="0"/>
                <w:bCs/>
                <w:color w:val="000000"/>
                <w:sz w:val="21"/>
                <w:szCs w:val="21"/>
                <w:lang w:val="en-US" w:eastAsia="zh-CN"/>
              </w:rPr>
              <w:t>1352</w:t>
            </w:r>
          </w:p>
        </w:tc>
      </w:tr>
      <w:tr w14:paraId="3CE9C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63A4C9D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62C61BE1">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COD</w:t>
            </w:r>
          </w:p>
        </w:tc>
        <w:tc>
          <w:tcPr>
            <w:tcW w:w="1701" w:type="dxa"/>
            <w:noWrap w:val="0"/>
            <w:vAlign w:val="center"/>
          </w:tcPr>
          <w:p w14:paraId="0F78D2CD">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4DC7EBDA">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585AD16F">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766F3E6E">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0.4056</w:t>
            </w:r>
          </w:p>
        </w:tc>
        <w:tc>
          <w:tcPr>
            <w:tcW w:w="1540" w:type="dxa"/>
            <w:noWrap w:val="0"/>
            <w:vAlign w:val="center"/>
          </w:tcPr>
          <w:p w14:paraId="07FC8B92">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1E0EC7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0.4056</w:t>
            </w:r>
          </w:p>
        </w:tc>
        <w:tc>
          <w:tcPr>
            <w:tcW w:w="1168" w:type="dxa"/>
            <w:noWrap w:val="0"/>
            <w:vAlign w:val="center"/>
          </w:tcPr>
          <w:p w14:paraId="4F448F20">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0.4056</w:t>
            </w:r>
          </w:p>
        </w:tc>
      </w:tr>
      <w:tr w14:paraId="68489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2C0D0254">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2D50E753">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SS</w:t>
            </w:r>
          </w:p>
        </w:tc>
        <w:tc>
          <w:tcPr>
            <w:tcW w:w="1701" w:type="dxa"/>
            <w:noWrap w:val="0"/>
            <w:vAlign w:val="center"/>
          </w:tcPr>
          <w:p w14:paraId="10CB04D7">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0434DC15">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3EFD7329">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46BE89B8">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0.2704</w:t>
            </w:r>
          </w:p>
        </w:tc>
        <w:tc>
          <w:tcPr>
            <w:tcW w:w="1540" w:type="dxa"/>
            <w:noWrap w:val="0"/>
            <w:vAlign w:val="center"/>
          </w:tcPr>
          <w:p w14:paraId="3560A944">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3635EE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0.2704</w:t>
            </w:r>
          </w:p>
        </w:tc>
        <w:tc>
          <w:tcPr>
            <w:tcW w:w="1168" w:type="dxa"/>
            <w:noWrap w:val="0"/>
            <w:vAlign w:val="center"/>
          </w:tcPr>
          <w:p w14:paraId="1646B4AF">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0.2704</w:t>
            </w:r>
          </w:p>
        </w:tc>
      </w:tr>
      <w:tr w14:paraId="7FF0D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642BFEC5">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4B39FF0D">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0"/>
                <w:sz w:val="21"/>
                <w:szCs w:val="21"/>
              </w:rPr>
            </w:pPr>
            <w:r>
              <w:rPr>
                <w:rFonts w:hint="default" w:ascii="Times New Roman" w:hAnsi="Times New Roman" w:eastAsia="宋体" w:cs="Times New Roman"/>
                <w:b w:val="0"/>
                <w:bCs/>
                <w:snapToGrid w:val="0"/>
                <w:color w:val="auto"/>
                <w:kern w:val="0"/>
                <w:sz w:val="21"/>
                <w:szCs w:val="21"/>
              </w:rPr>
              <w:t>NH</w:t>
            </w:r>
            <w:r>
              <w:rPr>
                <w:rFonts w:hint="default" w:ascii="Times New Roman" w:hAnsi="Times New Roman" w:eastAsia="宋体" w:cs="Times New Roman"/>
                <w:b w:val="0"/>
                <w:bCs/>
                <w:snapToGrid w:val="0"/>
                <w:color w:val="auto"/>
                <w:kern w:val="0"/>
                <w:sz w:val="21"/>
                <w:szCs w:val="21"/>
                <w:vertAlign w:val="subscript"/>
              </w:rPr>
              <w:t>3</w:t>
            </w:r>
            <w:r>
              <w:rPr>
                <w:rFonts w:hint="default" w:ascii="Times New Roman" w:hAnsi="Times New Roman" w:eastAsia="宋体" w:cs="Times New Roman"/>
                <w:b w:val="0"/>
                <w:bCs/>
                <w:snapToGrid w:val="0"/>
                <w:color w:val="auto"/>
                <w:kern w:val="0"/>
                <w:sz w:val="21"/>
                <w:szCs w:val="21"/>
              </w:rPr>
              <w:t>-N</w:t>
            </w:r>
          </w:p>
        </w:tc>
        <w:tc>
          <w:tcPr>
            <w:tcW w:w="1701" w:type="dxa"/>
            <w:noWrap w:val="0"/>
            <w:vAlign w:val="center"/>
          </w:tcPr>
          <w:p w14:paraId="7D08CB13">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5F25F3A5">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1450FD42">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2EE233F3">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0.04056</w:t>
            </w:r>
          </w:p>
        </w:tc>
        <w:tc>
          <w:tcPr>
            <w:tcW w:w="1540" w:type="dxa"/>
            <w:noWrap w:val="0"/>
            <w:vAlign w:val="center"/>
          </w:tcPr>
          <w:p w14:paraId="14595141">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07848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0.04056</w:t>
            </w:r>
          </w:p>
        </w:tc>
        <w:tc>
          <w:tcPr>
            <w:tcW w:w="1168" w:type="dxa"/>
            <w:noWrap w:val="0"/>
            <w:vAlign w:val="center"/>
          </w:tcPr>
          <w:p w14:paraId="3C66B775">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0.04056</w:t>
            </w:r>
          </w:p>
        </w:tc>
      </w:tr>
      <w:tr w14:paraId="39EA5E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279AEDDE">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6AAC42D2">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0"/>
                <w:sz w:val="21"/>
                <w:szCs w:val="21"/>
                <w:lang w:eastAsia="zh-CN"/>
              </w:rPr>
            </w:pPr>
            <w:r>
              <w:rPr>
                <w:rFonts w:hint="default" w:ascii="Times New Roman" w:hAnsi="Times New Roman" w:eastAsia="宋体" w:cs="Times New Roman"/>
                <w:b w:val="0"/>
                <w:bCs/>
                <w:snapToGrid w:val="0"/>
                <w:color w:val="auto"/>
                <w:kern w:val="0"/>
                <w:sz w:val="21"/>
                <w:szCs w:val="21"/>
              </w:rPr>
              <w:t>T</w:t>
            </w:r>
            <w:r>
              <w:rPr>
                <w:rFonts w:hint="default" w:ascii="Times New Roman" w:hAnsi="Times New Roman" w:eastAsia="宋体" w:cs="Times New Roman"/>
                <w:b w:val="0"/>
                <w:bCs/>
                <w:snapToGrid w:val="0"/>
                <w:color w:val="auto"/>
                <w:kern w:val="0"/>
                <w:sz w:val="21"/>
                <w:szCs w:val="21"/>
                <w:lang w:val="en-US" w:eastAsia="zh-CN"/>
              </w:rPr>
              <w:t>P</w:t>
            </w:r>
          </w:p>
        </w:tc>
        <w:tc>
          <w:tcPr>
            <w:tcW w:w="1701" w:type="dxa"/>
            <w:noWrap w:val="0"/>
            <w:vAlign w:val="center"/>
          </w:tcPr>
          <w:p w14:paraId="11C86950">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2613808C">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6714D152">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7F8EB698">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0.004056</w:t>
            </w:r>
          </w:p>
        </w:tc>
        <w:tc>
          <w:tcPr>
            <w:tcW w:w="1540" w:type="dxa"/>
            <w:noWrap w:val="0"/>
            <w:vAlign w:val="center"/>
          </w:tcPr>
          <w:p w14:paraId="201A30F2">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6DAAC1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0.004056</w:t>
            </w:r>
          </w:p>
        </w:tc>
        <w:tc>
          <w:tcPr>
            <w:tcW w:w="1168" w:type="dxa"/>
            <w:noWrap w:val="0"/>
            <w:vAlign w:val="center"/>
          </w:tcPr>
          <w:p w14:paraId="2390B5E9">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0.004056</w:t>
            </w:r>
          </w:p>
        </w:tc>
      </w:tr>
      <w:tr w14:paraId="10B9C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23C1B1E1">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698BCBD3">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0"/>
                <w:sz w:val="21"/>
                <w:szCs w:val="21"/>
                <w:lang w:eastAsia="zh-CN"/>
              </w:rPr>
            </w:pPr>
            <w:r>
              <w:rPr>
                <w:rFonts w:hint="default" w:ascii="Times New Roman" w:hAnsi="Times New Roman" w:eastAsia="宋体" w:cs="Times New Roman"/>
                <w:b w:val="0"/>
                <w:bCs/>
                <w:snapToGrid w:val="0"/>
                <w:color w:val="auto"/>
                <w:kern w:val="0"/>
                <w:sz w:val="21"/>
                <w:szCs w:val="21"/>
              </w:rPr>
              <w:t>T</w:t>
            </w:r>
            <w:r>
              <w:rPr>
                <w:rFonts w:hint="default" w:ascii="Times New Roman" w:hAnsi="Times New Roman" w:eastAsia="宋体" w:cs="Times New Roman"/>
                <w:b w:val="0"/>
                <w:bCs/>
                <w:snapToGrid w:val="0"/>
                <w:color w:val="auto"/>
                <w:kern w:val="0"/>
                <w:sz w:val="21"/>
                <w:szCs w:val="21"/>
                <w:lang w:val="en-US" w:eastAsia="zh-CN"/>
              </w:rPr>
              <w:t>N</w:t>
            </w:r>
          </w:p>
        </w:tc>
        <w:tc>
          <w:tcPr>
            <w:tcW w:w="1701" w:type="dxa"/>
            <w:noWrap w:val="0"/>
            <w:vAlign w:val="center"/>
          </w:tcPr>
          <w:p w14:paraId="06D6377B">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7A288BB5">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2ED2020C">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4B0D35A2">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0.0676</w:t>
            </w:r>
          </w:p>
        </w:tc>
        <w:tc>
          <w:tcPr>
            <w:tcW w:w="1540" w:type="dxa"/>
            <w:noWrap w:val="0"/>
            <w:vAlign w:val="center"/>
          </w:tcPr>
          <w:p w14:paraId="5C303CCF">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snapToGrid w:val="0"/>
                <w:color w:val="auto"/>
                <w:sz w:val="21"/>
                <w:szCs w:val="21"/>
              </w:rPr>
              <w:t>0</w:t>
            </w:r>
          </w:p>
        </w:tc>
        <w:tc>
          <w:tcPr>
            <w:tcW w:w="1838" w:type="dxa"/>
            <w:noWrap w:val="0"/>
            <w:vAlign w:val="center"/>
          </w:tcPr>
          <w:p w14:paraId="0AEC63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0.0676</w:t>
            </w:r>
          </w:p>
        </w:tc>
        <w:tc>
          <w:tcPr>
            <w:tcW w:w="1168" w:type="dxa"/>
            <w:noWrap w:val="0"/>
            <w:vAlign w:val="center"/>
          </w:tcPr>
          <w:p w14:paraId="33C5F530">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0.0676</w:t>
            </w:r>
          </w:p>
        </w:tc>
      </w:tr>
      <w:tr w14:paraId="3AB67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restart"/>
            <w:noWrap w:val="0"/>
            <w:vAlign w:val="center"/>
          </w:tcPr>
          <w:p w14:paraId="46DFBEEA">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一般工业固废</w:t>
            </w:r>
          </w:p>
        </w:tc>
        <w:tc>
          <w:tcPr>
            <w:tcW w:w="1657" w:type="dxa"/>
            <w:gridSpan w:val="2"/>
            <w:noWrap w:val="0"/>
            <w:vAlign w:val="center"/>
          </w:tcPr>
          <w:p w14:paraId="43B9524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金属碎屑</w:t>
            </w:r>
          </w:p>
        </w:tc>
        <w:tc>
          <w:tcPr>
            <w:tcW w:w="1701" w:type="dxa"/>
            <w:noWrap w:val="0"/>
            <w:vAlign w:val="center"/>
          </w:tcPr>
          <w:p w14:paraId="4D6619D2">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11F3EE3C">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3A9415CA">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0CEE390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color w:val="000000"/>
                <w:kern w:val="2"/>
                <w:sz w:val="21"/>
                <w:szCs w:val="21"/>
                <w:highlight w:val="none"/>
                <w:lang w:val="en-US" w:eastAsia="zh-CN" w:bidi="ar-SA"/>
              </w:rPr>
              <w:t>12</w:t>
            </w:r>
          </w:p>
        </w:tc>
        <w:tc>
          <w:tcPr>
            <w:tcW w:w="1540" w:type="dxa"/>
            <w:noWrap w:val="0"/>
            <w:vAlign w:val="center"/>
          </w:tcPr>
          <w:p w14:paraId="42EB4544">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1838" w:type="dxa"/>
            <w:shd w:val="clear" w:color="auto" w:fill="auto"/>
            <w:noWrap w:val="0"/>
            <w:vAlign w:val="center"/>
          </w:tcPr>
          <w:p w14:paraId="249DAF4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12</w:t>
            </w:r>
          </w:p>
        </w:tc>
        <w:tc>
          <w:tcPr>
            <w:tcW w:w="1168" w:type="dxa"/>
            <w:noWrap w:val="0"/>
            <w:vAlign w:val="center"/>
          </w:tcPr>
          <w:p w14:paraId="3ED2691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eastAsia="宋体"/>
                <w:color w:val="000000"/>
                <w:kern w:val="2"/>
                <w:sz w:val="21"/>
                <w:szCs w:val="21"/>
                <w:highlight w:val="none"/>
                <w:lang w:val="en-US" w:eastAsia="zh-CN" w:bidi="ar-SA"/>
              </w:rPr>
            </w:pPr>
            <w:r>
              <w:rPr>
                <w:rFonts w:hint="eastAsia" w:eastAsia="宋体"/>
                <w:color w:val="000000"/>
                <w:szCs w:val="21"/>
                <w:highlight w:val="none"/>
                <w:lang w:val="en-US" w:eastAsia="zh-CN"/>
              </w:rPr>
              <w:t>+</w:t>
            </w:r>
            <w:r>
              <w:rPr>
                <w:rFonts w:hint="eastAsia"/>
                <w:color w:val="000000"/>
                <w:szCs w:val="21"/>
                <w:highlight w:val="none"/>
                <w:lang w:val="en-US" w:eastAsia="zh-CN"/>
              </w:rPr>
              <w:t>12</w:t>
            </w:r>
          </w:p>
        </w:tc>
      </w:tr>
      <w:tr w14:paraId="07C11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64CBE6CB">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06D6C08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废布袋</w:t>
            </w:r>
          </w:p>
        </w:tc>
        <w:tc>
          <w:tcPr>
            <w:tcW w:w="1701" w:type="dxa"/>
            <w:noWrap w:val="0"/>
            <w:vAlign w:val="center"/>
          </w:tcPr>
          <w:p w14:paraId="3ADB3004">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ascii="Times New Roman" w:hAnsi="Times New Roman" w:eastAsia="宋体" w:cs="Times New Roman"/>
                <w:b w:val="0"/>
                <w:bCs/>
                <w:snapToGrid w:val="0"/>
                <w:color w:val="auto"/>
                <w:kern w:val="2"/>
                <w:sz w:val="21"/>
                <w:szCs w:val="21"/>
                <w:lang w:val="en-US" w:eastAsia="zh-CN" w:bidi="ar-SA"/>
              </w:rPr>
              <w:t>0</w:t>
            </w:r>
          </w:p>
        </w:tc>
        <w:tc>
          <w:tcPr>
            <w:tcW w:w="1276" w:type="dxa"/>
            <w:noWrap w:val="0"/>
            <w:vAlign w:val="center"/>
          </w:tcPr>
          <w:p w14:paraId="4770ABF1">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ascii="Times New Roman" w:hAnsi="Times New Roman" w:eastAsia="宋体" w:cs="Times New Roman"/>
                <w:b w:val="0"/>
                <w:bCs/>
                <w:snapToGrid w:val="0"/>
                <w:color w:val="auto"/>
                <w:kern w:val="2"/>
                <w:sz w:val="21"/>
                <w:szCs w:val="21"/>
                <w:lang w:val="en-US" w:eastAsia="zh-CN" w:bidi="ar-SA"/>
              </w:rPr>
              <w:t>0</w:t>
            </w:r>
          </w:p>
        </w:tc>
        <w:tc>
          <w:tcPr>
            <w:tcW w:w="1701" w:type="dxa"/>
            <w:noWrap w:val="0"/>
            <w:vAlign w:val="center"/>
          </w:tcPr>
          <w:p w14:paraId="2700BDC6">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eastAsia" w:ascii="Times New Roman" w:hAnsi="Times New Roman" w:eastAsia="宋体" w:cs="Times New Roman"/>
                <w:b w:val="0"/>
                <w:bCs/>
                <w:snapToGrid w:val="0"/>
                <w:color w:val="auto"/>
                <w:kern w:val="2"/>
                <w:sz w:val="21"/>
                <w:szCs w:val="21"/>
                <w:lang w:val="en-US" w:eastAsia="zh-CN" w:bidi="ar-SA"/>
              </w:rPr>
              <w:t>0</w:t>
            </w:r>
          </w:p>
        </w:tc>
        <w:tc>
          <w:tcPr>
            <w:tcW w:w="1559" w:type="dxa"/>
            <w:noWrap w:val="0"/>
            <w:vAlign w:val="center"/>
          </w:tcPr>
          <w:p w14:paraId="24179C9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0.05</w:t>
            </w:r>
          </w:p>
        </w:tc>
        <w:tc>
          <w:tcPr>
            <w:tcW w:w="1540" w:type="dxa"/>
            <w:noWrap w:val="0"/>
            <w:vAlign w:val="center"/>
          </w:tcPr>
          <w:p w14:paraId="14BB2CF4">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w:t>
            </w:r>
          </w:p>
        </w:tc>
        <w:tc>
          <w:tcPr>
            <w:tcW w:w="1838" w:type="dxa"/>
            <w:shd w:val="clear" w:color="auto" w:fill="auto"/>
            <w:noWrap w:val="0"/>
            <w:vAlign w:val="center"/>
          </w:tcPr>
          <w:p w14:paraId="319A172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0.05</w:t>
            </w:r>
          </w:p>
        </w:tc>
        <w:tc>
          <w:tcPr>
            <w:tcW w:w="1168" w:type="dxa"/>
            <w:noWrap w:val="0"/>
            <w:vAlign w:val="center"/>
          </w:tcPr>
          <w:p w14:paraId="4B4B05C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r>
              <w:rPr>
                <w:rFonts w:hint="eastAsia" w:cs="Times New Roman"/>
                <w:color w:val="000000"/>
                <w:kern w:val="2"/>
                <w:sz w:val="21"/>
                <w:szCs w:val="21"/>
                <w:highlight w:val="none"/>
                <w:lang w:val="en-US" w:eastAsia="zh-CN" w:bidi="ar-SA"/>
              </w:rPr>
              <w:t>0.05</w:t>
            </w:r>
          </w:p>
        </w:tc>
      </w:tr>
      <w:tr w14:paraId="6F3E0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14B1CC1B">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rPr>
            </w:pPr>
          </w:p>
        </w:tc>
        <w:tc>
          <w:tcPr>
            <w:tcW w:w="1657" w:type="dxa"/>
            <w:gridSpan w:val="2"/>
            <w:noWrap w:val="0"/>
            <w:vAlign w:val="center"/>
          </w:tcPr>
          <w:p w14:paraId="3E59C36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不合格品</w:t>
            </w:r>
          </w:p>
        </w:tc>
        <w:tc>
          <w:tcPr>
            <w:tcW w:w="1701" w:type="dxa"/>
            <w:noWrap w:val="0"/>
            <w:vAlign w:val="center"/>
          </w:tcPr>
          <w:p w14:paraId="13B6DB5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lang w:val="en-US" w:eastAsia="zh-CN"/>
              </w:rPr>
              <w:t>0</w:t>
            </w:r>
          </w:p>
        </w:tc>
        <w:tc>
          <w:tcPr>
            <w:tcW w:w="1276" w:type="dxa"/>
            <w:noWrap w:val="0"/>
            <w:vAlign w:val="center"/>
          </w:tcPr>
          <w:p w14:paraId="784467D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4F45B9B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1D0940FA">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1.5</w:t>
            </w:r>
          </w:p>
        </w:tc>
        <w:tc>
          <w:tcPr>
            <w:tcW w:w="1540" w:type="dxa"/>
            <w:noWrap w:val="0"/>
            <w:vAlign w:val="center"/>
          </w:tcPr>
          <w:p w14:paraId="2A7F71E0">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lang w:val="en-US" w:eastAsia="zh-CN"/>
              </w:rPr>
              <w:t>0</w:t>
            </w:r>
          </w:p>
        </w:tc>
        <w:tc>
          <w:tcPr>
            <w:tcW w:w="1838" w:type="dxa"/>
            <w:shd w:val="clear" w:color="auto" w:fill="auto"/>
            <w:noWrap w:val="0"/>
            <w:vAlign w:val="center"/>
          </w:tcPr>
          <w:p w14:paraId="52E8C2C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kern w:val="2"/>
                <w:sz w:val="21"/>
                <w:szCs w:val="21"/>
                <w:highlight w:val="none"/>
                <w:lang w:val="en-US" w:eastAsia="zh-CN" w:bidi="ar-SA"/>
              </w:rPr>
              <w:t>1.5</w:t>
            </w:r>
          </w:p>
        </w:tc>
        <w:tc>
          <w:tcPr>
            <w:tcW w:w="1168" w:type="dxa"/>
            <w:noWrap w:val="0"/>
            <w:vAlign w:val="center"/>
          </w:tcPr>
          <w:p w14:paraId="7E9BE2C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color w:val="000000"/>
                <w:kern w:val="2"/>
                <w:sz w:val="21"/>
                <w:szCs w:val="21"/>
                <w:highlight w:val="none"/>
                <w:lang w:val="en-US" w:eastAsia="zh-CN" w:bidi="ar-SA"/>
              </w:rPr>
            </w:pPr>
            <w:r>
              <w:rPr>
                <w:rFonts w:hint="eastAsia"/>
                <w:color w:val="000000"/>
                <w:szCs w:val="21"/>
                <w:highlight w:val="none"/>
                <w:lang w:val="en-US" w:eastAsia="zh-CN"/>
              </w:rPr>
              <w:t>+1.5</w:t>
            </w:r>
          </w:p>
        </w:tc>
      </w:tr>
      <w:tr w14:paraId="297A9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restart"/>
            <w:noWrap w:val="0"/>
            <w:vAlign w:val="center"/>
          </w:tcPr>
          <w:p w14:paraId="0A8DBE03">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sz w:val="21"/>
                <w:szCs w:val="21"/>
                <w:lang w:val="en-US" w:eastAsia="zh-CN"/>
              </w:rPr>
            </w:pPr>
            <w:r>
              <w:rPr>
                <w:rFonts w:hint="eastAsia" w:ascii="Times New Roman" w:hAnsi="Times New Roman" w:eastAsia="宋体" w:cs="Times New Roman"/>
                <w:b w:val="0"/>
                <w:bCs/>
                <w:snapToGrid w:val="0"/>
                <w:color w:val="auto"/>
                <w:sz w:val="21"/>
                <w:szCs w:val="21"/>
                <w:lang w:val="en-US" w:eastAsia="zh-CN"/>
              </w:rPr>
              <w:t>危险废物</w:t>
            </w:r>
          </w:p>
        </w:tc>
        <w:tc>
          <w:tcPr>
            <w:tcW w:w="1657" w:type="dxa"/>
            <w:gridSpan w:val="2"/>
            <w:noWrap w:val="0"/>
            <w:vAlign w:val="center"/>
          </w:tcPr>
          <w:p w14:paraId="3368F38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废活性炭</w:t>
            </w:r>
          </w:p>
        </w:tc>
        <w:tc>
          <w:tcPr>
            <w:tcW w:w="1701" w:type="dxa"/>
            <w:noWrap w:val="0"/>
            <w:vAlign w:val="center"/>
          </w:tcPr>
          <w:p w14:paraId="19E2C249">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276" w:type="dxa"/>
            <w:noWrap w:val="0"/>
            <w:vAlign w:val="center"/>
          </w:tcPr>
          <w:p w14:paraId="420B077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1EF721F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4872B021">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0.2665</w:t>
            </w:r>
          </w:p>
        </w:tc>
        <w:tc>
          <w:tcPr>
            <w:tcW w:w="1540" w:type="dxa"/>
            <w:noWrap w:val="0"/>
            <w:vAlign w:val="center"/>
          </w:tcPr>
          <w:p w14:paraId="46E4927E">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w:t>
            </w:r>
          </w:p>
        </w:tc>
        <w:tc>
          <w:tcPr>
            <w:tcW w:w="1838" w:type="dxa"/>
            <w:shd w:val="clear" w:color="auto" w:fill="auto"/>
            <w:noWrap w:val="0"/>
            <w:vAlign w:val="center"/>
          </w:tcPr>
          <w:p w14:paraId="036430F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0.2665</w:t>
            </w:r>
          </w:p>
        </w:tc>
        <w:tc>
          <w:tcPr>
            <w:tcW w:w="1168" w:type="dxa"/>
            <w:noWrap w:val="0"/>
            <w:vAlign w:val="center"/>
          </w:tcPr>
          <w:p w14:paraId="4679FFB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olor w:val="000000"/>
                <w:szCs w:val="21"/>
                <w:highlight w:val="none"/>
                <w:lang w:val="en-US" w:eastAsia="zh-CN"/>
              </w:rPr>
              <w:t>+</w:t>
            </w:r>
            <w:r>
              <w:rPr>
                <w:rFonts w:hint="eastAsia"/>
                <w:color w:val="000000"/>
                <w:szCs w:val="21"/>
                <w:highlight w:val="none"/>
                <w:lang w:val="en-US" w:eastAsia="zh-CN"/>
              </w:rPr>
              <w:t>0.2665</w:t>
            </w:r>
          </w:p>
        </w:tc>
      </w:tr>
      <w:tr w14:paraId="4DECB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6261B0B6">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eastAsia" w:ascii="Times New Roman" w:hAnsi="Times New Roman" w:eastAsia="宋体" w:cs="Times New Roman"/>
                <w:b w:val="0"/>
                <w:bCs/>
                <w:snapToGrid w:val="0"/>
                <w:color w:val="auto"/>
                <w:sz w:val="21"/>
                <w:szCs w:val="21"/>
                <w:lang w:val="en-US" w:eastAsia="zh-CN"/>
              </w:rPr>
            </w:pPr>
          </w:p>
        </w:tc>
        <w:tc>
          <w:tcPr>
            <w:tcW w:w="1657" w:type="dxa"/>
            <w:gridSpan w:val="2"/>
            <w:noWrap w:val="0"/>
            <w:vAlign w:val="center"/>
          </w:tcPr>
          <w:p w14:paraId="01E43D13">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废润滑油</w:t>
            </w:r>
          </w:p>
        </w:tc>
        <w:tc>
          <w:tcPr>
            <w:tcW w:w="1701" w:type="dxa"/>
            <w:noWrap w:val="0"/>
            <w:vAlign w:val="center"/>
          </w:tcPr>
          <w:p w14:paraId="2BF5A6A5">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276" w:type="dxa"/>
            <w:noWrap w:val="0"/>
            <w:vAlign w:val="center"/>
          </w:tcPr>
          <w:p w14:paraId="345E23E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0018CE2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2A86465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0.001</w:t>
            </w:r>
          </w:p>
        </w:tc>
        <w:tc>
          <w:tcPr>
            <w:tcW w:w="1540" w:type="dxa"/>
            <w:noWrap w:val="0"/>
            <w:vAlign w:val="center"/>
          </w:tcPr>
          <w:p w14:paraId="3B6D4227">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w:t>
            </w:r>
          </w:p>
        </w:tc>
        <w:tc>
          <w:tcPr>
            <w:tcW w:w="1838" w:type="dxa"/>
            <w:shd w:val="clear" w:color="auto" w:fill="auto"/>
            <w:noWrap w:val="0"/>
            <w:vAlign w:val="center"/>
          </w:tcPr>
          <w:p w14:paraId="626F7BC2">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0.001</w:t>
            </w:r>
          </w:p>
        </w:tc>
        <w:tc>
          <w:tcPr>
            <w:tcW w:w="1168" w:type="dxa"/>
            <w:noWrap w:val="0"/>
            <w:vAlign w:val="center"/>
          </w:tcPr>
          <w:p w14:paraId="61ABC96B">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r>
              <w:rPr>
                <w:rFonts w:hint="eastAsia" w:cs="Times New Roman"/>
                <w:color w:val="000000"/>
                <w:kern w:val="2"/>
                <w:sz w:val="21"/>
                <w:szCs w:val="21"/>
                <w:highlight w:val="none"/>
                <w:lang w:val="en-US" w:eastAsia="zh-CN" w:bidi="ar-SA"/>
              </w:rPr>
              <w:t>0.001</w:t>
            </w:r>
          </w:p>
        </w:tc>
      </w:tr>
      <w:tr w14:paraId="1394D8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61F8ADAF">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eastAsia" w:ascii="Times New Roman" w:hAnsi="Times New Roman" w:eastAsia="宋体" w:cs="Times New Roman"/>
                <w:b w:val="0"/>
                <w:bCs/>
                <w:snapToGrid w:val="0"/>
                <w:color w:val="auto"/>
                <w:sz w:val="21"/>
                <w:szCs w:val="21"/>
                <w:lang w:val="en-US" w:eastAsia="zh-CN"/>
              </w:rPr>
            </w:pPr>
          </w:p>
        </w:tc>
        <w:tc>
          <w:tcPr>
            <w:tcW w:w="1657" w:type="dxa"/>
            <w:gridSpan w:val="2"/>
            <w:noWrap w:val="0"/>
            <w:vAlign w:val="center"/>
          </w:tcPr>
          <w:p w14:paraId="6DF14D76">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废油桶</w:t>
            </w:r>
          </w:p>
        </w:tc>
        <w:tc>
          <w:tcPr>
            <w:tcW w:w="1701" w:type="dxa"/>
            <w:noWrap w:val="0"/>
            <w:vAlign w:val="center"/>
          </w:tcPr>
          <w:p w14:paraId="39EB59B1">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276" w:type="dxa"/>
            <w:noWrap w:val="0"/>
            <w:vAlign w:val="center"/>
          </w:tcPr>
          <w:p w14:paraId="6F8CCBB0">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07F2269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6CA49719">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0.001</w:t>
            </w:r>
          </w:p>
        </w:tc>
        <w:tc>
          <w:tcPr>
            <w:tcW w:w="1540" w:type="dxa"/>
            <w:noWrap w:val="0"/>
            <w:vAlign w:val="center"/>
          </w:tcPr>
          <w:p w14:paraId="2176F4A3">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w:t>
            </w:r>
          </w:p>
        </w:tc>
        <w:tc>
          <w:tcPr>
            <w:tcW w:w="1838" w:type="dxa"/>
            <w:shd w:val="clear" w:color="auto" w:fill="auto"/>
            <w:noWrap w:val="0"/>
            <w:vAlign w:val="center"/>
          </w:tcPr>
          <w:p w14:paraId="052DA46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0.001</w:t>
            </w:r>
          </w:p>
        </w:tc>
        <w:tc>
          <w:tcPr>
            <w:tcW w:w="1168" w:type="dxa"/>
            <w:noWrap w:val="0"/>
            <w:vAlign w:val="center"/>
          </w:tcPr>
          <w:p w14:paraId="08917E3D">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szCs w:val="21"/>
                <w:highlight w:val="none"/>
                <w:lang w:val="en-US" w:eastAsia="zh-CN"/>
              </w:rPr>
              <w:t>+0.001</w:t>
            </w:r>
          </w:p>
        </w:tc>
      </w:tr>
      <w:tr w14:paraId="7730C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vMerge w:val="continue"/>
            <w:noWrap w:val="0"/>
            <w:vAlign w:val="center"/>
          </w:tcPr>
          <w:p w14:paraId="00539381">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eastAsia" w:ascii="Times New Roman" w:hAnsi="Times New Roman" w:eastAsia="宋体" w:cs="Times New Roman"/>
                <w:b w:val="0"/>
                <w:bCs/>
                <w:snapToGrid w:val="0"/>
                <w:color w:val="auto"/>
                <w:sz w:val="21"/>
                <w:szCs w:val="21"/>
                <w:lang w:val="en-US" w:eastAsia="zh-CN"/>
              </w:rPr>
            </w:pPr>
          </w:p>
        </w:tc>
        <w:tc>
          <w:tcPr>
            <w:tcW w:w="1657" w:type="dxa"/>
            <w:gridSpan w:val="2"/>
            <w:noWrap w:val="0"/>
            <w:vAlign w:val="center"/>
          </w:tcPr>
          <w:p w14:paraId="7348BA5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蒸发残液</w:t>
            </w:r>
          </w:p>
        </w:tc>
        <w:tc>
          <w:tcPr>
            <w:tcW w:w="1701" w:type="dxa"/>
            <w:noWrap w:val="0"/>
            <w:vAlign w:val="center"/>
          </w:tcPr>
          <w:p w14:paraId="05E97B70">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highlight w:val="none"/>
                <w:lang w:val="en-US" w:eastAsia="zh-CN"/>
              </w:rPr>
            </w:pPr>
            <w:r>
              <w:rPr>
                <w:rFonts w:hint="eastAsia" w:cs="Times New Roman"/>
                <w:b w:val="0"/>
                <w:bCs/>
                <w:snapToGrid w:val="0"/>
                <w:color w:val="auto"/>
                <w:sz w:val="21"/>
                <w:szCs w:val="21"/>
                <w:highlight w:val="none"/>
                <w:lang w:val="en-US" w:eastAsia="zh-CN"/>
              </w:rPr>
              <w:t>0</w:t>
            </w:r>
          </w:p>
        </w:tc>
        <w:tc>
          <w:tcPr>
            <w:tcW w:w="1276" w:type="dxa"/>
            <w:noWrap w:val="0"/>
            <w:vAlign w:val="center"/>
          </w:tcPr>
          <w:p w14:paraId="565525C2">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701" w:type="dxa"/>
            <w:noWrap w:val="0"/>
            <w:vAlign w:val="center"/>
          </w:tcPr>
          <w:p w14:paraId="522A67E4">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lang w:val="en-US" w:eastAsia="zh-CN"/>
              </w:rPr>
              <w:t>0</w:t>
            </w:r>
          </w:p>
        </w:tc>
        <w:tc>
          <w:tcPr>
            <w:tcW w:w="1559" w:type="dxa"/>
            <w:noWrap w:val="0"/>
            <w:vAlign w:val="center"/>
          </w:tcPr>
          <w:p w14:paraId="54E46DB0">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1540" w:type="dxa"/>
            <w:noWrap w:val="0"/>
            <w:vAlign w:val="center"/>
          </w:tcPr>
          <w:p w14:paraId="0F857972">
            <w:pPr>
              <w:keepNext w:val="0"/>
              <w:keepLines w:val="0"/>
              <w:pageBreakBefore w:val="0"/>
              <w:widowControl/>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snapToGrid w:val="0"/>
                <w:color w:val="auto"/>
                <w:sz w:val="21"/>
                <w:szCs w:val="21"/>
                <w:lang w:val="en-US" w:eastAsia="zh-CN"/>
              </w:rPr>
            </w:pPr>
            <w:r>
              <w:rPr>
                <w:rFonts w:hint="eastAsia" w:cs="Times New Roman"/>
                <w:b w:val="0"/>
                <w:bCs/>
                <w:snapToGrid w:val="0"/>
                <w:color w:val="auto"/>
                <w:sz w:val="21"/>
                <w:szCs w:val="21"/>
                <w:lang w:val="en-US" w:eastAsia="zh-CN"/>
              </w:rPr>
              <w:t>0</w:t>
            </w:r>
          </w:p>
        </w:tc>
        <w:tc>
          <w:tcPr>
            <w:tcW w:w="1838" w:type="dxa"/>
            <w:shd w:val="clear" w:color="auto" w:fill="auto"/>
            <w:noWrap w:val="0"/>
            <w:vAlign w:val="center"/>
          </w:tcPr>
          <w:p w14:paraId="3C10D474">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0.8</w:t>
            </w:r>
          </w:p>
        </w:tc>
        <w:tc>
          <w:tcPr>
            <w:tcW w:w="1168" w:type="dxa"/>
            <w:noWrap w:val="0"/>
            <w:vAlign w:val="center"/>
          </w:tcPr>
          <w:p w14:paraId="65C19287">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eastAsia="宋体"/>
                <w:color w:val="000000"/>
                <w:szCs w:val="21"/>
                <w:highlight w:val="none"/>
                <w:lang w:val="en-US" w:eastAsia="zh-CN"/>
              </w:rPr>
              <w:t>+</w:t>
            </w:r>
            <w:r>
              <w:rPr>
                <w:rFonts w:hint="eastAsia"/>
                <w:color w:val="000000"/>
                <w:szCs w:val="21"/>
                <w:highlight w:val="none"/>
                <w:lang w:val="en-US" w:eastAsia="zh-CN"/>
              </w:rPr>
              <w:t>0.8</w:t>
            </w:r>
          </w:p>
        </w:tc>
      </w:tr>
      <w:tr w14:paraId="1F9FC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8" w:type="dxa"/>
            <w:noWrap w:val="0"/>
            <w:vAlign w:val="center"/>
          </w:tcPr>
          <w:p w14:paraId="5F81F351">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sz w:val="21"/>
                <w:szCs w:val="21"/>
              </w:rPr>
              <w:t>生活垃圾</w:t>
            </w:r>
          </w:p>
        </w:tc>
        <w:tc>
          <w:tcPr>
            <w:tcW w:w="1657" w:type="dxa"/>
            <w:gridSpan w:val="2"/>
            <w:noWrap w:val="0"/>
            <w:vAlign w:val="center"/>
          </w:tcPr>
          <w:p w14:paraId="3E0102D5">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color w:val="000000"/>
                <w:szCs w:val="21"/>
              </w:rPr>
              <w:t>生活垃圾</w:t>
            </w:r>
          </w:p>
        </w:tc>
        <w:tc>
          <w:tcPr>
            <w:tcW w:w="1701" w:type="dxa"/>
            <w:noWrap w:val="0"/>
            <w:vAlign w:val="center"/>
          </w:tcPr>
          <w:p w14:paraId="2600DEEF">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276" w:type="dxa"/>
            <w:noWrap w:val="0"/>
            <w:vAlign w:val="center"/>
          </w:tcPr>
          <w:p w14:paraId="314851BD">
            <w:pPr>
              <w:keepNext w:val="0"/>
              <w:keepLines w:val="0"/>
              <w:pageBreakBefore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701" w:type="dxa"/>
            <w:noWrap w:val="0"/>
            <w:vAlign w:val="center"/>
          </w:tcPr>
          <w:p w14:paraId="6F46D9A5">
            <w:pPr>
              <w:pStyle w:val="37"/>
              <w:keepNext w:val="0"/>
              <w:keepLines w:val="0"/>
              <w:pageBreakBefore w:val="0"/>
              <w:kinsoku/>
              <w:wordWrap/>
              <w:overflowPunct/>
              <w:topLinePunct w:val="0"/>
              <w:autoSpaceDE/>
              <w:autoSpaceDN/>
              <w:bidi w:val="0"/>
              <w:spacing w:beforeLines="0" w:afterLines="0" w:line="240" w:lineRule="auto"/>
              <w:ind w:firstLine="0"/>
              <w:jc w:val="center"/>
              <w:textAlignment w:val="auto"/>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559" w:type="dxa"/>
            <w:noWrap w:val="0"/>
            <w:vAlign w:val="center"/>
          </w:tcPr>
          <w:p w14:paraId="27F9DDEF">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16.9</w:t>
            </w:r>
          </w:p>
        </w:tc>
        <w:tc>
          <w:tcPr>
            <w:tcW w:w="1540" w:type="dxa"/>
            <w:noWrap w:val="0"/>
            <w:vAlign w:val="center"/>
          </w:tcPr>
          <w:p w14:paraId="1EE471F4">
            <w:pPr>
              <w:keepNext w:val="0"/>
              <w:keepLines w:val="0"/>
              <w:pageBreakBefore w:val="0"/>
              <w:kinsoku/>
              <w:wordWrap/>
              <w:overflowPunct/>
              <w:topLinePunct w:val="0"/>
              <w:autoSpaceDE/>
              <w:autoSpaceDN/>
              <w:bidi w:val="0"/>
              <w:spacing w:line="240" w:lineRule="auto"/>
              <w:ind w:firstLine="0"/>
              <w:jc w:val="center"/>
              <w:textAlignment w:val="auto"/>
              <w:rPr>
                <w:rFonts w:hint="default" w:ascii="Times New Roman" w:hAnsi="Times New Roman" w:eastAsia="宋体" w:cs="Times New Roman"/>
                <w:b w:val="0"/>
                <w:bCs/>
                <w:snapToGrid w:val="0"/>
                <w:color w:val="auto"/>
                <w:kern w:val="2"/>
                <w:sz w:val="21"/>
                <w:szCs w:val="21"/>
                <w:lang w:val="en-US" w:eastAsia="zh-CN" w:bidi="ar-SA"/>
              </w:rPr>
            </w:pPr>
            <w:r>
              <w:rPr>
                <w:rFonts w:hint="default" w:ascii="Times New Roman" w:hAnsi="Times New Roman" w:eastAsia="宋体" w:cs="Times New Roman"/>
                <w:b w:val="0"/>
                <w:bCs/>
                <w:snapToGrid w:val="0"/>
                <w:color w:val="auto"/>
                <w:sz w:val="21"/>
                <w:szCs w:val="21"/>
              </w:rPr>
              <w:t>0</w:t>
            </w:r>
          </w:p>
        </w:tc>
        <w:tc>
          <w:tcPr>
            <w:tcW w:w="1838" w:type="dxa"/>
            <w:shd w:val="clear" w:color="auto" w:fill="auto"/>
            <w:noWrap w:val="0"/>
            <w:vAlign w:val="center"/>
          </w:tcPr>
          <w:p w14:paraId="70B8B40C">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16.9</w:t>
            </w:r>
          </w:p>
        </w:tc>
        <w:tc>
          <w:tcPr>
            <w:tcW w:w="1168" w:type="dxa"/>
            <w:noWrap w:val="0"/>
            <w:vAlign w:val="center"/>
          </w:tcPr>
          <w:p w14:paraId="36CC42EE">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r>
              <w:rPr>
                <w:rFonts w:hint="eastAsia" w:cs="Times New Roman"/>
                <w:color w:val="000000"/>
                <w:kern w:val="2"/>
                <w:sz w:val="21"/>
                <w:szCs w:val="21"/>
                <w:lang w:val="en-US" w:eastAsia="zh-CN" w:bidi="ar-SA"/>
              </w:rPr>
              <w:t>16.9</w:t>
            </w:r>
          </w:p>
        </w:tc>
      </w:tr>
    </w:tbl>
    <w:p w14:paraId="1BD233DA">
      <w:pPr>
        <w:pStyle w:val="37"/>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420" w:firstLineChars="200"/>
        <w:jc w:val="left"/>
        <w:textAlignment w:val="auto"/>
        <w:rPr>
          <w:rFonts w:hint="eastAsia" w:eastAsia="宋体"/>
          <w:lang w:eastAsia="zh-CN"/>
        </w:rPr>
      </w:pPr>
      <w:r>
        <w:rPr>
          <w:rFonts w:hint="default" w:ascii="Times New Roman" w:hAnsi="Times New Roman" w:eastAsia="宋体" w:cs="Times New Roman"/>
          <w:b w:val="0"/>
          <w:bCs/>
          <w:snapToGrid w:val="0"/>
          <w:color w:val="auto"/>
          <w:kern w:val="21"/>
          <w:sz w:val="21"/>
          <w:szCs w:val="21"/>
        </w:rPr>
        <w:t>注：</w:t>
      </w:r>
      <w:r>
        <w:rPr>
          <w:rFonts w:hint="default" w:ascii="Times New Roman" w:hAnsi="Times New Roman" w:eastAsia="宋体" w:cs="Times New Roman"/>
          <w:b w:val="0"/>
          <w:bCs/>
          <w:snapToGrid w:val="0"/>
          <w:color w:val="auto"/>
          <w:spacing w:val="-16"/>
          <w:kern w:val="21"/>
          <w:sz w:val="21"/>
          <w:szCs w:val="21"/>
        </w:rPr>
        <w:fldChar w:fldCharType="begin"/>
      </w:r>
      <w:r>
        <w:rPr>
          <w:rFonts w:hint="default" w:ascii="Times New Roman" w:hAnsi="Times New Roman" w:eastAsia="宋体" w:cs="Times New Roman"/>
          <w:b w:val="0"/>
          <w:bCs/>
          <w:snapToGrid w:val="0"/>
          <w:color w:val="auto"/>
          <w:spacing w:val="-16"/>
          <w:kern w:val="21"/>
          <w:sz w:val="21"/>
          <w:szCs w:val="21"/>
        </w:rPr>
        <w:instrText xml:space="preserve"> = 6 \* GB3 \* MERGEFORMAT </w:instrText>
      </w:r>
      <w:r>
        <w:rPr>
          <w:rFonts w:hint="default" w:ascii="Times New Roman" w:hAnsi="Times New Roman" w:eastAsia="宋体" w:cs="Times New Roman"/>
          <w:b w:val="0"/>
          <w:bCs/>
          <w:snapToGrid w:val="0"/>
          <w:color w:val="auto"/>
          <w:spacing w:val="-16"/>
          <w:kern w:val="21"/>
          <w:sz w:val="21"/>
          <w:szCs w:val="21"/>
        </w:rPr>
        <w:fldChar w:fldCharType="separate"/>
      </w:r>
      <w:r>
        <w:rPr>
          <w:rFonts w:hint="default" w:ascii="Times New Roman" w:hAnsi="Times New Roman" w:eastAsia="宋体" w:cs="Times New Roman"/>
          <w:b w:val="0"/>
          <w:bCs/>
          <w:color w:val="auto"/>
          <w:sz w:val="21"/>
          <w:szCs w:val="21"/>
        </w:rPr>
        <w:t>⑥</w:t>
      </w:r>
      <w:r>
        <w:rPr>
          <w:rFonts w:hint="default" w:ascii="Times New Roman" w:hAnsi="Times New Roman" w:eastAsia="宋体" w:cs="Times New Roman"/>
          <w:b w:val="0"/>
          <w:bCs/>
          <w:snapToGrid w:val="0"/>
          <w:color w:val="auto"/>
          <w:spacing w:val="-16"/>
          <w:kern w:val="21"/>
          <w:sz w:val="21"/>
          <w:szCs w:val="21"/>
        </w:rPr>
        <w:fldChar w:fldCharType="end"/>
      </w:r>
      <w:r>
        <w:rPr>
          <w:rFonts w:hint="default" w:ascii="Times New Roman" w:hAnsi="Times New Roman" w:eastAsia="宋体" w:cs="Times New Roman"/>
          <w:b w:val="0"/>
          <w:bCs/>
          <w:snapToGrid w:val="0"/>
          <w:color w:val="auto"/>
          <w:spacing w:val="-16"/>
          <w:kern w:val="21"/>
          <w:sz w:val="21"/>
          <w:szCs w:val="21"/>
        </w:rPr>
        <w:t>=</w:t>
      </w:r>
      <w:r>
        <w:rPr>
          <w:rFonts w:hint="default" w:ascii="Times New Roman" w:hAnsi="Times New Roman" w:eastAsia="宋体" w:cs="Times New Roman"/>
          <w:b w:val="0"/>
          <w:bCs/>
          <w:snapToGrid w:val="0"/>
          <w:color w:val="auto"/>
          <w:spacing w:val="-6"/>
          <w:kern w:val="21"/>
          <w:sz w:val="21"/>
          <w:szCs w:val="21"/>
        </w:rPr>
        <w:fldChar w:fldCharType="begin"/>
      </w:r>
      <w:r>
        <w:rPr>
          <w:rFonts w:hint="default" w:ascii="Times New Roman" w:hAnsi="Times New Roman" w:eastAsia="宋体" w:cs="Times New Roman"/>
          <w:b w:val="0"/>
          <w:bCs/>
          <w:snapToGrid w:val="0"/>
          <w:color w:val="auto"/>
          <w:spacing w:val="-6"/>
          <w:kern w:val="21"/>
          <w:sz w:val="21"/>
          <w:szCs w:val="21"/>
        </w:rPr>
        <w:instrText xml:space="preserve"> = 1 \* GB3 \* MERGEFORMAT </w:instrText>
      </w:r>
      <w:r>
        <w:rPr>
          <w:rFonts w:hint="default" w:ascii="Times New Roman" w:hAnsi="Times New Roman" w:eastAsia="宋体" w:cs="Times New Roman"/>
          <w:b w:val="0"/>
          <w:bCs/>
          <w:snapToGrid w:val="0"/>
          <w:color w:val="auto"/>
          <w:spacing w:val="-6"/>
          <w:kern w:val="21"/>
          <w:sz w:val="21"/>
          <w:szCs w:val="21"/>
        </w:rPr>
        <w:fldChar w:fldCharType="separate"/>
      </w:r>
      <w:r>
        <w:rPr>
          <w:rFonts w:hint="default" w:ascii="Times New Roman" w:hAnsi="Times New Roman" w:eastAsia="宋体" w:cs="Times New Roman"/>
          <w:b w:val="0"/>
          <w:bCs/>
          <w:color w:val="auto"/>
          <w:sz w:val="21"/>
          <w:szCs w:val="21"/>
        </w:rPr>
        <w:t>①</w:t>
      </w:r>
      <w:r>
        <w:rPr>
          <w:rFonts w:hint="default" w:ascii="Times New Roman" w:hAnsi="Times New Roman" w:eastAsia="宋体" w:cs="Times New Roman"/>
          <w:b w:val="0"/>
          <w:bCs/>
          <w:snapToGrid w:val="0"/>
          <w:color w:val="auto"/>
          <w:spacing w:val="-6"/>
          <w:kern w:val="21"/>
          <w:sz w:val="21"/>
          <w:szCs w:val="21"/>
        </w:rPr>
        <w:fldChar w:fldCharType="end"/>
      </w:r>
      <w:r>
        <w:rPr>
          <w:rFonts w:hint="default" w:ascii="Times New Roman" w:hAnsi="Times New Roman" w:eastAsia="宋体" w:cs="Times New Roman"/>
          <w:b w:val="0"/>
          <w:bCs/>
          <w:snapToGrid w:val="0"/>
          <w:color w:val="auto"/>
          <w:spacing w:val="-6"/>
          <w:kern w:val="21"/>
          <w:sz w:val="21"/>
          <w:szCs w:val="21"/>
        </w:rPr>
        <w:t>+</w:t>
      </w:r>
      <w:r>
        <w:rPr>
          <w:rFonts w:hint="default" w:ascii="Times New Roman" w:hAnsi="Times New Roman" w:eastAsia="宋体" w:cs="Times New Roman"/>
          <w:b w:val="0"/>
          <w:bCs/>
          <w:snapToGrid w:val="0"/>
          <w:color w:val="auto"/>
          <w:spacing w:val="-6"/>
          <w:kern w:val="21"/>
          <w:sz w:val="21"/>
          <w:szCs w:val="21"/>
        </w:rPr>
        <w:fldChar w:fldCharType="begin"/>
      </w:r>
      <w:r>
        <w:rPr>
          <w:rFonts w:hint="default" w:ascii="Times New Roman" w:hAnsi="Times New Roman" w:eastAsia="宋体" w:cs="Times New Roman"/>
          <w:b w:val="0"/>
          <w:bCs/>
          <w:snapToGrid w:val="0"/>
          <w:color w:val="auto"/>
          <w:spacing w:val="-6"/>
          <w:kern w:val="21"/>
          <w:sz w:val="21"/>
          <w:szCs w:val="21"/>
        </w:rPr>
        <w:instrText xml:space="preserve"> = 3 \* GB3 \* MERGEFORMAT </w:instrText>
      </w:r>
      <w:r>
        <w:rPr>
          <w:rFonts w:hint="default" w:ascii="Times New Roman" w:hAnsi="Times New Roman" w:eastAsia="宋体" w:cs="Times New Roman"/>
          <w:b w:val="0"/>
          <w:bCs/>
          <w:snapToGrid w:val="0"/>
          <w:color w:val="auto"/>
          <w:spacing w:val="-6"/>
          <w:kern w:val="21"/>
          <w:sz w:val="21"/>
          <w:szCs w:val="21"/>
        </w:rPr>
        <w:fldChar w:fldCharType="separate"/>
      </w:r>
      <w:r>
        <w:rPr>
          <w:rFonts w:hint="default" w:ascii="Times New Roman" w:hAnsi="Times New Roman" w:eastAsia="宋体" w:cs="Times New Roman"/>
          <w:b w:val="0"/>
          <w:bCs/>
          <w:color w:val="auto"/>
          <w:sz w:val="21"/>
          <w:szCs w:val="21"/>
        </w:rPr>
        <w:t>③</w:t>
      </w:r>
      <w:r>
        <w:rPr>
          <w:rFonts w:hint="default" w:ascii="Times New Roman" w:hAnsi="Times New Roman" w:eastAsia="宋体" w:cs="Times New Roman"/>
          <w:b w:val="0"/>
          <w:bCs/>
          <w:snapToGrid w:val="0"/>
          <w:color w:val="auto"/>
          <w:spacing w:val="-6"/>
          <w:kern w:val="21"/>
          <w:sz w:val="21"/>
          <w:szCs w:val="21"/>
        </w:rPr>
        <w:fldChar w:fldCharType="end"/>
      </w:r>
      <w:r>
        <w:rPr>
          <w:rFonts w:hint="default" w:ascii="Times New Roman" w:hAnsi="Times New Roman" w:eastAsia="宋体" w:cs="Times New Roman"/>
          <w:b w:val="0"/>
          <w:bCs/>
          <w:snapToGrid w:val="0"/>
          <w:color w:val="auto"/>
          <w:spacing w:val="-6"/>
          <w:kern w:val="21"/>
          <w:sz w:val="21"/>
          <w:szCs w:val="21"/>
        </w:rPr>
        <w:t>+</w:t>
      </w:r>
      <w:r>
        <w:rPr>
          <w:rFonts w:hint="default" w:ascii="Times New Roman" w:hAnsi="Times New Roman" w:eastAsia="宋体" w:cs="Times New Roman"/>
          <w:b w:val="0"/>
          <w:bCs/>
          <w:snapToGrid w:val="0"/>
          <w:color w:val="auto"/>
          <w:spacing w:val="-6"/>
          <w:kern w:val="21"/>
          <w:sz w:val="21"/>
          <w:szCs w:val="21"/>
        </w:rPr>
        <w:fldChar w:fldCharType="begin"/>
      </w:r>
      <w:r>
        <w:rPr>
          <w:rFonts w:hint="default" w:ascii="Times New Roman" w:hAnsi="Times New Roman" w:eastAsia="宋体" w:cs="Times New Roman"/>
          <w:b w:val="0"/>
          <w:bCs/>
          <w:snapToGrid w:val="0"/>
          <w:color w:val="auto"/>
          <w:spacing w:val="-6"/>
          <w:kern w:val="21"/>
          <w:sz w:val="21"/>
          <w:szCs w:val="21"/>
        </w:rPr>
        <w:instrText xml:space="preserve"> = 4 \* GB3 \* MERGEFORMAT </w:instrText>
      </w:r>
      <w:r>
        <w:rPr>
          <w:rFonts w:hint="default" w:ascii="Times New Roman" w:hAnsi="Times New Roman" w:eastAsia="宋体" w:cs="Times New Roman"/>
          <w:b w:val="0"/>
          <w:bCs/>
          <w:snapToGrid w:val="0"/>
          <w:color w:val="auto"/>
          <w:spacing w:val="-6"/>
          <w:kern w:val="21"/>
          <w:sz w:val="21"/>
          <w:szCs w:val="21"/>
        </w:rPr>
        <w:fldChar w:fldCharType="separate"/>
      </w:r>
      <w:r>
        <w:rPr>
          <w:rFonts w:hint="default" w:ascii="Times New Roman" w:hAnsi="Times New Roman" w:eastAsia="宋体" w:cs="Times New Roman"/>
          <w:b w:val="0"/>
          <w:bCs/>
          <w:color w:val="auto"/>
          <w:sz w:val="21"/>
          <w:szCs w:val="21"/>
        </w:rPr>
        <w:t>④</w:t>
      </w:r>
      <w:r>
        <w:rPr>
          <w:rFonts w:hint="default" w:ascii="Times New Roman" w:hAnsi="Times New Roman" w:eastAsia="宋体" w:cs="Times New Roman"/>
          <w:b w:val="0"/>
          <w:bCs/>
          <w:snapToGrid w:val="0"/>
          <w:color w:val="auto"/>
          <w:spacing w:val="-6"/>
          <w:kern w:val="21"/>
          <w:sz w:val="21"/>
          <w:szCs w:val="21"/>
        </w:rPr>
        <w:fldChar w:fldCharType="end"/>
      </w:r>
      <w:r>
        <w:rPr>
          <w:rFonts w:hint="default" w:ascii="Times New Roman" w:hAnsi="Times New Roman" w:eastAsia="宋体" w:cs="Times New Roman"/>
          <w:b w:val="0"/>
          <w:bCs/>
          <w:snapToGrid w:val="0"/>
          <w:color w:val="auto"/>
          <w:spacing w:val="-6"/>
          <w:kern w:val="21"/>
          <w:sz w:val="21"/>
          <w:szCs w:val="21"/>
        </w:rPr>
        <w:t>-</w:t>
      </w:r>
      <w:r>
        <w:rPr>
          <w:rFonts w:hint="default" w:ascii="Times New Roman" w:hAnsi="Times New Roman" w:eastAsia="宋体" w:cs="Times New Roman"/>
          <w:b w:val="0"/>
          <w:bCs/>
          <w:snapToGrid w:val="0"/>
          <w:color w:val="auto"/>
          <w:spacing w:val="-16"/>
          <w:kern w:val="21"/>
          <w:sz w:val="21"/>
          <w:szCs w:val="21"/>
        </w:rPr>
        <w:fldChar w:fldCharType="begin"/>
      </w:r>
      <w:r>
        <w:rPr>
          <w:rFonts w:hint="default" w:ascii="Times New Roman" w:hAnsi="Times New Roman" w:eastAsia="宋体" w:cs="Times New Roman"/>
          <w:b w:val="0"/>
          <w:bCs/>
          <w:snapToGrid w:val="0"/>
          <w:color w:val="auto"/>
          <w:spacing w:val="-16"/>
          <w:kern w:val="21"/>
          <w:sz w:val="21"/>
          <w:szCs w:val="21"/>
        </w:rPr>
        <w:instrText xml:space="preserve"> = 5 \* GB3 \* MERGEFORMAT </w:instrText>
      </w:r>
      <w:r>
        <w:rPr>
          <w:rFonts w:hint="default" w:ascii="Times New Roman" w:hAnsi="Times New Roman" w:eastAsia="宋体" w:cs="Times New Roman"/>
          <w:b w:val="0"/>
          <w:bCs/>
          <w:snapToGrid w:val="0"/>
          <w:color w:val="auto"/>
          <w:spacing w:val="-16"/>
          <w:kern w:val="21"/>
          <w:sz w:val="21"/>
          <w:szCs w:val="21"/>
        </w:rPr>
        <w:fldChar w:fldCharType="separate"/>
      </w:r>
      <w:r>
        <w:rPr>
          <w:rFonts w:hint="default" w:ascii="Times New Roman" w:hAnsi="Times New Roman" w:eastAsia="宋体" w:cs="Times New Roman"/>
          <w:b w:val="0"/>
          <w:bCs/>
          <w:color w:val="auto"/>
          <w:sz w:val="21"/>
          <w:szCs w:val="21"/>
        </w:rPr>
        <w:t>⑤</w:t>
      </w:r>
      <w:r>
        <w:rPr>
          <w:rFonts w:hint="default" w:ascii="Times New Roman" w:hAnsi="Times New Roman" w:eastAsia="宋体" w:cs="Times New Roman"/>
          <w:b w:val="0"/>
          <w:bCs/>
          <w:snapToGrid w:val="0"/>
          <w:color w:val="auto"/>
          <w:spacing w:val="-16"/>
          <w:kern w:val="21"/>
          <w:sz w:val="21"/>
          <w:szCs w:val="21"/>
        </w:rPr>
        <w:fldChar w:fldCharType="end"/>
      </w:r>
      <w:r>
        <w:rPr>
          <w:rFonts w:hint="default" w:ascii="Times New Roman" w:hAnsi="Times New Roman" w:eastAsia="宋体" w:cs="Times New Roman"/>
          <w:b w:val="0"/>
          <w:bCs/>
          <w:snapToGrid w:val="0"/>
          <w:color w:val="auto"/>
          <w:spacing w:val="-16"/>
          <w:kern w:val="21"/>
          <w:sz w:val="21"/>
          <w:szCs w:val="21"/>
        </w:rPr>
        <w:t>；</w:t>
      </w:r>
      <w:r>
        <w:rPr>
          <w:rFonts w:hint="default" w:ascii="Times New Roman" w:hAnsi="Times New Roman" w:eastAsia="宋体" w:cs="Times New Roman"/>
          <w:b w:val="0"/>
          <w:bCs/>
          <w:snapToGrid w:val="0"/>
          <w:color w:val="auto"/>
          <w:spacing w:val="-6"/>
          <w:kern w:val="21"/>
          <w:sz w:val="21"/>
          <w:szCs w:val="21"/>
        </w:rPr>
        <w:fldChar w:fldCharType="begin"/>
      </w:r>
      <w:r>
        <w:rPr>
          <w:rFonts w:hint="default" w:ascii="Times New Roman" w:hAnsi="Times New Roman" w:eastAsia="宋体" w:cs="Times New Roman"/>
          <w:b w:val="0"/>
          <w:bCs/>
          <w:snapToGrid w:val="0"/>
          <w:color w:val="auto"/>
          <w:spacing w:val="-6"/>
          <w:kern w:val="21"/>
          <w:sz w:val="21"/>
          <w:szCs w:val="21"/>
        </w:rPr>
        <w:instrText xml:space="preserve"> = 7 \* GB3 \* MERGEFORMAT </w:instrText>
      </w:r>
      <w:r>
        <w:rPr>
          <w:rFonts w:hint="default" w:ascii="Times New Roman" w:hAnsi="Times New Roman" w:eastAsia="宋体" w:cs="Times New Roman"/>
          <w:b w:val="0"/>
          <w:bCs/>
          <w:snapToGrid w:val="0"/>
          <w:color w:val="auto"/>
          <w:spacing w:val="-6"/>
          <w:kern w:val="21"/>
          <w:sz w:val="21"/>
          <w:szCs w:val="21"/>
        </w:rPr>
        <w:fldChar w:fldCharType="separate"/>
      </w:r>
      <w:r>
        <w:rPr>
          <w:rFonts w:hint="default" w:ascii="Times New Roman" w:hAnsi="Times New Roman" w:eastAsia="宋体" w:cs="Times New Roman"/>
          <w:b w:val="0"/>
          <w:bCs/>
          <w:color w:val="auto"/>
          <w:sz w:val="21"/>
          <w:szCs w:val="21"/>
        </w:rPr>
        <w:t>⑦</w:t>
      </w:r>
      <w:r>
        <w:rPr>
          <w:rFonts w:hint="default" w:ascii="Times New Roman" w:hAnsi="Times New Roman" w:eastAsia="宋体" w:cs="Times New Roman"/>
          <w:b w:val="0"/>
          <w:bCs/>
          <w:snapToGrid w:val="0"/>
          <w:color w:val="auto"/>
          <w:spacing w:val="-6"/>
          <w:kern w:val="21"/>
          <w:sz w:val="21"/>
          <w:szCs w:val="21"/>
        </w:rPr>
        <w:fldChar w:fldCharType="end"/>
      </w:r>
      <w:r>
        <w:rPr>
          <w:rFonts w:hint="default" w:ascii="Times New Roman" w:hAnsi="Times New Roman" w:eastAsia="宋体" w:cs="Times New Roman"/>
          <w:b w:val="0"/>
          <w:bCs/>
          <w:snapToGrid w:val="0"/>
          <w:color w:val="auto"/>
          <w:spacing w:val="-6"/>
          <w:kern w:val="21"/>
          <w:sz w:val="21"/>
          <w:szCs w:val="21"/>
        </w:rPr>
        <w:t>=</w:t>
      </w:r>
      <w:r>
        <w:rPr>
          <w:rFonts w:hint="default" w:ascii="Times New Roman" w:hAnsi="Times New Roman" w:eastAsia="宋体" w:cs="Times New Roman"/>
          <w:b w:val="0"/>
          <w:bCs/>
          <w:snapToGrid w:val="0"/>
          <w:color w:val="auto"/>
          <w:spacing w:val="-16"/>
          <w:kern w:val="21"/>
          <w:sz w:val="21"/>
          <w:szCs w:val="21"/>
        </w:rPr>
        <w:fldChar w:fldCharType="begin"/>
      </w:r>
      <w:r>
        <w:rPr>
          <w:rFonts w:hint="default" w:ascii="Times New Roman" w:hAnsi="Times New Roman" w:eastAsia="宋体" w:cs="Times New Roman"/>
          <w:b w:val="0"/>
          <w:bCs/>
          <w:snapToGrid w:val="0"/>
          <w:color w:val="auto"/>
          <w:spacing w:val="-16"/>
          <w:kern w:val="21"/>
          <w:sz w:val="21"/>
          <w:szCs w:val="21"/>
        </w:rPr>
        <w:instrText xml:space="preserve"> = 6 \* GB3 \* MERGEFORMAT </w:instrText>
      </w:r>
      <w:r>
        <w:rPr>
          <w:rFonts w:hint="default" w:ascii="Times New Roman" w:hAnsi="Times New Roman" w:eastAsia="宋体" w:cs="Times New Roman"/>
          <w:b w:val="0"/>
          <w:bCs/>
          <w:snapToGrid w:val="0"/>
          <w:color w:val="auto"/>
          <w:spacing w:val="-16"/>
          <w:kern w:val="21"/>
          <w:sz w:val="21"/>
          <w:szCs w:val="21"/>
        </w:rPr>
        <w:fldChar w:fldCharType="separate"/>
      </w:r>
      <w:r>
        <w:rPr>
          <w:rFonts w:hint="default" w:ascii="Times New Roman" w:hAnsi="Times New Roman" w:eastAsia="宋体" w:cs="Times New Roman"/>
          <w:b w:val="0"/>
          <w:bCs/>
          <w:color w:val="auto"/>
          <w:sz w:val="21"/>
          <w:szCs w:val="21"/>
        </w:rPr>
        <w:t>⑥</w:t>
      </w:r>
      <w:r>
        <w:rPr>
          <w:rFonts w:hint="default" w:ascii="Times New Roman" w:hAnsi="Times New Roman" w:eastAsia="宋体" w:cs="Times New Roman"/>
          <w:b w:val="0"/>
          <w:bCs/>
          <w:snapToGrid w:val="0"/>
          <w:color w:val="auto"/>
          <w:spacing w:val="-16"/>
          <w:kern w:val="21"/>
          <w:sz w:val="21"/>
          <w:szCs w:val="21"/>
        </w:rPr>
        <w:fldChar w:fldCharType="end"/>
      </w:r>
      <w:r>
        <w:rPr>
          <w:rFonts w:hint="default" w:ascii="Times New Roman" w:hAnsi="Times New Roman" w:eastAsia="宋体" w:cs="Times New Roman"/>
          <w:b w:val="0"/>
          <w:bCs/>
          <w:snapToGrid w:val="0"/>
          <w:color w:val="auto"/>
          <w:spacing w:val="-16"/>
          <w:kern w:val="21"/>
          <w:sz w:val="21"/>
          <w:szCs w:val="21"/>
        </w:rPr>
        <w:t>-</w:t>
      </w:r>
      <w:r>
        <w:rPr>
          <w:rFonts w:hint="default" w:ascii="Times New Roman" w:hAnsi="Times New Roman" w:eastAsia="宋体" w:cs="Times New Roman"/>
          <w:b w:val="0"/>
          <w:bCs/>
          <w:snapToGrid w:val="0"/>
          <w:color w:val="auto"/>
          <w:spacing w:val="-6"/>
          <w:kern w:val="21"/>
          <w:sz w:val="21"/>
          <w:szCs w:val="21"/>
        </w:rPr>
        <w:fldChar w:fldCharType="begin"/>
      </w:r>
      <w:r>
        <w:rPr>
          <w:rFonts w:hint="default" w:ascii="Times New Roman" w:hAnsi="Times New Roman" w:eastAsia="宋体" w:cs="Times New Roman"/>
          <w:b w:val="0"/>
          <w:bCs/>
          <w:snapToGrid w:val="0"/>
          <w:color w:val="auto"/>
          <w:spacing w:val="-6"/>
          <w:kern w:val="21"/>
          <w:sz w:val="21"/>
          <w:szCs w:val="21"/>
        </w:rPr>
        <w:instrText xml:space="preserve"> = 1 \* GB3 \* MERGEFORMAT </w:instrText>
      </w:r>
      <w:r>
        <w:rPr>
          <w:rFonts w:hint="default" w:ascii="Times New Roman" w:hAnsi="Times New Roman" w:eastAsia="宋体" w:cs="Times New Roman"/>
          <w:b w:val="0"/>
          <w:bCs/>
          <w:snapToGrid w:val="0"/>
          <w:color w:val="auto"/>
          <w:spacing w:val="-6"/>
          <w:kern w:val="21"/>
          <w:sz w:val="21"/>
          <w:szCs w:val="21"/>
        </w:rPr>
        <w:fldChar w:fldCharType="separate"/>
      </w:r>
      <w:r>
        <w:rPr>
          <w:rFonts w:hint="default" w:ascii="Times New Roman" w:hAnsi="Times New Roman" w:eastAsia="宋体" w:cs="Times New Roman"/>
          <w:b w:val="0"/>
          <w:bCs/>
          <w:color w:val="auto"/>
          <w:sz w:val="21"/>
          <w:szCs w:val="21"/>
        </w:rPr>
        <w:t>①</w:t>
      </w:r>
      <w:r>
        <w:rPr>
          <w:rFonts w:hint="default" w:ascii="Times New Roman" w:hAnsi="Times New Roman" w:eastAsia="宋体" w:cs="Times New Roman"/>
          <w:b w:val="0"/>
          <w:bCs/>
          <w:snapToGrid w:val="0"/>
          <w:color w:val="auto"/>
          <w:spacing w:val="-6"/>
          <w:kern w:val="21"/>
          <w:sz w:val="21"/>
          <w:szCs w:val="21"/>
        </w:rPr>
        <w:fldChar w:fldCharType="end"/>
      </w:r>
      <w:r>
        <w:rPr>
          <w:rFonts w:hint="default" w:ascii="Times New Roman" w:hAnsi="Times New Roman" w:eastAsia="宋体" w:cs="Times New Roman"/>
          <w:b w:val="0"/>
          <w:bCs/>
          <w:snapToGrid w:val="0"/>
          <w:color w:val="auto"/>
          <w:spacing w:val="-6"/>
          <w:kern w:val="21"/>
          <w:sz w:val="21"/>
          <w:szCs w:val="21"/>
          <w:lang w:eastAsia="zh-CN"/>
        </w:rPr>
        <w:t>；</w:t>
      </w:r>
      <w:r>
        <w:rPr>
          <w:rFonts w:hint="default" w:ascii="Times New Roman" w:hAnsi="Times New Roman" w:eastAsia="宋体" w:cs="Times New Roman"/>
          <w:b w:val="0"/>
          <w:bCs/>
          <w:snapToGrid w:val="0"/>
          <w:color w:val="000000"/>
          <w:spacing w:val="-6"/>
          <w:kern w:val="21"/>
          <w:sz w:val="21"/>
          <w:szCs w:val="21"/>
        </w:rPr>
        <w:t>单位：t/a。</w:t>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方正楷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ZSSK--GBK1-0">
    <w:altName w:val="宋体"/>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28190">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FEB968">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CFEB968">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22CE3B"/>
    <w:multiLevelType w:val="singleLevel"/>
    <w:tmpl w:val="FC22CE3B"/>
    <w:lvl w:ilvl="0" w:tentative="0">
      <w:start w:val="1"/>
      <w:numFmt w:val="bullet"/>
      <w:pStyle w:val="6"/>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561A0A"/>
    <w:rsid w:val="00327CB1"/>
    <w:rsid w:val="01240172"/>
    <w:rsid w:val="032558AB"/>
    <w:rsid w:val="033D0E7C"/>
    <w:rsid w:val="03A10CAA"/>
    <w:rsid w:val="05243941"/>
    <w:rsid w:val="063B3638"/>
    <w:rsid w:val="063D15C2"/>
    <w:rsid w:val="06A378EE"/>
    <w:rsid w:val="0B224068"/>
    <w:rsid w:val="0BF4153E"/>
    <w:rsid w:val="0E332484"/>
    <w:rsid w:val="101C544D"/>
    <w:rsid w:val="12A60982"/>
    <w:rsid w:val="15F20AAD"/>
    <w:rsid w:val="17266914"/>
    <w:rsid w:val="17575B7C"/>
    <w:rsid w:val="1CAD75CA"/>
    <w:rsid w:val="1DCD26AB"/>
    <w:rsid w:val="1E8B4E90"/>
    <w:rsid w:val="21ED1206"/>
    <w:rsid w:val="26734797"/>
    <w:rsid w:val="2831748F"/>
    <w:rsid w:val="28D167C0"/>
    <w:rsid w:val="293022CD"/>
    <w:rsid w:val="2B885A77"/>
    <w:rsid w:val="31760ECD"/>
    <w:rsid w:val="321E3342"/>
    <w:rsid w:val="34871673"/>
    <w:rsid w:val="37E40B8A"/>
    <w:rsid w:val="38835B70"/>
    <w:rsid w:val="39E94A8C"/>
    <w:rsid w:val="3A1E2D37"/>
    <w:rsid w:val="3A8E159B"/>
    <w:rsid w:val="3AF70BD4"/>
    <w:rsid w:val="3BF51E27"/>
    <w:rsid w:val="3C2F1C17"/>
    <w:rsid w:val="3C6D5A4D"/>
    <w:rsid w:val="40C0633F"/>
    <w:rsid w:val="4112018B"/>
    <w:rsid w:val="426C517F"/>
    <w:rsid w:val="458F0387"/>
    <w:rsid w:val="46122DEB"/>
    <w:rsid w:val="488E662C"/>
    <w:rsid w:val="48CC544E"/>
    <w:rsid w:val="4B8D03AA"/>
    <w:rsid w:val="4CC51AC6"/>
    <w:rsid w:val="4DC40DEA"/>
    <w:rsid w:val="4E8A016D"/>
    <w:rsid w:val="4F253B0A"/>
    <w:rsid w:val="4F9B298E"/>
    <w:rsid w:val="54336CC9"/>
    <w:rsid w:val="54E519CE"/>
    <w:rsid w:val="557E5D22"/>
    <w:rsid w:val="57B7551B"/>
    <w:rsid w:val="57E73733"/>
    <w:rsid w:val="5806097D"/>
    <w:rsid w:val="5A7631D7"/>
    <w:rsid w:val="5C145275"/>
    <w:rsid w:val="5C215330"/>
    <w:rsid w:val="61B61877"/>
    <w:rsid w:val="61D373F6"/>
    <w:rsid w:val="626D10FB"/>
    <w:rsid w:val="63561A0A"/>
    <w:rsid w:val="63650337"/>
    <w:rsid w:val="647749B0"/>
    <w:rsid w:val="661554EE"/>
    <w:rsid w:val="662D41D7"/>
    <w:rsid w:val="665D2CEF"/>
    <w:rsid w:val="66BC0157"/>
    <w:rsid w:val="66CC0FE3"/>
    <w:rsid w:val="686C5CC3"/>
    <w:rsid w:val="68B12E92"/>
    <w:rsid w:val="68BA3449"/>
    <w:rsid w:val="69670D02"/>
    <w:rsid w:val="6A4C4645"/>
    <w:rsid w:val="6C8255EC"/>
    <w:rsid w:val="6C8C4C6F"/>
    <w:rsid w:val="6E9D1553"/>
    <w:rsid w:val="6F0F693C"/>
    <w:rsid w:val="719E246D"/>
    <w:rsid w:val="71F75C3F"/>
    <w:rsid w:val="73EB293C"/>
    <w:rsid w:val="740A4EF9"/>
    <w:rsid w:val="745A122F"/>
    <w:rsid w:val="76860B70"/>
    <w:rsid w:val="769E3F2F"/>
    <w:rsid w:val="770821FA"/>
    <w:rsid w:val="7767024F"/>
    <w:rsid w:val="781225CE"/>
    <w:rsid w:val="7835260B"/>
    <w:rsid w:val="79132AA2"/>
    <w:rsid w:val="7A2F4795"/>
    <w:rsid w:val="7A4364BA"/>
    <w:rsid w:val="7AF22E45"/>
    <w:rsid w:val="7B815238"/>
    <w:rsid w:val="7C110102"/>
    <w:rsid w:val="7C961A20"/>
    <w:rsid w:val="7CB62825"/>
    <w:rsid w:val="7CDB7433"/>
    <w:rsid w:val="7E0230E5"/>
    <w:rsid w:val="7E81304E"/>
    <w:rsid w:val="7FD95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napToGrid w:val="0"/>
      <w:spacing w:before="120"/>
      <w:outlineLvl w:val="2"/>
    </w:pPr>
    <w:rPr>
      <w:rFonts w:eastAsia="仿宋_GB2312"/>
      <w:b/>
      <w:color w:val="000000"/>
      <w:sz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rPr>
      <w:color w:val="000000"/>
      <w:sz w:val="28"/>
    </w:rPr>
  </w:style>
  <w:style w:type="paragraph" w:styleId="4">
    <w:name w:val="annotation text"/>
    <w:basedOn w:val="1"/>
    <w:qFormat/>
    <w:uiPriority w:val="99"/>
    <w:pPr>
      <w:jc w:val="left"/>
    </w:pPr>
    <w:rPr>
      <w:kern w:val="0"/>
      <w:sz w:val="24"/>
      <w:szCs w:val="20"/>
    </w:rPr>
  </w:style>
  <w:style w:type="paragraph" w:styleId="5">
    <w:name w:val="Body Text"/>
    <w:basedOn w:val="1"/>
    <w:next w:val="6"/>
    <w:qFormat/>
    <w:uiPriority w:val="0"/>
    <w:pPr>
      <w:widowControl/>
      <w:snapToGrid w:val="0"/>
      <w:spacing w:before="60" w:after="160" w:line="259" w:lineRule="auto"/>
      <w:ind w:right="113"/>
    </w:pPr>
    <w:rPr>
      <w:kern w:val="0"/>
      <w:sz w:val="18"/>
      <w:szCs w:val="20"/>
    </w:rPr>
  </w:style>
  <w:style w:type="paragraph" w:styleId="6">
    <w:name w:val="List Bullet 5"/>
    <w:basedOn w:val="1"/>
    <w:qFormat/>
    <w:uiPriority w:val="0"/>
    <w:pPr>
      <w:numPr>
        <w:ilvl w:val="0"/>
        <w:numId w:val="1"/>
      </w:numPr>
    </w:pPr>
  </w:style>
  <w:style w:type="paragraph" w:styleId="7">
    <w:name w:val="Body Text Indent"/>
    <w:basedOn w:val="1"/>
    <w:next w:val="8"/>
    <w:qFormat/>
    <w:uiPriority w:val="0"/>
    <w:pPr>
      <w:spacing w:after="120"/>
      <w:ind w:left="420" w:leftChars="200"/>
    </w:pPr>
    <w:rPr>
      <w:kern w:val="0"/>
      <w:sz w:val="24"/>
      <w:szCs w:val="20"/>
    </w:rPr>
  </w:style>
  <w:style w:type="paragraph" w:styleId="8">
    <w:name w:val="header"/>
    <w:basedOn w:val="1"/>
    <w:next w:val="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样式5"/>
    <w:basedOn w:val="10"/>
    <w:qFormat/>
    <w:uiPriority w:val="0"/>
    <w:pPr>
      <w:autoSpaceDE/>
      <w:autoSpaceDN/>
      <w:spacing w:before="0" w:line="240" w:lineRule="auto"/>
    </w:pPr>
    <w:rPr>
      <w:rFonts w:ascii="黑体"/>
      <w:color w:val="000000"/>
      <w:sz w:val="24"/>
    </w:rPr>
  </w:style>
  <w:style w:type="paragraph" w:customStyle="1" w:styleId="10">
    <w:name w:val="样式3"/>
    <w:basedOn w:val="11"/>
    <w:qFormat/>
    <w:uiPriority w:val="0"/>
    <w:pPr>
      <w:autoSpaceDE w:val="0"/>
      <w:autoSpaceDN w:val="0"/>
      <w:snapToGrid w:val="0"/>
      <w:spacing w:before="120" w:line="460" w:lineRule="atLeast"/>
      <w:jc w:val="center"/>
    </w:pPr>
    <w:rPr>
      <w:rFonts w:eastAsia="黑体"/>
      <w:sz w:val="28"/>
      <w:szCs w:val="24"/>
    </w:rPr>
  </w:style>
  <w:style w:type="paragraph" w:styleId="11">
    <w:name w:val="Date"/>
    <w:basedOn w:val="1"/>
    <w:next w:val="1"/>
    <w:qFormat/>
    <w:uiPriority w:val="0"/>
    <w:pPr>
      <w:ind w:left="100" w:leftChars="2500"/>
    </w:pPr>
    <w:rPr>
      <w:kern w:val="0"/>
      <w:sz w:val="24"/>
      <w:szCs w:val="20"/>
    </w:rPr>
  </w:style>
  <w:style w:type="paragraph" w:styleId="12">
    <w:name w:val="Block Text"/>
    <w:basedOn w:val="1"/>
    <w:qFormat/>
    <w:uiPriority w:val="0"/>
    <w:pPr>
      <w:spacing w:after="120"/>
      <w:ind w:left="1440" w:leftChars="700" w:right="1440" w:rightChars="700"/>
    </w:pPr>
    <w:rPr>
      <w:rFonts w:ascii="Times New Roman" w:hAnsi="Times New Roman" w:eastAsia="宋体" w:cs="Times New Roman"/>
    </w:rPr>
  </w:style>
  <w:style w:type="paragraph" w:styleId="13">
    <w:name w:val="Plain Text"/>
    <w:basedOn w:val="1"/>
    <w:qFormat/>
    <w:uiPriority w:val="0"/>
    <w:pPr>
      <w:widowControl w:val="0"/>
      <w:jc w:val="both"/>
    </w:pPr>
    <w:rPr>
      <w:rFonts w:ascii="宋体" w:hAnsi="Courier New"/>
      <w:kern w:val="2"/>
      <w:sz w:val="28"/>
    </w:rPr>
  </w:style>
  <w:style w:type="paragraph" w:styleId="14">
    <w:name w:val="Body Text Indent 2"/>
    <w:basedOn w:val="1"/>
    <w:qFormat/>
    <w:uiPriority w:val="0"/>
    <w:pPr>
      <w:spacing w:after="120" w:line="480" w:lineRule="auto"/>
      <w:ind w:left="420" w:leftChars="200"/>
    </w:pPr>
  </w:style>
  <w:style w:type="paragraph" w:styleId="15">
    <w:name w:val="footer"/>
    <w:basedOn w:val="1"/>
    <w:qFormat/>
    <w:uiPriority w:val="0"/>
    <w:pPr>
      <w:tabs>
        <w:tab w:val="center" w:pos="4153"/>
        <w:tab w:val="right" w:pos="8306"/>
      </w:tabs>
      <w:snapToGrid w:val="0"/>
      <w:jc w:val="left"/>
    </w:pPr>
    <w:rPr>
      <w:kern w:val="0"/>
      <w:sz w:val="18"/>
      <w:szCs w:val="20"/>
    </w:rPr>
  </w:style>
  <w:style w:type="paragraph" w:styleId="16">
    <w:name w:val="toc 1"/>
    <w:basedOn w:val="1"/>
    <w:next w:val="1"/>
    <w:qFormat/>
    <w:uiPriority w:val="39"/>
    <w:pPr>
      <w:tabs>
        <w:tab w:val="right" w:leader="dot" w:pos="8777"/>
      </w:tabs>
      <w:jc w:val="center"/>
    </w:pPr>
    <w:rPr>
      <w:rFonts w:ascii="宋体" w:hAnsi="宋体"/>
      <w:b/>
      <w:color w:val="000000"/>
      <w:sz w:val="28"/>
      <w:szCs w:val="28"/>
    </w:rPr>
  </w:style>
  <w:style w:type="paragraph" w:styleId="17">
    <w:name w:val="index heading"/>
    <w:basedOn w:val="1"/>
    <w:next w:val="18"/>
    <w:qFormat/>
    <w:uiPriority w:val="0"/>
    <w:rPr>
      <w:szCs w:val="20"/>
    </w:rPr>
  </w:style>
  <w:style w:type="paragraph" w:styleId="18">
    <w:name w:val="index 1"/>
    <w:basedOn w:val="1"/>
    <w:next w:val="1"/>
    <w:qFormat/>
    <w:uiPriority w:val="0"/>
    <w:pPr>
      <w:jc w:val="center"/>
    </w:pPr>
    <w:rPr>
      <w:szCs w:val="20"/>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正文缩进2"/>
    <w:basedOn w:val="1"/>
    <w:qFormat/>
    <w:uiPriority w:val="0"/>
    <w:pPr>
      <w:spacing w:line="500" w:lineRule="exact"/>
      <w:ind w:firstLine="200" w:firstLineChars="200"/>
    </w:pPr>
  </w:style>
  <w:style w:type="paragraph" w:customStyle="1" w:styleId="24">
    <w:name w:val="表格文字"/>
    <w:basedOn w:val="13"/>
    <w:semiHidden/>
    <w:qFormat/>
    <w:uiPriority w:val="0"/>
    <w:pPr>
      <w:jc w:val="center"/>
    </w:pPr>
    <w:rPr>
      <w:rFonts w:ascii="仿宋_GB2312" w:hAnsi="Arial Black" w:eastAsia="仿宋_GB2312"/>
      <w:kern w:val="44"/>
      <w:sz w:val="24"/>
      <w:szCs w:val="20"/>
    </w:rPr>
  </w:style>
  <w:style w:type="character" w:customStyle="1" w:styleId="25">
    <w:name w:val="正文文本 + SimSun"/>
    <w:qFormat/>
    <w:uiPriority w:val="0"/>
    <w:rPr>
      <w:rFonts w:ascii="宋体" w:hAnsi="宋体" w:eastAsia="宋体" w:cs="宋体"/>
      <w:color w:val="000000"/>
      <w:spacing w:val="0"/>
      <w:w w:val="100"/>
      <w:position w:val="0"/>
      <w:sz w:val="19"/>
      <w:szCs w:val="19"/>
      <w:u w:val="none"/>
      <w:lang w:val="zh-TW"/>
    </w:rPr>
  </w:style>
  <w:style w:type="paragraph" w:customStyle="1" w:styleId="26">
    <w:name w:val="表头 1"/>
    <w:basedOn w:val="1"/>
    <w:next w:val="1"/>
    <w:qFormat/>
    <w:uiPriority w:val="0"/>
    <w:pPr>
      <w:widowControl/>
      <w:adjustRightInd w:val="0"/>
      <w:snapToGrid w:val="0"/>
      <w:jc w:val="center"/>
    </w:pPr>
    <w:rPr>
      <w:b/>
      <w:kern w:val="0"/>
      <w:sz w:val="24"/>
      <w:szCs w:val="22"/>
    </w:rPr>
  </w:style>
  <w:style w:type="paragraph" w:customStyle="1" w:styleId="27">
    <w:name w:val="Table Paragraph"/>
    <w:basedOn w:val="1"/>
    <w:qFormat/>
    <w:uiPriority w:val="0"/>
    <w:pPr>
      <w:widowControl/>
      <w:jc w:val="left"/>
    </w:pPr>
    <w:rPr>
      <w:rFonts w:ascii="Calibri" w:hAnsi="Calibri" w:cs="Calibri"/>
      <w:kern w:val="0"/>
      <w:sz w:val="22"/>
      <w:szCs w:val="22"/>
    </w:rPr>
  </w:style>
  <w:style w:type="paragraph" w:customStyle="1" w:styleId="28">
    <w:name w:val="Char1 Char Char Char Char Char Char Char Char Char Char Char Char Char Char Char Char Char"/>
    <w:basedOn w:val="1"/>
    <w:qFormat/>
    <w:uiPriority w:val="0"/>
    <w:rPr>
      <w:sz w:val="24"/>
    </w:rPr>
  </w:style>
  <w:style w:type="paragraph" w:customStyle="1" w:styleId="29">
    <w:name w:val="xl27"/>
    <w:basedOn w:val="1"/>
    <w:qFormat/>
    <w:uiPriority w:val="0"/>
    <w:pPr>
      <w:widowControl/>
      <w:pBdr>
        <w:bottom w:val="single" w:color="auto" w:sz="12" w:space="0"/>
      </w:pBdr>
      <w:spacing w:before="100" w:after="100"/>
      <w:jc w:val="center"/>
    </w:pPr>
    <w:rPr>
      <w:rFonts w:ascii="宋体" w:hAnsi="宋体" w:cs="Calibri"/>
      <w:kern w:val="0"/>
      <w:szCs w:val="20"/>
    </w:rPr>
  </w:style>
  <w:style w:type="paragraph" w:customStyle="1" w:styleId="30">
    <w:name w:val="表格内容自定"/>
    <w:basedOn w:val="1"/>
    <w:qFormat/>
    <w:uiPriority w:val="0"/>
    <w:pPr>
      <w:spacing w:line="280" w:lineRule="exact"/>
      <w:jc w:val="center"/>
    </w:pPr>
    <w:rPr>
      <w:kern w:val="0"/>
      <w:sz w:val="18"/>
      <w:szCs w:val="21"/>
    </w:rPr>
  </w:style>
  <w:style w:type="paragraph" w:customStyle="1" w:styleId="31">
    <w:name w:val="表格文字2"/>
    <w:basedOn w:val="1"/>
    <w:qFormat/>
    <w:uiPriority w:val="0"/>
    <w:pPr>
      <w:tabs>
        <w:tab w:val="left" w:pos="277"/>
        <w:tab w:val="left" w:pos="600"/>
        <w:tab w:val="left" w:pos="780"/>
        <w:tab w:val="left" w:pos="2517"/>
      </w:tabs>
      <w:adjustRightInd w:val="0"/>
      <w:jc w:val="center"/>
      <w:textAlignment w:val="baseline"/>
    </w:pPr>
    <w:rPr>
      <w:kern w:val="0"/>
      <w:szCs w:val="21"/>
    </w:rPr>
  </w:style>
  <w:style w:type="paragraph" w:customStyle="1" w:styleId="32">
    <w:name w:val="Normal_31"/>
    <w:qFormat/>
    <w:uiPriority w:val="0"/>
    <w:pPr>
      <w:spacing w:before="120" w:after="240"/>
      <w:jc w:val="both"/>
    </w:pPr>
    <w:rPr>
      <w:rFonts w:ascii="Calibri" w:hAnsi="Calibri" w:eastAsia="Calibri" w:cs="Times New Roman"/>
      <w:sz w:val="22"/>
      <w:szCs w:val="22"/>
      <w:lang w:val="ru-RU" w:eastAsia="en-US" w:bidi="ar-SA"/>
    </w:rPr>
  </w:style>
  <w:style w:type="paragraph" w:customStyle="1" w:styleId="33">
    <w:name w:val="表格字体"/>
    <w:basedOn w:val="1"/>
    <w:next w:val="1"/>
    <w:qFormat/>
    <w:uiPriority w:val="0"/>
    <w:pPr>
      <w:adjustRightInd w:val="0"/>
      <w:snapToGrid w:val="0"/>
      <w:spacing w:line="240" w:lineRule="exact"/>
      <w:jc w:val="center"/>
    </w:pPr>
    <w:rPr>
      <w:kern w:val="0"/>
      <w:sz w:val="20"/>
      <w:szCs w:val="21"/>
    </w:rPr>
  </w:style>
  <w:style w:type="paragraph" w:customStyle="1" w:styleId="34">
    <w:name w:val="标题2"/>
    <w:basedOn w:val="1"/>
    <w:next w:val="1"/>
    <w:qFormat/>
    <w:uiPriority w:val="0"/>
    <w:pPr>
      <w:autoSpaceDE w:val="0"/>
      <w:autoSpaceDN w:val="0"/>
      <w:snapToGrid w:val="0"/>
      <w:spacing w:line="590" w:lineRule="atLeast"/>
      <w:jc w:val="center"/>
    </w:pPr>
    <w:rPr>
      <w:rFonts w:eastAsia="方正楷体_GBK"/>
      <w:snapToGrid w:val="0"/>
      <w:kern w:val="0"/>
      <w:sz w:val="32"/>
      <w:szCs w:val="20"/>
    </w:rPr>
  </w:style>
  <w:style w:type="paragraph" w:customStyle="1" w:styleId="35">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6">
    <w:name w:val="正文 4"/>
    <w:basedOn w:val="1"/>
    <w:qFormat/>
    <w:uiPriority w:val="0"/>
    <w:pPr>
      <w:widowControl/>
      <w:autoSpaceDE w:val="0"/>
      <w:autoSpaceDN w:val="0"/>
      <w:adjustRightInd w:val="0"/>
      <w:snapToGrid w:val="0"/>
      <w:spacing w:line="360" w:lineRule="auto"/>
      <w:ind w:firstLine="480" w:firstLineChars="200"/>
      <w:jc w:val="left"/>
    </w:pPr>
    <w:rPr>
      <w:rFonts w:ascii="Calibri" w:hAnsi="宋体" w:eastAsia="仿宋_GB2312"/>
      <w:bCs/>
      <w:kern w:val="0"/>
      <w:sz w:val="24"/>
      <w:szCs w:val="22"/>
    </w:rPr>
  </w:style>
  <w:style w:type="paragraph" w:customStyle="1" w:styleId="37">
    <w:name w:val="表格"/>
    <w:basedOn w:val="38"/>
    <w:next w:val="1"/>
    <w:qFormat/>
    <w:uiPriority w:val="0"/>
    <w:pPr>
      <w:adjustRightInd w:val="0"/>
      <w:snapToGrid w:val="0"/>
      <w:spacing w:beforeLines="10" w:afterLines="10" w:line="259" w:lineRule="auto"/>
      <w:jc w:val="center"/>
    </w:pPr>
    <w:rPr>
      <w:rFonts w:ascii="宋体"/>
      <w:kern w:val="0"/>
      <w:szCs w:val="20"/>
    </w:rPr>
  </w:style>
  <w:style w:type="paragraph" w:customStyle="1" w:styleId="38">
    <w:name w:val="表头"/>
    <w:basedOn w:val="3"/>
    <w:next w:val="1"/>
    <w:qFormat/>
    <w:uiPriority w:val="0"/>
    <w:pPr>
      <w:spacing w:line="360" w:lineRule="auto"/>
      <w:jc w:val="center"/>
    </w:pPr>
    <w:rPr>
      <w:rFonts w:ascii="黑体" w:hAnsi="宋体" w:eastAsia="黑体"/>
      <w:b/>
      <w:sz w:val="24"/>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wmf"/><Relationship Id="rId16" Type="http://schemas.openxmlformats.org/officeDocument/2006/relationships/oleObject" Target="embeddings/oleObject5.bin"/><Relationship Id="rId15" Type="http://schemas.openxmlformats.org/officeDocument/2006/relationships/image" Target="media/image7.wmf"/><Relationship Id="rId14" Type="http://schemas.openxmlformats.org/officeDocument/2006/relationships/oleObject" Target="embeddings/oleObject4.bin"/><Relationship Id="rId13" Type="http://schemas.openxmlformats.org/officeDocument/2006/relationships/image" Target="media/image6.wmf"/><Relationship Id="rId12" Type="http://schemas.openxmlformats.org/officeDocument/2006/relationships/oleObject" Target="embeddings/oleObject3.bin"/><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112</Words>
  <Characters>185</Characters>
  <Lines>0</Lines>
  <Paragraphs>0</Paragraphs>
  <TotalTime>14</TotalTime>
  <ScaleCrop>false</ScaleCrop>
  <LinksUpToDate>false</LinksUpToDate>
  <CharactersWithSpaces>274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2025-08-07T03:21:00Z</dcterms:created>
  <dc:creator>小甜甜甜</dc:creator>
  <cp:lastModifiedBy>小甜甜甜</cp:lastModifiedBy>
  <dcterms:modified xsi:type="dcterms:W3CDTF">2025-11-13T07:03:23Z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387A251982DC41D4B76DCBA285E2171A_13</vt:lpwstr>
  </property>
  <property fmtid="{D5CDD505-2E9C-101B-9397-08002B2CF9AE}" pid="4" name="KSOTemplateDocerSaveRecord">
    <vt:lpwstr>eyJoZGlkIjoiZjdiZGJjMGI0OTg4ZDY0ODkwZTJiMDNiNzUwYTRmNWQiLCJ1c2VySWQiOiIzMDk3Mzc1MzUifQ==</vt:lpwstr>
  </property>
</Properties>
</file>